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E75CB7" w14:textId="7F5F4BA8" w:rsidR="007E6BFD" w:rsidRPr="008642D1" w:rsidRDefault="00774339" w:rsidP="009611AB">
      <w:pPr>
        <w:pStyle w:val="BodyText"/>
        <w:rPr>
          <w:rFonts w:eastAsia="Segoe UI Emoji"/>
        </w:rPr>
      </w:pPr>
      <w:r w:rsidRPr="008642D1">
        <w:rPr>
          <w:rFonts w:eastAsia="Segoe UI Emoji"/>
          <w:noProof/>
        </w:rPr>
        <mc:AlternateContent>
          <mc:Choice Requires="wpg">
            <w:drawing>
              <wp:anchor distT="0" distB="0" distL="114300" distR="114300" simplePos="0" relativeHeight="251658250" behindDoc="0" locked="0" layoutInCell="1" allowOverlap="1" wp14:anchorId="3110F86E" wp14:editId="662CB2FA">
                <wp:simplePos x="0" y="0"/>
                <wp:positionH relativeFrom="column">
                  <wp:posOffset>-899160</wp:posOffset>
                </wp:positionH>
                <wp:positionV relativeFrom="page">
                  <wp:posOffset>228600</wp:posOffset>
                </wp:positionV>
                <wp:extent cx="7200265" cy="1158240"/>
                <wp:effectExtent l="0" t="0" r="635" b="3810"/>
                <wp:wrapNone/>
                <wp:docPr id="479" name="Group 479"/>
                <wp:cNvGraphicFramePr/>
                <a:graphic xmlns:a="http://schemas.openxmlformats.org/drawingml/2006/main">
                  <a:graphicData uri="http://schemas.microsoft.com/office/word/2010/wordprocessingGroup">
                    <wpg:wgp>
                      <wpg:cNvGrpSpPr/>
                      <wpg:grpSpPr>
                        <a:xfrm>
                          <a:off x="0" y="0"/>
                          <a:ext cx="7200265" cy="1158240"/>
                          <a:chOff x="0" y="0"/>
                          <a:chExt cx="7200265" cy="1158240"/>
                        </a:xfrm>
                      </wpg:grpSpPr>
                      <wpg:grpSp>
                        <wpg:cNvPr id="7" name="Group 3"/>
                        <wpg:cNvGrpSpPr/>
                        <wpg:grpSpPr>
                          <a:xfrm>
                            <a:off x="0" y="0"/>
                            <a:ext cx="7200265" cy="1158240"/>
                            <a:chOff x="7315" y="21945"/>
                            <a:chExt cx="7200265" cy="1158240"/>
                          </a:xfrm>
                          <a:blipFill dpi="0" rotWithShape="1">
                            <a:blip r:embed="rId12">
                              <a:extLst>
                                <a:ext uri="{28A0092B-C50C-407E-A947-70E740481C1C}">
                                  <a14:useLocalDpi xmlns:a14="http://schemas.microsoft.com/office/drawing/2010/main" val="0"/>
                                </a:ext>
                              </a:extLst>
                            </a:blip>
                            <a:srcRect/>
                            <a:stretch>
                              <a:fillRect/>
                            </a:stretch>
                          </a:blipFill>
                        </wpg:grpSpPr>
                        <wps:wsp>
                          <wps:cNvPr id="235" name="Freeform 213"/>
                          <wps:cNvSpPr>
                            <a:spLocks/>
                          </wps:cNvSpPr>
                          <wps:spPr bwMode="auto">
                            <a:xfrm>
                              <a:off x="7315" y="21945"/>
                              <a:ext cx="7200265" cy="1158240"/>
                            </a:xfrm>
                            <a:custGeom>
                              <a:avLst/>
                              <a:gdLst>
                                <a:gd name="T0" fmla="+- 0 283 283"/>
                                <a:gd name="T1" fmla="*/ T0 w 11339"/>
                                <a:gd name="T2" fmla="+- 0 2107 283"/>
                                <a:gd name="T3" fmla="*/ 2107 h 1824"/>
                                <a:gd name="T4" fmla="+- 0 11622 283"/>
                                <a:gd name="T5" fmla="*/ T4 w 11339"/>
                                <a:gd name="T6" fmla="+- 0 2107 283"/>
                                <a:gd name="T7" fmla="*/ 2107 h 1824"/>
                                <a:gd name="T8" fmla="+- 0 11622 283"/>
                                <a:gd name="T9" fmla="*/ T8 w 11339"/>
                                <a:gd name="T10" fmla="+- 0 283 283"/>
                                <a:gd name="T11" fmla="*/ 283 h 1824"/>
                                <a:gd name="T12" fmla="+- 0 283 283"/>
                                <a:gd name="T13" fmla="*/ T12 w 11339"/>
                                <a:gd name="T14" fmla="+- 0 283 283"/>
                                <a:gd name="T15" fmla="*/ 283 h 1824"/>
                                <a:gd name="T16" fmla="+- 0 283 283"/>
                                <a:gd name="T17" fmla="*/ T16 w 11339"/>
                                <a:gd name="T18" fmla="+- 0 2107 283"/>
                                <a:gd name="T19" fmla="*/ 2107 h 1824"/>
                              </a:gdLst>
                              <a:ahLst/>
                              <a:cxnLst>
                                <a:cxn ang="0">
                                  <a:pos x="T1" y="T3"/>
                                </a:cxn>
                                <a:cxn ang="0">
                                  <a:pos x="T5" y="T7"/>
                                </a:cxn>
                                <a:cxn ang="0">
                                  <a:pos x="T9" y="T11"/>
                                </a:cxn>
                                <a:cxn ang="0">
                                  <a:pos x="T13" y="T15"/>
                                </a:cxn>
                                <a:cxn ang="0">
                                  <a:pos x="T17" y="T19"/>
                                </a:cxn>
                              </a:cxnLst>
                              <a:rect l="0" t="0" r="r" b="b"/>
                              <a:pathLst>
                                <a:path w="11339" h="1824">
                                  <a:moveTo>
                                    <a:pt x="0" y="1824"/>
                                  </a:moveTo>
                                  <a:lnTo>
                                    <a:pt x="11339" y="1824"/>
                                  </a:lnTo>
                                  <a:lnTo>
                                    <a:pt x="11339" y="0"/>
                                  </a:lnTo>
                                  <a:lnTo>
                                    <a:pt x="0" y="0"/>
                                  </a:lnTo>
                                  <a:lnTo>
                                    <a:pt x="0" y="1824"/>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2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288191" y="361310"/>
                              <a:ext cx="1399210" cy="559684"/>
                            </a:xfrm>
                            <a:prstGeom prst="rect">
                              <a:avLst/>
                            </a:prstGeom>
                            <a:grpFill/>
                          </pic:spPr>
                        </pic:pic>
                      </wpg:grpSp>
                      <wps:wsp>
                        <wps:cNvPr id="307" name="Text Box 2"/>
                        <wps:cNvSpPr txBox="1">
                          <a:spLocks noChangeArrowheads="1"/>
                        </wps:cNvSpPr>
                        <wps:spPr bwMode="auto">
                          <a:xfrm>
                            <a:off x="4330260" y="229586"/>
                            <a:ext cx="2743282" cy="788276"/>
                          </a:xfrm>
                          <a:prstGeom prst="rect">
                            <a:avLst/>
                          </a:prstGeom>
                          <a:noFill/>
                          <a:ln w="9525">
                            <a:noFill/>
                            <a:miter lim="800000"/>
                            <a:headEnd/>
                            <a:tailEnd/>
                          </a:ln>
                        </wps:spPr>
                        <wps:txbx>
                          <w:txbxContent>
                            <w:p w14:paraId="65BCDF37" w14:textId="0BB85AB8" w:rsidR="00E81695" w:rsidRPr="00D61250" w:rsidRDefault="00CB7C8E" w:rsidP="000C02A8">
                              <w:pPr>
                                <w:spacing w:after="240"/>
                                <w:ind w:left="471" w:right="62" w:hanging="471"/>
                                <w:jc w:val="right"/>
                                <w:rPr>
                                  <w:rFonts w:eastAsia="Wingdings" w:cs="Wingdings"/>
                                  <w:b/>
                                  <w:sz w:val="18"/>
                                  <w:szCs w:val="18"/>
                                </w:rPr>
                              </w:pPr>
                              <w:r w:rsidRPr="008642D1">
                                <w:rPr>
                                  <w:rFonts w:eastAsia="Wingdings" w:cs="Wingdings"/>
                                  <w:b/>
                                  <w:color w:val="72AB6A"/>
                                  <w:spacing w:val="2"/>
                                  <w:sz w:val="18"/>
                                  <w:szCs w:val="18"/>
                                </w:rPr>
                                <w:t xml:space="preserve">Pipiri </w:t>
                              </w:r>
                              <w:r w:rsidR="00E81695" w:rsidRPr="008642D1">
                                <w:rPr>
                                  <w:rFonts w:eastAsia="Wingdings" w:cs="Wingdings"/>
                                  <w:b/>
                                  <w:color w:val="72AB6A"/>
                                  <w:spacing w:val="2"/>
                                  <w:sz w:val="18"/>
                                  <w:szCs w:val="18"/>
                                </w:rPr>
                                <w:t xml:space="preserve">| </w:t>
                              </w:r>
                              <w:r w:rsidRPr="008642D1">
                                <w:rPr>
                                  <w:rFonts w:eastAsia="Wingdings" w:cs="Wingdings"/>
                                  <w:b/>
                                  <w:color w:val="72AB6A"/>
                                  <w:spacing w:val="2"/>
                                  <w:sz w:val="18"/>
                                  <w:szCs w:val="18"/>
                                </w:rPr>
                                <w:t>June 2024</w:t>
                              </w:r>
                            </w:p>
                            <w:p w14:paraId="19CC3E0A" w14:textId="77777777" w:rsidR="00E81695" w:rsidRDefault="00E81695" w:rsidP="000C02A8">
                              <w:pPr>
                                <w:spacing w:before="26" w:after="60"/>
                                <w:ind w:left="181" w:right="62"/>
                                <w:jc w:val="right"/>
                                <w:rPr>
                                  <w:rFonts w:eastAsia="Wingdings" w:cs="Wingdings"/>
                                  <w:b/>
                                  <w:color w:val="72AB6A"/>
                                  <w:spacing w:val="-3"/>
                                  <w:sz w:val="18"/>
                                  <w:szCs w:val="18"/>
                                </w:rPr>
                              </w:pPr>
                              <w:r w:rsidRPr="003962F3">
                                <w:rPr>
                                  <w:rFonts w:eastAsia="Wingdings" w:cs="Wingdings"/>
                                  <w:b/>
                                  <w:color w:val="72AB6A"/>
                                  <w:spacing w:val="-3"/>
                                  <w:sz w:val="18"/>
                                  <w:szCs w:val="18"/>
                                </w:rPr>
                                <w:t>Te Whanganui-a-Tara, Aotearoa</w:t>
                              </w:r>
                            </w:p>
                            <w:p w14:paraId="4B74BF2D" w14:textId="77777777" w:rsidR="00E81695" w:rsidRPr="00D61250" w:rsidRDefault="00E81695" w:rsidP="00495F8C">
                              <w:pPr>
                                <w:spacing w:before="26"/>
                                <w:ind w:left="184" w:right="61"/>
                                <w:jc w:val="right"/>
                                <w:rPr>
                                  <w:rFonts w:eastAsia="Wingdings" w:cs="Wingdings"/>
                                  <w:b/>
                                  <w:sz w:val="18"/>
                                  <w:szCs w:val="18"/>
                                </w:rPr>
                              </w:pPr>
                              <w:r w:rsidRPr="003962F3">
                                <w:rPr>
                                  <w:rFonts w:eastAsia="Wingdings" w:cs="Wingdings"/>
                                  <w:b/>
                                  <w:color w:val="72AB6A"/>
                                  <w:spacing w:val="-3"/>
                                  <w:sz w:val="18"/>
                                  <w:szCs w:val="18"/>
                                </w:rPr>
                                <w:t xml:space="preserve">  </w:t>
                              </w:r>
                              <w:r w:rsidRPr="00D61250">
                                <w:rPr>
                                  <w:rFonts w:eastAsia="Wingdings" w:cs="Wingdings"/>
                                  <w:b/>
                                  <w:color w:val="72AB6A"/>
                                  <w:spacing w:val="-3"/>
                                  <w:sz w:val="18"/>
                                  <w:szCs w:val="18"/>
                                </w:rPr>
                                <w:t>W</w:t>
                              </w:r>
                              <w:r w:rsidRPr="00D61250">
                                <w:rPr>
                                  <w:rFonts w:eastAsia="Wingdings" w:cs="Wingdings"/>
                                  <w:b/>
                                  <w:color w:val="72AB6A"/>
                                  <w:spacing w:val="3"/>
                                  <w:sz w:val="18"/>
                                  <w:szCs w:val="18"/>
                                </w:rPr>
                                <w:t>elli</w:t>
                              </w:r>
                              <w:r w:rsidRPr="00D61250">
                                <w:rPr>
                                  <w:rFonts w:eastAsia="Wingdings" w:cs="Wingdings"/>
                                  <w:b/>
                                  <w:color w:val="72AB6A"/>
                                  <w:spacing w:val="2"/>
                                  <w:sz w:val="18"/>
                                  <w:szCs w:val="18"/>
                                </w:rPr>
                                <w:t>ng</w:t>
                              </w:r>
                              <w:r w:rsidRPr="00D61250">
                                <w:rPr>
                                  <w:rFonts w:eastAsia="Wingdings" w:cs="Wingdings"/>
                                  <w:b/>
                                  <w:color w:val="72AB6A"/>
                                  <w:spacing w:val="-1"/>
                                  <w:sz w:val="18"/>
                                  <w:szCs w:val="18"/>
                                </w:rPr>
                                <w:t>t</w:t>
                              </w:r>
                              <w:r w:rsidRPr="00D61250">
                                <w:rPr>
                                  <w:rFonts w:eastAsia="Wingdings" w:cs="Wingdings"/>
                                  <w:b/>
                                  <w:color w:val="72AB6A"/>
                                  <w:spacing w:val="3"/>
                                  <w:sz w:val="18"/>
                                  <w:szCs w:val="18"/>
                                </w:rPr>
                                <w:t>on</w:t>
                              </w:r>
                              <w:r w:rsidRPr="00D61250">
                                <w:rPr>
                                  <w:rFonts w:eastAsia="Wingdings" w:cs="Wingdings"/>
                                  <w:b/>
                                  <w:color w:val="72AB6A"/>
                                  <w:sz w:val="18"/>
                                  <w:szCs w:val="18"/>
                                </w:rPr>
                                <w:t xml:space="preserve">, </w:t>
                              </w:r>
                              <w:r w:rsidRPr="00D61250">
                                <w:rPr>
                                  <w:rFonts w:eastAsia="Wingdings" w:cs="Wingdings"/>
                                  <w:b/>
                                  <w:color w:val="72AB6A"/>
                                  <w:spacing w:val="3"/>
                                  <w:sz w:val="18"/>
                                  <w:szCs w:val="18"/>
                                </w:rPr>
                                <w:t>N</w:t>
                              </w:r>
                              <w:r w:rsidRPr="00D61250">
                                <w:rPr>
                                  <w:rFonts w:eastAsia="Wingdings" w:cs="Wingdings"/>
                                  <w:b/>
                                  <w:color w:val="72AB6A"/>
                                  <w:spacing w:val="-1"/>
                                  <w:sz w:val="18"/>
                                  <w:szCs w:val="18"/>
                                </w:rPr>
                                <w:t>e</w:t>
                              </w:r>
                              <w:r w:rsidRPr="00D61250">
                                <w:rPr>
                                  <w:rFonts w:eastAsia="Wingdings" w:cs="Wingdings"/>
                                  <w:b/>
                                  <w:color w:val="72AB6A"/>
                                  <w:sz w:val="18"/>
                                  <w:szCs w:val="18"/>
                                </w:rPr>
                                <w:t xml:space="preserve">w </w:t>
                              </w:r>
                              <w:r w:rsidRPr="00D61250">
                                <w:rPr>
                                  <w:rFonts w:eastAsia="Wingdings" w:cs="Wingdings"/>
                                  <w:b/>
                                  <w:color w:val="72AB6A"/>
                                  <w:spacing w:val="-1"/>
                                  <w:sz w:val="18"/>
                                  <w:szCs w:val="18"/>
                                </w:rPr>
                                <w:t>Z</w:t>
                              </w:r>
                              <w:r w:rsidRPr="00D61250">
                                <w:rPr>
                                  <w:rFonts w:eastAsia="Wingdings" w:cs="Wingdings"/>
                                  <w:b/>
                                  <w:color w:val="72AB6A"/>
                                  <w:spacing w:val="2"/>
                                  <w:sz w:val="18"/>
                                  <w:szCs w:val="18"/>
                                </w:rPr>
                                <w:t>e</w:t>
                              </w:r>
                              <w:r w:rsidRPr="00D61250">
                                <w:rPr>
                                  <w:rFonts w:eastAsia="Wingdings" w:cs="Wingdings"/>
                                  <w:b/>
                                  <w:color w:val="72AB6A"/>
                                  <w:spacing w:val="3"/>
                                  <w:sz w:val="18"/>
                                  <w:szCs w:val="18"/>
                                </w:rPr>
                                <w:t>aland</w:t>
                              </w:r>
                            </w:p>
                            <w:p w14:paraId="58D70E5E" w14:textId="77777777" w:rsidR="00E81695" w:rsidRDefault="00E81695">
                              <w:pPr>
                                <w:spacing w:after="78"/>
                                <w:ind w:left="184"/>
                              </w:pPr>
                            </w:p>
                          </w:txbxContent>
                        </wps:txbx>
                        <wps:bodyPr rot="0" vert="horz" wrap="square" lIns="91440" tIns="45720" rIns="91440" bIns="45720" anchor="t" anchorCtr="0">
                          <a:noAutofit/>
                        </wps:bodyPr>
                      </wps:wsp>
                    </wpg:wgp>
                  </a:graphicData>
                </a:graphic>
              </wp:anchor>
            </w:drawing>
          </mc:Choice>
          <mc:Fallback>
            <w:pict>
              <v:group w14:anchorId="3110F86E" id="Group 479" o:spid="_x0000_s1026" style="position:absolute;left:0;text-align:left;margin-left:-70.8pt;margin-top:18pt;width:566.95pt;height:91.2pt;z-index:251658250;mso-position-vertical-relative:page" coordsize="72002,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">
                <v:group id="Group 3" o:spid="_x0000_s1027" style="position:absolute;width:72002;height:11582" coordorigin="73,219" coordsize="72002,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213" o:spid="_x0000_s1028" style="position:absolute;left:73;top:219;width:72002;height:11582;visibility:visible;mso-wrap-style:square;v-text-anchor:top" coordsize="11339,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" path="m,1824r11339,l11339,,,,,1824e" filled="f" stroked="f">
                    <v:path arrowok="t" o:connecttype="custom" o:connectlocs="0,1337945;7200265,1337945;7200265,179705;0,179705;0,133794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29" type="#_x0000_t75" style="position:absolute;left:2881;top:3613;width:13993;height: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">
                    <v:imagedata r:id="rId14" o:title=""/>
                  </v:shape>
                </v:group>
                <v:shapetype id="_x0000_t202" coordsize="21600,21600" o:spt="202" path="m,l,21600r21600,l21600,xe">
                  <v:stroke joinstyle="miter"/>
                  <v:path gradientshapeok="t" o:connecttype="rect"/>
                </v:shapetype>
                <v:shape id="Text Box 2" o:spid="_x0000_s1030" type="#_x0000_t202" style="position:absolute;left:43302;top:2295;width:27433;height:7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5BCDF37" w14:textId="0BB85AB8" w:rsidR="00E81695" w:rsidRPr="00D61250" w:rsidRDefault="00CB7C8E" w:rsidP="000C02A8">
                        <w:pPr>
                          <w:spacing w:after="240"/>
                          <w:ind w:left="471" w:right="62" w:hanging="471"/>
                          <w:jc w:val="right"/>
                          <w:rPr>
                            <w:rFonts w:eastAsia="Wingdings" w:cs="Wingdings"/>
                            <w:b/>
                            <w:sz w:val="18"/>
                            <w:szCs w:val="18"/>
                          </w:rPr>
                        </w:pPr>
                        <w:r w:rsidRPr="008642D1">
                          <w:rPr>
                            <w:rFonts w:eastAsia="Wingdings" w:cs="Wingdings"/>
                            <w:b/>
                            <w:color w:val="72AB6A"/>
                            <w:spacing w:val="2"/>
                            <w:sz w:val="18"/>
                            <w:szCs w:val="18"/>
                          </w:rPr>
                          <w:t xml:space="preserve">Pipiri </w:t>
                        </w:r>
                        <w:r w:rsidR="00E81695" w:rsidRPr="008642D1">
                          <w:rPr>
                            <w:rFonts w:eastAsia="Wingdings" w:cs="Wingdings"/>
                            <w:b/>
                            <w:color w:val="72AB6A"/>
                            <w:spacing w:val="2"/>
                            <w:sz w:val="18"/>
                            <w:szCs w:val="18"/>
                          </w:rPr>
                          <w:t xml:space="preserve">| </w:t>
                        </w:r>
                        <w:r w:rsidRPr="008642D1">
                          <w:rPr>
                            <w:rFonts w:eastAsia="Wingdings" w:cs="Wingdings"/>
                            <w:b/>
                            <w:color w:val="72AB6A"/>
                            <w:spacing w:val="2"/>
                            <w:sz w:val="18"/>
                            <w:szCs w:val="18"/>
                          </w:rPr>
                          <w:t>June 2024</w:t>
                        </w:r>
                      </w:p>
                      <w:p w14:paraId="19CC3E0A" w14:textId="77777777" w:rsidR="00E81695" w:rsidRDefault="00E81695" w:rsidP="000C02A8">
                        <w:pPr>
                          <w:spacing w:before="26" w:after="60"/>
                          <w:ind w:left="181" w:right="62"/>
                          <w:jc w:val="right"/>
                          <w:rPr>
                            <w:rFonts w:eastAsia="Wingdings" w:cs="Wingdings"/>
                            <w:b/>
                            <w:color w:val="72AB6A"/>
                            <w:spacing w:val="-3"/>
                            <w:sz w:val="18"/>
                            <w:szCs w:val="18"/>
                          </w:rPr>
                        </w:pPr>
                        <w:r w:rsidRPr="003962F3">
                          <w:rPr>
                            <w:rFonts w:eastAsia="Wingdings" w:cs="Wingdings"/>
                            <w:b/>
                            <w:color w:val="72AB6A"/>
                            <w:spacing w:val="-3"/>
                            <w:sz w:val="18"/>
                            <w:szCs w:val="18"/>
                          </w:rPr>
                          <w:t>Te Whanganui-a-Tara, Aotearoa</w:t>
                        </w:r>
                      </w:p>
                      <w:p w14:paraId="4B74BF2D" w14:textId="77777777" w:rsidR="00E81695" w:rsidRPr="00D61250" w:rsidRDefault="00E81695" w:rsidP="00495F8C">
                        <w:pPr>
                          <w:spacing w:before="26"/>
                          <w:ind w:left="184" w:right="61"/>
                          <w:jc w:val="right"/>
                          <w:rPr>
                            <w:rFonts w:eastAsia="Wingdings" w:cs="Wingdings"/>
                            <w:b/>
                            <w:sz w:val="18"/>
                            <w:szCs w:val="18"/>
                          </w:rPr>
                        </w:pPr>
                        <w:r w:rsidRPr="003962F3">
                          <w:rPr>
                            <w:rFonts w:eastAsia="Wingdings" w:cs="Wingdings"/>
                            <w:b/>
                            <w:color w:val="72AB6A"/>
                            <w:spacing w:val="-3"/>
                            <w:sz w:val="18"/>
                            <w:szCs w:val="18"/>
                          </w:rPr>
                          <w:t xml:space="preserve">  </w:t>
                        </w:r>
                        <w:r w:rsidRPr="00D61250">
                          <w:rPr>
                            <w:rFonts w:eastAsia="Wingdings" w:cs="Wingdings"/>
                            <w:b/>
                            <w:color w:val="72AB6A"/>
                            <w:spacing w:val="-3"/>
                            <w:sz w:val="18"/>
                            <w:szCs w:val="18"/>
                          </w:rPr>
                          <w:t>W</w:t>
                        </w:r>
                        <w:r w:rsidRPr="00D61250">
                          <w:rPr>
                            <w:rFonts w:eastAsia="Wingdings" w:cs="Wingdings"/>
                            <w:b/>
                            <w:color w:val="72AB6A"/>
                            <w:spacing w:val="3"/>
                            <w:sz w:val="18"/>
                            <w:szCs w:val="18"/>
                          </w:rPr>
                          <w:t>elli</w:t>
                        </w:r>
                        <w:r w:rsidRPr="00D61250">
                          <w:rPr>
                            <w:rFonts w:eastAsia="Wingdings" w:cs="Wingdings"/>
                            <w:b/>
                            <w:color w:val="72AB6A"/>
                            <w:spacing w:val="2"/>
                            <w:sz w:val="18"/>
                            <w:szCs w:val="18"/>
                          </w:rPr>
                          <w:t>ng</w:t>
                        </w:r>
                        <w:r w:rsidRPr="00D61250">
                          <w:rPr>
                            <w:rFonts w:eastAsia="Wingdings" w:cs="Wingdings"/>
                            <w:b/>
                            <w:color w:val="72AB6A"/>
                            <w:spacing w:val="-1"/>
                            <w:sz w:val="18"/>
                            <w:szCs w:val="18"/>
                          </w:rPr>
                          <w:t>t</w:t>
                        </w:r>
                        <w:r w:rsidRPr="00D61250">
                          <w:rPr>
                            <w:rFonts w:eastAsia="Wingdings" w:cs="Wingdings"/>
                            <w:b/>
                            <w:color w:val="72AB6A"/>
                            <w:spacing w:val="3"/>
                            <w:sz w:val="18"/>
                            <w:szCs w:val="18"/>
                          </w:rPr>
                          <w:t>on</w:t>
                        </w:r>
                        <w:r w:rsidRPr="00D61250">
                          <w:rPr>
                            <w:rFonts w:eastAsia="Wingdings" w:cs="Wingdings"/>
                            <w:b/>
                            <w:color w:val="72AB6A"/>
                            <w:sz w:val="18"/>
                            <w:szCs w:val="18"/>
                          </w:rPr>
                          <w:t xml:space="preserve">, </w:t>
                        </w:r>
                        <w:r w:rsidRPr="00D61250">
                          <w:rPr>
                            <w:rFonts w:eastAsia="Wingdings" w:cs="Wingdings"/>
                            <w:b/>
                            <w:color w:val="72AB6A"/>
                            <w:spacing w:val="3"/>
                            <w:sz w:val="18"/>
                            <w:szCs w:val="18"/>
                          </w:rPr>
                          <w:t>N</w:t>
                        </w:r>
                        <w:r w:rsidRPr="00D61250">
                          <w:rPr>
                            <w:rFonts w:eastAsia="Wingdings" w:cs="Wingdings"/>
                            <w:b/>
                            <w:color w:val="72AB6A"/>
                            <w:spacing w:val="-1"/>
                            <w:sz w:val="18"/>
                            <w:szCs w:val="18"/>
                          </w:rPr>
                          <w:t>e</w:t>
                        </w:r>
                        <w:r w:rsidRPr="00D61250">
                          <w:rPr>
                            <w:rFonts w:eastAsia="Wingdings" w:cs="Wingdings"/>
                            <w:b/>
                            <w:color w:val="72AB6A"/>
                            <w:sz w:val="18"/>
                            <w:szCs w:val="18"/>
                          </w:rPr>
                          <w:t xml:space="preserve">w </w:t>
                        </w:r>
                        <w:r w:rsidRPr="00D61250">
                          <w:rPr>
                            <w:rFonts w:eastAsia="Wingdings" w:cs="Wingdings"/>
                            <w:b/>
                            <w:color w:val="72AB6A"/>
                            <w:spacing w:val="-1"/>
                            <w:sz w:val="18"/>
                            <w:szCs w:val="18"/>
                          </w:rPr>
                          <w:t>Z</w:t>
                        </w:r>
                        <w:r w:rsidRPr="00D61250">
                          <w:rPr>
                            <w:rFonts w:eastAsia="Wingdings" w:cs="Wingdings"/>
                            <w:b/>
                            <w:color w:val="72AB6A"/>
                            <w:spacing w:val="2"/>
                            <w:sz w:val="18"/>
                            <w:szCs w:val="18"/>
                          </w:rPr>
                          <w:t>e</w:t>
                        </w:r>
                        <w:r w:rsidRPr="00D61250">
                          <w:rPr>
                            <w:rFonts w:eastAsia="Wingdings" w:cs="Wingdings"/>
                            <w:b/>
                            <w:color w:val="72AB6A"/>
                            <w:spacing w:val="3"/>
                            <w:sz w:val="18"/>
                            <w:szCs w:val="18"/>
                          </w:rPr>
                          <w:t>aland</w:t>
                        </w:r>
                      </w:p>
                      <w:p w14:paraId="58D70E5E" w14:textId="77777777" w:rsidR="00E81695" w:rsidRDefault="00E81695">
                        <w:pPr>
                          <w:spacing w:after="78"/>
                          <w:ind w:left="184"/>
                        </w:pPr>
                      </w:p>
                    </w:txbxContent>
                  </v:textbox>
                </v:shape>
                <w10:wrap anchory="page"/>
              </v:group>
            </w:pict>
          </mc:Fallback>
        </mc:AlternateContent>
      </w:r>
      <w:r w:rsidR="001238E2" w:rsidRPr="008642D1">
        <w:rPr>
          <w:rFonts w:eastAsia="Segoe UI Emoji"/>
        </w:rPr>
        <w:t xml:space="preserve">  </w:t>
      </w:r>
    </w:p>
    <w:p w14:paraId="29DC9F84" w14:textId="77777777" w:rsidR="007E6BFD" w:rsidRPr="008642D1" w:rsidRDefault="007E6BFD" w:rsidP="007E6BFD">
      <w:pPr>
        <w:spacing w:line="200" w:lineRule="exact"/>
        <w:rPr>
          <w:szCs w:val="20"/>
        </w:rPr>
      </w:pPr>
    </w:p>
    <w:p w14:paraId="0FE045ED" w14:textId="77777777" w:rsidR="007E6BFD" w:rsidRPr="008642D1" w:rsidRDefault="007E6BFD" w:rsidP="007E6BFD">
      <w:pPr>
        <w:spacing w:line="200" w:lineRule="exact"/>
        <w:rPr>
          <w:szCs w:val="20"/>
        </w:rPr>
      </w:pPr>
    </w:p>
    <w:p w14:paraId="29E746B4" w14:textId="77777777" w:rsidR="007E6BFD" w:rsidRPr="008642D1" w:rsidRDefault="007E6BFD" w:rsidP="007E6BFD">
      <w:pPr>
        <w:spacing w:line="200" w:lineRule="exact"/>
        <w:rPr>
          <w:szCs w:val="20"/>
        </w:rPr>
      </w:pPr>
    </w:p>
    <w:p w14:paraId="2890244F" w14:textId="77777777" w:rsidR="007E6BFD" w:rsidRPr="008642D1" w:rsidRDefault="007E6BFD" w:rsidP="007E6BFD">
      <w:pPr>
        <w:spacing w:line="200" w:lineRule="exact"/>
        <w:rPr>
          <w:szCs w:val="20"/>
        </w:rPr>
      </w:pPr>
    </w:p>
    <w:p w14:paraId="6284AB7C" w14:textId="77777777" w:rsidR="002C04D2" w:rsidRPr="008642D1" w:rsidRDefault="002C04D2" w:rsidP="00DE2F06">
      <w:pPr>
        <w:spacing w:before="51"/>
        <w:ind w:right="-20"/>
        <w:rPr>
          <w:szCs w:val="20"/>
        </w:rPr>
      </w:pPr>
    </w:p>
    <w:p w14:paraId="51EF9B7B" w14:textId="47BCA31F" w:rsidR="002954D0" w:rsidRPr="008642D1" w:rsidRDefault="002954D0" w:rsidP="002954D0">
      <w:pPr>
        <w:spacing w:before="51"/>
        <w:ind w:right="-20"/>
        <w:rPr>
          <w:rFonts w:ascii="Metropolis Extra Bold" w:eastAsia="Metropolis Extra Bold" w:hAnsi="Metropolis Extra Bold" w:cs="Metropolis Extra Bold"/>
          <w:color w:val="414042"/>
          <w:sz w:val="33"/>
          <w:szCs w:val="33"/>
        </w:rPr>
      </w:pPr>
      <w:r w:rsidRPr="008642D1">
        <w:rPr>
          <w:rFonts w:ascii="Metropolis Extra Bold" w:eastAsia="Metropolis Extra Bold" w:hAnsi="Metropolis Extra Bold" w:cs="Metropolis Extra Bold"/>
          <w:color w:val="414042"/>
          <w:sz w:val="33"/>
          <w:szCs w:val="33"/>
        </w:rPr>
        <w:t xml:space="preserve">He Puka Kaupapa | </w:t>
      </w:r>
      <w:r w:rsidRPr="008642D1">
        <w:rPr>
          <w:rFonts w:ascii="Metropolis Extra Bold" w:eastAsia="Metropolis Extra Bold" w:hAnsi="Metropolis Extra Bold" w:cs="Metropolis Extra Bold"/>
          <w:color w:val="414042"/>
          <w:spacing w:val="3"/>
          <w:sz w:val="33"/>
          <w:szCs w:val="33"/>
        </w:rPr>
        <w:t>I</w:t>
      </w:r>
      <w:r w:rsidRPr="008642D1">
        <w:rPr>
          <w:rFonts w:ascii="Metropolis Extra Bold" w:eastAsia="Metropolis Extra Bold" w:hAnsi="Metropolis Extra Bold" w:cs="Metropolis Extra Bold"/>
          <w:color w:val="414042"/>
          <w:spacing w:val="1"/>
          <w:sz w:val="33"/>
          <w:szCs w:val="33"/>
        </w:rPr>
        <w:t>ss</w:t>
      </w:r>
      <w:r w:rsidRPr="008642D1">
        <w:rPr>
          <w:rFonts w:ascii="Metropolis Extra Bold" w:eastAsia="Metropolis Extra Bold" w:hAnsi="Metropolis Extra Bold" w:cs="Metropolis Extra Bold"/>
          <w:color w:val="414042"/>
          <w:spacing w:val="2"/>
          <w:sz w:val="33"/>
          <w:szCs w:val="33"/>
        </w:rPr>
        <w:t>u</w:t>
      </w:r>
      <w:r w:rsidRPr="008642D1">
        <w:rPr>
          <w:rFonts w:ascii="Metropolis Extra Bold" w:eastAsia="Metropolis Extra Bold" w:hAnsi="Metropolis Extra Bold" w:cs="Metropolis Extra Bold"/>
          <w:color w:val="414042"/>
          <w:spacing w:val="-1"/>
          <w:sz w:val="33"/>
          <w:szCs w:val="33"/>
        </w:rPr>
        <w:t>e</w:t>
      </w:r>
      <w:r w:rsidRPr="008642D1">
        <w:rPr>
          <w:rFonts w:ascii="Metropolis Extra Bold" w:eastAsia="Metropolis Extra Bold" w:hAnsi="Metropolis Extra Bold" w:cs="Metropolis Extra Bold"/>
          <w:color w:val="414042"/>
          <w:sz w:val="33"/>
          <w:szCs w:val="33"/>
        </w:rPr>
        <w:t xml:space="preserve">s </w:t>
      </w:r>
      <w:r w:rsidRPr="008642D1">
        <w:rPr>
          <w:rFonts w:ascii="Metropolis Extra Bold" w:eastAsia="Metropolis Extra Bold" w:hAnsi="Metropolis Extra Bold" w:cs="Metropolis Extra Bold"/>
          <w:color w:val="414042"/>
          <w:spacing w:val="-5"/>
          <w:sz w:val="33"/>
          <w:szCs w:val="33"/>
        </w:rPr>
        <w:t>P</w:t>
      </w:r>
      <w:r w:rsidRPr="008642D1">
        <w:rPr>
          <w:rFonts w:ascii="Metropolis Extra Bold" w:eastAsia="Metropolis Extra Bold" w:hAnsi="Metropolis Extra Bold" w:cs="Metropolis Extra Bold"/>
          <w:color w:val="414042"/>
          <w:spacing w:val="2"/>
          <w:sz w:val="33"/>
          <w:szCs w:val="33"/>
        </w:rPr>
        <w:t>a</w:t>
      </w:r>
      <w:r w:rsidRPr="008642D1">
        <w:rPr>
          <w:rFonts w:ascii="Metropolis Extra Bold" w:eastAsia="Metropolis Extra Bold" w:hAnsi="Metropolis Extra Bold" w:cs="Metropolis Extra Bold"/>
          <w:color w:val="414042"/>
          <w:spacing w:val="1"/>
          <w:sz w:val="33"/>
          <w:szCs w:val="33"/>
        </w:rPr>
        <w:t>pe</w:t>
      </w:r>
      <w:r w:rsidRPr="008642D1">
        <w:rPr>
          <w:rFonts w:ascii="Metropolis Extra Bold" w:eastAsia="Metropolis Extra Bold" w:hAnsi="Metropolis Extra Bold" w:cs="Metropolis Extra Bold"/>
          <w:color w:val="414042"/>
          <w:sz w:val="33"/>
          <w:szCs w:val="33"/>
        </w:rPr>
        <w:t>r 5</w:t>
      </w:r>
      <w:r w:rsidR="00566EC6" w:rsidRPr="008642D1">
        <w:rPr>
          <w:rFonts w:ascii="Metropolis Extra Bold" w:eastAsia="Metropolis Extra Bold" w:hAnsi="Metropolis Extra Bold" w:cs="Metropolis Extra Bold"/>
          <w:color w:val="414042"/>
          <w:sz w:val="33"/>
          <w:szCs w:val="33"/>
        </w:rPr>
        <w:t>3</w:t>
      </w:r>
    </w:p>
    <w:p w14:paraId="702C92F3" w14:textId="77777777" w:rsidR="002954D0" w:rsidRPr="008642D1" w:rsidRDefault="002954D0" w:rsidP="002954D0">
      <w:pPr>
        <w:spacing w:before="51"/>
        <w:ind w:left="117" w:right="-20"/>
        <w:rPr>
          <w:rFonts w:eastAsia="Tahoma" w:cs="Tahoma"/>
          <w:color w:val="414042"/>
          <w:sz w:val="33"/>
          <w:szCs w:val="33"/>
        </w:rPr>
      </w:pPr>
    </w:p>
    <w:p w14:paraId="790E693D" w14:textId="77777777" w:rsidR="002954D0" w:rsidRPr="008642D1" w:rsidRDefault="002954D0" w:rsidP="00B77C2C">
      <w:pPr>
        <w:spacing w:before="51"/>
        <w:ind w:right="-20"/>
        <w:rPr>
          <w:rFonts w:eastAsia="Tahoma" w:cs="Tahoma"/>
          <w:color w:val="414042"/>
          <w:sz w:val="33"/>
          <w:szCs w:val="33"/>
        </w:rPr>
      </w:pPr>
    </w:p>
    <w:p w14:paraId="38E837D4" w14:textId="77777777" w:rsidR="002954D0" w:rsidRPr="008642D1" w:rsidRDefault="002954D0" w:rsidP="002954D0">
      <w:pPr>
        <w:spacing w:before="51"/>
        <w:ind w:left="117" w:right="-20"/>
        <w:rPr>
          <w:rFonts w:eastAsia="Tahoma" w:cs="Tahoma"/>
          <w:color w:val="414042"/>
          <w:sz w:val="33"/>
          <w:szCs w:val="33"/>
        </w:rPr>
      </w:pPr>
    </w:p>
    <w:p w14:paraId="3FB2A4CB" w14:textId="5B7CA33D" w:rsidR="002954D0" w:rsidRPr="008642D1" w:rsidRDefault="00B77C2C" w:rsidP="002954D0">
      <w:pPr>
        <w:spacing w:line="276" w:lineRule="auto"/>
        <w:ind w:right="708"/>
        <w:rPr>
          <w:rFonts w:ascii="Metropolis Black" w:eastAsia="Metropolis Black" w:hAnsi="Metropolis Black" w:cs="Metropolis Black"/>
          <w:sz w:val="60"/>
          <w:szCs w:val="60"/>
        </w:rPr>
      </w:pPr>
      <w:r w:rsidRPr="008642D1">
        <w:rPr>
          <w:rFonts w:ascii="Metropolis Black" w:eastAsia="Metropolis Black" w:hAnsi="Metropolis Black" w:cs="Metropolis Black"/>
          <w:b/>
          <w:color w:val="414042"/>
          <w:spacing w:val="-13"/>
          <w:sz w:val="60"/>
          <w:szCs w:val="60"/>
        </w:rPr>
        <w:t>Ia Tangata</w:t>
      </w:r>
    </w:p>
    <w:p w14:paraId="4368E559" w14:textId="77777777" w:rsidR="002954D0" w:rsidRPr="008642D1" w:rsidRDefault="002954D0" w:rsidP="002954D0">
      <w:pPr>
        <w:spacing w:before="6" w:line="150" w:lineRule="exact"/>
        <w:rPr>
          <w:rFonts w:eastAsia="Tahoma"/>
          <w:sz w:val="9"/>
          <w:szCs w:val="9"/>
        </w:rPr>
      </w:pPr>
    </w:p>
    <w:p w14:paraId="2A336CDD" w14:textId="77777777" w:rsidR="002954D0" w:rsidRPr="008642D1" w:rsidRDefault="002954D0" w:rsidP="002954D0">
      <w:pPr>
        <w:pStyle w:val="BodyTextIndent2"/>
        <w:ind w:left="0"/>
        <w:rPr>
          <w:rFonts w:ascii="Metropolis Black" w:eastAsia="Metropolis Black" w:hAnsi="Metropolis Black" w:cs="Metropolis Black"/>
          <w:color w:val="7FB177"/>
          <w:spacing w:val="-32"/>
          <w:sz w:val="36"/>
          <w:szCs w:val="36"/>
        </w:rPr>
      </w:pPr>
      <w:r w:rsidRPr="008642D1">
        <w:rPr>
          <w:noProof/>
          <w:sz w:val="14"/>
          <w:szCs w:val="18"/>
          <w:lang w:eastAsia="en-NZ"/>
        </w:rPr>
        <mc:AlternateContent>
          <mc:Choice Requires="wpg">
            <w:drawing>
              <wp:anchor distT="0" distB="0" distL="114300" distR="114300" simplePos="0" relativeHeight="251658251" behindDoc="1" locked="0" layoutInCell="1" allowOverlap="1" wp14:anchorId="75A5DB5C" wp14:editId="76DD6117">
                <wp:simplePos x="0" y="0"/>
                <wp:positionH relativeFrom="page">
                  <wp:posOffset>1140143</wp:posOffset>
                </wp:positionH>
                <wp:positionV relativeFrom="paragraph">
                  <wp:posOffset>8255</wp:posOffset>
                </wp:positionV>
                <wp:extent cx="1332230" cy="1270"/>
                <wp:effectExtent l="0" t="19050" r="20320" b="17780"/>
                <wp:wrapNone/>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1878"/>
                          <a:chExt cx="2098" cy="2"/>
                        </a:xfrm>
                      </wpg:grpSpPr>
                      <wps:wsp>
                        <wps:cNvPr id="458" name="Freeform 138"/>
                        <wps:cNvSpPr>
                          <a:spLocks/>
                        </wps:cNvSpPr>
                        <wps:spPr bwMode="auto">
                          <a:xfrm>
                            <a:off x="1417" y="1878"/>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A16ED" id="Group 457" o:spid="_x0000_s1026" style="position:absolute;margin-left:89.8pt;margin-top:.65pt;width:104.9pt;height:.1pt;z-index:-251658229;mso-position-horizontal-relative:page" coordorigin="1417,1878"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">
                <v:shape id="Freeform 138" o:spid="_x0000_s1027" style="position:absolute;left:1417;top:1878;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" path="m,l2098,e" filled="f" strokecolor="#414042" strokeweight="3pt">
                  <v:path arrowok="t" o:connecttype="custom" o:connectlocs="0,0;2098,0" o:connectangles="0,0"/>
                </v:shape>
                <w10:wrap anchorx="page"/>
              </v:group>
            </w:pict>
          </mc:Fallback>
        </mc:AlternateContent>
      </w:r>
    </w:p>
    <w:p w14:paraId="11E4127C" w14:textId="79C2991C" w:rsidR="002954D0" w:rsidRPr="008642D1" w:rsidRDefault="0005232B" w:rsidP="0140013F">
      <w:pPr>
        <w:spacing w:line="276" w:lineRule="auto"/>
        <w:ind w:right="850"/>
        <w:rPr>
          <w:rFonts w:ascii="Metropolis Black" w:eastAsia="Metropolis Black" w:hAnsi="Metropolis Black" w:cs="Metropolis Black"/>
          <w:b/>
          <w:bCs/>
          <w:color w:val="7FB177"/>
          <w:spacing w:val="-32"/>
          <w:sz w:val="60"/>
          <w:szCs w:val="60"/>
        </w:rPr>
      </w:pPr>
      <w:r w:rsidRPr="0140013F">
        <w:rPr>
          <w:rFonts w:ascii="Metropolis Black" w:eastAsia="Metropolis Black" w:hAnsi="Metropolis Black" w:cs="Metropolis Black"/>
          <w:b/>
          <w:bCs/>
          <w:color w:val="7FB177"/>
          <w:spacing w:val="-32"/>
          <w:sz w:val="60"/>
          <w:szCs w:val="60"/>
        </w:rPr>
        <w:t>A review of the protections in the Human Rights Act 1993 for people who are transgender, people who are non-binary and people with innate variations of sex characteristics</w:t>
      </w:r>
    </w:p>
    <w:p w14:paraId="78C5D518" w14:textId="3D2F12C3" w:rsidR="00774339" w:rsidRPr="008642D1" w:rsidRDefault="00774339" w:rsidP="00E9355F">
      <w:pPr>
        <w:spacing w:line="276" w:lineRule="auto"/>
        <w:ind w:right="850"/>
        <w:rPr>
          <w:rFonts w:ascii="Metropolis Black" w:eastAsia="Metropolis Black" w:hAnsi="Metropolis Black" w:cs="Metropolis Black"/>
          <w:b/>
          <w:color w:val="7FB177"/>
          <w:spacing w:val="-32"/>
          <w:sz w:val="60"/>
          <w:szCs w:val="60"/>
        </w:rPr>
      </w:pPr>
    </w:p>
    <w:p w14:paraId="588D03CF" w14:textId="77777777" w:rsidR="002C04D2" w:rsidRPr="008642D1" w:rsidRDefault="002C04D2">
      <w:pPr>
        <w:spacing w:before="3" w:line="120" w:lineRule="exact"/>
        <w:rPr>
          <w:sz w:val="12"/>
          <w:szCs w:val="12"/>
        </w:rPr>
      </w:pPr>
    </w:p>
    <w:p w14:paraId="34D81369" w14:textId="77777777" w:rsidR="00D87074" w:rsidRPr="008642D1" w:rsidRDefault="00D87074" w:rsidP="00247635">
      <w:pPr>
        <w:ind w:left="113" w:right="2931"/>
        <w:rPr>
          <w:color w:val="262626" w:themeColor="text1" w:themeTint="D9"/>
          <w:sz w:val="18"/>
        </w:rPr>
        <w:sectPr w:rsidR="00D87074" w:rsidRPr="008642D1" w:rsidSect="006B03F1">
          <w:headerReference w:type="even" r:id="rId15"/>
          <w:footerReference w:type="default" r:id="rId16"/>
          <w:footnotePr>
            <w:numRestart w:val="eachSect"/>
          </w:footnotePr>
          <w:type w:val="nextColumn"/>
          <w:pgSz w:w="11907" w:h="16840" w:code="9"/>
          <w:pgMar w:top="1134" w:right="1134" w:bottom="1134" w:left="1701" w:header="567" w:footer="681" w:gutter="0"/>
          <w:pgNumType w:fmt="lowerRoman" w:start="3"/>
          <w:cols w:space="720"/>
          <w:docGrid w:linePitch="272"/>
        </w:sectPr>
      </w:pPr>
    </w:p>
    <w:p w14:paraId="1415419E" w14:textId="48A501FA" w:rsidR="0025134E" w:rsidRPr="008642D1" w:rsidRDefault="0025134E" w:rsidP="00BF5437">
      <w:pPr>
        <w:spacing w:after="240"/>
        <w:ind w:right="580"/>
        <w:rPr>
          <w:sz w:val="18"/>
        </w:rPr>
      </w:pPr>
      <w:r w:rsidRPr="008642D1">
        <w:rPr>
          <w:sz w:val="18"/>
        </w:rPr>
        <w:lastRenderedPageBreak/>
        <w:t>Te Aka Matua o te Ture | Law Commission is an independent, publicly funded central advisory body established by statute to undertake the systematic review, reform and development of the law of Aotearoa New Zealand. Its purpose is to help achieve law that is just, principled and accessible and that reflects the values and aspirations of the people of Aotearoa New Zealand.</w:t>
      </w:r>
    </w:p>
    <w:p w14:paraId="0E830D9D" w14:textId="54EDB737" w:rsidR="0025134E" w:rsidRPr="008642D1" w:rsidRDefault="0025134E" w:rsidP="00BF5437">
      <w:pPr>
        <w:spacing w:after="240"/>
        <w:ind w:right="580"/>
        <w:rPr>
          <w:sz w:val="18"/>
          <w:szCs w:val="18"/>
        </w:rPr>
      </w:pPr>
      <w:r w:rsidRPr="008642D1">
        <w:rPr>
          <w:sz w:val="18"/>
          <w:szCs w:val="18"/>
        </w:rPr>
        <w:t xml:space="preserve">Te Aka Matua in the </w:t>
      </w:r>
      <w:r w:rsidR="006E7640">
        <w:rPr>
          <w:sz w:val="18"/>
          <w:szCs w:val="18"/>
        </w:rPr>
        <w:t xml:space="preserve">Law </w:t>
      </w:r>
      <w:r w:rsidRPr="008642D1">
        <w:rPr>
          <w:sz w:val="18"/>
          <w:szCs w:val="18"/>
        </w:rPr>
        <w:t>Commission’s Māori name refers to the parent vine that Tāwhaki used to climb up to the heavens. At the foot of the ascent, he and his brother Karihi find their grandmother Whaitiri, who guards the vines that form the pathway into the sky. Karihi tries to climb the vines first but makes the error of climbing up the aka taepa or hanging vine. He is blown violently around by the winds of heaven and falls to his death. Following Whaitiri’s advice, Tāwhaki climbs the aka matua or parent vine, reaches the heavens and receives the three baskets of knowledge.</w:t>
      </w:r>
    </w:p>
    <w:p w14:paraId="65B5A947" w14:textId="77777777" w:rsidR="005B588A" w:rsidRPr="008642D1" w:rsidRDefault="005B588A" w:rsidP="0036581D">
      <w:pPr>
        <w:ind w:left="113" w:right="721"/>
        <w:jc w:val="center"/>
        <w:rPr>
          <w:color w:val="7FB177"/>
          <w:sz w:val="2"/>
          <w:szCs w:val="2"/>
        </w:rPr>
      </w:pPr>
    </w:p>
    <w:p w14:paraId="052BFB83" w14:textId="70EC75CB" w:rsidR="005B588A" w:rsidRPr="008642D1" w:rsidRDefault="005B588A" w:rsidP="002769E9">
      <w:pPr>
        <w:ind w:left="142" w:hanging="142"/>
        <w:rPr>
          <w:rFonts w:ascii="Metropolis" w:hAnsi="Metropolis"/>
          <w:b/>
          <w:i/>
          <w:color w:val="7FB177"/>
          <w:szCs w:val="20"/>
        </w:rPr>
      </w:pPr>
      <w:r w:rsidRPr="008642D1">
        <w:rPr>
          <w:rFonts w:ascii="Metropolis" w:hAnsi="Metropolis"/>
          <w:b/>
          <w:i/>
          <w:color w:val="7FB177"/>
          <w:szCs w:val="20"/>
        </w:rPr>
        <w:t>Kia whanake ngā ture o Aotearoa mā te arotake motuhake</w:t>
      </w:r>
    </w:p>
    <w:p w14:paraId="035C8797" w14:textId="77777777" w:rsidR="005B588A" w:rsidRPr="008642D1" w:rsidRDefault="005B588A" w:rsidP="002769E9">
      <w:pPr>
        <w:ind w:left="142" w:hanging="142"/>
        <w:rPr>
          <w:rFonts w:ascii="Metropolis" w:hAnsi="Metropolis"/>
          <w:b/>
          <w:i/>
          <w:color w:val="7FB177"/>
          <w:sz w:val="18"/>
          <w:szCs w:val="18"/>
        </w:rPr>
      </w:pPr>
      <w:r w:rsidRPr="008642D1">
        <w:rPr>
          <w:rFonts w:ascii="Metropolis" w:hAnsi="Metropolis"/>
          <w:b/>
          <w:i/>
          <w:color w:val="7FB177"/>
          <w:szCs w:val="20"/>
        </w:rPr>
        <w:t>Better law for Aotearoa New Zealand through independent review</w:t>
      </w:r>
    </w:p>
    <w:p w14:paraId="1D762B48" w14:textId="77777777" w:rsidR="001A4D7A" w:rsidRPr="008642D1" w:rsidRDefault="001A4D7A" w:rsidP="00A54531">
      <w:pPr>
        <w:spacing w:before="360"/>
        <w:ind w:right="2931"/>
        <w:rPr>
          <w:b/>
          <w:sz w:val="18"/>
        </w:rPr>
      </w:pPr>
    </w:p>
    <w:p w14:paraId="723273CC" w14:textId="78D4F98A" w:rsidR="00A54531" w:rsidRPr="008642D1" w:rsidRDefault="00A54531" w:rsidP="001A4D7A">
      <w:pPr>
        <w:ind w:right="3243"/>
        <w:rPr>
          <w:rFonts w:eastAsia="Times"/>
          <w:b/>
          <w:bCs/>
          <w:sz w:val="18"/>
        </w:rPr>
      </w:pPr>
      <w:r w:rsidRPr="008642D1">
        <w:rPr>
          <w:rFonts w:eastAsia="Times"/>
          <w:b/>
          <w:bCs/>
          <w:sz w:val="18"/>
        </w:rPr>
        <w:t>The Commissioners are:</w:t>
      </w:r>
    </w:p>
    <w:p w14:paraId="14915F32" w14:textId="4BBEEA9C" w:rsidR="00A54531" w:rsidRPr="008642D1" w:rsidRDefault="00A54531" w:rsidP="00A54531">
      <w:pPr>
        <w:ind w:right="3243"/>
        <w:rPr>
          <w:rFonts w:eastAsia="Times"/>
          <w:sz w:val="18"/>
        </w:rPr>
      </w:pPr>
      <w:r w:rsidRPr="008642D1">
        <w:rPr>
          <w:rFonts w:eastAsia="Times"/>
          <w:sz w:val="18"/>
        </w:rPr>
        <w:t xml:space="preserve">Amokura Kawharu </w:t>
      </w:r>
      <w:r w:rsidR="00BF7A1A">
        <w:rPr>
          <w:rFonts w:eastAsia="Times"/>
          <w:sz w:val="18"/>
        </w:rPr>
        <w:t xml:space="preserve">— </w:t>
      </w:r>
      <w:r w:rsidRPr="008642D1">
        <w:rPr>
          <w:rFonts w:eastAsia="Times"/>
          <w:sz w:val="18"/>
        </w:rPr>
        <w:t xml:space="preserve">Tumu Whakarae | President </w:t>
      </w:r>
    </w:p>
    <w:p w14:paraId="046F2770" w14:textId="77777777" w:rsidR="0048782E" w:rsidRDefault="00A54531" w:rsidP="0048782E">
      <w:pPr>
        <w:ind w:right="3243"/>
        <w:rPr>
          <w:rFonts w:eastAsia="Times"/>
          <w:sz w:val="18"/>
        </w:rPr>
      </w:pPr>
      <w:r w:rsidRPr="008642D1">
        <w:rPr>
          <w:rFonts w:eastAsia="Times"/>
          <w:sz w:val="18"/>
        </w:rPr>
        <w:t xml:space="preserve">Claudia Geiringer </w:t>
      </w:r>
      <w:r w:rsidR="00BF7A1A">
        <w:rPr>
          <w:rFonts w:eastAsia="Times"/>
          <w:sz w:val="18"/>
        </w:rPr>
        <w:t xml:space="preserve">— </w:t>
      </w:r>
      <w:r w:rsidRPr="008642D1">
        <w:rPr>
          <w:rFonts w:eastAsia="Times"/>
          <w:sz w:val="18"/>
        </w:rPr>
        <w:t>Kaikōmihana | Commissioner</w:t>
      </w:r>
      <w:r w:rsidR="0048782E" w:rsidRPr="0048782E">
        <w:rPr>
          <w:rFonts w:eastAsia="Times"/>
          <w:sz w:val="18"/>
        </w:rPr>
        <w:t xml:space="preserve"> </w:t>
      </w:r>
    </w:p>
    <w:p w14:paraId="413DE207" w14:textId="7B9B0080" w:rsidR="0048782E" w:rsidRPr="008642D1" w:rsidRDefault="0048782E" w:rsidP="0048782E">
      <w:pPr>
        <w:ind w:right="3243"/>
        <w:rPr>
          <w:rFonts w:eastAsia="Times"/>
          <w:sz w:val="18"/>
        </w:rPr>
      </w:pPr>
      <w:r w:rsidRPr="008642D1">
        <w:rPr>
          <w:rFonts w:eastAsia="Times"/>
          <w:sz w:val="18"/>
        </w:rPr>
        <w:t xml:space="preserve">Geof Shirtcliffe </w:t>
      </w:r>
      <w:r>
        <w:rPr>
          <w:rFonts w:eastAsia="Times"/>
          <w:sz w:val="18"/>
        </w:rPr>
        <w:t xml:space="preserve">— </w:t>
      </w:r>
      <w:r w:rsidRPr="008642D1">
        <w:rPr>
          <w:rFonts w:eastAsia="Times"/>
          <w:sz w:val="18"/>
        </w:rPr>
        <w:t>Kaikōmihana | Commissioner</w:t>
      </w:r>
    </w:p>
    <w:p w14:paraId="27FDC99F" w14:textId="7E150938" w:rsidR="00A54531" w:rsidRPr="008642D1" w:rsidRDefault="00A54531" w:rsidP="00A54531">
      <w:pPr>
        <w:ind w:right="3243"/>
        <w:rPr>
          <w:rFonts w:eastAsia="Times"/>
          <w:sz w:val="18"/>
        </w:rPr>
      </w:pPr>
    </w:p>
    <w:p w14:paraId="232FBEF1" w14:textId="77777777" w:rsidR="00206019" w:rsidRDefault="00206019" w:rsidP="00A54531">
      <w:pPr>
        <w:spacing w:before="240"/>
        <w:ind w:right="567"/>
        <w:rPr>
          <w:sz w:val="18"/>
        </w:rPr>
      </w:pPr>
    </w:p>
    <w:p w14:paraId="128DD83F" w14:textId="77777777" w:rsidR="00061E4E" w:rsidRDefault="00061E4E" w:rsidP="00A54531">
      <w:pPr>
        <w:spacing w:before="240"/>
        <w:ind w:right="567"/>
        <w:rPr>
          <w:sz w:val="18"/>
        </w:rPr>
      </w:pPr>
    </w:p>
    <w:p w14:paraId="45501927" w14:textId="77777777" w:rsidR="00C36E7F" w:rsidRDefault="00C36E7F" w:rsidP="00A54531">
      <w:pPr>
        <w:spacing w:before="240"/>
        <w:ind w:right="567"/>
        <w:rPr>
          <w:sz w:val="32"/>
          <w:szCs w:val="36"/>
        </w:rPr>
      </w:pPr>
    </w:p>
    <w:p w14:paraId="6A975511" w14:textId="77777777" w:rsidR="00642024" w:rsidRDefault="00642024" w:rsidP="00A54531">
      <w:pPr>
        <w:spacing w:before="240"/>
        <w:ind w:right="567"/>
        <w:rPr>
          <w:sz w:val="32"/>
          <w:szCs w:val="36"/>
        </w:rPr>
      </w:pPr>
    </w:p>
    <w:p w14:paraId="12BA63D2" w14:textId="77777777" w:rsidR="00642024" w:rsidRDefault="00642024" w:rsidP="00A54531">
      <w:pPr>
        <w:spacing w:before="240"/>
        <w:ind w:right="567"/>
        <w:rPr>
          <w:sz w:val="32"/>
          <w:szCs w:val="36"/>
        </w:rPr>
      </w:pPr>
    </w:p>
    <w:p w14:paraId="362E9D8E" w14:textId="77777777" w:rsidR="00642024" w:rsidRPr="00C36E7F" w:rsidRDefault="00642024" w:rsidP="00A54531">
      <w:pPr>
        <w:spacing w:before="240"/>
        <w:ind w:right="567"/>
        <w:rPr>
          <w:sz w:val="32"/>
          <w:szCs w:val="36"/>
        </w:rPr>
      </w:pPr>
    </w:p>
    <w:p w14:paraId="2DEEBF27" w14:textId="77777777" w:rsidR="002C04D2" w:rsidRPr="008642D1" w:rsidRDefault="00483E22">
      <w:pPr>
        <w:spacing w:line="200" w:lineRule="exact"/>
        <w:rPr>
          <w:szCs w:val="20"/>
        </w:rPr>
      </w:pPr>
      <w:r w:rsidRPr="008642D1">
        <w:rPr>
          <w:noProof/>
          <w:lang w:eastAsia="en-NZ"/>
        </w:rPr>
        <mc:AlternateContent>
          <mc:Choice Requires="wpg">
            <w:drawing>
              <wp:anchor distT="0" distB="0" distL="114300" distR="114300" simplePos="0" relativeHeight="251658248" behindDoc="1" locked="0" layoutInCell="1" allowOverlap="1" wp14:anchorId="058809A4" wp14:editId="52543436">
                <wp:simplePos x="0" y="0"/>
                <wp:positionH relativeFrom="page">
                  <wp:posOffset>1079338</wp:posOffset>
                </wp:positionH>
                <wp:positionV relativeFrom="paragraph">
                  <wp:posOffset>58420</wp:posOffset>
                </wp:positionV>
                <wp:extent cx="1332230" cy="1270"/>
                <wp:effectExtent l="0" t="19050" r="20320" b="1778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469"/>
                          <a:chExt cx="2098" cy="2"/>
                        </a:xfrm>
                      </wpg:grpSpPr>
                      <wps:wsp>
                        <wps:cNvPr id="159"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2D78F" id="Group 158" o:spid="_x0000_s1026" style="position:absolute;margin-left:85pt;margin-top:4.6pt;width:104.9pt;height:.1pt;z-index:-251658232;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" path="m,l2097,e" filled="f" strokecolor="#72ab6a" strokeweight="3pt">
                  <v:path arrowok="t" o:connecttype="custom" o:connectlocs="0,0;2097,0" o:connectangles="0,0"/>
                </v:shape>
                <w10:wrap anchorx="page"/>
              </v:group>
            </w:pict>
          </mc:Fallback>
        </mc:AlternateContent>
      </w:r>
    </w:p>
    <w:p w14:paraId="2522F670" w14:textId="77777777" w:rsidR="00642024" w:rsidRPr="00642024" w:rsidRDefault="00642024" w:rsidP="00B13E4E">
      <w:pPr>
        <w:spacing w:before="240" w:line="334" w:lineRule="auto"/>
        <w:ind w:right="862"/>
        <w:rPr>
          <w:rFonts w:eastAsia="Times"/>
          <w:sz w:val="30"/>
          <w:szCs w:val="34"/>
        </w:rPr>
      </w:pPr>
    </w:p>
    <w:p w14:paraId="3B27FB28" w14:textId="36B6FD5F" w:rsidR="002C04D2" w:rsidRPr="008642D1" w:rsidRDefault="006064EA" w:rsidP="00B13E4E">
      <w:pPr>
        <w:spacing w:before="240" w:line="334" w:lineRule="auto"/>
        <w:ind w:right="862"/>
        <w:rPr>
          <w:rFonts w:eastAsia="Times" w:cs="Times"/>
          <w:sz w:val="18"/>
          <w:szCs w:val="18"/>
        </w:rPr>
      </w:pPr>
      <w:r w:rsidRPr="008642D1">
        <w:rPr>
          <w:rFonts w:eastAsia="Times"/>
          <w:sz w:val="18"/>
        </w:rPr>
        <w:t>Kei te pātengi raraunga o Te Puna Mātauranga o</w:t>
      </w:r>
      <w:r w:rsidR="00762BF1" w:rsidRPr="008642D1">
        <w:rPr>
          <w:rFonts w:eastAsia="Times"/>
          <w:sz w:val="18"/>
        </w:rPr>
        <w:t xml:space="preserve"> A</w:t>
      </w:r>
      <w:r w:rsidRPr="008642D1">
        <w:rPr>
          <w:rFonts w:eastAsia="Times"/>
          <w:sz w:val="18"/>
        </w:rPr>
        <w:t>otea</w:t>
      </w:r>
      <w:r w:rsidRPr="008642D1">
        <w:rPr>
          <w:rFonts w:eastAsia="Times"/>
          <w:spacing w:val="-3"/>
          <w:sz w:val="18"/>
        </w:rPr>
        <w:t>r</w:t>
      </w:r>
      <w:r w:rsidRPr="008642D1">
        <w:rPr>
          <w:rFonts w:eastAsia="Times"/>
          <w:sz w:val="18"/>
        </w:rPr>
        <w:t>oa te whakarārangi o tēnei pukapuka.</w:t>
      </w:r>
      <w:r w:rsidR="00762BF1" w:rsidRPr="008642D1">
        <w:rPr>
          <w:rFonts w:eastAsia="Times"/>
          <w:sz w:val="18"/>
        </w:rPr>
        <w:br/>
        <w:t xml:space="preserve">A </w:t>
      </w:r>
      <w:r w:rsidR="00062703" w:rsidRPr="008642D1">
        <w:rPr>
          <w:rFonts w:eastAsia="Times"/>
          <w:sz w:val="18"/>
        </w:rPr>
        <w:t>catalogue re</w:t>
      </w:r>
      <w:r w:rsidR="00062703" w:rsidRPr="008642D1">
        <w:rPr>
          <w:rFonts w:eastAsia="Times"/>
          <w:spacing w:val="-2"/>
          <w:sz w:val="18"/>
        </w:rPr>
        <w:t>c</w:t>
      </w:r>
      <w:r w:rsidR="00062703" w:rsidRPr="008642D1">
        <w:rPr>
          <w:rFonts w:eastAsia="Times"/>
          <w:sz w:val="18"/>
        </w:rPr>
        <w:t>ord for this title is a</w:t>
      </w:r>
      <w:r w:rsidR="00062703" w:rsidRPr="008642D1">
        <w:rPr>
          <w:rFonts w:eastAsia="Times"/>
          <w:spacing w:val="-7"/>
          <w:sz w:val="18"/>
        </w:rPr>
        <w:t>v</w:t>
      </w:r>
      <w:r w:rsidR="00062703" w:rsidRPr="008642D1">
        <w:rPr>
          <w:rFonts w:eastAsia="Times"/>
          <w:sz w:val="18"/>
        </w:rPr>
        <w:t>ailable f</w:t>
      </w:r>
      <w:r w:rsidR="00062703" w:rsidRPr="008642D1">
        <w:rPr>
          <w:rFonts w:eastAsia="Times"/>
          <w:spacing w:val="-3"/>
          <w:sz w:val="18"/>
        </w:rPr>
        <w:t>r</w:t>
      </w:r>
      <w:r w:rsidR="00062703" w:rsidRPr="008642D1">
        <w:rPr>
          <w:rFonts w:eastAsia="Times"/>
          <w:sz w:val="18"/>
        </w:rPr>
        <w:t>om the National Library of N</w:t>
      </w:r>
      <w:r w:rsidR="00062703" w:rsidRPr="008642D1">
        <w:rPr>
          <w:rFonts w:eastAsia="Times"/>
          <w:spacing w:val="-4"/>
          <w:sz w:val="18"/>
        </w:rPr>
        <w:t>e</w:t>
      </w:r>
      <w:r w:rsidR="00062703" w:rsidRPr="008642D1">
        <w:rPr>
          <w:rFonts w:eastAsia="Times"/>
          <w:sz w:val="18"/>
        </w:rPr>
        <w:t xml:space="preserve">w Zealand. </w:t>
      </w:r>
    </w:p>
    <w:p w14:paraId="07DB0C05" w14:textId="5BBBB12B" w:rsidR="002C04D2" w:rsidRPr="008642D1" w:rsidRDefault="00062703" w:rsidP="00B13E4E">
      <w:pPr>
        <w:tabs>
          <w:tab w:val="left" w:pos="3119"/>
        </w:tabs>
        <w:spacing w:before="120" w:line="334" w:lineRule="auto"/>
        <w:ind w:right="5256"/>
        <w:rPr>
          <w:rFonts w:eastAsia="Times" w:cs="Times"/>
          <w:sz w:val="18"/>
          <w:szCs w:val="18"/>
        </w:rPr>
      </w:pPr>
      <w:r w:rsidRPr="008642D1">
        <w:rPr>
          <w:rFonts w:eastAsia="Times"/>
          <w:sz w:val="18"/>
        </w:rPr>
        <w:t xml:space="preserve">ISBN </w:t>
      </w:r>
      <w:r w:rsidR="00CB7C8E" w:rsidRPr="008642D1">
        <w:rPr>
          <w:rFonts w:eastAsia="Times"/>
          <w:sz w:val="18"/>
        </w:rPr>
        <w:t>978-1-99-115999-1</w:t>
      </w:r>
      <w:r w:rsidR="009662BF" w:rsidRPr="008642D1">
        <w:rPr>
          <w:rFonts w:eastAsia="Times"/>
          <w:sz w:val="18"/>
        </w:rPr>
        <w:t xml:space="preserve"> </w:t>
      </w:r>
      <w:r w:rsidR="00ED0365" w:rsidRPr="008642D1">
        <w:rPr>
          <w:rFonts w:eastAsia="Times"/>
          <w:sz w:val="18"/>
        </w:rPr>
        <w:t>(Online)</w:t>
      </w:r>
    </w:p>
    <w:p w14:paraId="7968D12A" w14:textId="77777777" w:rsidR="002C04D2" w:rsidRPr="008642D1" w:rsidRDefault="00062703" w:rsidP="00B13E4E">
      <w:pPr>
        <w:spacing w:line="333" w:lineRule="auto"/>
        <w:ind w:right="5824"/>
        <w:rPr>
          <w:rFonts w:eastAsia="Times" w:cs="Times"/>
          <w:sz w:val="18"/>
          <w:szCs w:val="18"/>
        </w:rPr>
      </w:pPr>
      <w:r w:rsidRPr="008642D1">
        <w:rPr>
          <w:rFonts w:eastAsia="Times"/>
          <w:sz w:val="18"/>
        </w:rPr>
        <w:t>ISSN 1177-</w:t>
      </w:r>
      <w:r w:rsidR="003F7044" w:rsidRPr="008642D1">
        <w:rPr>
          <w:rFonts w:eastAsia="Times"/>
          <w:sz w:val="18"/>
        </w:rPr>
        <w:t>7877</w:t>
      </w:r>
      <w:r w:rsidR="00247635" w:rsidRPr="008642D1">
        <w:rPr>
          <w:rFonts w:eastAsia="Times"/>
          <w:sz w:val="18"/>
        </w:rPr>
        <w:t xml:space="preserve"> </w:t>
      </w:r>
      <w:r w:rsidR="00CF0ABB" w:rsidRPr="008642D1">
        <w:rPr>
          <w:rFonts w:eastAsia="Times"/>
          <w:sz w:val="18"/>
        </w:rPr>
        <w:t>(</w:t>
      </w:r>
      <w:r w:rsidRPr="008642D1">
        <w:rPr>
          <w:rFonts w:eastAsia="Times"/>
          <w:sz w:val="18"/>
        </w:rPr>
        <w:t>Online)</w:t>
      </w:r>
    </w:p>
    <w:p w14:paraId="452D1EAF" w14:textId="3B0747A2" w:rsidR="002C04D2" w:rsidRPr="008642D1" w:rsidRDefault="00062703" w:rsidP="00B13E4E">
      <w:pPr>
        <w:spacing w:line="333" w:lineRule="auto"/>
        <w:ind w:right="1997"/>
        <w:rPr>
          <w:rFonts w:eastAsia="Times" w:cs="Times"/>
          <w:sz w:val="18"/>
          <w:szCs w:val="18"/>
        </w:rPr>
      </w:pPr>
      <w:r w:rsidRPr="008642D1">
        <w:rPr>
          <w:rFonts w:eastAsia="Times"/>
          <w:sz w:val="18"/>
        </w:rPr>
        <w:t xml:space="preserve">This title may be cited as NZLC </w:t>
      </w:r>
      <w:r w:rsidR="00181D48" w:rsidRPr="008642D1">
        <w:rPr>
          <w:rFonts w:eastAsia="Times"/>
          <w:sz w:val="18"/>
        </w:rPr>
        <w:t>IP</w:t>
      </w:r>
      <w:r w:rsidR="00E56606" w:rsidRPr="008642D1">
        <w:rPr>
          <w:rFonts w:eastAsia="Times"/>
          <w:sz w:val="18"/>
        </w:rPr>
        <w:t>5</w:t>
      </w:r>
      <w:r w:rsidR="00D24C8E" w:rsidRPr="008642D1">
        <w:rPr>
          <w:rFonts w:eastAsia="Times"/>
          <w:sz w:val="18"/>
        </w:rPr>
        <w:t>3</w:t>
      </w:r>
      <w:r w:rsidR="00D26BBC" w:rsidRPr="008642D1">
        <w:rPr>
          <w:rFonts w:eastAsia="Times"/>
          <w:sz w:val="18"/>
        </w:rPr>
        <w:t xml:space="preserve">. </w:t>
      </w:r>
      <w:r w:rsidR="00D26BBC" w:rsidRPr="008642D1">
        <w:rPr>
          <w:sz w:val="18"/>
          <w:szCs w:val="18"/>
        </w:rPr>
        <w:t xml:space="preserve">This title is available on the internet at the website of Te Aka Matua o te Ture | Law Commission: </w:t>
      </w:r>
      <w:hyperlink r:id="rId17" w:history="1">
        <w:r w:rsidR="00D26BBC" w:rsidRPr="008642D1">
          <w:rPr>
            <w:rStyle w:val="Hyperlink"/>
            <w:sz w:val="18"/>
            <w:szCs w:val="18"/>
          </w:rPr>
          <w:t>www.lawcom.govt.nz</w:t>
        </w:r>
      </w:hyperlink>
    </w:p>
    <w:p w14:paraId="58149C03" w14:textId="1F2E2E69" w:rsidR="00B13E4E" w:rsidRPr="008642D1" w:rsidRDefault="00B13E4E" w:rsidP="00B13E4E">
      <w:pPr>
        <w:spacing w:before="240" w:line="334" w:lineRule="auto"/>
        <w:ind w:right="1996"/>
        <w:rPr>
          <w:rFonts w:eastAsia="Arial Unicode MS"/>
          <w:sz w:val="18"/>
          <w:szCs w:val="18"/>
        </w:rPr>
      </w:pPr>
    </w:p>
    <w:p w14:paraId="6EFF0519" w14:textId="1675BDEC" w:rsidR="005B588A" w:rsidRPr="008642D1" w:rsidRDefault="00D26BBC" w:rsidP="00B13E4E">
      <w:pPr>
        <w:spacing w:line="334" w:lineRule="auto"/>
        <w:ind w:right="1996"/>
        <w:rPr>
          <w:sz w:val="18"/>
          <w:szCs w:val="18"/>
        </w:rPr>
      </w:pPr>
      <w:r w:rsidRPr="008642D1">
        <w:rPr>
          <w:rFonts w:eastAsia="Arial Unicode MS"/>
          <w:sz w:val="18"/>
          <w:szCs w:val="18"/>
        </w:rPr>
        <w:t xml:space="preserve">Copyright </w:t>
      </w:r>
      <w:r w:rsidRPr="008642D1">
        <w:rPr>
          <w:rFonts w:ascii="Calibri" w:eastAsia="Arial Unicode MS" w:hAnsi="Calibri" w:cs="Calibri"/>
          <w:sz w:val="18"/>
          <w:szCs w:val="18"/>
        </w:rPr>
        <w:t>©</w:t>
      </w:r>
      <w:r w:rsidRPr="008642D1">
        <w:rPr>
          <w:rFonts w:eastAsia="Arial Unicode MS"/>
          <w:sz w:val="18"/>
          <w:szCs w:val="18"/>
        </w:rPr>
        <w:t xml:space="preserve"> 202</w:t>
      </w:r>
      <w:r w:rsidR="006D4382" w:rsidRPr="008642D1">
        <w:rPr>
          <w:rFonts w:eastAsia="Arial Unicode MS"/>
          <w:sz w:val="18"/>
          <w:szCs w:val="18"/>
        </w:rPr>
        <w:t>4</w:t>
      </w:r>
      <w:r w:rsidRPr="008642D1">
        <w:rPr>
          <w:rFonts w:eastAsia="Arial Unicode MS"/>
          <w:sz w:val="18"/>
          <w:szCs w:val="18"/>
        </w:rPr>
        <w:t xml:space="preserve"> </w:t>
      </w:r>
      <w:r w:rsidRPr="008642D1">
        <w:rPr>
          <w:sz w:val="18"/>
          <w:szCs w:val="18"/>
        </w:rPr>
        <w:t>Te Aka Matua o te Ture |</w:t>
      </w:r>
      <w:r w:rsidRPr="008642D1">
        <w:rPr>
          <w:rFonts w:eastAsia="Arial Unicode MS"/>
          <w:sz w:val="18"/>
          <w:szCs w:val="18"/>
        </w:rPr>
        <w:t xml:space="preserve"> Law Commission.</w:t>
      </w:r>
    </w:p>
    <w:p w14:paraId="15282A32" w14:textId="3C5A4E73" w:rsidR="00247635" w:rsidRPr="008642D1" w:rsidRDefault="00A93461" w:rsidP="00E76292">
      <w:pPr>
        <w:spacing w:before="3" w:line="180" w:lineRule="exact"/>
        <w:rPr>
          <w:color w:val="262626" w:themeColor="text1" w:themeTint="D9"/>
          <w:sz w:val="14"/>
        </w:rPr>
      </w:pPr>
      <w:r w:rsidRPr="008642D1">
        <w:rPr>
          <w:noProof/>
          <w:color w:val="262626" w:themeColor="text1" w:themeTint="D9"/>
          <w:sz w:val="14"/>
          <w:szCs w:val="16"/>
          <w:lang w:eastAsia="en-NZ"/>
        </w:rPr>
        <w:lastRenderedPageBreak/>
        <mc:AlternateContent>
          <mc:Choice Requires="wpg">
            <w:drawing>
              <wp:anchor distT="0" distB="0" distL="114300" distR="114300" simplePos="0" relativeHeight="251658249" behindDoc="1" locked="0" layoutInCell="1" allowOverlap="1" wp14:anchorId="7C0B189A" wp14:editId="494EE451">
                <wp:simplePos x="0" y="0"/>
                <wp:positionH relativeFrom="page">
                  <wp:posOffset>1092835</wp:posOffset>
                </wp:positionH>
                <wp:positionV relativeFrom="page">
                  <wp:posOffset>9482455</wp:posOffset>
                </wp:positionV>
                <wp:extent cx="1007110" cy="344170"/>
                <wp:effectExtent l="0" t="0" r="2540" b="0"/>
                <wp:wrapSquare wrapText="bothSides"/>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 cy="344170"/>
                          <a:chOff x="1440" y="109"/>
                          <a:chExt cx="1320" cy="497"/>
                        </a:xfrm>
                      </wpg:grpSpPr>
                      <wpg:grpSp>
                        <wpg:cNvPr id="262" name="Group 227"/>
                        <wpg:cNvGrpSpPr>
                          <a:grpSpLocks/>
                        </wpg:cNvGrpSpPr>
                        <wpg:grpSpPr bwMode="auto">
                          <a:xfrm>
                            <a:off x="1440" y="109"/>
                            <a:ext cx="1320" cy="497"/>
                            <a:chOff x="1440" y="109"/>
                            <a:chExt cx="1320" cy="497"/>
                          </a:xfrm>
                        </wpg:grpSpPr>
                        <wps:wsp>
                          <wps:cNvPr id="263" name="Freeform 228"/>
                          <wps:cNvSpPr>
                            <a:spLocks/>
                          </wps:cNvSpPr>
                          <wps:spPr bwMode="auto">
                            <a:xfrm>
                              <a:off x="1440" y="126"/>
                              <a:ext cx="1320" cy="480"/>
                            </a:xfrm>
                            <a:custGeom>
                              <a:avLst/>
                              <a:gdLst>
                                <a:gd name="T0" fmla="+- 0 1440 1440"/>
                                <a:gd name="T1" fmla="*/ T0 w 1320"/>
                                <a:gd name="T2" fmla="+- 0 606 126"/>
                                <a:gd name="T3" fmla="*/ 606 h 480"/>
                                <a:gd name="T4" fmla="+- 0 2760 1440"/>
                                <a:gd name="T5" fmla="*/ T4 w 1320"/>
                                <a:gd name="T6" fmla="+- 0 606 126"/>
                                <a:gd name="T7" fmla="*/ 606 h 480"/>
                                <a:gd name="T8" fmla="+- 0 2760 1440"/>
                                <a:gd name="T9" fmla="*/ T8 w 1320"/>
                                <a:gd name="T10" fmla="+- 0 126 126"/>
                                <a:gd name="T11" fmla="*/ 126 h 480"/>
                                <a:gd name="T12" fmla="+- 0 1440 1440"/>
                                <a:gd name="T13" fmla="*/ T12 w 1320"/>
                                <a:gd name="T14" fmla="+- 0 126 126"/>
                                <a:gd name="T15" fmla="*/ 126 h 480"/>
                                <a:gd name="T16" fmla="+- 0 1440 1440"/>
                                <a:gd name="T17" fmla="*/ T16 w 1320"/>
                                <a:gd name="T18" fmla="+- 0 606 126"/>
                                <a:gd name="T19" fmla="*/ 606 h 480"/>
                              </a:gdLst>
                              <a:ahLst/>
                              <a:cxnLst>
                                <a:cxn ang="0">
                                  <a:pos x="T1" y="T3"/>
                                </a:cxn>
                                <a:cxn ang="0">
                                  <a:pos x="T5" y="T7"/>
                                </a:cxn>
                                <a:cxn ang="0">
                                  <a:pos x="T9" y="T11"/>
                                </a:cxn>
                                <a:cxn ang="0">
                                  <a:pos x="T13" y="T15"/>
                                </a:cxn>
                                <a:cxn ang="0">
                                  <a:pos x="T17" y="T19"/>
                                </a:cxn>
                              </a:cxnLst>
                              <a:rect l="0" t="0" r="r" b="b"/>
                              <a:pathLst>
                                <a:path w="1320" h="480">
                                  <a:moveTo>
                                    <a:pt x="0" y="480"/>
                                  </a:moveTo>
                                  <a:lnTo>
                                    <a:pt x="1320" y="480"/>
                                  </a:lnTo>
                                  <a:lnTo>
                                    <a:pt x="1320" y="0"/>
                                  </a:lnTo>
                                  <a:lnTo>
                                    <a:pt x="0" y="0"/>
                                  </a:lnTo>
                                  <a:lnTo>
                                    <a:pt x="0" y="480"/>
                                  </a:lnTo>
                                </a:path>
                              </a:pathLst>
                            </a:custGeom>
                            <a:solidFill>
                              <a:srgbClr val="002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4" name="Picture 2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40" y="109"/>
                              <a:ext cx="1320" cy="46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1D47421" id="Group 261" o:spid="_x0000_s1026" style="position:absolute;margin-left:86.05pt;margin-top:746.65pt;width:79.3pt;height:27.1pt;z-index:-251658231;mso-position-horizontal-relative:page;mso-position-vertical-relative:page" coordorigin="1440,109" coordsize="1320,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">
                <v:group id="Group 227" o:spid="_x0000_s1027" style="position:absolute;left:1440;top:109;width:1320;height:497" coordorigin="1440,109" coordsize="132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228" o:spid="_x0000_s1028" style="position:absolute;left:1440;top:126;width:1320;height:480;visibility:visible;mso-wrap-style:square;v-text-anchor:top" coordsize="132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" path="m,480r1320,l1320,,,,,480e" fillcolor="#002c30" stroked="f">
                    <v:path arrowok="t" o:connecttype="custom" o:connectlocs="0,606;1320,606;1320,126;0,126;0,606" o:connectangles="0,0,0,0,0"/>
                  </v:shape>
                  <v:shape id="Picture 229" o:spid="_x0000_s1029" type="#_x0000_t75" style="position:absolute;left:1440;top:109;width:1320;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">
                    <v:imagedata r:id="rId19" o:title=""/>
                  </v:shape>
                </v:group>
                <w10:wrap type="square" anchorx="page" anchory="page"/>
              </v:group>
            </w:pict>
          </mc:Fallback>
        </mc:AlternateContent>
      </w:r>
      <w:r w:rsidR="00247635" w:rsidRPr="008642D1">
        <w:rPr>
          <w:color w:val="262626" w:themeColor="text1" w:themeTint="D9"/>
          <w:sz w:val="14"/>
        </w:rPr>
        <w:t>T</w:t>
      </w:r>
      <w:r w:rsidR="00247635" w:rsidRPr="008642D1">
        <w:rPr>
          <w:color w:val="262626" w:themeColor="text1" w:themeTint="D9"/>
          <w:sz w:val="12"/>
          <w:szCs w:val="20"/>
        </w:rPr>
        <w:t xml:space="preserve">his work is licensed under the Creative Commons Attribution 4.0 International licence. In essence, you are free to copy, distribute and adapt the work, as long as you attribute the work to </w:t>
      </w:r>
      <w:r w:rsidR="00D26BBC" w:rsidRPr="008642D1">
        <w:rPr>
          <w:color w:val="262626" w:themeColor="text1" w:themeTint="D9"/>
          <w:sz w:val="12"/>
          <w:szCs w:val="20"/>
        </w:rPr>
        <w:t>Te Aka Matua o te Ture |</w:t>
      </w:r>
      <w:r w:rsidR="00247635" w:rsidRPr="008642D1">
        <w:rPr>
          <w:color w:val="262626" w:themeColor="text1" w:themeTint="D9"/>
          <w:sz w:val="12"/>
          <w:szCs w:val="20"/>
        </w:rPr>
        <w:t xml:space="preserve"> Law Commission and abide by other licence terms. To view a copy of this licence, visit https://crea</w:t>
      </w:r>
      <w:r w:rsidR="00CB5874" w:rsidRPr="008642D1">
        <w:rPr>
          <w:color w:val="262626" w:themeColor="text1" w:themeTint="D9"/>
          <w:sz w:val="12"/>
          <w:szCs w:val="20"/>
        </w:rPr>
        <w:t>tivecommons.org/licenses/by/4.0</w:t>
      </w:r>
    </w:p>
    <w:p w14:paraId="27D4B82E" w14:textId="77777777" w:rsidR="000342BA" w:rsidRPr="008642D1" w:rsidRDefault="000342BA" w:rsidP="00A93461">
      <w:pPr>
        <w:pStyle w:val="Heading1nonum"/>
        <w:ind w:left="0"/>
        <w:rPr>
          <w:rFonts w:eastAsia="Angsana New"/>
        </w:rPr>
        <w:sectPr w:rsidR="000342BA" w:rsidRPr="008642D1" w:rsidSect="006B03F1">
          <w:headerReference w:type="default" r:id="rId20"/>
          <w:footerReference w:type="even" r:id="rId21"/>
          <w:footerReference w:type="default" r:id="rId22"/>
          <w:footnotePr>
            <w:numRestart w:val="eachSect"/>
          </w:footnotePr>
          <w:type w:val="nextColumn"/>
          <w:pgSz w:w="11907" w:h="16840" w:code="9"/>
          <w:pgMar w:top="1134" w:right="1134" w:bottom="1134" w:left="1701" w:header="567" w:footer="691" w:gutter="0"/>
          <w:pgNumType w:fmt="lowerRoman" w:start="3"/>
          <w:cols w:space="720"/>
          <w:docGrid w:linePitch="272"/>
        </w:sectPr>
      </w:pPr>
    </w:p>
    <w:p w14:paraId="68680CAD" w14:textId="77777777" w:rsidR="0062125E" w:rsidRPr="008642D1" w:rsidRDefault="0062125E" w:rsidP="0062125E">
      <w:bookmarkStart w:id="0" w:name="_Toc57815047"/>
      <w:bookmarkStart w:id="1" w:name="_Toc66105737"/>
      <w:bookmarkStart w:id="2" w:name="_Toc66116296"/>
      <w:bookmarkStart w:id="3" w:name="_Toc67055484"/>
      <w:bookmarkStart w:id="4" w:name="_Toc68863163"/>
    </w:p>
    <w:p w14:paraId="34A5261F" w14:textId="500F735C" w:rsidR="007D2323" w:rsidRPr="008642D1" w:rsidRDefault="007D2323" w:rsidP="007D2323">
      <w:pPr>
        <w:pStyle w:val="Heading1nonum"/>
        <w:spacing w:before="240"/>
        <w:ind w:left="0"/>
        <w:contextualSpacing/>
        <w:rPr>
          <w:rFonts w:eastAsia="Times New Roman Mäori"/>
        </w:rPr>
      </w:pPr>
      <w:bookmarkStart w:id="5" w:name="_Toc170302103"/>
      <w:bookmarkEnd w:id="0"/>
      <w:bookmarkEnd w:id="1"/>
      <w:bookmarkEnd w:id="2"/>
      <w:bookmarkEnd w:id="3"/>
      <w:bookmarkEnd w:id="4"/>
      <w:r w:rsidRPr="008642D1">
        <w:rPr>
          <w:rFonts w:eastAsia="Times New Roman Mäori"/>
        </w:rPr>
        <w:t>Have your say</w:t>
      </w:r>
      <w:bookmarkEnd w:id="5"/>
    </w:p>
    <w:p w14:paraId="3EB44529" w14:textId="56B1F927" w:rsidR="007D2323" w:rsidRPr="008642D1" w:rsidRDefault="007D2323" w:rsidP="007D2323">
      <w:pPr>
        <w:pStyle w:val="BodyTextIndent"/>
        <w:spacing w:after="120"/>
        <w:ind w:left="0"/>
      </w:pPr>
      <w:r w:rsidRPr="008642D1">
        <w:t xml:space="preserve">We </w:t>
      </w:r>
      <w:r w:rsidRPr="008642D1">
        <w:rPr>
          <w:rStyle w:val="normaltextrun"/>
        </w:rPr>
        <w:t>want</w:t>
      </w:r>
      <w:r w:rsidRPr="008642D1">
        <w:t xml:space="preserve"> to know what you think about the issues </w:t>
      </w:r>
      <w:r w:rsidR="00671C72">
        <w:t>we</w:t>
      </w:r>
      <w:r w:rsidRPr="008642D1">
        <w:t xml:space="preserve"> set out in this Issues Paper. </w:t>
      </w:r>
      <w:r w:rsidR="0021376C">
        <w:t xml:space="preserve">Your feedback </w:t>
      </w:r>
      <w:r w:rsidR="0021376C" w:rsidRPr="008642D1">
        <w:t xml:space="preserve">will help us to understand better the needs, perspectives and concerns of New Zealanders on the issues </w:t>
      </w:r>
      <w:r w:rsidR="002F7A1E">
        <w:t>in this review</w:t>
      </w:r>
      <w:r w:rsidR="0021376C" w:rsidRPr="008642D1">
        <w:t xml:space="preserve"> and the practical implications of reform. </w:t>
      </w:r>
      <w:r w:rsidRPr="008642D1">
        <w:t xml:space="preserve">Along with other relevant evidence and analysis, </w:t>
      </w:r>
      <w:r w:rsidR="00C70734">
        <w:t>it</w:t>
      </w:r>
      <w:r w:rsidRPr="008642D1">
        <w:t xml:space="preserve"> will help us to develop our recommendations </w:t>
      </w:r>
      <w:r w:rsidR="000B7682">
        <w:t>for law reform</w:t>
      </w:r>
      <w:r w:rsidRPr="008642D1">
        <w:t xml:space="preserve">. </w:t>
      </w:r>
    </w:p>
    <w:p w14:paraId="07519C2C" w14:textId="77777777" w:rsidR="00430559" w:rsidRDefault="007D2323" w:rsidP="007D2323">
      <w:pPr>
        <w:pStyle w:val="BodyTextIndent"/>
        <w:spacing w:after="120"/>
        <w:ind w:left="0"/>
      </w:pPr>
      <w:r w:rsidRPr="008642D1">
        <w:t xml:space="preserve">This paper covers a wide range of topics and asks many questions. You are welcome to focus only on those topics that concern you or about which you have views. There is no need to answer all the questions. </w:t>
      </w:r>
    </w:p>
    <w:p w14:paraId="05CA3C2C" w14:textId="2D5DD7FD" w:rsidR="007D2323" w:rsidRPr="008642D1" w:rsidRDefault="007D2323" w:rsidP="007D2323">
      <w:pPr>
        <w:pStyle w:val="BodyTextIndent"/>
        <w:spacing w:after="120"/>
        <w:ind w:left="0"/>
      </w:pPr>
      <w:r w:rsidRPr="008642D1">
        <w:t xml:space="preserve">When answering questions, we ask that you </w:t>
      </w:r>
      <w:r w:rsidR="00815C4B">
        <w:t>explain</w:t>
      </w:r>
      <w:r w:rsidRPr="008642D1">
        <w:t xml:space="preserve"> your views</w:t>
      </w:r>
      <w:r w:rsidR="00453515">
        <w:t xml:space="preserve"> wherever possible</w:t>
      </w:r>
      <w:r w:rsidRPr="008642D1">
        <w:t>.</w:t>
      </w:r>
      <w:r w:rsidR="00453515">
        <w:t xml:space="preserve"> This</w:t>
      </w:r>
      <w:r w:rsidR="00430559" w:rsidRPr="008642D1">
        <w:t xml:space="preserve"> is not </w:t>
      </w:r>
      <w:r w:rsidR="00453515">
        <w:t>a survey</w:t>
      </w:r>
      <w:r w:rsidR="00A35577">
        <w:t xml:space="preserve"> </w:t>
      </w:r>
      <w:r w:rsidR="00B54755">
        <w:t>—</w:t>
      </w:r>
      <w:r w:rsidR="00A35577">
        <w:t xml:space="preserve"> i</w:t>
      </w:r>
      <w:r w:rsidR="00453515">
        <w:t xml:space="preserve">t is </w:t>
      </w:r>
      <w:r w:rsidR="00430559" w:rsidRPr="008642D1">
        <w:t xml:space="preserve">not </w:t>
      </w:r>
      <w:r w:rsidR="00552DEA">
        <w:t>our intention to count up</w:t>
      </w:r>
      <w:r w:rsidR="00430559" w:rsidRPr="008642D1">
        <w:t xml:space="preserve"> submissions to find the option with which most people agree. </w:t>
      </w:r>
      <w:r w:rsidR="00430559">
        <w:t>Rather, w</w:t>
      </w:r>
      <w:r w:rsidR="00430559" w:rsidRPr="008642D1">
        <w:t xml:space="preserve">e are interested to hear </w:t>
      </w:r>
      <w:r w:rsidR="00430559">
        <w:t>people’s views so that we can understand better</w:t>
      </w:r>
      <w:r w:rsidR="00430559" w:rsidRPr="008642D1">
        <w:t xml:space="preserve"> the reasons </w:t>
      </w:r>
      <w:r w:rsidR="00430559">
        <w:t xml:space="preserve">for and against particular </w:t>
      </w:r>
      <w:r w:rsidR="00430559" w:rsidRPr="008642D1">
        <w:t>reform options</w:t>
      </w:r>
      <w:r w:rsidR="00430559">
        <w:t xml:space="preserve">, and the practical implications of reform. </w:t>
      </w:r>
    </w:p>
    <w:p w14:paraId="52C3D79D" w14:textId="2C463D89" w:rsidR="007D2323" w:rsidRPr="00B55C00" w:rsidRDefault="007D2323" w:rsidP="007D2323">
      <w:pPr>
        <w:pStyle w:val="BodyTextIndent"/>
        <w:spacing w:after="120"/>
        <w:ind w:left="0"/>
      </w:pPr>
      <w:r w:rsidRPr="008642D1">
        <w:rPr>
          <w:rStyle w:val="normaltextrun"/>
        </w:rPr>
        <w:t>Submissions</w:t>
      </w:r>
      <w:r w:rsidRPr="008642D1">
        <w:t xml:space="preserve"> on </w:t>
      </w:r>
      <w:r w:rsidR="00502CA4">
        <w:t>this</w:t>
      </w:r>
      <w:r w:rsidRPr="008642D1">
        <w:t xml:space="preserve"> Issues Paper can be made via the </w:t>
      </w:r>
      <w:r w:rsidR="00333563">
        <w:t>online submission form</w:t>
      </w:r>
      <w:r w:rsidRPr="008642D1">
        <w:t xml:space="preserve"> available on </w:t>
      </w:r>
      <w:r w:rsidR="001E14C8">
        <w:t>our</w:t>
      </w:r>
      <w:r w:rsidRPr="008642D1">
        <w:t xml:space="preserve"> </w:t>
      </w:r>
      <w:hyperlink r:id="rId23" w:history="1">
        <w:r w:rsidRPr="008642D1">
          <w:rPr>
            <w:rStyle w:val="Hyperlink"/>
          </w:rPr>
          <w:t>website</w:t>
        </w:r>
      </w:hyperlink>
      <w:r w:rsidRPr="008642D1">
        <w:t>.</w:t>
      </w:r>
      <w:r w:rsidRPr="008642D1" w:rsidDel="0053776E">
        <w:t xml:space="preserve"> </w:t>
      </w:r>
      <w:r w:rsidRPr="008642D1">
        <w:t xml:space="preserve">Submissions close at 5pm on </w:t>
      </w:r>
      <w:r w:rsidRPr="008642D1">
        <w:rPr>
          <w:b/>
          <w:bCs/>
        </w:rPr>
        <w:t>Thursday 5 September 2024.</w:t>
      </w:r>
    </w:p>
    <w:p w14:paraId="08BAF740" w14:textId="77777777" w:rsidR="00B55C00" w:rsidRPr="008642D1" w:rsidRDefault="00B55C00" w:rsidP="007D2323">
      <w:pPr>
        <w:pStyle w:val="BodyTextIndent"/>
        <w:spacing w:after="120"/>
        <w:ind w:left="0"/>
      </w:pPr>
    </w:p>
    <w:p w14:paraId="3E3389D0" w14:textId="0FC256C4" w:rsidR="007D2323" w:rsidRPr="008642D1" w:rsidRDefault="007D2323" w:rsidP="007D2323">
      <w:pPr>
        <w:pStyle w:val="Heading2"/>
        <w:spacing w:before="240" w:after="0"/>
        <w:rPr>
          <w:rFonts w:eastAsia="Consolas"/>
        </w:rPr>
      </w:pPr>
      <w:bookmarkStart w:id="6" w:name="_Toc169276651"/>
      <w:bookmarkStart w:id="7" w:name="_Toc170217448"/>
      <w:bookmarkStart w:id="8" w:name="_Toc170302104"/>
      <w:r w:rsidRPr="008642D1">
        <w:rPr>
          <w:rFonts w:eastAsia="Consolas"/>
        </w:rPr>
        <w:t>What happens to submission</w:t>
      </w:r>
      <w:r w:rsidR="00F22C2D">
        <w:rPr>
          <w:rFonts w:eastAsia="Consolas"/>
        </w:rPr>
        <w:t>s</w:t>
      </w:r>
      <w:r w:rsidRPr="008642D1">
        <w:rPr>
          <w:rFonts w:eastAsia="Consolas"/>
        </w:rPr>
        <w:t>?</w:t>
      </w:r>
      <w:bookmarkEnd w:id="6"/>
      <w:bookmarkEnd w:id="7"/>
      <w:bookmarkEnd w:id="8"/>
    </w:p>
    <w:p w14:paraId="5D066231" w14:textId="616C31F4" w:rsidR="00DB5651" w:rsidRDefault="007454B6" w:rsidP="007D2323">
      <w:pPr>
        <w:pStyle w:val="BodyTextnonum"/>
        <w:numPr>
          <w:ilvl w:val="0"/>
          <w:numId w:val="0"/>
        </w:numPr>
        <w:rPr>
          <w:rFonts w:eastAsia="Times"/>
          <w:szCs w:val="20"/>
        </w:rPr>
      </w:pPr>
      <w:r>
        <w:t>We</w:t>
      </w:r>
      <w:r w:rsidR="007D2323" w:rsidRPr="008642D1">
        <w:t xml:space="preserve"> will use </w:t>
      </w:r>
      <w:r w:rsidR="00CF11FA">
        <w:t xml:space="preserve">the </w:t>
      </w:r>
      <w:r w:rsidR="007D2323" w:rsidRPr="008642D1">
        <w:t>submission</w:t>
      </w:r>
      <w:r w:rsidR="00CF11FA">
        <w:t>s we receive</w:t>
      </w:r>
      <w:r w:rsidR="007D2323" w:rsidRPr="008642D1">
        <w:t xml:space="preserve"> to inform our </w:t>
      </w:r>
      <w:r w:rsidRPr="008642D1">
        <w:t>review</w:t>
      </w:r>
      <w:r>
        <w:t xml:space="preserve"> and</w:t>
      </w:r>
      <w:r w:rsidR="007D2323" w:rsidRPr="008642D1">
        <w:t xml:space="preserve"> may refer to </w:t>
      </w:r>
      <w:r w:rsidR="00CF11FA">
        <w:t>them</w:t>
      </w:r>
      <w:r w:rsidR="007D2323" w:rsidRPr="008642D1">
        <w:t xml:space="preserve"> in our publications. We will keep all submissions as part of our official records. </w:t>
      </w:r>
      <w:r w:rsidR="007D2323" w:rsidRPr="00DB5651">
        <w:rPr>
          <w:rFonts w:eastAsia="Times"/>
          <w:szCs w:val="20"/>
        </w:rPr>
        <w:t>We may also publish</w:t>
      </w:r>
      <w:r w:rsidR="007D2323" w:rsidRPr="008642D1">
        <w:rPr>
          <w:rFonts w:eastAsia="Times"/>
          <w:szCs w:val="20"/>
        </w:rPr>
        <w:t xml:space="preserve"> </w:t>
      </w:r>
      <w:r w:rsidR="001150C2">
        <w:rPr>
          <w:rFonts w:eastAsia="Times"/>
          <w:szCs w:val="20"/>
        </w:rPr>
        <w:t>some or all of them</w:t>
      </w:r>
      <w:r w:rsidR="007D2323" w:rsidRPr="008642D1">
        <w:rPr>
          <w:rFonts w:eastAsia="Times"/>
          <w:szCs w:val="20"/>
        </w:rPr>
        <w:t xml:space="preserve"> on our website or use </w:t>
      </w:r>
      <w:r w:rsidR="00AD7331">
        <w:rPr>
          <w:rFonts w:eastAsia="Times"/>
          <w:szCs w:val="20"/>
        </w:rPr>
        <w:t>them</w:t>
      </w:r>
      <w:r w:rsidR="007D2323" w:rsidRPr="008642D1">
        <w:rPr>
          <w:rFonts w:eastAsia="Times"/>
          <w:szCs w:val="20"/>
        </w:rPr>
        <w:t xml:space="preserve"> to inform our work in other reviews. </w:t>
      </w:r>
    </w:p>
    <w:p w14:paraId="3D2659B7" w14:textId="5F869729" w:rsidR="00A001F2" w:rsidRDefault="004F7450" w:rsidP="00A001F2">
      <w:pPr>
        <w:pStyle w:val="Heading3"/>
        <w:rPr>
          <w:rFonts w:eastAsia="Times"/>
        </w:rPr>
      </w:pPr>
      <w:r>
        <w:rPr>
          <w:rFonts w:eastAsia="Times"/>
        </w:rPr>
        <w:t>P</w:t>
      </w:r>
      <w:r w:rsidR="00A001F2">
        <w:rPr>
          <w:rFonts w:eastAsia="Times"/>
        </w:rPr>
        <w:t>ublication of submission</w:t>
      </w:r>
      <w:r w:rsidR="00DD15F3">
        <w:rPr>
          <w:rFonts w:eastAsia="Times"/>
        </w:rPr>
        <w:t>s</w:t>
      </w:r>
      <w:r w:rsidR="00660093">
        <w:rPr>
          <w:rFonts w:eastAsia="Times"/>
        </w:rPr>
        <w:t xml:space="preserve"> on our website</w:t>
      </w:r>
      <w:r w:rsidR="0097541C">
        <w:rPr>
          <w:rFonts w:eastAsia="Times"/>
        </w:rPr>
        <w:t xml:space="preserve"> or in </w:t>
      </w:r>
      <w:r w:rsidR="00DD15F3">
        <w:rPr>
          <w:rFonts w:eastAsia="Times"/>
        </w:rPr>
        <w:t>our publications</w:t>
      </w:r>
      <w:r w:rsidR="00A001F2">
        <w:rPr>
          <w:rFonts w:eastAsia="Times"/>
        </w:rPr>
        <w:t xml:space="preserve"> </w:t>
      </w:r>
    </w:p>
    <w:p w14:paraId="19D35EE0" w14:textId="0A66B6C0" w:rsidR="00E6611F" w:rsidRDefault="00912312" w:rsidP="007D2323">
      <w:pPr>
        <w:pStyle w:val="BodyTextnonum"/>
        <w:numPr>
          <w:ilvl w:val="0"/>
          <w:numId w:val="0"/>
        </w:numPr>
      </w:pPr>
      <w:r>
        <w:t>You can request that we do not publish your name or any other identifying information in</w:t>
      </w:r>
      <w:r w:rsidR="00D17207">
        <w:t xml:space="preserve"> </w:t>
      </w:r>
      <w:r>
        <w:t xml:space="preserve">your submission. </w:t>
      </w:r>
      <w:r w:rsidR="00903988">
        <w:t xml:space="preserve">You can also ask that we do not </w:t>
      </w:r>
      <w:r w:rsidR="007E7701">
        <w:t>publish other parts of your submission</w:t>
      </w:r>
      <w:r w:rsidR="00345733">
        <w:t xml:space="preserve"> (for example, information that is sensitive and personal about you)</w:t>
      </w:r>
      <w:r w:rsidR="007E7701">
        <w:t xml:space="preserve">. </w:t>
      </w:r>
      <w:r w:rsidR="00157677">
        <w:t>If we decide to publish submission</w:t>
      </w:r>
      <w:r w:rsidR="00B935A3">
        <w:t>s</w:t>
      </w:r>
      <w:r w:rsidR="00157677">
        <w:t xml:space="preserve"> on our website (or refer to them in our publications) we </w:t>
      </w:r>
      <w:r w:rsidR="00233A19">
        <w:t>will not publish</w:t>
      </w:r>
      <w:r w:rsidR="00714F3C">
        <w:t xml:space="preserve"> any </w:t>
      </w:r>
      <w:r w:rsidR="00F41735">
        <w:t>details or</w:t>
      </w:r>
      <w:r w:rsidR="00714F3C">
        <w:t xml:space="preserve"> parts of your submission that you </w:t>
      </w:r>
      <w:r w:rsidR="00157677">
        <w:t xml:space="preserve">have </w:t>
      </w:r>
      <w:r w:rsidR="00714F3C">
        <w:t>identif</w:t>
      </w:r>
      <w:r w:rsidR="00157677">
        <w:t>ied</w:t>
      </w:r>
      <w:r w:rsidR="00714F3C">
        <w:t xml:space="preserve"> </w:t>
      </w:r>
      <w:r w:rsidR="00157677">
        <w:t>in this way</w:t>
      </w:r>
      <w:r w:rsidR="00714F3C">
        <w:t xml:space="preserve">. </w:t>
      </w:r>
    </w:p>
    <w:p w14:paraId="4313273B" w14:textId="2DADA470" w:rsidR="00497AB4" w:rsidRDefault="00497AB4" w:rsidP="007D2323">
      <w:pPr>
        <w:pStyle w:val="BodyTextnonum"/>
        <w:numPr>
          <w:ilvl w:val="0"/>
          <w:numId w:val="0"/>
        </w:numPr>
      </w:pPr>
      <w:r>
        <w:t>If you</w:t>
      </w:r>
      <w:r w:rsidR="00157677">
        <w:t xml:space="preserve"> </w:t>
      </w:r>
      <w:r w:rsidR="00157677" w:rsidRPr="00157677">
        <w:rPr>
          <w:i/>
          <w:iCs/>
        </w:rPr>
        <w:t>do not</w:t>
      </w:r>
      <w:r>
        <w:t xml:space="preserve"> </w:t>
      </w:r>
      <w:r w:rsidR="00157677">
        <w:t>make</w:t>
      </w:r>
      <w:r>
        <w:t xml:space="preserve"> a request of th</w:t>
      </w:r>
      <w:r w:rsidR="00157677">
        <w:t>is</w:t>
      </w:r>
      <w:r>
        <w:t xml:space="preserve"> kind, we will assume we </w:t>
      </w:r>
      <w:r w:rsidR="008A2F18">
        <w:t xml:space="preserve">are able to publish </w:t>
      </w:r>
      <w:r w:rsidR="00157677">
        <w:t xml:space="preserve">or refer to </w:t>
      </w:r>
      <w:r w:rsidR="008A2F18">
        <w:t>all parts of your submission</w:t>
      </w:r>
      <w:r w:rsidR="00157677">
        <w:t>,</w:t>
      </w:r>
      <w:r w:rsidR="008A2F18">
        <w:t xml:space="preserve"> including identifying information</w:t>
      </w:r>
      <w:r w:rsidR="00B335C2">
        <w:t xml:space="preserve"> and private information</w:t>
      </w:r>
      <w:r w:rsidR="00157677">
        <w:t>.</w:t>
      </w:r>
    </w:p>
    <w:p w14:paraId="7329A10F" w14:textId="7A4CAACC" w:rsidR="008A2F18" w:rsidRDefault="008A2F18" w:rsidP="00B04382">
      <w:pPr>
        <w:pStyle w:val="Heading3"/>
        <w:rPr>
          <w:rFonts w:eastAsia="Times"/>
        </w:rPr>
      </w:pPr>
      <w:r>
        <w:rPr>
          <w:rFonts w:eastAsia="Times"/>
        </w:rPr>
        <w:t>Requests for official information</w:t>
      </w:r>
    </w:p>
    <w:p w14:paraId="5903991F" w14:textId="01855564" w:rsidR="006A5DB7" w:rsidRPr="006A5DB7" w:rsidRDefault="006A5DB7" w:rsidP="006A5DB7">
      <w:pPr>
        <w:pStyle w:val="BodyTextnonum"/>
        <w:numPr>
          <w:ilvl w:val="0"/>
          <w:numId w:val="0"/>
        </w:numPr>
        <w:rPr>
          <w:rFonts w:eastAsia="Times"/>
          <w:szCs w:val="20"/>
        </w:rPr>
      </w:pPr>
      <w:r w:rsidRPr="006A5DB7">
        <w:rPr>
          <w:rFonts w:eastAsia="Times"/>
          <w:szCs w:val="20"/>
        </w:rPr>
        <w:t>Information held by the Law Commission is subject to the Official Information Act 1982. If we receive a request for official information and your submission falls within the scope of that request, we must consider releasing it.</w:t>
      </w:r>
    </w:p>
    <w:p w14:paraId="4BE49D86" w14:textId="6E4327F0" w:rsidR="006A5DB7" w:rsidRDefault="006A5DB7" w:rsidP="006A5DB7">
      <w:pPr>
        <w:pStyle w:val="BodyTextnonum"/>
        <w:numPr>
          <w:ilvl w:val="0"/>
          <w:numId w:val="0"/>
        </w:numPr>
        <w:rPr>
          <w:rFonts w:eastAsia="Times"/>
          <w:szCs w:val="20"/>
        </w:rPr>
      </w:pPr>
      <w:r w:rsidRPr="006A5DB7">
        <w:rPr>
          <w:rFonts w:eastAsia="Times"/>
          <w:szCs w:val="20"/>
        </w:rPr>
        <w:t xml:space="preserve">If you have </w:t>
      </w:r>
      <w:r w:rsidR="005910CC">
        <w:rPr>
          <w:rFonts w:eastAsia="Times"/>
          <w:szCs w:val="20"/>
        </w:rPr>
        <w:t xml:space="preserve">asked </w:t>
      </w:r>
      <w:r w:rsidR="00EF433C">
        <w:rPr>
          <w:rFonts w:eastAsia="Times"/>
          <w:szCs w:val="20"/>
        </w:rPr>
        <w:t xml:space="preserve">us </w:t>
      </w:r>
      <w:r w:rsidR="001009AA">
        <w:rPr>
          <w:rFonts w:eastAsia="Times"/>
          <w:szCs w:val="20"/>
        </w:rPr>
        <w:t>not to publish</w:t>
      </w:r>
      <w:r w:rsidRPr="006A5DB7">
        <w:rPr>
          <w:rFonts w:eastAsia="Times"/>
          <w:szCs w:val="20"/>
        </w:rPr>
        <w:t xml:space="preserve"> your name and identifying details </w:t>
      </w:r>
      <w:r w:rsidR="003C06DA">
        <w:rPr>
          <w:rFonts w:eastAsia="Times"/>
          <w:szCs w:val="20"/>
        </w:rPr>
        <w:t xml:space="preserve">or </w:t>
      </w:r>
      <w:r w:rsidR="00505C74">
        <w:rPr>
          <w:rFonts w:eastAsia="Times"/>
          <w:szCs w:val="20"/>
        </w:rPr>
        <w:t>some</w:t>
      </w:r>
      <w:r w:rsidR="0061358F">
        <w:rPr>
          <w:rFonts w:eastAsia="Times"/>
          <w:szCs w:val="20"/>
        </w:rPr>
        <w:t xml:space="preserve"> </w:t>
      </w:r>
      <w:r w:rsidR="0021768F">
        <w:rPr>
          <w:rFonts w:eastAsia="Times"/>
          <w:szCs w:val="20"/>
        </w:rPr>
        <w:t>other</w:t>
      </w:r>
      <w:r w:rsidR="0061358F">
        <w:rPr>
          <w:rFonts w:eastAsia="Times"/>
          <w:szCs w:val="20"/>
        </w:rPr>
        <w:t xml:space="preserve"> information in </w:t>
      </w:r>
      <w:r w:rsidR="00505C74">
        <w:rPr>
          <w:rFonts w:eastAsia="Times"/>
          <w:szCs w:val="20"/>
        </w:rPr>
        <w:t>your</w:t>
      </w:r>
      <w:r w:rsidR="0061358F">
        <w:rPr>
          <w:rFonts w:eastAsia="Times"/>
          <w:szCs w:val="20"/>
        </w:rPr>
        <w:t xml:space="preserve"> submission,</w:t>
      </w:r>
      <w:r w:rsidRPr="006A5DB7">
        <w:rPr>
          <w:rFonts w:eastAsia="Times"/>
          <w:szCs w:val="20"/>
        </w:rPr>
        <w:t xml:space="preserve"> we will treat that as </w:t>
      </w:r>
      <w:r w:rsidR="0061358F">
        <w:rPr>
          <w:rFonts w:eastAsia="Times"/>
          <w:szCs w:val="20"/>
        </w:rPr>
        <w:t>a</w:t>
      </w:r>
      <w:r w:rsidRPr="006A5DB7">
        <w:rPr>
          <w:rFonts w:eastAsia="Times"/>
          <w:szCs w:val="20"/>
        </w:rPr>
        <w:t xml:space="preserve"> starting point </w:t>
      </w:r>
      <w:r w:rsidR="008349D7">
        <w:rPr>
          <w:rFonts w:eastAsia="Times"/>
          <w:szCs w:val="20"/>
        </w:rPr>
        <w:t>when considering</w:t>
      </w:r>
      <w:r w:rsidRPr="006A5DB7">
        <w:rPr>
          <w:rFonts w:eastAsia="Times"/>
          <w:szCs w:val="20"/>
        </w:rPr>
        <w:t xml:space="preserve"> whether we are obliged to release the information under the Official Information Act. However, </w:t>
      </w:r>
      <w:r w:rsidR="003824A6">
        <w:rPr>
          <w:rFonts w:eastAsia="Times"/>
          <w:szCs w:val="20"/>
        </w:rPr>
        <w:lastRenderedPageBreak/>
        <w:t>ultimately, we will need to decide whether</w:t>
      </w:r>
      <w:r w:rsidRPr="006A5DB7">
        <w:rPr>
          <w:rFonts w:eastAsia="Times"/>
          <w:szCs w:val="20"/>
        </w:rPr>
        <w:t xml:space="preserve"> release </w:t>
      </w:r>
      <w:r w:rsidR="003824A6">
        <w:rPr>
          <w:rFonts w:eastAsia="Times"/>
          <w:szCs w:val="20"/>
        </w:rPr>
        <w:t xml:space="preserve">is required under </w:t>
      </w:r>
      <w:r w:rsidRPr="006A5DB7">
        <w:rPr>
          <w:rFonts w:eastAsia="Times"/>
          <w:szCs w:val="20"/>
        </w:rPr>
        <w:t xml:space="preserve">the </w:t>
      </w:r>
      <w:r w:rsidR="003824A6">
        <w:rPr>
          <w:rFonts w:eastAsia="Times"/>
          <w:szCs w:val="20"/>
        </w:rPr>
        <w:t>Official Information Act (including whether</w:t>
      </w:r>
      <w:r w:rsidRPr="006A5DB7">
        <w:rPr>
          <w:rFonts w:eastAsia="Times"/>
          <w:szCs w:val="20"/>
        </w:rPr>
        <w:t xml:space="preserve"> there is a strong enough public interest</w:t>
      </w:r>
      <w:r w:rsidR="00843B09">
        <w:rPr>
          <w:rFonts w:eastAsia="Times"/>
          <w:szCs w:val="20"/>
        </w:rPr>
        <w:t xml:space="preserve"> </w:t>
      </w:r>
      <w:r w:rsidR="003824A6">
        <w:rPr>
          <w:rFonts w:eastAsia="Times"/>
          <w:szCs w:val="20"/>
        </w:rPr>
        <w:t xml:space="preserve">to override </w:t>
      </w:r>
      <w:r w:rsidR="003E50D0">
        <w:rPr>
          <w:rFonts w:eastAsia="Times"/>
          <w:szCs w:val="20"/>
        </w:rPr>
        <w:t xml:space="preserve">any </w:t>
      </w:r>
      <w:r w:rsidR="003824A6">
        <w:rPr>
          <w:rFonts w:eastAsia="Times"/>
          <w:szCs w:val="20"/>
        </w:rPr>
        <w:t xml:space="preserve">confidentiality </w:t>
      </w:r>
      <w:r w:rsidR="0061358F">
        <w:rPr>
          <w:rFonts w:eastAsia="Times"/>
          <w:szCs w:val="20"/>
        </w:rPr>
        <w:t xml:space="preserve">and privacy </w:t>
      </w:r>
      <w:r w:rsidR="003824A6">
        <w:rPr>
          <w:rFonts w:eastAsia="Times"/>
          <w:szCs w:val="20"/>
        </w:rPr>
        <w:t>concerns).</w:t>
      </w:r>
      <w:r w:rsidRPr="006A5DB7">
        <w:rPr>
          <w:rFonts w:eastAsia="Times"/>
          <w:szCs w:val="20"/>
        </w:rPr>
        <w:t xml:space="preserve"> We will </w:t>
      </w:r>
      <w:r w:rsidR="009767B5">
        <w:rPr>
          <w:rFonts w:eastAsia="Times"/>
          <w:szCs w:val="20"/>
        </w:rPr>
        <w:t>try to</w:t>
      </w:r>
      <w:r w:rsidRPr="006A5DB7">
        <w:rPr>
          <w:rFonts w:eastAsia="Times"/>
          <w:szCs w:val="20"/>
        </w:rPr>
        <w:t xml:space="preserve"> consult you before making that decision.</w:t>
      </w:r>
    </w:p>
    <w:p w14:paraId="0569DC7C" w14:textId="77777777" w:rsidR="00BA23B4" w:rsidRDefault="00BA23B4" w:rsidP="00BA23B4">
      <w:pPr>
        <w:pStyle w:val="Heading3"/>
      </w:pPr>
      <w:r>
        <w:t>Privacy Act 2020</w:t>
      </w:r>
    </w:p>
    <w:p w14:paraId="1025FD53" w14:textId="51533AD6" w:rsidR="00F07DFF" w:rsidRDefault="00F07DFF" w:rsidP="00F07DFF">
      <w:pPr>
        <w:pStyle w:val="BodyTextnonum"/>
        <w:numPr>
          <w:ilvl w:val="0"/>
          <w:numId w:val="0"/>
        </w:numPr>
        <w:rPr>
          <w:rFonts w:eastAsia="Times"/>
          <w:szCs w:val="20"/>
        </w:rPr>
      </w:pPr>
      <w:r w:rsidRPr="008642D1">
        <w:t xml:space="preserve">Information supplied to </w:t>
      </w:r>
      <w:r>
        <w:t xml:space="preserve">Te Aka Matua o te Ture | Law </w:t>
      </w:r>
      <w:r w:rsidRPr="008642D1">
        <w:t xml:space="preserve">Commission is subject to </w:t>
      </w:r>
      <w:r w:rsidR="00BA23B4">
        <w:t>the</w:t>
      </w:r>
      <w:r w:rsidRPr="008642D1">
        <w:t xml:space="preserve"> Privacy Act 2020. </w:t>
      </w:r>
      <w:r>
        <w:t xml:space="preserve">Your submission may contain personal information. </w:t>
      </w:r>
      <w:r>
        <w:rPr>
          <w:rFonts w:eastAsia="Times"/>
          <w:szCs w:val="20"/>
        </w:rPr>
        <w:t>Y</w:t>
      </w:r>
      <w:r w:rsidRPr="007B00E0">
        <w:rPr>
          <w:rFonts w:eastAsia="Times"/>
          <w:szCs w:val="20"/>
        </w:rPr>
        <w:t>ou have the right to access and correct</w:t>
      </w:r>
      <w:r>
        <w:rPr>
          <w:rFonts w:eastAsia="Times"/>
          <w:szCs w:val="20"/>
        </w:rPr>
        <w:t xml:space="preserve"> your personal information held by the Commission.</w:t>
      </w:r>
    </w:p>
    <w:p w14:paraId="6DABEF12" w14:textId="77777777" w:rsidR="0085624D" w:rsidRDefault="0085624D" w:rsidP="0062125E">
      <w:pPr>
        <w:rPr>
          <w:rFonts w:eastAsia="Times New Roman Mäori"/>
          <w:color w:val="72AB6A"/>
          <w:spacing w:val="-19"/>
          <w:szCs w:val="66"/>
        </w:rPr>
      </w:pPr>
      <w:bookmarkStart w:id="9" w:name="_Toc57815046"/>
      <w:bookmarkStart w:id="10" w:name="_Toc66105736"/>
      <w:bookmarkStart w:id="11" w:name="_Toc66116295"/>
    </w:p>
    <w:p w14:paraId="270D1AC7" w14:textId="4A12971B" w:rsidR="0085624D" w:rsidRDefault="0085624D" w:rsidP="0062125E">
      <w:pPr>
        <w:rPr>
          <w:rFonts w:eastAsia="Times New Roman Mäori"/>
          <w:color w:val="72AB6A"/>
          <w:spacing w:val="-19"/>
          <w:szCs w:val="66"/>
        </w:rPr>
      </w:pPr>
      <w:r w:rsidRPr="008642D1">
        <w:rPr>
          <w:noProof/>
          <w:lang w:eastAsia="en-NZ"/>
        </w:rPr>
        <mc:AlternateContent>
          <mc:Choice Requires="wpg">
            <w:drawing>
              <wp:anchor distT="0" distB="0" distL="114300" distR="114300" simplePos="0" relativeHeight="251664525" behindDoc="1" locked="0" layoutInCell="1" allowOverlap="1" wp14:anchorId="77F72E9F" wp14:editId="27B46C92">
                <wp:simplePos x="0" y="0"/>
                <wp:positionH relativeFrom="page">
                  <wp:posOffset>1080135</wp:posOffset>
                </wp:positionH>
                <wp:positionV relativeFrom="paragraph">
                  <wp:posOffset>43815</wp:posOffset>
                </wp:positionV>
                <wp:extent cx="1332230" cy="1270"/>
                <wp:effectExtent l="0" t="19050" r="20320" b="17780"/>
                <wp:wrapNone/>
                <wp:docPr id="227262244" name="Group 227262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469"/>
                          <a:chExt cx="2098" cy="2"/>
                        </a:xfrm>
                      </wpg:grpSpPr>
                      <wps:wsp>
                        <wps:cNvPr id="1480129338"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AB345" id="Group 227262244" o:spid="_x0000_s1026" style="position:absolute;margin-left:85.05pt;margin-top:3.45pt;width:104.9pt;height:.1pt;z-index:-251651955;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" path="m,l2097,e" filled="f" strokecolor="#72ab6a" strokeweight="3pt">
                  <v:path arrowok="t" o:connecttype="custom" o:connectlocs="0,0;2097,0" o:connectangles="0,0"/>
                </v:shape>
                <w10:wrap anchorx="page"/>
              </v:group>
            </w:pict>
          </mc:Fallback>
        </mc:AlternateContent>
      </w:r>
    </w:p>
    <w:p w14:paraId="3F937A20" w14:textId="07D679FD" w:rsidR="0085624D" w:rsidRPr="008642D1" w:rsidRDefault="0085624D" w:rsidP="0062125E">
      <w:pPr>
        <w:rPr>
          <w:rFonts w:eastAsia="Times New Roman Mäori"/>
          <w:color w:val="72AB6A"/>
          <w:spacing w:val="-19"/>
          <w:szCs w:val="66"/>
        </w:rPr>
        <w:sectPr w:rsidR="0085624D" w:rsidRPr="008642D1" w:rsidSect="001E6322">
          <w:headerReference w:type="even" r:id="rId24"/>
          <w:headerReference w:type="default" r:id="rId25"/>
          <w:footnotePr>
            <w:numRestart w:val="eachSect"/>
          </w:footnotePr>
          <w:type w:val="continuous"/>
          <w:pgSz w:w="11907" w:h="16840" w:code="9"/>
          <w:pgMar w:top="1134" w:right="1134" w:bottom="1134" w:left="1701" w:header="720" w:footer="720" w:gutter="0"/>
          <w:pgNumType w:fmt="lowerRoman" w:start="3"/>
          <w:cols w:space="720"/>
          <w:docGrid w:linePitch="272"/>
        </w:sectPr>
      </w:pPr>
    </w:p>
    <w:p w14:paraId="74A75317" w14:textId="77777777" w:rsidR="000B40BB" w:rsidRPr="008642D1" w:rsidRDefault="000B40BB" w:rsidP="000B40BB">
      <w:bookmarkStart w:id="12" w:name="_Toc531954812"/>
      <w:bookmarkStart w:id="13" w:name="_Toc57815049"/>
      <w:bookmarkStart w:id="14" w:name="_Toc66116298"/>
      <w:bookmarkStart w:id="15" w:name="_Toc67055486"/>
      <w:bookmarkStart w:id="16" w:name="_Toc68863166"/>
      <w:bookmarkStart w:id="17" w:name="_Toc69283942"/>
      <w:bookmarkStart w:id="18" w:name="_Toc113621557"/>
      <w:bookmarkStart w:id="19" w:name="_Toc127978617"/>
      <w:bookmarkStart w:id="20" w:name="_Toc131408553"/>
      <w:bookmarkStart w:id="21" w:name="_Toc133415038"/>
      <w:bookmarkStart w:id="22" w:name="_Toc135221470"/>
      <w:bookmarkStart w:id="23" w:name="_Toc135233120"/>
      <w:bookmarkStart w:id="24" w:name="_Toc135300933"/>
      <w:bookmarkStart w:id="25" w:name="_Toc159247957"/>
      <w:bookmarkStart w:id="26" w:name="_Toc166233803"/>
      <w:bookmarkStart w:id="27" w:name="_Toc169276652"/>
      <w:bookmarkEnd w:id="9"/>
      <w:bookmarkEnd w:id="10"/>
      <w:bookmarkEnd w:id="11"/>
    </w:p>
    <w:p w14:paraId="45AD8C76" w14:textId="77777777" w:rsidR="009B73CF" w:rsidRPr="008642D1" w:rsidRDefault="009B73CF" w:rsidP="009B73CF">
      <w:pPr>
        <w:pStyle w:val="Heading1nonum"/>
        <w:spacing w:before="240"/>
        <w:ind w:left="0"/>
        <w:contextualSpacing/>
        <w:rPr>
          <w:rFonts w:eastAsia="Times New Roman Mäori"/>
        </w:rPr>
      </w:pPr>
      <w:bookmarkStart w:id="28" w:name="_Toc170302105"/>
      <w:r>
        <w:rPr>
          <w:rFonts w:eastAsia="Consolas"/>
        </w:rPr>
        <w:t>Acknowledgements</w:t>
      </w:r>
      <w:bookmarkEnd w:id="28"/>
    </w:p>
    <w:p w14:paraId="2DF25E7D" w14:textId="77777777" w:rsidR="009B73CF" w:rsidRPr="008642D1" w:rsidRDefault="009B73CF" w:rsidP="009B73CF">
      <w:pPr>
        <w:pStyle w:val="BodyTextIndent"/>
        <w:spacing w:after="120"/>
        <w:ind w:left="0"/>
      </w:pPr>
      <w:r w:rsidRPr="008642D1">
        <w:t>T</w:t>
      </w:r>
      <w:r>
        <w:t>e Aka Matua o te Ture |</w:t>
      </w:r>
      <w:r w:rsidRPr="008642D1" w:rsidDel="006725BD">
        <w:t xml:space="preserve"> </w:t>
      </w:r>
      <w:r w:rsidRPr="008642D1">
        <w:t xml:space="preserve">Law Commission gratefully acknowledges </w:t>
      </w:r>
      <w:r>
        <w:t xml:space="preserve">all those </w:t>
      </w:r>
      <w:r w:rsidRPr="008642D1">
        <w:t xml:space="preserve">people and organisations that have </w:t>
      </w:r>
      <w:r>
        <w:t xml:space="preserve">engaged with us so far in this review and shared their expertise, experiences and perspectives. </w:t>
      </w:r>
    </w:p>
    <w:p w14:paraId="461FB029" w14:textId="77777777" w:rsidR="009B73CF" w:rsidRPr="008642D1" w:rsidRDefault="009B73CF" w:rsidP="009B73CF">
      <w:pPr>
        <w:pStyle w:val="BodyTextIndent"/>
        <w:spacing w:after="120"/>
        <w:ind w:left="0"/>
      </w:pPr>
      <w:r w:rsidRPr="008642D1">
        <w:t xml:space="preserve">We acknowledge the </w:t>
      </w:r>
      <w:r>
        <w:t xml:space="preserve">expertise and </w:t>
      </w:r>
      <w:r w:rsidRPr="008642D1">
        <w:t>genero</w:t>
      </w:r>
      <w:r>
        <w:t>sity of</w:t>
      </w:r>
      <w:r w:rsidRPr="008642D1">
        <w:t xml:space="preserve"> our Expert Advisory Group: </w:t>
      </w:r>
    </w:p>
    <w:p w14:paraId="48B5EB10" w14:textId="74E96D6A" w:rsidR="009B73CF" w:rsidRPr="008642D1" w:rsidRDefault="009B73CF" w:rsidP="009B73CF">
      <w:pPr>
        <w:pStyle w:val="BodyTextIndent"/>
        <w:spacing w:after="120"/>
        <w:ind w:left="720"/>
      </w:pPr>
      <w:r w:rsidRPr="008642D1">
        <w:t>Ahi Wi-Hongi, Prof</w:t>
      </w:r>
      <w:r>
        <w:t>essor</w:t>
      </w:r>
      <w:r w:rsidRPr="008642D1">
        <w:t xml:space="preserve"> Claire Charters, Frances Joychild KC, Jack Byrne, Jelly O’Shea, Mani Bruce Mitchell MNZM, Prof</w:t>
      </w:r>
      <w:r>
        <w:t>essor</w:t>
      </w:r>
      <w:r w:rsidRPr="008642D1">
        <w:t xml:space="preserve"> Paul Rishworth KC, Phylesha Brown-Acton </w:t>
      </w:r>
      <w:r>
        <w:t>MNZM</w:t>
      </w:r>
      <w:r w:rsidRPr="008642D1">
        <w:t xml:space="preserve"> and Susan Hornsby-Geluk.</w:t>
      </w:r>
    </w:p>
    <w:p w14:paraId="06079A4F" w14:textId="77777777" w:rsidR="009B73CF" w:rsidRPr="008642D1" w:rsidRDefault="009B73CF" w:rsidP="009B73CF">
      <w:pPr>
        <w:pStyle w:val="BodyTextIndent"/>
        <w:spacing w:after="120"/>
        <w:ind w:left="0"/>
      </w:pPr>
      <w:r w:rsidRPr="008642D1">
        <w:t xml:space="preserve">We are grateful to the pūkenga who attended and contributed to </w:t>
      </w:r>
      <w:r>
        <w:t>a</w:t>
      </w:r>
      <w:r w:rsidRPr="008642D1">
        <w:t xml:space="preserve"> wānanga </w:t>
      </w:r>
      <w:r>
        <w:t>we held to discuss Māori perspectives on</w:t>
      </w:r>
      <w:r w:rsidRPr="008642D1">
        <w:t xml:space="preserve"> issues in this review: </w:t>
      </w:r>
    </w:p>
    <w:p w14:paraId="6CB785D7" w14:textId="77777777" w:rsidR="009B73CF" w:rsidRPr="008642D1" w:rsidRDefault="009B73CF" w:rsidP="009B73CF">
      <w:pPr>
        <w:pStyle w:val="BodyTextIndent"/>
        <w:spacing w:after="120"/>
        <w:ind w:left="720"/>
      </w:pPr>
      <w:r w:rsidRPr="008642D1">
        <w:t xml:space="preserve">Ahi Wi-Hongi, Dr Elizabeth Kerekere, </w:t>
      </w:r>
      <w:r>
        <w:t xml:space="preserve">Hon </w:t>
      </w:r>
      <w:r w:rsidRPr="008642D1">
        <w:t>Justice Joseph Williams, Dr Kim McBreen, Mx Pere Wihongi, Paraone Gloyne, Dr Tāwhanga Nopera, Tu Chapman and Tu Temara.</w:t>
      </w:r>
    </w:p>
    <w:p w14:paraId="57966B56" w14:textId="77777777" w:rsidR="009B73CF" w:rsidRDefault="009B73CF" w:rsidP="009B73CF">
      <w:pPr>
        <w:pStyle w:val="BodyTextIndent"/>
        <w:spacing w:after="120"/>
        <w:ind w:left="0"/>
      </w:pPr>
      <w:r w:rsidRPr="008642D1">
        <w:t>We received valuable assistance</w:t>
      </w:r>
      <w:r>
        <w:t xml:space="preserve"> with this wānanga </w:t>
      </w:r>
      <w:r w:rsidRPr="008642D1">
        <w:t xml:space="preserve">from Whāia Legal and give our particular thanks to Maia Wikaira and Tai Ahu. </w:t>
      </w:r>
    </w:p>
    <w:p w14:paraId="40A0A12D" w14:textId="77777777" w:rsidR="009B73CF" w:rsidRPr="008642D1" w:rsidRDefault="009B73CF" w:rsidP="009B73CF">
      <w:pPr>
        <w:pStyle w:val="BodyTextIndent"/>
        <w:spacing w:after="120"/>
        <w:ind w:left="0"/>
      </w:pPr>
      <w:r w:rsidRPr="008642D1">
        <w:t xml:space="preserve">We are grateful for the support and guidance of the </w:t>
      </w:r>
      <w:r>
        <w:t xml:space="preserve">Law Commission’s </w:t>
      </w:r>
      <w:r w:rsidRPr="008642D1">
        <w:t>Māori Liaison Committee.</w:t>
      </w:r>
    </w:p>
    <w:p w14:paraId="6D541A81" w14:textId="77777777" w:rsidR="009B73CF" w:rsidRPr="008642D1" w:rsidRDefault="009B73CF" w:rsidP="009B73CF">
      <w:pPr>
        <w:pStyle w:val="BodyTextIndent"/>
        <w:spacing w:after="120"/>
        <w:ind w:left="0"/>
      </w:pPr>
      <w:r w:rsidRPr="008642D1">
        <w:t>The Commissioner responsible for this review is Claudia Geiringer.</w:t>
      </w:r>
      <w:r>
        <w:t xml:space="preserve"> The Commissioners are grateful for the hard work of the Ia Tangata project team in preparing this Issues Paper.</w:t>
      </w:r>
    </w:p>
    <w:p w14:paraId="4E89BAED" w14:textId="3A177C4F" w:rsidR="009B73CF" w:rsidRDefault="009B73CF" w:rsidP="009B73CF">
      <w:pPr>
        <w:pStyle w:val="BodyTextIndent"/>
        <w:spacing w:after="120"/>
        <w:ind w:left="0"/>
      </w:pPr>
      <w:r w:rsidRPr="008642D1">
        <w:t>Nō reira, ko tēnei mātou e mihi nei ki a koutou, kua whai wā ki te āwhina i a mātou. Tēnā koutou, tēnā koutou, tēnā koutou katoa.</w:t>
      </w:r>
    </w:p>
    <w:p w14:paraId="5D244DE3" w14:textId="77777777" w:rsidR="000F6125" w:rsidRDefault="000F6125" w:rsidP="00207611">
      <w:pPr>
        <w:pStyle w:val="BodyTextIndent"/>
        <w:numPr>
          <w:ilvl w:val="0"/>
          <w:numId w:val="0"/>
        </w:numPr>
        <w:spacing w:after="120"/>
      </w:pPr>
    </w:p>
    <w:p w14:paraId="00C98398" w14:textId="7533EFDA" w:rsidR="000F6125" w:rsidRDefault="0085624D" w:rsidP="00207611">
      <w:pPr>
        <w:pStyle w:val="BodyTextIndent"/>
        <w:numPr>
          <w:ilvl w:val="0"/>
          <w:numId w:val="0"/>
        </w:numPr>
        <w:spacing w:after="120"/>
      </w:pPr>
      <w:r w:rsidRPr="008642D1">
        <w:rPr>
          <w:noProof/>
          <w:lang w:eastAsia="en-NZ"/>
        </w:rPr>
        <mc:AlternateContent>
          <mc:Choice Requires="wpg">
            <w:drawing>
              <wp:anchor distT="0" distB="0" distL="114300" distR="114300" simplePos="0" relativeHeight="251666573" behindDoc="1" locked="0" layoutInCell="1" allowOverlap="1" wp14:anchorId="648582E4" wp14:editId="65B23621">
                <wp:simplePos x="0" y="0"/>
                <wp:positionH relativeFrom="page">
                  <wp:posOffset>1080135</wp:posOffset>
                </wp:positionH>
                <wp:positionV relativeFrom="paragraph">
                  <wp:posOffset>95141</wp:posOffset>
                </wp:positionV>
                <wp:extent cx="1332230" cy="1270"/>
                <wp:effectExtent l="0" t="19050" r="20320" b="17780"/>
                <wp:wrapNone/>
                <wp:docPr id="477125839" name="Group 477125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469"/>
                          <a:chExt cx="2098" cy="2"/>
                        </a:xfrm>
                      </wpg:grpSpPr>
                      <wps:wsp>
                        <wps:cNvPr id="1325360790"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37711" id="Group 477125839" o:spid="_x0000_s1026" style="position:absolute;margin-left:85.05pt;margin-top:7.5pt;width:104.9pt;height:.1pt;z-index:-251649907;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" path="m,l2097,e" filled="f" strokecolor="#72ab6a" strokeweight="3pt">
                  <v:path arrowok="t" o:connecttype="custom" o:connectlocs="0,0;2097,0" o:connectangles="0,0"/>
                </v:shape>
                <w10:wrap anchorx="page"/>
              </v:group>
            </w:pict>
          </mc:Fallback>
        </mc:AlternateContent>
      </w:r>
    </w:p>
    <w:p w14:paraId="7193A776" w14:textId="77777777" w:rsidR="000F6125" w:rsidRPr="008642D1" w:rsidRDefault="000F6125" w:rsidP="008208F7">
      <w:pPr>
        <w:pStyle w:val="BodyTextIndent"/>
        <w:numPr>
          <w:ilvl w:val="0"/>
          <w:numId w:val="0"/>
        </w:numPr>
        <w:spacing w:after="120"/>
      </w:pPr>
    </w:p>
    <w:p w14:paraId="14D4FDE0" w14:textId="77777777" w:rsidR="009B73CF" w:rsidRPr="008642D1" w:rsidRDefault="009B73CF" w:rsidP="009B73CF">
      <w:pPr>
        <w:rPr>
          <w:rFonts w:eastAsia="Times New Roman Mäori"/>
          <w:color w:val="72AB6A"/>
          <w:spacing w:val="-19"/>
          <w:szCs w:val="66"/>
        </w:rPr>
        <w:sectPr w:rsidR="009B73CF" w:rsidRPr="008642D1" w:rsidSect="0085624D">
          <w:headerReference w:type="even" r:id="rId26"/>
          <w:headerReference w:type="default" r:id="rId27"/>
          <w:footnotePr>
            <w:numRestart w:val="eachSect"/>
          </w:footnotePr>
          <w:type w:val="nextColumn"/>
          <w:pgSz w:w="11907" w:h="16840" w:code="9"/>
          <w:pgMar w:top="1134" w:right="1134" w:bottom="1134" w:left="1701" w:header="720" w:footer="720" w:gutter="0"/>
          <w:pgNumType w:fmt="lowerRoman"/>
          <w:cols w:space="720"/>
          <w:docGrid w:linePitch="272"/>
        </w:sectPr>
      </w:pPr>
    </w:p>
    <w:p w14:paraId="119B243F" w14:textId="2FFD53BC" w:rsidR="00870E17" w:rsidRPr="008642D1" w:rsidRDefault="00241B1A" w:rsidP="00241B1A">
      <w:pPr>
        <w:pStyle w:val="Heading1nonum"/>
        <w:spacing w:before="600" w:after="240"/>
        <w:ind w:left="0"/>
        <w:rPr>
          <w:rFonts w:eastAsia="Consolas"/>
        </w:rPr>
      </w:pPr>
      <w:bookmarkStart w:id="29" w:name="_Toc170217450"/>
      <w:bookmarkStart w:id="30" w:name="_Toc170302106"/>
      <w:r w:rsidRPr="0079490C">
        <w:rPr>
          <w:rFonts w:asciiTheme="minorHAnsi" w:hAnsiTheme="minorHAnsi"/>
          <w:noProof/>
          <w:lang w:eastAsia="en-NZ"/>
        </w:rPr>
        <w:lastRenderedPageBreak/>
        <mc:AlternateContent>
          <mc:Choice Requires="wpg">
            <w:drawing>
              <wp:anchor distT="0" distB="0" distL="114300" distR="114300" simplePos="0" relativeHeight="251658246" behindDoc="1" locked="0" layoutInCell="1" allowOverlap="1" wp14:anchorId="4E7FABF7" wp14:editId="0F96CB0E">
                <wp:simplePos x="0" y="0"/>
                <wp:positionH relativeFrom="page">
                  <wp:posOffset>1108710</wp:posOffset>
                </wp:positionH>
                <wp:positionV relativeFrom="paragraph">
                  <wp:posOffset>951865</wp:posOffset>
                </wp:positionV>
                <wp:extent cx="1332230" cy="1270"/>
                <wp:effectExtent l="0" t="19050" r="20320" b="1778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30"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F5B1B" id="Group 27" o:spid="_x0000_s1026" style="position:absolute;margin-left:87.3pt;margin-top:74.95pt;width:104.9pt;height:.1pt;z-index:-251658234;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" path="m,l2098,e" filled="f" strokecolor="#73ab6e" strokeweight="3pt">
                  <v:path arrowok="t" o:connecttype="custom" o:connectlocs="0,0;2098,0" o:connectangles="0,0"/>
                </v:shape>
                <w10:wrap anchorx="page"/>
              </v:group>
            </w:pict>
          </mc:Fallback>
        </mc:AlternateConten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00870E17" w:rsidRPr="0079490C">
        <w:rPr>
          <w:rFonts w:eastAsia="Consolas"/>
        </w:rPr>
        <w:t>Contents</w:t>
      </w:r>
      <w:bookmarkEnd w:id="29"/>
      <w:bookmarkEnd w:id="30"/>
    </w:p>
    <w:p w14:paraId="07CA4D7F" w14:textId="77777777" w:rsidR="00241B1A" w:rsidRDefault="00241B1A">
      <w:pPr>
        <w:pStyle w:val="TOC1"/>
        <w:rPr>
          <w:b w:val="0"/>
          <w:color w:val="auto"/>
          <w:lang w:eastAsia="en-NZ"/>
        </w:rPr>
      </w:pPr>
    </w:p>
    <w:p w14:paraId="418CC79B" w14:textId="77777777" w:rsidR="00401777" w:rsidRPr="00401777" w:rsidRDefault="00401777" w:rsidP="00401777">
      <w:pPr>
        <w:rPr>
          <w:lang w:eastAsia="en-NZ"/>
        </w:rPr>
      </w:pPr>
    </w:p>
    <w:p w14:paraId="01DF27BF" w14:textId="04442321" w:rsidR="00BD5D1F" w:rsidRDefault="00B06235">
      <w:pPr>
        <w:pStyle w:val="TOC1"/>
        <w:rPr>
          <w:rFonts w:eastAsiaTheme="minorEastAsia"/>
          <w:b w:val="0"/>
          <w:noProof/>
          <w:color w:val="auto"/>
          <w:sz w:val="24"/>
          <w:szCs w:val="24"/>
          <w:lang w:eastAsia="en-NZ"/>
        </w:rPr>
      </w:pPr>
      <w:r w:rsidRPr="008642D1">
        <w:rPr>
          <w:b w:val="0"/>
          <w:color w:val="auto"/>
          <w:lang w:eastAsia="en-NZ"/>
        </w:rPr>
        <w:fldChar w:fldCharType="begin"/>
      </w:r>
      <w:r w:rsidRPr="008642D1">
        <w:rPr>
          <w:b w:val="0"/>
          <w:color w:val="auto"/>
          <w:lang w:eastAsia="en-NZ"/>
        </w:rPr>
        <w:instrText xml:space="preserve"> TOC \o "1-2" \h \z \u </w:instrText>
      </w:r>
      <w:r w:rsidRPr="008642D1">
        <w:rPr>
          <w:b w:val="0"/>
          <w:color w:val="auto"/>
          <w:lang w:eastAsia="en-NZ"/>
        </w:rPr>
        <w:fldChar w:fldCharType="separate"/>
      </w:r>
      <w:hyperlink w:anchor="_Toc170302103" w:history="1">
        <w:r w:rsidR="00BD5D1F" w:rsidRPr="006A4E08">
          <w:rPr>
            <w:rStyle w:val="Hyperlink"/>
            <w:rFonts w:eastAsia="Times New Roman Mäori"/>
            <w:noProof/>
          </w:rPr>
          <w:t>Have your say</w:t>
        </w:r>
        <w:r w:rsidR="00BD5D1F">
          <w:rPr>
            <w:noProof/>
            <w:webHidden/>
          </w:rPr>
          <w:tab/>
        </w:r>
        <w:r w:rsidR="00BD5D1F">
          <w:rPr>
            <w:noProof/>
            <w:webHidden/>
          </w:rPr>
          <w:fldChar w:fldCharType="begin"/>
        </w:r>
        <w:r w:rsidR="00BD5D1F">
          <w:rPr>
            <w:noProof/>
            <w:webHidden/>
          </w:rPr>
          <w:instrText xml:space="preserve"> PAGEREF _Toc170302103 \h </w:instrText>
        </w:r>
        <w:r w:rsidR="00BD5D1F">
          <w:rPr>
            <w:noProof/>
            <w:webHidden/>
          </w:rPr>
        </w:r>
        <w:r w:rsidR="00BD5D1F">
          <w:rPr>
            <w:noProof/>
            <w:webHidden/>
          </w:rPr>
          <w:fldChar w:fldCharType="separate"/>
        </w:r>
        <w:r w:rsidR="00454008">
          <w:rPr>
            <w:noProof/>
            <w:webHidden/>
          </w:rPr>
          <w:t>iv</w:t>
        </w:r>
        <w:r w:rsidR="00BD5D1F">
          <w:rPr>
            <w:noProof/>
            <w:webHidden/>
          </w:rPr>
          <w:fldChar w:fldCharType="end"/>
        </w:r>
      </w:hyperlink>
    </w:p>
    <w:p w14:paraId="69DC55CC" w14:textId="2C048E1C" w:rsidR="00BD5D1F" w:rsidRDefault="00F437C5">
      <w:pPr>
        <w:pStyle w:val="TOC1"/>
        <w:rPr>
          <w:rFonts w:eastAsiaTheme="minorEastAsia"/>
          <w:b w:val="0"/>
          <w:noProof/>
          <w:color w:val="auto"/>
          <w:sz w:val="24"/>
          <w:szCs w:val="24"/>
          <w:lang w:eastAsia="en-NZ"/>
        </w:rPr>
      </w:pPr>
      <w:hyperlink w:anchor="_Toc170302105" w:history="1">
        <w:r w:rsidR="00BD5D1F" w:rsidRPr="006A4E08">
          <w:rPr>
            <w:rStyle w:val="Hyperlink"/>
            <w:rFonts w:eastAsia="Consolas"/>
            <w:noProof/>
          </w:rPr>
          <w:t>Acknowledgements</w:t>
        </w:r>
        <w:r w:rsidR="00BD5D1F">
          <w:rPr>
            <w:noProof/>
            <w:webHidden/>
          </w:rPr>
          <w:tab/>
        </w:r>
        <w:r w:rsidR="00BD5D1F">
          <w:rPr>
            <w:noProof/>
            <w:webHidden/>
          </w:rPr>
          <w:fldChar w:fldCharType="begin"/>
        </w:r>
        <w:r w:rsidR="00BD5D1F">
          <w:rPr>
            <w:noProof/>
            <w:webHidden/>
          </w:rPr>
          <w:instrText xml:space="preserve"> PAGEREF _Toc170302105 \h </w:instrText>
        </w:r>
        <w:r w:rsidR="00BD5D1F">
          <w:rPr>
            <w:noProof/>
            <w:webHidden/>
          </w:rPr>
        </w:r>
        <w:r w:rsidR="00BD5D1F">
          <w:rPr>
            <w:noProof/>
            <w:webHidden/>
          </w:rPr>
          <w:fldChar w:fldCharType="separate"/>
        </w:r>
        <w:r w:rsidR="00454008">
          <w:rPr>
            <w:noProof/>
            <w:webHidden/>
          </w:rPr>
          <w:t>iv</w:t>
        </w:r>
        <w:r w:rsidR="00BD5D1F">
          <w:rPr>
            <w:noProof/>
            <w:webHidden/>
          </w:rPr>
          <w:fldChar w:fldCharType="end"/>
        </w:r>
      </w:hyperlink>
    </w:p>
    <w:p w14:paraId="22B7F400" w14:textId="6B23B0AE" w:rsidR="00BD5D1F" w:rsidRDefault="00F437C5">
      <w:pPr>
        <w:pStyle w:val="TOC1"/>
        <w:rPr>
          <w:rFonts w:eastAsiaTheme="minorEastAsia"/>
          <w:b w:val="0"/>
          <w:noProof/>
          <w:color w:val="auto"/>
          <w:sz w:val="24"/>
          <w:szCs w:val="24"/>
          <w:lang w:eastAsia="en-NZ"/>
        </w:rPr>
      </w:pPr>
      <w:hyperlink w:anchor="_Toc170302107" w:history="1">
        <w:r w:rsidR="00BD5D1F">
          <w:rPr>
            <w:rStyle w:val="Hyperlink"/>
            <w:noProof/>
          </w:rPr>
          <w:t xml:space="preserve">Chapter 1: </w:t>
        </w:r>
        <w:r w:rsidR="00BD5D1F" w:rsidRPr="006A4E08">
          <w:rPr>
            <w:rStyle w:val="Hyperlink"/>
            <w:noProof/>
          </w:rPr>
          <w:t>Introduction</w:t>
        </w:r>
        <w:r w:rsidR="00BD5D1F">
          <w:rPr>
            <w:noProof/>
            <w:webHidden/>
          </w:rPr>
          <w:tab/>
        </w:r>
        <w:r w:rsidR="00BD5D1F">
          <w:rPr>
            <w:noProof/>
            <w:webHidden/>
          </w:rPr>
          <w:fldChar w:fldCharType="begin"/>
        </w:r>
        <w:r w:rsidR="00BD5D1F">
          <w:rPr>
            <w:noProof/>
            <w:webHidden/>
          </w:rPr>
          <w:instrText xml:space="preserve"> PAGEREF _Toc170302107 \h </w:instrText>
        </w:r>
        <w:r w:rsidR="00BD5D1F">
          <w:rPr>
            <w:noProof/>
            <w:webHidden/>
          </w:rPr>
        </w:r>
        <w:r w:rsidR="00BD5D1F">
          <w:rPr>
            <w:noProof/>
            <w:webHidden/>
          </w:rPr>
          <w:fldChar w:fldCharType="separate"/>
        </w:r>
        <w:r w:rsidR="00454008">
          <w:rPr>
            <w:noProof/>
            <w:webHidden/>
          </w:rPr>
          <w:t>6</w:t>
        </w:r>
        <w:r w:rsidR="00BD5D1F">
          <w:rPr>
            <w:noProof/>
            <w:webHidden/>
          </w:rPr>
          <w:fldChar w:fldCharType="end"/>
        </w:r>
      </w:hyperlink>
    </w:p>
    <w:p w14:paraId="06185C46" w14:textId="60939376" w:rsidR="00BD5D1F" w:rsidRDefault="00F437C5" w:rsidP="00BD5D1F">
      <w:pPr>
        <w:pStyle w:val="TOC2"/>
        <w:spacing w:after="120"/>
        <w:rPr>
          <w:rFonts w:eastAsiaTheme="minorEastAsia"/>
          <w:noProof/>
          <w:sz w:val="24"/>
          <w:szCs w:val="24"/>
          <w:lang w:eastAsia="en-NZ"/>
        </w:rPr>
      </w:pPr>
      <w:hyperlink w:anchor="_Toc170302108" w:history="1">
        <w:r w:rsidR="00BD5D1F" w:rsidRPr="006A4E08">
          <w:rPr>
            <w:rStyle w:val="Hyperlink"/>
            <w:noProof/>
          </w:rPr>
          <w:t>About this Issues Paper</w:t>
        </w:r>
        <w:r w:rsidR="00BD5D1F">
          <w:rPr>
            <w:noProof/>
            <w:webHidden/>
          </w:rPr>
          <w:tab/>
        </w:r>
        <w:r w:rsidR="00BD5D1F">
          <w:rPr>
            <w:noProof/>
            <w:webHidden/>
          </w:rPr>
          <w:fldChar w:fldCharType="begin"/>
        </w:r>
        <w:r w:rsidR="00BD5D1F">
          <w:rPr>
            <w:noProof/>
            <w:webHidden/>
          </w:rPr>
          <w:instrText xml:space="preserve"> PAGEREF _Toc170302108 \h </w:instrText>
        </w:r>
        <w:r w:rsidR="00BD5D1F">
          <w:rPr>
            <w:noProof/>
            <w:webHidden/>
          </w:rPr>
        </w:r>
        <w:r w:rsidR="00BD5D1F">
          <w:rPr>
            <w:noProof/>
            <w:webHidden/>
          </w:rPr>
          <w:fldChar w:fldCharType="separate"/>
        </w:r>
        <w:r w:rsidR="00454008">
          <w:rPr>
            <w:noProof/>
            <w:webHidden/>
          </w:rPr>
          <w:t>6</w:t>
        </w:r>
        <w:r w:rsidR="00BD5D1F">
          <w:rPr>
            <w:noProof/>
            <w:webHidden/>
          </w:rPr>
          <w:fldChar w:fldCharType="end"/>
        </w:r>
      </w:hyperlink>
    </w:p>
    <w:p w14:paraId="6F98ACB6" w14:textId="17BAB2C9" w:rsidR="00BD5D1F" w:rsidRDefault="00F437C5" w:rsidP="00BD5D1F">
      <w:pPr>
        <w:pStyle w:val="TOC2"/>
        <w:spacing w:after="120"/>
        <w:rPr>
          <w:rFonts w:eastAsiaTheme="minorEastAsia"/>
          <w:noProof/>
          <w:sz w:val="24"/>
          <w:szCs w:val="24"/>
          <w:lang w:eastAsia="en-NZ"/>
        </w:rPr>
      </w:pPr>
      <w:hyperlink w:anchor="_Toc170302109" w:history="1">
        <w:r w:rsidR="00BD5D1F" w:rsidRPr="006A4E08">
          <w:rPr>
            <w:rStyle w:val="Hyperlink"/>
            <w:noProof/>
          </w:rPr>
          <w:t>New Zealand’s anti-discrimination law — the Human Rights Act 1993</w:t>
        </w:r>
        <w:r w:rsidR="00BD5D1F">
          <w:rPr>
            <w:noProof/>
            <w:webHidden/>
          </w:rPr>
          <w:tab/>
        </w:r>
        <w:r w:rsidR="00BD5D1F">
          <w:rPr>
            <w:noProof/>
            <w:webHidden/>
          </w:rPr>
          <w:fldChar w:fldCharType="begin"/>
        </w:r>
        <w:r w:rsidR="00BD5D1F">
          <w:rPr>
            <w:noProof/>
            <w:webHidden/>
          </w:rPr>
          <w:instrText xml:space="preserve"> PAGEREF _Toc170302109 \h </w:instrText>
        </w:r>
        <w:r w:rsidR="00BD5D1F">
          <w:rPr>
            <w:noProof/>
            <w:webHidden/>
          </w:rPr>
        </w:r>
        <w:r w:rsidR="00BD5D1F">
          <w:rPr>
            <w:noProof/>
            <w:webHidden/>
          </w:rPr>
          <w:fldChar w:fldCharType="separate"/>
        </w:r>
        <w:r w:rsidR="00454008">
          <w:rPr>
            <w:noProof/>
            <w:webHidden/>
          </w:rPr>
          <w:t>6</w:t>
        </w:r>
        <w:r w:rsidR="00BD5D1F">
          <w:rPr>
            <w:noProof/>
            <w:webHidden/>
          </w:rPr>
          <w:fldChar w:fldCharType="end"/>
        </w:r>
      </w:hyperlink>
    </w:p>
    <w:p w14:paraId="4F26C6AA" w14:textId="278C6B56" w:rsidR="00BD5D1F" w:rsidRDefault="00F437C5" w:rsidP="00BD5D1F">
      <w:pPr>
        <w:pStyle w:val="TOC2"/>
        <w:spacing w:after="120"/>
        <w:rPr>
          <w:rFonts w:eastAsiaTheme="minorEastAsia"/>
          <w:noProof/>
          <w:sz w:val="24"/>
          <w:szCs w:val="24"/>
          <w:lang w:eastAsia="en-NZ"/>
        </w:rPr>
      </w:pPr>
      <w:hyperlink w:anchor="_Toc170302110" w:history="1">
        <w:r w:rsidR="00BD5D1F" w:rsidRPr="006A4E08">
          <w:rPr>
            <w:rStyle w:val="Hyperlink"/>
            <w:noProof/>
          </w:rPr>
          <w:t>Evolution of New Zealand’s anti-discrimination protections</w:t>
        </w:r>
        <w:r w:rsidR="00BD5D1F">
          <w:rPr>
            <w:noProof/>
            <w:webHidden/>
          </w:rPr>
          <w:tab/>
        </w:r>
        <w:r w:rsidR="00BD5D1F">
          <w:rPr>
            <w:noProof/>
            <w:webHidden/>
          </w:rPr>
          <w:fldChar w:fldCharType="begin"/>
        </w:r>
        <w:r w:rsidR="00BD5D1F">
          <w:rPr>
            <w:noProof/>
            <w:webHidden/>
          </w:rPr>
          <w:instrText xml:space="preserve"> PAGEREF _Toc170302110 \h </w:instrText>
        </w:r>
        <w:r w:rsidR="00BD5D1F">
          <w:rPr>
            <w:noProof/>
            <w:webHidden/>
          </w:rPr>
        </w:r>
        <w:r w:rsidR="00BD5D1F">
          <w:rPr>
            <w:noProof/>
            <w:webHidden/>
          </w:rPr>
          <w:fldChar w:fldCharType="separate"/>
        </w:r>
        <w:r w:rsidR="00454008">
          <w:rPr>
            <w:noProof/>
            <w:webHidden/>
          </w:rPr>
          <w:t>8</w:t>
        </w:r>
        <w:r w:rsidR="00BD5D1F">
          <w:rPr>
            <w:noProof/>
            <w:webHidden/>
          </w:rPr>
          <w:fldChar w:fldCharType="end"/>
        </w:r>
      </w:hyperlink>
    </w:p>
    <w:p w14:paraId="1DA04E0A" w14:textId="793D00F7" w:rsidR="00BD5D1F" w:rsidRDefault="00F437C5" w:rsidP="00BD5D1F">
      <w:pPr>
        <w:pStyle w:val="TOC2"/>
        <w:spacing w:after="120"/>
        <w:rPr>
          <w:rFonts w:eastAsiaTheme="minorEastAsia"/>
          <w:noProof/>
          <w:sz w:val="24"/>
          <w:szCs w:val="24"/>
          <w:lang w:eastAsia="en-NZ"/>
        </w:rPr>
      </w:pPr>
      <w:hyperlink w:anchor="_Toc170302111" w:history="1">
        <w:r w:rsidR="00BD5D1F" w:rsidRPr="006A4E08">
          <w:rPr>
            <w:rStyle w:val="Hyperlink"/>
            <w:noProof/>
          </w:rPr>
          <w:t>Momentum for change</w:t>
        </w:r>
        <w:r w:rsidR="00BD5D1F">
          <w:rPr>
            <w:noProof/>
            <w:webHidden/>
          </w:rPr>
          <w:tab/>
        </w:r>
        <w:r w:rsidR="00BD5D1F">
          <w:rPr>
            <w:noProof/>
            <w:webHidden/>
          </w:rPr>
          <w:fldChar w:fldCharType="begin"/>
        </w:r>
        <w:r w:rsidR="00BD5D1F">
          <w:rPr>
            <w:noProof/>
            <w:webHidden/>
          </w:rPr>
          <w:instrText xml:space="preserve"> PAGEREF _Toc170302111 \h </w:instrText>
        </w:r>
        <w:r w:rsidR="00BD5D1F">
          <w:rPr>
            <w:noProof/>
            <w:webHidden/>
          </w:rPr>
        </w:r>
        <w:r w:rsidR="00BD5D1F">
          <w:rPr>
            <w:noProof/>
            <w:webHidden/>
          </w:rPr>
          <w:fldChar w:fldCharType="separate"/>
        </w:r>
        <w:r w:rsidR="00454008">
          <w:rPr>
            <w:noProof/>
            <w:webHidden/>
          </w:rPr>
          <w:t>9</w:t>
        </w:r>
        <w:r w:rsidR="00BD5D1F">
          <w:rPr>
            <w:noProof/>
            <w:webHidden/>
          </w:rPr>
          <w:fldChar w:fldCharType="end"/>
        </w:r>
      </w:hyperlink>
    </w:p>
    <w:p w14:paraId="29DE86CA" w14:textId="608F29DC" w:rsidR="00BD5D1F" w:rsidRDefault="00F437C5" w:rsidP="00BD5D1F">
      <w:pPr>
        <w:pStyle w:val="TOC2"/>
        <w:spacing w:after="120"/>
        <w:rPr>
          <w:rFonts w:eastAsiaTheme="minorEastAsia"/>
          <w:noProof/>
          <w:sz w:val="24"/>
          <w:szCs w:val="24"/>
          <w:lang w:eastAsia="en-NZ"/>
        </w:rPr>
      </w:pPr>
      <w:hyperlink w:anchor="_Toc170302112" w:history="1">
        <w:r w:rsidR="00BD5D1F" w:rsidRPr="006A4E08">
          <w:rPr>
            <w:rStyle w:val="Hyperlink"/>
            <w:noProof/>
          </w:rPr>
          <w:t>Scope of the review and approach taken in this Issues Paper</w:t>
        </w:r>
        <w:r w:rsidR="00BD5D1F">
          <w:rPr>
            <w:noProof/>
            <w:webHidden/>
          </w:rPr>
          <w:tab/>
        </w:r>
        <w:r w:rsidR="00BD5D1F">
          <w:rPr>
            <w:noProof/>
            <w:webHidden/>
          </w:rPr>
          <w:fldChar w:fldCharType="begin"/>
        </w:r>
        <w:r w:rsidR="00BD5D1F">
          <w:rPr>
            <w:noProof/>
            <w:webHidden/>
          </w:rPr>
          <w:instrText xml:space="preserve"> PAGEREF _Toc170302112 \h </w:instrText>
        </w:r>
        <w:r w:rsidR="00BD5D1F">
          <w:rPr>
            <w:noProof/>
            <w:webHidden/>
          </w:rPr>
        </w:r>
        <w:r w:rsidR="00BD5D1F">
          <w:rPr>
            <w:noProof/>
            <w:webHidden/>
          </w:rPr>
          <w:fldChar w:fldCharType="separate"/>
        </w:r>
        <w:r w:rsidR="00454008">
          <w:rPr>
            <w:noProof/>
            <w:webHidden/>
          </w:rPr>
          <w:t>10</w:t>
        </w:r>
        <w:r w:rsidR="00BD5D1F">
          <w:rPr>
            <w:noProof/>
            <w:webHidden/>
          </w:rPr>
          <w:fldChar w:fldCharType="end"/>
        </w:r>
      </w:hyperlink>
    </w:p>
    <w:p w14:paraId="58E5ACDA" w14:textId="67018FCD" w:rsidR="00BD5D1F" w:rsidRDefault="00F437C5" w:rsidP="00BD5D1F">
      <w:pPr>
        <w:pStyle w:val="TOC2"/>
        <w:spacing w:after="120"/>
        <w:rPr>
          <w:rFonts w:eastAsiaTheme="minorEastAsia"/>
          <w:noProof/>
          <w:sz w:val="24"/>
          <w:szCs w:val="24"/>
          <w:lang w:eastAsia="en-NZ"/>
        </w:rPr>
      </w:pPr>
      <w:hyperlink w:anchor="_Toc170302113" w:history="1">
        <w:r w:rsidR="00BD5D1F" w:rsidRPr="006A4E08">
          <w:rPr>
            <w:rStyle w:val="Hyperlink"/>
            <w:noProof/>
          </w:rPr>
          <w:t>Limitations on the scope of this review</w:t>
        </w:r>
        <w:r w:rsidR="00BD5D1F">
          <w:rPr>
            <w:noProof/>
            <w:webHidden/>
          </w:rPr>
          <w:tab/>
        </w:r>
        <w:r w:rsidR="00BD5D1F">
          <w:rPr>
            <w:noProof/>
            <w:webHidden/>
          </w:rPr>
          <w:fldChar w:fldCharType="begin"/>
        </w:r>
        <w:r w:rsidR="00BD5D1F">
          <w:rPr>
            <w:noProof/>
            <w:webHidden/>
          </w:rPr>
          <w:instrText xml:space="preserve"> PAGEREF _Toc170302113 \h </w:instrText>
        </w:r>
        <w:r w:rsidR="00BD5D1F">
          <w:rPr>
            <w:noProof/>
            <w:webHidden/>
          </w:rPr>
        </w:r>
        <w:r w:rsidR="00BD5D1F">
          <w:rPr>
            <w:noProof/>
            <w:webHidden/>
          </w:rPr>
          <w:fldChar w:fldCharType="separate"/>
        </w:r>
        <w:r w:rsidR="00454008">
          <w:rPr>
            <w:noProof/>
            <w:webHidden/>
          </w:rPr>
          <w:t>11</w:t>
        </w:r>
        <w:r w:rsidR="00BD5D1F">
          <w:rPr>
            <w:noProof/>
            <w:webHidden/>
          </w:rPr>
          <w:fldChar w:fldCharType="end"/>
        </w:r>
      </w:hyperlink>
    </w:p>
    <w:p w14:paraId="7E250D3F" w14:textId="784D5E62" w:rsidR="00BD5D1F" w:rsidRDefault="00F437C5" w:rsidP="00BD5D1F">
      <w:pPr>
        <w:pStyle w:val="TOC2"/>
        <w:spacing w:after="120"/>
        <w:rPr>
          <w:rFonts w:eastAsiaTheme="minorEastAsia"/>
          <w:noProof/>
          <w:sz w:val="24"/>
          <w:szCs w:val="24"/>
          <w:lang w:eastAsia="en-NZ"/>
        </w:rPr>
      </w:pPr>
      <w:hyperlink w:anchor="_Toc170302114" w:history="1">
        <w:r w:rsidR="00BD5D1F" w:rsidRPr="006A4E08">
          <w:rPr>
            <w:rStyle w:val="Hyperlink"/>
            <w:noProof/>
          </w:rPr>
          <w:t>Our process so far</w:t>
        </w:r>
        <w:r w:rsidR="00BD5D1F">
          <w:rPr>
            <w:noProof/>
            <w:webHidden/>
          </w:rPr>
          <w:tab/>
        </w:r>
        <w:r w:rsidR="00BD5D1F">
          <w:rPr>
            <w:noProof/>
            <w:webHidden/>
          </w:rPr>
          <w:fldChar w:fldCharType="begin"/>
        </w:r>
        <w:r w:rsidR="00BD5D1F">
          <w:rPr>
            <w:noProof/>
            <w:webHidden/>
          </w:rPr>
          <w:instrText xml:space="preserve"> PAGEREF _Toc170302114 \h </w:instrText>
        </w:r>
        <w:r w:rsidR="00BD5D1F">
          <w:rPr>
            <w:noProof/>
            <w:webHidden/>
          </w:rPr>
        </w:r>
        <w:r w:rsidR="00BD5D1F">
          <w:rPr>
            <w:noProof/>
            <w:webHidden/>
          </w:rPr>
          <w:fldChar w:fldCharType="separate"/>
        </w:r>
        <w:r w:rsidR="00454008">
          <w:rPr>
            <w:noProof/>
            <w:webHidden/>
          </w:rPr>
          <w:t>13</w:t>
        </w:r>
        <w:r w:rsidR="00BD5D1F">
          <w:rPr>
            <w:noProof/>
            <w:webHidden/>
          </w:rPr>
          <w:fldChar w:fldCharType="end"/>
        </w:r>
      </w:hyperlink>
    </w:p>
    <w:p w14:paraId="6E7A12DC" w14:textId="720C6955" w:rsidR="00BD5D1F" w:rsidRDefault="00F437C5" w:rsidP="00BD5D1F">
      <w:pPr>
        <w:pStyle w:val="TOC2"/>
        <w:spacing w:after="120"/>
        <w:rPr>
          <w:rFonts w:eastAsiaTheme="minorEastAsia"/>
          <w:noProof/>
          <w:sz w:val="24"/>
          <w:szCs w:val="24"/>
          <w:lang w:eastAsia="en-NZ"/>
        </w:rPr>
      </w:pPr>
      <w:hyperlink w:anchor="_Toc170302115" w:history="1">
        <w:r w:rsidR="00BD5D1F" w:rsidRPr="006A4E08">
          <w:rPr>
            <w:rStyle w:val="Hyperlink"/>
            <w:noProof/>
          </w:rPr>
          <w:t>What happens now</w:t>
        </w:r>
        <w:r w:rsidR="00BD5D1F">
          <w:rPr>
            <w:noProof/>
            <w:webHidden/>
          </w:rPr>
          <w:tab/>
        </w:r>
        <w:r w:rsidR="00BD5D1F">
          <w:rPr>
            <w:noProof/>
            <w:webHidden/>
          </w:rPr>
          <w:fldChar w:fldCharType="begin"/>
        </w:r>
        <w:r w:rsidR="00BD5D1F">
          <w:rPr>
            <w:noProof/>
            <w:webHidden/>
          </w:rPr>
          <w:instrText xml:space="preserve"> PAGEREF _Toc170302115 \h </w:instrText>
        </w:r>
        <w:r w:rsidR="00BD5D1F">
          <w:rPr>
            <w:noProof/>
            <w:webHidden/>
          </w:rPr>
        </w:r>
        <w:r w:rsidR="00BD5D1F">
          <w:rPr>
            <w:noProof/>
            <w:webHidden/>
          </w:rPr>
          <w:fldChar w:fldCharType="separate"/>
        </w:r>
        <w:r w:rsidR="00454008">
          <w:rPr>
            <w:noProof/>
            <w:webHidden/>
          </w:rPr>
          <w:t>14</w:t>
        </w:r>
        <w:r w:rsidR="00BD5D1F">
          <w:rPr>
            <w:noProof/>
            <w:webHidden/>
          </w:rPr>
          <w:fldChar w:fldCharType="end"/>
        </w:r>
      </w:hyperlink>
    </w:p>
    <w:p w14:paraId="5C326E31" w14:textId="49CB60ED" w:rsidR="00BD5D1F" w:rsidRDefault="00F437C5" w:rsidP="00BD5D1F">
      <w:pPr>
        <w:pStyle w:val="TOC2"/>
        <w:spacing w:after="120"/>
        <w:rPr>
          <w:rFonts w:eastAsiaTheme="minorEastAsia"/>
          <w:noProof/>
          <w:sz w:val="24"/>
          <w:szCs w:val="24"/>
          <w:lang w:eastAsia="en-NZ"/>
        </w:rPr>
      </w:pPr>
      <w:hyperlink w:anchor="_Toc170302116" w:history="1">
        <w:r w:rsidR="00BD5D1F" w:rsidRPr="006A4E08">
          <w:rPr>
            <w:rStyle w:val="Hyperlink"/>
            <w:noProof/>
          </w:rPr>
          <w:t>Structure of this Issues Paper</w:t>
        </w:r>
        <w:r w:rsidR="00BD5D1F">
          <w:rPr>
            <w:noProof/>
            <w:webHidden/>
          </w:rPr>
          <w:tab/>
        </w:r>
        <w:r w:rsidR="00BD5D1F">
          <w:rPr>
            <w:noProof/>
            <w:webHidden/>
          </w:rPr>
          <w:fldChar w:fldCharType="begin"/>
        </w:r>
        <w:r w:rsidR="00BD5D1F">
          <w:rPr>
            <w:noProof/>
            <w:webHidden/>
          </w:rPr>
          <w:instrText xml:space="preserve"> PAGEREF _Toc170302116 \h </w:instrText>
        </w:r>
        <w:r w:rsidR="00BD5D1F">
          <w:rPr>
            <w:noProof/>
            <w:webHidden/>
          </w:rPr>
        </w:r>
        <w:r w:rsidR="00BD5D1F">
          <w:rPr>
            <w:noProof/>
            <w:webHidden/>
          </w:rPr>
          <w:fldChar w:fldCharType="separate"/>
        </w:r>
        <w:r w:rsidR="00454008">
          <w:rPr>
            <w:noProof/>
            <w:webHidden/>
          </w:rPr>
          <w:t>14</w:t>
        </w:r>
        <w:r w:rsidR="00BD5D1F">
          <w:rPr>
            <w:noProof/>
            <w:webHidden/>
          </w:rPr>
          <w:fldChar w:fldCharType="end"/>
        </w:r>
      </w:hyperlink>
    </w:p>
    <w:p w14:paraId="15BA39C6" w14:textId="6BB3E9F8" w:rsidR="00BD5D1F" w:rsidRDefault="00F437C5">
      <w:pPr>
        <w:pStyle w:val="TOC1"/>
        <w:rPr>
          <w:rFonts w:eastAsiaTheme="minorEastAsia"/>
          <w:b w:val="0"/>
          <w:noProof/>
          <w:color w:val="auto"/>
          <w:sz w:val="24"/>
          <w:szCs w:val="24"/>
          <w:lang w:eastAsia="en-NZ"/>
        </w:rPr>
      </w:pPr>
      <w:hyperlink w:anchor="_Toc170302117" w:history="1">
        <w:r w:rsidR="00BD5D1F" w:rsidRPr="00BD5D1F">
          <w:rPr>
            <w:rStyle w:val="Hyperlink"/>
            <w:rFonts w:eastAsia="Metropolis Black"/>
            <w:noProof/>
          </w:rPr>
          <w:t xml:space="preserve">Chapter </w:t>
        </w:r>
        <w:r w:rsidR="00BD5D1F">
          <w:rPr>
            <w:rStyle w:val="Hyperlink"/>
            <w:rFonts w:eastAsia="Metropolis Black"/>
            <w:noProof/>
          </w:rPr>
          <w:t>2</w:t>
        </w:r>
        <w:r w:rsidR="00BD5D1F" w:rsidRPr="00BD5D1F">
          <w:rPr>
            <w:rStyle w:val="Hyperlink"/>
            <w:rFonts w:eastAsia="Metropolis Black"/>
            <w:noProof/>
          </w:rPr>
          <w:t xml:space="preserve">: </w:t>
        </w:r>
        <w:r w:rsidR="00BD5D1F" w:rsidRPr="006A4E08">
          <w:rPr>
            <w:rStyle w:val="Hyperlink"/>
            <w:rFonts w:eastAsia="Metropolis Black"/>
            <w:noProof/>
          </w:rPr>
          <w:t>Sex, gender and sex characteristics</w:t>
        </w:r>
        <w:r w:rsidR="00BD5D1F">
          <w:rPr>
            <w:noProof/>
            <w:webHidden/>
          </w:rPr>
          <w:tab/>
        </w:r>
        <w:r w:rsidR="00BD5D1F">
          <w:rPr>
            <w:noProof/>
            <w:webHidden/>
          </w:rPr>
          <w:fldChar w:fldCharType="begin"/>
        </w:r>
        <w:r w:rsidR="00BD5D1F">
          <w:rPr>
            <w:noProof/>
            <w:webHidden/>
          </w:rPr>
          <w:instrText xml:space="preserve"> PAGEREF _Toc170302117 \h </w:instrText>
        </w:r>
        <w:r w:rsidR="00BD5D1F">
          <w:rPr>
            <w:noProof/>
            <w:webHidden/>
          </w:rPr>
        </w:r>
        <w:r w:rsidR="00BD5D1F">
          <w:rPr>
            <w:noProof/>
            <w:webHidden/>
          </w:rPr>
          <w:fldChar w:fldCharType="separate"/>
        </w:r>
        <w:r w:rsidR="00454008">
          <w:rPr>
            <w:noProof/>
            <w:webHidden/>
          </w:rPr>
          <w:t>17</w:t>
        </w:r>
        <w:r w:rsidR="00BD5D1F">
          <w:rPr>
            <w:noProof/>
            <w:webHidden/>
          </w:rPr>
          <w:fldChar w:fldCharType="end"/>
        </w:r>
      </w:hyperlink>
    </w:p>
    <w:p w14:paraId="244730F5" w14:textId="13C483CF" w:rsidR="00BD5D1F" w:rsidRPr="00BD5D1F" w:rsidRDefault="00F437C5" w:rsidP="00BD5D1F">
      <w:pPr>
        <w:pStyle w:val="TOC2"/>
        <w:spacing w:after="120"/>
        <w:rPr>
          <w:rStyle w:val="Hyperlink"/>
          <w:noProof/>
        </w:rPr>
      </w:pPr>
      <w:hyperlink w:anchor="_Toc170302118" w:history="1">
        <w:r w:rsidR="00BD5D1F" w:rsidRPr="006A4E08">
          <w:rPr>
            <w:rStyle w:val="Hyperlink"/>
            <w:noProof/>
          </w:rPr>
          <w:t>Introduction</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_Toc170302118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17</w:t>
        </w:r>
        <w:r w:rsidR="00BD5D1F" w:rsidRPr="00BD5D1F">
          <w:rPr>
            <w:rStyle w:val="Hyperlink"/>
            <w:noProof/>
            <w:webHidden/>
          </w:rPr>
          <w:fldChar w:fldCharType="end"/>
        </w:r>
      </w:hyperlink>
    </w:p>
    <w:p w14:paraId="5A2DDA2E" w14:textId="05D59276" w:rsidR="00BD5D1F" w:rsidRPr="00BD5D1F" w:rsidRDefault="00F437C5" w:rsidP="00BD5D1F">
      <w:pPr>
        <w:pStyle w:val="TOC2"/>
        <w:spacing w:after="120"/>
        <w:rPr>
          <w:rStyle w:val="Hyperlink"/>
          <w:noProof/>
        </w:rPr>
      </w:pPr>
      <w:hyperlink w:anchor="_Toc170302119" w:history="1">
        <w:r w:rsidR="00BD5D1F" w:rsidRPr="006A4E08">
          <w:rPr>
            <w:rStyle w:val="Hyperlink"/>
            <w:noProof/>
          </w:rPr>
          <w:t>The concept of sex</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_Toc170302119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17</w:t>
        </w:r>
        <w:r w:rsidR="00BD5D1F" w:rsidRPr="00BD5D1F">
          <w:rPr>
            <w:rStyle w:val="Hyperlink"/>
            <w:noProof/>
            <w:webHidden/>
          </w:rPr>
          <w:fldChar w:fldCharType="end"/>
        </w:r>
      </w:hyperlink>
    </w:p>
    <w:p w14:paraId="2C17F2E0" w14:textId="2A39474B" w:rsidR="00BD5D1F" w:rsidRPr="00BD5D1F" w:rsidRDefault="00F437C5" w:rsidP="00BD5D1F">
      <w:pPr>
        <w:pStyle w:val="TOC2"/>
        <w:spacing w:after="120"/>
        <w:rPr>
          <w:rStyle w:val="Hyperlink"/>
          <w:noProof/>
        </w:rPr>
      </w:pPr>
      <w:hyperlink w:anchor="_Toc170302120" w:history="1">
        <w:r w:rsidR="00BD5D1F" w:rsidRPr="006A4E08">
          <w:rPr>
            <w:rStyle w:val="Hyperlink"/>
            <w:noProof/>
          </w:rPr>
          <w:t>The concept of gender</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_Toc170302120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18</w:t>
        </w:r>
        <w:r w:rsidR="00BD5D1F" w:rsidRPr="00BD5D1F">
          <w:rPr>
            <w:rStyle w:val="Hyperlink"/>
            <w:noProof/>
            <w:webHidden/>
          </w:rPr>
          <w:fldChar w:fldCharType="end"/>
        </w:r>
      </w:hyperlink>
    </w:p>
    <w:p w14:paraId="2DCD3EE3" w14:textId="430AC0FB" w:rsidR="00BD5D1F" w:rsidRPr="00BD5D1F" w:rsidRDefault="00F437C5" w:rsidP="00BD5D1F">
      <w:pPr>
        <w:pStyle w:val="TOC2"/>
        <w:spacing w:after="120"/>
        <w:rPr>
          <w:rStyle w:val="Hyperlink"/>
          <w:noProof/>
        </w:rPr>
      </w:pPr>
      <w:hyperlink w:anchor="_Toc170302121" w:history="1">
        <w:r w:rsidR="00BD5D1F" w:rsidRPr="006A4E08">
          <w:rPr>
            <w:rStyle w:val="Hyperlink"/>
            <w:noProof/>
          </w:rPr>
          <w:t>Relationship between sex and gender</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_Toc170302121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19</w:t>
        </w:r>
        <w:r w:rsidR="00BD5D1F" w:rsidRPr="00BD5D1F">
          <w:rPr>
            <w:rStyle w:val="Hyperlink"/>
            <w:noProof/>
            <w:webHidden/>
          </w:rPr>
          <w:fldChar w:fldCharType="end"/>
        </w:r>
      </w:hyperlink>
    </w:p>
    <w:p w14:paraId="35F25731" w14:textId="588D60BA" w:rsidR="00BD5D1F" w:rsidRPr="00BD5D1F" w:rsidRDefault="00F437C5" w:rsidP="00BD5D1F">
      <w:pPr>
        <w:pStyle w:val="TOC2"/>
        <w:spacing w:after="120"/>
        <w:rPr>
          <w:rStyle w:val="Hyperlink"/>
          <w:noProof/>
        </w:rPr>
      </w:pPr>
      <w:hyperlink w:anchor="_Toc170302122" w:history="1">
        <w:r w:rsidR="00BD5D1F" w:rsidRPr="006A4E08">
          <w:rPr>
            <w:rStyle w:val="Hyperlink"/>
            <w:noProof/>
          </w:rPr>
          <w:t>Introduction to the concepts of transgender and non-binary</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_Toc170302122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20</w:t>
        </w:r>
        <w:r w:rsidR="00BD5D1F" w:rsidRPr="00BD5D1F">
          <w:rPr>
            <w:rStyle w:val="Hyperlink"/>
            <w:noProof/>
            <w:webHidden/>
          </w:rPr>
          <w:fldChar w:fldCharType="end"/>
        </w:r>
      </w:hyperlink>
    </w:p>
    <w:p w14:paraId="2D07CCA4" w14:textId="6157EF34" w:rsidR="00BD5D1F" w:rsidRPr="00BD5D1F" w:rsidRDefault="00F437C5" w:rsidP="00BD5D1F">
      <w:pPr>
        <w:pStyle w:val="TOC2"/>
        <w:spacing w:after="120"/>
        <w:rPr>
          <w:rStyle w:val="Hyperlink"/>
          <w:noProof/>
        </w:rPr>
      </w:pPr>
      <w:hyperlink w:anchor="_Toc170302123" w:history="1">
        <w:r w:rsidR="00BD5D1F" w:rsidRPr="006A4E08">
          <w:rPr>
            <w:rStyle w:val="Hyperlink"/>
            <w:noProof/>
          </w:rPr>
          <w:t>Introduction to innate variations of sex characteristics</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_Toc170302123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22</w:t>
        </w:r>
        <w:r w:rsidR="00BD5D1F" w:rsidRPr="00BD5D1F">
          <w:rPr>
            <w:rStyle w:val="Hyperlink"/>
            <w:noProof/>
            <w:webHidden/>
          </w:rPr>
          <w:fldChar w:fldCharType="end"/>
        </w:r>
      </w:hyperlink>
    </w:p>
    <w:p w14:paraId="1F428141" w14:textId="08DDAE54" w:rsidR="00BD5D1F" w:rsidRPr="00BD5D1F" w:rsidRDefault="00F437C5" w:rsidP="00BD5D1F">
      <w:pPr>
        <w:pStyle w:val="TOC2"/>
        <w:spacing w:after="120"/>
        <w:rPr>
          <w:rStyle w:val="Hyperlink"/>
          <w:noProof/>
        </w:rPr>
      </w:pPr>
      <w:hyperlink w:anchor="_Toc170302124" w:history="1">
        <w:r w:rsidR="00BD5D1F" w:rsidRPr="006A4E08">
          <w:rPr>
            <w:rStyle w:val="Hyperlink"/>
            <w:noProof/>
          </w:rPr>
          <w:t>Other cultural perspectives</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_Toc170302124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25</w:t>
        </w:r>
        <w:r w:rsidR="00BD5D1F" w:rsidRPr="00BD5D1F">
          <w:rPr>
            <w:rStyle w:val="Hyperlink"/>
            <w:noProof/>
            <w:webHidden/>
          </w:rPr>
          <w:fldChar w:fldCharType="end"/>
        </w:r>
      </w:hyperlink>
    </w:p>
    <w:p w14:paraId="55654DA3" w14:textId="49FC9422" w:rsidR="00BD5D1F" w:rsidRPr="00BD5D1F" w:rsidRDefault="00F437C5" w:rsidP="00BD5D1F">
      <w:pPr>
        <w:pStyle w:val="TOC2"/>
        <w:spacing w:after="120"/>
        <w:rPr>
          <w:rStyle w:val="Hyperlink"/>
          <w:noProof/>
        </w:rPr>
      </w:pPr>
      <w:hyperlink w:anchor="_Toc170302125" w:history="1">
        <w:r w:rsidR="00BD5D1F" w:rsidRPr="006A4E08">
          <w:rPr>
            <w:rStyle w:val="Hyperlink"/>
            <w:noProof/>
          </w:rPr>
          <w:t>Gender-critical perspectives</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_Toc170302125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26</w:t>
        </w:r>
        <w:r w:rsidR="00BD5D1F" w:rsidRPr="00BD5D1F">
          <w:rPr>
            <w:rStyle w:val="Hyperlink"/>
            <w:noProof/>
            <w:webHidden/>
          </w:rPr>
          <w:fldChar w:fldCharType="end"/>
        </w:r>
      </w:hyperlink>
    </w:p>
    <w:p w14:paraId="2A605ACE" w14:textId="782B64A8" w:rsidR="00BD5D1F" w:rsidRPr="00BD5D1F" w:rsidRDefault="00F437C5" w:rsidP="00BD5D1F">
      <w:pPr>
        <w:pStyle w:val="TOC2"/>
        <w:spacing w:after="120"/>
        <w:rPr>
          <w:rStyle w:val="Hyperlink"/>
          <w:noProof/>
        </w:rPr>
      </w:pPr>
      <w:hyperlink w:anchor="_Toc170302126" w:history="1">
        <w:r w:rsidR="00BD5D1F" w:rsidRPr="006A4E08">
          <w:rPr>
            <w:rStyle w:val="Hyperlink"/>
            <w:noProof/>
          </w:rPr>
          <w:t>Terminology in this Issues Paper</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_Toc170302126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27</w:t>
        </w:r>
        <w:r w:rsidR="00BD5D1F" w:rsidRPr="00BD5D1F">
          <w:rPr>
            <w:rStyle w:val="Hyperlink"/>
            <w:noProof/>
            <w:webHidden/>
          </w:rPr>
          <w:fldChar w:fldCharType="end"/>
        </w:r>
      </w:hyperlink>
    </w:p>
    <w:p w14:paraId="4D885C97" w14:textId="16B85961" w:rsidR="00BD5D1F" w:rsidRDefault="00F437C5">
      <w:pPr>
        <w:pStyle w:val="TOC1"/>
        <w:rPr>
          <w:rFonts w:eastAsiaTheme="minorEastAsia"/>
          <w:b w:val="0"/>
          <w:noProof/>
          <w:color w:val="auto"/>
          <w:sz w:val="24"/>
          <w:szCs w:val="24"/>
          <w:lang w:eastAsia="en-NZ"/>
        </w:rPr>
      </w:pPr>
      <w:hyperlink w:anchor="_Toc170302127" w:history="1">
        <w:r w:rsidR="00BD5D1F" w:rsidRPr="00BD5D1F">
          <w:rPr>
            <w:rStyle w:val="Hyperlink"/>
            <w:rFonts w:eastAsia="Metropolis Black"/>
            <w:noProof/>
          </w:rPr>
          <w:t xml:space="preserve">Chapter </w:t>
        </w:r>
        <w:r w:rsidR="00BD5D1F">
          <w:rPr>
            <w:rStyle w:val="Hyperlink"/>
            <w:rFonts w:eastAsia="Metropolis Black"/>
            <w:noProof/>
          </w:rPr>
          <w:t>3</w:t>
        </w:r>
        <w:r w:rsidR="00BD5D1F" w:rsidRPr="00BD5D1F">
          <w:rPr>
            <w:rStyle w:val="Hyperlink"/>
            <w:rFonts w:eastAsia="Metropolis Black"/>
            <w:noProof/>
          </w:rPr>
          <w:t xml:space="preserve">: </w:t>
        </w:r>
        <w:r w:rsidR="00BD5D1F" w:rsidRPr="006A4E08">
          <w:rPr>
            <w:rStyle w:val="Hyperlink"/>
            <w:rFonts w:eastAsia="Metropolis Black"/>
            <w:noProof/>
          </w:rPr>
          <w:t>Experiences of discrimination</w:t>
        </w:r>
        <w:r w:rsidR="00BD5D1F">
          <w:rPr>
            <w:noProof/>
            <w:webHidden/>
          </w:rPr>
          <w:tab/>
        </w:r>
        <w:r w:rsidR="00BD5D1F">
          <w:rPr>
            <w:noProof/>
            <w:webHidden/>
          </w:rPr>
          <w:fldChar w:fldCharType="begin"/>
        </w:r>
        <w:r w:rsidR="00BD5D1F">
          <w:rPr>
            <w:noProof/>
            <w:webHidden/>
          </w:rPr>
          <w:instrText xml:space="preserve"> PAGEREF _Toc170302127 \h </w:instrText>
        </w:r>
        <w:r w:rsidR="00BD5D1F">
          <w:rPr>
            <w:noProof/>
            <w:webHidden/>
          </w:rPr>
        </w:r>
        <w:r w:rsidR="00BD5D1F">
          <w:rPr>
            <w:noProof/>
            <w:webHidden/>
          </w:rPr>
          <w:fldChar w:fldCharType="separate"/>
        </w:r>
        <w:r w:rsidR="00454008">
          <w:rPr>
            <w:noProof/>
            <w:webHidden/>
          </w:rPr>
          <w:t>29</w:t>
        </w:r>
        <w:r w:rsidR="00BD5D1F">
          <w:rPr>
            <w:noProof/>
            <w:webHidden/>
          </w:rPr>
          <w:fldChar w:fldCharType="end"/>
        </w:r>
      </w:hyperlink>
    </w:p>
    <w:p w14:paraId="0354D8D6" w14:textId="4D96868D" w:rsidR="00BD5D1F" w:rsidRPr="00BD5D1F" w:rsidRDefault="00F437C5" w:rsidP="00BD5D1F">
      <w:pPr>
        <w:pStyle w:val="TOC2"/>
        <w:spacing w:after="120"/>
        <w:rPr>
          <w:rStyle w:val="Hyperlink"/>
          <w:noProof/>
        </w:rPr>
      </w:pPr>
      <w:hyperlink w:anchor="_Toc170302128" w:history="1">
        <w:r w:rsidR="00BD5D1F" w:rsidRPr="006A4E08">
          <w:rPr>
            <w:rStyle w:val="Hyperlink"/>
            <w:noProof/>
          </w:rPr>
          <w:t>Introduction</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_Toc170302128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29</w:t>
        </w:r>
        <w:r w:rsidR="00BD5D1F" w:rsidRPr="00BD5D1F">
          <w:rPr>
            <w:rStyle w:val="Hyperlink"/>
            <w:noProof/>
            <w:webHidden/>
          </w:rPr>
          <w:fldChar w:fldCharType="end"/>
        </w:r>
      </w:hyperlink>
    </w:p>
    <w:p w14:paraId="690F4442" w14:textId="3689178D" w:rsidR="00BD5D1F" w:rsidRPr="00BD5D1F" w:rsidRDefault="00F437C5" w:rsidP="00BD5D1F">
      <w:pPr>
        <w:pStyle w:val="TOC2"/>
        <w:spacing w:after="120"/>
        <w:rPr>
          <w:rStyle w:val="Hyperlink"/>
          <w:noProof/>
        </w:rPr>
      </w:pPr>
      <w:hyperlink w:anchor="_Toc170302129" w:history="1">
        <w:r w:rsidR="00BD5D1F" w:rsidRPr="006A4E08">
          <w:rPr>
            <w:rStyle w:val="Hyperlink"/>
            <w:noProof/>
          </w:rPr>
          <w:t>People who are transgender or non-binary</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_Toc170302129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29</w:t>
        </w:r>
        <w:r w:rsidR="00BD5D1F" w:rsidRPr="00BD5D1F">
          <w:rPr>
            <w:rStyle w:val="Hyperlink"/>
            <w:noProof/>
            <w:webHidden/>
          </w:rPr>
          <w:fldChar w:fldCharType="end"/>
        </w:r>
      </w:hyperlink>
    </w:p>
    <w:p w14:paraId="09BA92DD" w14:textId="019BF871" w:rsidR="00BD5D1F" w:rsidRPr="00BD5D1F" w:rsidRDefault="00F437C5" w:rsidP="00BD5D1F">
      <w:pPr>
        <w:pStyle w:val="TOC2"/>
        <w:spacing w:after="120"/>
        <w:rPr>
          <w:rStyle w:val="Hyperlink"/>
          <w:noProof/>
        </w:rPr>
      </w:pPr>
      <w:hyperlink w:anchor="_Toc170302130" w:history="1">
        <w:r w:rsidR="00BD5D1F" w:rsidRPr="006A4E08">
          <w:rPr>
            <w:rStyle w:val="Hyperlink"/>
            <w:noProof/>
          </w:rPr>
          <w:t>People with innate variations of sex characteristics</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_Toc170302130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40</w:t>
        </w:r>
        <w:r w:rsidR="00BD5D1F" w:rsidRPr="00BD5D1F">
          <w:rPr>
            <w:rStyle w:val="Hyperlink"/>
            <w:noProof/>
            <w:webHidden/>
          </w:rPr>
          <w:fldChar w:fldCharType="end"/>
        </w:r>
      </w:hyperlink>
    </w:p>
    <w:p w14:paraId="55A0EE91" w14:textId="159A27B2" w:rsidR="00BD5D1F" w:rsidRDefault="00F437C5">
      <w:pPr>
        <w:pStyle w:val="TOC1"/>
        <w:rPr>
          <w:rFonts w:eastAsiaTheme="minorEastAsia"/>
          <w:b w:val="0"/>
          <w:noProof/>
          <w:color w:val="auto"/>
          <w:sz w:val="24"/>
          <w:szCs w:val="24"/>
          <w:lang w:eastAsia="en-NZ"/>
        </w:rPr>
      </w:pPr>
      <w:hyperlink w:anchor="_Toc170302131" w:history="1">
        <w:r w:rsidR="00BD5D1F" w:rsidRPr="00BD5D1F">
          <w:rPr>
            <w:rStyle w:val="Hyperlink"/>
            <w:rFonts w:eastAsia="Metropolis Black"/>
            <w:noProof/>
          </w:rPr>
          <w:t xml:space="preserve">Chapter </w:t>
        </w:r>
        <w:r w:rsidR="00BD5D1F">
          <w:rPr>
            <w:rStyle w:val="Hyperlink"/>
            <w:rFonts w:eastAsia="Metropolis Black"/>
            <w:noProof/>
          </w:rPr>
          <w:t>4</w:t>
        </w:r>
        <w:r w:rsidR="00BD5D1F" w:rsidRPr="00BD5D1F">
          <w:rPr>
            <w:rStyle w:val="Hyperlink"/>
            <w:rFonts w:eastAsia="Metropolis Black"/>
            <w:noProof/>
          </w:rPr>
          <w:t xml:space="preserve">: </w:t>
        </w:r>
        <w:r w:rsidR="00BD5D1F" w:rsidRPr="006A4E08">
          <w:rPr>
            <w:rStyle w:val="Hyperlink"/>
            <w:rFonts w:eastAsia="Metropolis Black"/>
            <w:noProof/>
          </w:rPr>
          <w:t>Key reform considerations</w:t>
        </w:r>
        <w:r w:rsidR="00BD5D1F">
          <w:rPr>
            <w:noProof/>
            <w:webHidden/>
          </w:rPr>
          <w:tab/>
        </w:r>
        <w:r w:rsidR="00BD5D1F">
          <w:rPr>
            <w:noProof/>
            <w:webHidden/>
          </w:rPr>
          <w:fldChar w:fldCharType="begin"/>
        </w:r>
        <w:r w:rsidR="00BD5D1F">
          <w:rPr>
            <w:noProof/>
            <w:webHidden/>
          </w:rPr>
          <w:instrText xml:space="preserve"> PAGEREF _Toc170302131 \h </w:instrText>
        </w:r>
        <w:r w:rsidR="00BD5D1F">
          <w:rPr>
            <w:noProof/>
            <w:webHidden/>
          </w:rPr>
        </w:r>
        <w:r w:rsidR="00BD5D1F">
          <w:rPr>
            <w:noProof/>
            <w:webHidden/>
          </w:rPr>
          <w:fldChar w:fldCharType="separate"/>
        </w:r>
        <w:r w:rsidR="00454008">
          <w:rPr>
            <w:noProof/>
            <w:webHidden/>
          </w:rPr>
          <w:t>46</w:t>
        </w:r>
        <w:r w:rsidR="00BD5D1F">
          <w:rPr>
            <w:noProof/>
            <w:webHidden/>
          </w:rPr>
          <w:fldChar w:fldCharType="end"/>
        </w:r>
      </w:hyperlink>
    </w:p>
    <w:p w14:paraId="19ED190E" w14:textId="6575EEEF" w:rsidR="00BD5D1F" w:rsidRPr="00BD5D1F" w:rsidRDefault="00F437C5" w:rsidP="00BD5D1F">
      <w:pPr>
        <w:pStyle w:val="TOC2"/>
        <w:spacing w:after="120"/>
        <w:rPr>
          <w:rStyle w:val="Hyperlink"/>
          <w:noProof/>
        </w:rPr>
      </w:pPr>
      <w:hyperlink w:anchor="_Toc170302132" w:history="1">
        <w:r w:rsidR="00BD5D1F" w:rsidRPr="006A4E08">
          <w:rPr>
            <w:rStyle w:val="Hyperlink"/>
            <w:noProof/>
          </w:rPr>
          <w:t>Introduction</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_Toc170302132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46</w:t>
        </w:r>
        <w:r w:rsidR="00BD5D1F" w:rsidRPr="00BD5D1F">
          <w:rPr>
            <w:rStyle w:val="Hyperlink"/>
            <w:noProof/>
            <w:webHidden/>
          </w:rPr>
          <w:fldChar w:fldCharType="end"/>
        </w:r>
      </w:hyperlink>
    </w:p>
    <w:p w14:paraId="37E6E289" w14:textId="248A878D" w:rsidR="00BD5D1F" w:rsidRPr="00BD5D1F" w:rsidRDefault="00F437C5" w:rsidP="00BD5D1F">
      <w:pPr>
        <w:pStyle w:val="TOC2"/>
        <w:spacing w:after="120"/>
        <w:rPr>
          <w:rStyle w:val="Hyperlink"/>
          <w:noProof/>
        </w:rPr>
      </w:pPr>
      <w:hyperlink w:anchor="_Toc170302133" w:history="1">
        <w:r w:rsidR="00BD5D1F" w:rsidRPr="006A4E08">
          <w:rPr>
            <w:rStyle w:val="Hyperlink"/>
            <w:noProof/>
          </w:rPr>
          <w:t>Coherence of the Human Rights Act</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_Toc170302133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46</w:t>
        </w:r>
        <w:r w:rsidR="00BD5D1F" w:rsidRPr="00BD5D1F">
          <w:rPr>
            <w:rStyle w:val="Hyperlink"/>
            <w:noProof/>
            <w:webHidden/>
          </w:rPr>
          <w:fldChar w:fldCharType="end"/>
        </w:r>
      </w:hyperlink>
    </w:p>
    <w:p w14:paraId="2F8D814E" w14:textId="6E4859CD" w:rsidR="00BD5D1F" w:rsidRPr="00BD5D1F" w:rsidRDefault="00F437C5" w:rsidP="00BD5D1F">
      <w:pPr>
        <w:pStyle w:val="TOC2"/>
        <w:spacing w:after="120"/>
        <w:rPr>
          <w:rStyle w:val="Hyperlink"/>
          <w:noProof/>
        </w:rPr>
      </w:pPr>
      <w:hyperlink w:anchor="_Toc170302134" w:history="1">
        <w:r w:rsidR="00BD5D1F" w:rsidRPr="006A4E08">
          <w:rPr>
            <w:rStyle w:val="Hyperlink"/>
            <w:noProof/>
          </w:rPr>
          <w:t>Core values underlying the Human Rights Act</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_Toc170302134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47</w:t>
        </w:r>
        <w:r w:rsidR="00BD5D1F" w:rsidRPr="00BD5D1F">
          <w:rPr>
            <w:rStyle w:val="Hyperlink"/>
            <w:noProof/>
            <w:webHidden/>
          </w:rPr>
          <w:fldChar w:fldCharType="end"/>
        </w:r>
      </w:hyperlink>
    </w:p>
    <w:p w14:paraId="62A65783" w14:textId="677AD90E" w:rsidR="00BD5D1F" w:rsidRPr="00BD5D1F" w:rsidRDefault="00F437C5" w:rsidP="00BD5D1F">
      <w:pPr>
        <w:pStyle w:val="TOC2"/>
        <w:spacing w:after="120"/>
        <w:rPr>
          <w:rStyle w:val="Hyperlink"/>
          <w:noProof/>
        </w:rPr>
      </w:pPr>
      <w:hyperlink w:anchor="_Toc170302135" w:history="1">
        <w:r w:rsidR="00BD5D1F" w:rsidRPr="006A4E08">
          <w:rPr>
            <w:rStyle w:val="Hyperlink"/>
            <w:noProof/>
          </w:rPr>
          <w:t>Constitutional fundamentals</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_Toc170302135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51</w:t>
        </w:r>
        <w:r w:rsidR="00BD5D1F" w:rsidRPr="00BD5D1F">
          <w:rPr>
            <w:rStyle w:val="Hyperlink"/>
            <w:noProof/>
            <w:webHidden/>
          </w:rPr>
          <w:fldChar w:fldCharType="end"/>
        </w:r>
      </w:hyperlink>
    </w:p>
    <w:p w14:paraId="2278360D" w14:textId="0730A361" w:rsidR="00BD5D1F" w:rsidRPr="00BD5D1F" w:rsidRDefault="00F437C5" w:rsidP="00BD5D1F">
      <w:pPr>
        <w:pStyle w:val="TOC2"/>
        <w:spacing w:after="120"/>
        <w:rPr>
          <w:rStyle w:val="Hyperlink"/>
          <w:noProof/>
        </w:rPr>
      </w:pPr>
      <w:hyperlink w:anchor="_Toc170302136" w:history="1">
        <w:r w:rsidR="00BD5D1F" w:rsidRPr="006A4E08">
          <w:rPr>
            <w:rStyle w:val="Hyperlink"/>
            <w:noProof/>
          </w:rPr>
          <w:t>Needs, perspectives and concerns of New Zealanders</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_Toc170302136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54</w:t>
        </w:r>
        <w:r w:rsidR="00BD5D1F" w:rsidRPr="00BD5D1F">
          <w:rPr>
            <w:rStyle w:val="Hyperlink"/>
            <w:noProof/>
            <w:webHidden/>
          </w:rPr>
          <w:fldChar w:fldCharType="end"/>
        </w:r>
      </w:hyperlink>
    </w:p>
    <w:p w14:paraId="78BE550E" w14:textId="2E7ABF22" w:rsidR="00BD5D1F" w:rsidRPr="00BD5D1F" w:rsidRDefault="00F437C5" w:rsidP="00BD5D1F">
      <w:pPr>
        <w:pStyle w:val="TOC2"/>
        <w:spacing w:after="120"/>
        <w:rPr>
          <w:rStyle w:val="Hyperlink"/>
          <w:noProof/>
        </w:rPr>
      </w:pPr>
      <w:hyperlink w:anchor="_Toc170302137" w:history="1">
        <w:r w:rsidR="00BD5D1F" w:rsidRPr="006A4E08">
          <w:rPr>
            <w:rStyle w:val="Hyperlink"/>
            <w:noProof/>
          </w:rPr>
          <w:t>Evidence-led law reform</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_Toc170302137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54</w:t>
        </w:r>
        <w:r w:rsidR="00BD5D1F" w:rsidRPr="00BD5D1F">
          <w:rPr>
            <w:rStyle w:val="Hyperlink"/>
            <w:noProof/>
            <w:webHidden/>
          </w:rPr>
          <w:fldChar w:fldCharType="end"/>
        </w:r>
      </w:hyperlink>
    </w:p>
    <w:p w14:paraId="38D1ED1A" w14:textId="19E596E3" w:rsidR="00BD5D1F" w:rsidRPr="00BD5D1F" w:rsidRDefault="00F437C5" w:rsidP="00BD5D1F">
      <w:pPr>
        <w:pStyle w:val="TOC2"/>
        <w:spacing w:after="120"/>
        <w:rPr>
          <w:rStyle w:val="Hyperlink"/>
          <w:noProof/>
        </w:rPr>
      </w:pPr>
      <w:hyperlink w:anchor="_Toc170302138" w:history="1">
        <w:r w:rsidR="00BD5D1F" w:rsidRPr="006A4E08">
          <w:rPr>
            <w:rStyle w:val="Hyperlink"/>
            <w:noProof/>
          </w:rPr>
          <w:t>Other principles of good law making</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_Toc170302138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55</w:t>
        </w:r>
        <w:r w:rsidR="00BD5D1F" w:rsidRPr="00BD5D1F">
          <w:rPr>
            <w:rStyle w:val="Hyperlink"/>
            <w:noProof/>
            <w:webHidden/>
          </w:rPr>
          <w:fldChar w:fldCharType="end"/>
        </w:r>
      </w:hyperlink>
    </w:p>
    <w:p w14:paraId="6881D164" w14:textId="3DD15BE3" w:rsidR="00BD5D1F" w:rsidRDefault="00F437C5">
      <w:pPr>
        <w:pStyle w:val="TOC1"/>
        <w:rPr>
          <w:rFonts w:eastAsiaTheme="minorEastAsia"/>
          <w:b w:val="0"/>
          <w:noProof/>
          <w:color w:val="auto"/>
          <w:sz w:val="24"/>
          <w:szCs w:val="24"/>
          <w:lang w:eastAsia="en-NZ"/>
        </w:rPr>
      </w:pPr>
      <w:hyperlink w:anchor="_Toc170302139" w:history="1">
        <w:r w:rsidR="00BD5D1F" w:rsidRPr="00BD5D1F">
          <w:rPr>
            <w:rStyle w:val="Hyperlink"/>
            <w:rFonts w:eastAsia="Metropolis Black"/>
            <w:noProof/>
          </w:rPr>
          <w:t xml:space="preserve">Chapter </w:t>
        </w:r>
        <w:r w:rsidR="00BD5D1F">
          <w:rPr>
            <w:rStyle w:val="Hyperlink"/>
            <w:rFonts w:eastAsia="Metropolis Black"/>
            <w:noProof/>
          </w:rPr>
          <w:t>5</w:t>
        </w:r>
        <w:r w:rsidR="00BD5D1F" w:rsidRPr="00BD5D1F">
          <w:rPr>
            <w:rStyle w:val="Hyperlink"/>
            <w:rFonts w:eastAsia="Metropolis Black"/>
            <w:noProof/>
          </w:rPr>
          <w:t xml:space="preserve">: </w:t>
        </w:r>
        <w:r w:rsidR="00BD5D1F" w:rsidRPr="006A4E08">
          <w:rPr>
            <w:rStyle w:val="Hyperlink"/>
            <w:rFonts w:eastAsia="Metropolis Black"/>
            <w:noProof/>
          </w:rPr>
          <w:t>The perspectives and concerns of Māori</w:t>
        </w:r>
        <w:r w:rsidR="00BD5D1F">
          <w:rPr>
            <w:noProof/>
            <w:webHidden/>
          </w:rPr>
          <w:tab/>
        </w:r>
        <w:r w:rsidR="00BD5D1F">
          <w:rPr>
            <w:noProof/>
            <w:webHidden/>
          </w:rPr>
          <w:fldChar w:fldCharType="begin"/>
        </w:r>
        <w:r w:rsidR="00BD5D1F">
          <w:rPr>
            <w:noProof/>
            <w:webHidden/>
          </w:rPr>
          <w:instrText xml:space="preserve"> PAGEREF _Toc170302139 \h </w:instrText>
        </w:r>
        <w:r w:rsidR="00BD5D1F">
          <w:rPr>
            <w:noProof/>
            <w:webHidden/>
          </w:rPr>
        </w:r>
        <w:r w:rsidR="00BD5D1F">
          <w:rPr>
            <w:noProof/>
            <w:webHidden/>
          </w:rPr>
          <w:fldChar w:fldCharType="separate"/>
        </w:r>
        <w:r w:rsidR="00454008">
          <w:rPr>
            <w:noProof/>
            <w:webHidden/>
          </w:rPr>
          <w:t>56</w:t>
        </w:r>
        <w:r w:rsidR="00BD5D1F">
          <w:rPr>
            <w:noProof/>
            <w:webHidden/>
          </w:rPr>
          <w:fldChar w:fldCharType="end"/>
        </w:r>
      </w:hyperlink>
    </w:p>
    <w:p w14:paraId="574AC617" w14:textId="49D7D31A" w:rsidR="00BD5D1F" w:rsidRPr="00BD5D1F" w:rsidRDefault="00F437C5" w:rsidP="00BD5D1F">
      <w:pPr>
        <w:pStyle w:val="TOC2"/>
        <w:spacing w:after="120"/>
        <w:rPr>
          <w:rStyle w:val="Hyperlink"/>
          <w:noProof/>
        </w:rPr>
      </w:pPr>
      <w:hyperlink w:anchor="_Toc170302140" w:history="1">
        <w:r w:rsidR="00BD5D1F" w:rsidRPr="006A4E08">
          <w:rPr>
            <w:rStyle w:val="Hyperlink"/>
            <w:noProof/>
          </w:rPr>
          <w:t>Introduction</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_Toc170302140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56</w:t>
        </w:r>
        <w:r w:rsidR="00BD5D1F" w:rsidRPr="00BD5D1F">
          <w:rPr>
            <w:rStyle w:val="Hyperlink"/>
            <w:noProof/>
            <w:webHidden/>
          </w:rPr>
          <w:fldChar w:fldCharType="end"/>
        </w:r>
      </w:hyperlink>
    </w:p>
    <w:p w14:paraId="6A9E353F" w14:textId="3C9D5E0D" w:rsidR="00BD5D1F" w:rsidRPr="00BD5D1F" w:rsidRDefault="00F437C5" w:rsidP="00BD5D1F">
      <w:pPr>
        <w:pStyle w:val="TOC2"/>
        <w:spacing w:after="120"/>
        <w:rPr>
          <w:rStyle w:val="Hyperlink"/>
          <w:noProof/>
        </w:rPr>
      </w:pPr>
      <w:hyperlink w:anchor="_Toc170302141" w:history="1">
        <w:r w:rsidR="00BD5D1F" w:rsidRPr="006A4E08">
          <w:rPr>
            <w:rStyle w:val="Hyperlink"/>
            <w:noProof/>
          </w:rPr>
          <w:t>Identity and belonging</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_Toc170302141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57</w:t>
        </w:r>
        <w:r w:rsidR="00BD5D1F" w:rsidRPr="00BD5D1F">
          <w:rPr>
            <w:rStyle w:val="Hyperlink"/>
            <w:noProof/>
            <w:webHidden/>
          </w:rPr>
          <w:fldChar w:fldCharType="end"/>
        </w:r>
      </w:hyperlink>
    </w:p>
    <w:p w14:paraId="526DAA5F" w14:textId="616541D0" w:rsidR="00BD5D1F" w:rsidRPr="00BD5D1F" w:rsidRDefault="00F437C5" w:rsidP="00BD5D1F">
      <w:pPr>
        <w:pStyle w:val="TOC2"/>
        <w:spacing w:after="120"/>
        <w:rPr>
          <w:rStyle w:val="Hyperlink"/>
          <w:noProof/>
        </w:rPr>
      </w:pPr>
      <w:hyperlink w:anchor="_Toc170302142" w:history="1">
        <w:r w:rsidR="00BD5D1F" w:rsidRPr="006A4E08">
          <w:rPr>
            <w:rStyle w:val="Hyperlink"/>
            <w:noProof/>
          </w:rPr>
          <w:t>Experiences of discrimination</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_Toc170302142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60</w:t>
        </w:r>
        <w:r w:rsidR="00BD5D1F" w:rsidRPr="00BD5D1F">
          <w:rPr>
            <w:rStyle w:val="Hyperlink"/>
            <w:noProof/>
            <w:webHidden/>
          </w:rPr>
          <w:fldChar w:fldCharType="end"/>
        </w:r>
      </w:hyperlink>
    </w:p>
    <w:p w14:paraId="542DDB59" w14:textId="0BF301A5" w:rsidR="00BD5D1F" w:rsidRPr="00BD5D1F" w:rsidRDefault="00F437C5" w:rsidP="00BD5D1F">
      <w:pPr>
        <w:pStyle w:val="TOC2"/>
        <w:spacing w:after="120"/>
        <w:rPr>
          <w:rStyle w:val="Hyperlink"/>
          <w:noProof/>
        </w:rPr>
      </w:pPr>
      <w:hyperlink w:anchor="_Toc170302143" w:history="1">
        <w:r w:rsidR="00BD5D1F" w:rsidRPr="006A4E08">
          <w:rPr>
            <w:rStyle w:val="Hyperlink"/>
            <w:noProof/>
          </w:rPr>
          <w:t>Tikanga and sex-differentiated activities</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_Toc170302143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61</w:t>
        </w:r>
        <w:r w:rsidR="00BD5D1F" w:rsidRPr="00BD5D1F">
          <w:rPr>
            <w:rStyle w:val="Hyperlink"/>
            <w:noProof/>
            <w:webHidden/>
          </w:rPr>
          <w:fldChar w:fldCharType="end"/>
        </w:r>
      </w:hyperlink>
    </w:p>
    <w:p w14:paraId="7E44C131" w14:textId="13DA0A17" w:rsidR="00BD5D1F" w:rsidRDefault="00F437C5">
      <w:pPr>
        <w:pStyle w:val="TOC1"/>
        <w:rPr>
          <w:rFonts w:eastAsiaTheme="minorEastAsia"/>
          <w:b w:val="0"/>
          <w:noProof/>
          <w:color w:val="auto"/>
          <w:sz w:val="24"/>
          <w:szCs w:val="24"/>
          <w:lang w:eastAsia="en-NZ"/>
        </w:rPr>
      </w:pPr>
      <w:hyperlink w:anchor="_Toc170302144" w:history="1">
        <w:r w:rsidR="00BD5D1F" w:rsidRPr="00BD5D1F">
          <w:rPr>
            <w:rStyle w:val="Hyperlink"/>
            <w:rFonts w:eastAsia="Metropolis Black"/>
            <w:noProof/>
          </w:rPr>
          <w:t xml:space="preserve">Chapter </w:t>
        </w:r>
        <w:r w:rsidR="00BD5D1F">
          <w:rPr>
            <w:rStyle w:val="Hyperlink"/>
            <w:rFonts w:eastAsia="Metropolis Black"/>
            <w:noProof/>
          </w:rPr>
          <w:t>6</w:t>
        </w:r>
        <w:r w:rsidR="00BD5D1F" w:rsidRPr="00BD5D1F">
          <w:rPr>
            <w:rStyle w:val="Hyperlink"/>
            <w:rFonts w:eastAsia="Metropolis Black"/>
            <w:noProof/>
          </w:rPr>
          <w:t xml:space="preserve">: </w:t>
        </w:r>
        <w:r w:rsidR="00BD5D1F" w:rsidRPr="006A4E08">
          <w:rPr>
            <w:rStyle w:val="Hyperlink"/>
            <w:rFonts w:eastAsia="Metropolis Black"/>
            <w:noProof/>
          </w:rPr>
          <w:t>Should section 21 be amended?</w:t>
        </w:r>
        <w:r w:rsidR="00BD5D1F">
          <w:rPr>
            <w:noProof/>
            <w:webHidden/>
          </w:rPr>
          <w:tab/>
        </w:r>
        <w:r w:rsidR="00BD5D1F">
          <w:rPr>
            <w:noProof/>
            <w:webHidden/>
          </w:rPr>
          <w:fldChar w:fldCharType="begin"/>
        </w:r>
        <w:r w:rsidR="00BD5D1F">
          <w:rPr>
            <w:noProof/>
            <w:webHidden/>
          </w:rPr>
          <w:instrText xml:space="preserve"> PAGEREF _Toc170302144 \h </w:instrText>
        </w:r>
        <w:r w:rsidR="00BD5D1F">
          <w:rPr>
            <w:noProof/>
            <w:webHidden/>
          </w:rPr>
        </w:r>
        <w:r w:rsidR="00BD5D1F">
          <w:rPr>
            <w:noProof/>
            <w:webHidden/>
          </w:rPr>
          <w:fldChar w:fldCharType="separate"/>
        </w:r>
        <w:r w:rsidR="00454008">
          <w:rPr>
            <w:noProof/>
            <w:webHidden/>
          </w:rPr>
          <w:t>64</w:t>
        </w:r>
        <w:r w:rsidR="00BD5D1F">
          <w:rPr>
            <w:noProof/>
            <w:webHidden/>
          </w:rPr>
          <w:fldChar w:fldCharType="end"/>
        </w:r>
      </w:hyperlink>
    </w:p>
    <w:p w14:paraId="2EB4692A" w14:textId="10012E6A" w:rsidR="00BD5D1F" w:rsidRPr="00BD5D1F" w:rsidRDefault="00F437C5" w:rsidP="00BD5D1F">
      <w:pPr>
        <w:pStyle w:val="TOC2"/>
        <w:spacing w:after="120"/>
        <w:rPr>
          <w:rStyle w:val="Hyperlink"/>
          <w:noProof/>
        </w:rPr>
      </w:pPr>
      <w:hyperlink w:anchor="_Toc170302145" w:history="1">
        <w:r w:rsidR="00BD5D1F" w:rsidRPr="006A4E08">
          <w:rPr>
            <w:rStyle w:val="Hyperlink"/>
            <w:noProof/>
          </w:rPr>
          <w:t>Introduction</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_Toc170302145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64</w:t>
        </w:r>
        <w:r w:rsidR="00BD5D1F" w:rsidRPr="00BD5D1F">
          <w:rPr>
            <w:rStyle w:val="Hyperlink"/>
            <w:noProof/>
            <w:webHidden/>
          </w:rPr>
          <w:fldChar w:fldCharType="end"/>
        </w:r>
      </w:hyperlink>
    </w:p>
    <w:p w14:paraId="5A334D8B" w14:textId="4B1A7592" w:rsidR="00BD5D1F" w:rsidRPr="00BD5D1F" w:rsidRDefault="00F437C5" w:rsidP="00BD5D1F">
      <w:pPr>
        <w:pStyle w:val="TOC2"/>
        <w:spacing w:after="120" w:line="300" w:lineRule="auto"/>
        <w:rPr>
          <w:rStyle w:val="Hyperlink"/>
          <w:noProof/>
        </w:rPr>
      </w:pPr>
      <w:hyperlink w:anchor="_Toc170302146" w:history="1">
        <w:r w:rsidR="00BD5D1F" w:rsidRPr="00BD5D1F">
          <w:rPr>
            <w:rStyle w:val="Hyperlink"/>
            <w:noProof/>
          </w:rPr>
          <w:t>Should New Zealand law protect people from discrimination linked to being transgender or non-binary or having an innate variation of sex characteristics?</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_Toc170302146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65</w:t>
        </w:r>
        <w:r w:rsidR="00BD5D1F" w:rsidRPr="00BD5D1F">
          <w:rPr>
            <w:rStyle w:val="Hyperlink"/>
            <w:noProof/>
            <w:webHidden/>
          </w:rPr>
          <w:fldChar w:fldCharType="end"/>
        </w:r>
      </w:hyperlink>
    </w:p>
    <w:p w14:paraId="7D32ACCD" w14:textId="65234337" w:rsidR="00BD5D1F" w:rsidRPr="00BD5D1F" w:rsidRDefault="00F437C5" w:rsidP="00BD5D1F">
      <w:pPr>
        <w:pStyle w:val="TOC2"/>
        <w:spacing w:after="120"/>
        <w:rPr>
          <w:rStyle w:val="Hyperlink"/>
          <w:noProof/>
        </w:rPr>
      </w:pPr>
      <w:hyperlink w:anchor="_Toc170302147" w:history="1">
        <w:r w:rsidR="00BD5D1F" w:rsidRPr="00BD5D1F">
          <w:rPr>
            <w:rStyle w:val="Hyperlink"/>
            <w:noProof/>
          </w:rPr>
          <w:t>Should section 21 be amended?</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_Toc170302147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72</w:t>
        </w:r>
        <w:r w:rsidR="00BD5D1F" w:rsidRPr="00BD5D1F">
          <w:rPr>
            <w:rStyle w:val="Hyperlink"/>
            <w:noProof/>
            <w:webHidden/>
          </w:rPr>
          <w:fldChar w:fldCharType="end"/>
        </w:r>
      </w:hyperlink>
    </w:p>
    <w:p w14:paraId="1C1C367A" w14:textId="54ECFB66" w:rsidR="00BD5D1F" w:rsidRDefault="00F437C5">
      <w:pPr>
        <w:pStyle w:val="TOC1"/>
        <w:rPr>
          <w:rFonts w:eastAsiaTheme="minorEastAsia"/>
          <w:b w:val="0"/>
          <w:noProof/>
          <w:color w:val="auto"/>
          <w:sz w:val="24"/>
          <w:szCs w:val="24"/>
          <w:lang w:eastAsia="en-NZ"/>
        </w:rPr>
      </w:pPr>
      <w:hyperlink w:anchor="_Toc170302148" w:history="1">
        <w:r w:rsidR="00BD5D1F" w:rsidRPr="00BD5D1F">
          <w:rPr>
            <w:rStyle w:val="Hyperlink"/>
            <w:rFonts w:eastAsia="Metropolis Black"/>
            <w:noProof/>
          </w:rPr>
          <w:t xml:space="preserve">Chapter </w:t>
        </w:r>
        <w:r w:rsidR="00BD5D1F">
          <w:rPr>
            <w:rStyle w:val="Hyperlink"/>
            <w:rFonts w:eastAsia="Metropolis Black"/>
            <w:noProof/>
          </w:rPr>
          <w:t>7</w:t>
        </w:r>
        <w:r w:rsidR="00BD5D1F" w:rsidRPr="00BD5D1F">
          <w:rPr>
            <w:rStyle w:val="Hyperlink"/>
            <w:rFonts w:eastAsia="Metropolis Black"/>
            <w:noProof/>
          </w:rPr>
          <w:t xml:space="preserve">: </w:t>
        </w:r>
        <w:r w:rsidR="00BD5D1F" w:rsidRPr="006A4E08">
          <w:rPr>
            <w:rStyle w:val="Hyperlink"/>
            <w:rFonts w:eastAsia="Metropolis Black"/>
            <w:noProof/>
          </w:rPr>
          <w:t>Options for new grounds</w:t>
        </w:r>
        <w:r w:rsidR="00BD5D1F">
          <w:rPr>
            <w:noProof/>
            <w:webHidden/>
          </w:rPr>
          <w:tab/>
        </w:r>
        <w:r w:rsidR="00BD5D1F">
          <w:rPr>
            <w:noProof/>
            <w:webHidden/>
          </w:rPr>
          <w:fldChar w:fldCharType="begin"/>
        </w:r>
        <w:r w:rsidR="00BD5D1F">
          <w:rPr>
            <w:noProof/>
            <w:webHidden/>
          </w:rPr>
          <w:instrText xml:space="preserve"> PAGEREF _Toc170302148 \h </w:instrText>
        </w:r>
        <w:r w:rsidR="00BD5D1F">
          <w:rPr>
            <w:noProof/>
            <w:webHidden/>
          </w:rPr>
        </w:r>
        <w:r w:rsidR="00BD5D1F">
          <w:rPr>
            <w:noProof/>
            <w:webHidden/>
          </w:rPr>
          <w:fldChar w:fldCharType="separate"/>
        </w:r>
        <w:r w:rsidR="00454008">
          <w:rPr>
            <w:noProof/>
            <w:webHidden/>
          </w:rPr>
          <w:t>77</w:t>
        </w:r>
        <w:r w:rsidR="00BD5D1F">
          <w:rPr>
            <w:noProof/>
            <w:webHidden/>
          </w:rPr>
          <w:fldChar w:fldCharType="end"/>
        </w:r>
      </w:hyperlink>
    </w:p>
    <w:p w14:paraId="01629F7F" w14:textId="1ACB87A8" w:rsidR="00BD5D1F" w:rsidRPr="00BD5D1F" w:rsidRDefault="00F437C5" w:rsidP="00BD5D1F">
      <w:pPr>
        <w:pStyle w:val="TOC2"/>
        <w:spacing w:after="120" w:line="300" w:lineRule="auto"/>
        <w:rPr>
          <w:rStyle w:val="Hyperlink"/>
          <w:noProof/>
        </w:rPr>
      </w:pPr>
      <w:hyperlink w:anchor="_Toc170302149" w:history="1">
        <w:r w:rsidR="00BD5D1F" w:rsidRPr="006A4E08">
          <w:rPr>
            <w:rStyle w:val="Hyperlink"/>
            <w:noProof/>
          </w:rPr>
          <w:t>Introduction</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_Toc170302149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77</w:t>
        </w:r>
        <w:r w:rsidR="00BD5D1F" w:rsidRPr="00BD5D1F">
          <w:rPr>
            <w:rStyle w:val="Hyperlink"/>
            <w:noProof/>
            <w:webHidden/>
          </w:rPr>
          <w:fldChar w:fldCharType="end"/>
        </w:r>
      </w:hyperlink>
    </w:p>
    <w:p w14:paraId="3F8D6EF4" w14:textId="14316A0C" w:rsidR="00BD5D1F" w:rsidRPr="00BD5D1F" w:rsidRDefault="00F437C5" w:rsidP="00BD5D1F">
      <w:pPr>
        <w:pStyle w:val="TOC2"/>
        <w:spacing w:after="120" w:line="300" w:lineRule="auto"/>
        <w:rPr>
          <w:rStyle w:val="Hyperlink"/>
          <w:noProof/>
        </w:rPr>
      </w:pPr>
      <w:hyperlink w:anchor="_Toc170302150" w:history="1">
        <w:r w:rsidR="00BD5D1F" w:rsidRPr="006A4E08">
          <w:rPr>
            <w:rStyle w:val="Hyperlink"/>
            <w:noProof/>
          </w:rPr>
          <w:t>Stand-alone grounds that take an asymmetrical approach</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_Toc170302150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78</w:t>
        </w:r>
        <w:r w:rsidR="00BD5D1F" w:rsidRPr="00BD5D1F">
          <w:rPr>
            <w:rStyle w:val="Hyperlink"/>
            <w:noProof/>
            <w:webHidden/>
          </w:rPr>
          <w:fldChar w:fldCharType="end"/>
        </w:r>
      </w:hyperlink>
    </w:p>
    <w:p w14:paraId="2FE659BD" w14:textId="37608D14" w:rsidR="00BD5D1F" w:rsidRPr="00BD5D1F" w:rsidRDefault="00F437C5" w:rsidP="00BD5D1F">
      <w:pPr>
        <w:pStyle w:val="TOC2"/>
        <w:spacing w:after="120" w:line="300" w:lineRule="auto"/>
        <w:rPr>
          <w:rStyle w:val="Hyperlink"/>
          <w:noProof/>
        </w:rPr>
      </w:pPr>
      <w:hyperlink w:anchor="_Toc170302151" w:history="1">
        <w:r w:rsidR="00BD5D1F" w:rsidRPr="006A4E08">
          <w:rPr>
            <w:rStyle w:val="Hyperlink"/>
            <w:noProof/>
          </w:rPr>
          <w:t>Stand-alone grounds that take a symmetrical approach</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_Toc170302151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81</w:t>
        </w:r>
        <w:r w:rsidR="00BD5D1F" w:rsidRPr="00BD5D1F">
          <w:rPr>
            <w:rStyle w:val="Hyperlink"/>
            <w:noProof/>
            <w:webHidden/>
          </w:rPr>
          <w:fldChar w:fldCharType="end"/>
        </w:r>
      </w:hyperlink>
    </w:p>
    <w:p w14:paraId="330D7776" w14:textId="4B47E122" w:rsidR="00BD5D1F" w:rsidRDefault="00F437C5" w:rsidP="00BD5D1F">
      <w:pPr>
        <w:pStyle w:val="TOC2"/>
        <w:spacing w:after="120" w:line="300" w:lineRule="auto"/>
        <w:rPr>
          <w:rFonts w:eastAsiaTheme="minorEastAsia"/>
          <w:noProof/>
          <w:sz w:val="24"/>
          <w:szCs w:val="24"/>
          <w:lang w:eastAsia="en-NZ"/>
        </w:rPr>
      </w:pPr>
      <w:hyperlink w:anchor="_Toc170302152" w:history="1">
        <w:r w:rsidR="00BD5D1F" w:rsidRPr="006A4E08">
          <w:rPr>
            <w:rStyle w:val="Hyperlink"/>
            <w:noProof/>
          </w:rPr>
          <w:t>Clarifying the scope of the ground of sex</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_Toc170302152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85</w:t>
        </w:r>
        <w:r w:rsidR="00BD5D1F" w:rsidRPr="00BD5D1F">
          <w:rPr>
            <w:rStyle w:val="Hyperlink"/>
            <w:noProof/>
            <w:webHidden/>
          </w:rPr>
          <w:fldChar w:fldCharType="end"/>
        </w:r>
      </w:hyperlink>
    </w:p>
    <w:p w14:paraId="26ACAE81" w14:textId="3BF7B6D2" w:rsidR="00BD5D1F" w:rsidRDefault="00F437C5">
      <w:pPr>
        <w:pStyle w:val="TOC1"/>
        <w:rPr>
          <w:rFonts w:eastAsiaTheme="minorEastAsia"/>
          <w:b w:val="0"/>
          <w:noProof/>
          <w:color w:val="auto"/>
          <w:sz w:val="24"/>
          <w:szCs w:val="24"/>
          <w:lang w:eastAsia="en-NZ"/>
        </w:rPr>
      </w:pPr>
      <w:hyperlink w:anchor="_Toc170302153" w:history="1">
        <w:r w:rsidR="00BD5D1F" w:rsidRPr="00BD5D1F">
          <w:rPr>
            <w:rStyle w:val="Hyperlink"/>
            <w:rFonts w:eastAsia="Metropolis Black"/>
            <w:noProof/>
          </w:rPr>
          <w:t xml:space="preserve">Chapter </w:t>
        </w:r>
        <w:r w:rsidR="00BD5D1F">
          <w:rPr>
            <w:rStyle w:val="Hyperlink"/>
            <w:rFonts w:eastAsia="Metropolis Black"/>
            <w:noProof/>
          </w:rPr>
          <w:t>8</w:t>
        </w:r>
        <w:r w:rsidR="00BD5D1F" w:rsidRPr="00BD5D1F">
          <w:rPr>
            <w:rStyle w:val="Hyperlink"/>
            <w:rFonts w:eastAsia="Metropolis Black"/>
            <w:noProof/>
          </w:rPr>
          <w:t xml:space="preserve">: </w:t>
        </w:r>
        <w:r w:rsidR="00BD5D1F" w:rsidRPr="006A4E08">
          <w:rPr>
            <w:rStyle w:val="Hyperlink"/>
            <w:rFonts w:eastAsia="Metropolis Black"/>
            <w:noProof/>
          </w:rPr>
          <w:t>Introduction to Part 2 of the Human Rights Act</w:t>
        </w:r>
        <w:r w:rsidR="00BD5D1F">
          <w:rPr>
            <w:noProof/>
            <w:webHidden/>
          </w:rPr>
          <w:tab/>
        </w:r>
        <w:r w:rsidR="00BD5D1F">
          <w:rPr>
            <w:noProof/>
            <w:webHidden/>
          </w:rPr>
          <w:fldChar w:fldCharType="begin"/>
        </w:r>
        <w:r w:rsidR="00BD5D1F">
          <w:rPr>
            <w:noProof/>
            <w:webHidden/>
          </w:rPr>
          <w:instrText xml:space="preserve"> PAGEREF _Toc170302153 \h </w:instrText>
        </w:r>
        <w:r w:rsidR="00BD5D1F">
          <w:rPr>
            <w:noProof/>
            <w:webHidden/>
          </w:rPr>
        </w:r>
        <w:r w:rsidR="00BD5D1F">
          <w:rPr>
            <w:noProof/>
            <w:webHidden/>
          </w:rPr>
          <w:fldChar w:fldCharType="separate"/>
        </w:r>
        <w:r w:rsidR="00454008">
          <w:rPr>
            <w:noProof/>
            <w:webHidden/>
          </w:rPr>
          <w:t>90</w:t>
        </w:r>
        <w:r w:rsidR="00BD5D1F">
          <w:rPr>
            <w:noProof/>
            <w:webHidden/>
          </w:rPr>
          <w:fldChar w:fldCharType="end"/>
        </w:r>
      </w:hyperlink>
    </w:p>
    <w:p w14:paraId="49AF4D06" w14:textId="7F3A42CE" w:rsidR="00BD5D1F" w:rsidRPr="00BD5D1F" w:rsidRDefault="00F437C5" w:rsidP="00BD5D1F">
      <w:pPr>
        <w:pStyle w:val="TOC2"/>
        <w:spacing w:after="120"/>
        <w:rPr>
          <w:rStyle w:val="Hyperlink"/>
          <w:noProof/>
        </w:rPr>
      </w:pPr>
      <w:hyperlink w:anchor="_Toc170302154" w:history="1">
        <w:r w:rsidR="00BD5D1F" w:rsidRPr="006A4E08">
          <w:rPr>
            <w:rStyle w:val="Hyperlink"/>
            <w:noProof/>
          </w:rPr>
          <w:t>Introduction</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_Toc170302154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90</w:t>
        </w:r>
        <w:r w:rsidR="00BD5D1F" w:rsidRPr="00BD5D1F">
          <w:rPr>
            <w:rStyle w:val="Hyperlink"/>
            <w:noProof/>
            <w:webHidden/>
          </w:rPr>
          <w:fldChar w:fldCharType="end"/>
        </w:r>
      </w:hyperlink>
    </w:p>
    <w:p w14:paraId="652AC7ED" w14:textId="576261E4" w:rsidR="00BD5D1F" w:rsidRPr="00BD5D1F" w:rsidRDefault="00F437C5" w:rsidP="00BD5D1F">
      <w:pPr>
        <w:pStyle w:val="TOC2"/>
        <w:spacing w:after="120"/>
        <w:rPr>
          <w:rStyle w:val="Hyperlink"/>
          <w:noProof/>
        </w:rPr>
      </w:pPr>
      <w:hyperlink w:anchor="_Toc170302155" w:history="1">
        <w:r w:rsidR="00BD5D1F" w:rsidRPr="006A4E08">
          <w:rPr>
            <w:rStyle w:val="Hyperlink"/>
            <w:noProof/>
          </w:rPr>
          <w:t>How Part 2 works</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_Toc170302155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90</w:t>
        </w:r>
        <w:r w:rsidR="00BD5D1F" w:rsidRPr="00BD5D1F">
          <w:rPr>
            <w:rStyle w:val="Hyperlink"/>
            <w:noProof/>
            <w:webHidden/>
          </w:rPr>
          <w:fldChar w:fldCharType="end"/>
        </w:r>
      </w:hyperlink>
    </w:p>
    <w:p w14:paraId="3544CCC1" w14:textId="3F79F6BE" w:rsidR="00BD5D1F" w:rsidRPr="00BD5D1F" w:rsidRDefault="00F437C5" w:rsidP="00BD5D1F">
      <w:pPr>
        <w:pStyle w:val="TOC2"/>
        <w:spacing w:after="120"/>
        <w:rPr>
          <w:rStyle w:val="Hyperlink"/>
          <w:noProof/>
        </w:rPr>
      </w:pPr>
      <w:hyperlink w:anchor="_Toc170302156" w:history="1">
        <w:r w:rsidR="00BD5D1F" w:rsidRPr="006A4E08">
          <w:rPr>
            <w:rStyle w:val="Hyperlink"/>
            <w:noProof/>
          </w:rPr>
          <w:t>Our approach to Part 2</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_Toc170302156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94</w:t>
        </w:r>
        <w:r w:rsidR="00BD5D1F" w:rsidRPr="00BD5D1F">
          <w:rPr>
            <w:rStyle w:val="Hyperlink"/>
            <w:noProof/>
            <w:webHidden/>
          </w:rPr>
          <w:fldChar w:fldCharType="end"/>
        </w:r>
      </w:hyperlink>
    </w:p>
    <w:p w14:paraId="2B6FD30B" w14:textId="07353923" w:rsidR="00BD5D1F" w:rsidRPr="00BD5D1F" w:rsidRDefault="00F437C5" w:rsidP="00BD5D1F">
      <w:pPr>
        <w:pStyle w:val="TOC2"/>
        <w:spacing w:after="120"/>
        <w:rPr>
          <w:rStyle w:val="Hyperlink"/>
          <w:noProof/>
        </w:rPr>
      </w:pPr>
      <w:hyperlink w:anchor="_Toc170302157" w:history="1">
        <w:r w:rsidR="00BD5D1F" w:rsidRPr="006A4E08">
          <w:rPr>
            <w:rStyle w:val="Hyperlink"/>
            <w:noProof/>
          </w:rPr>
          <w:t>Recurrent issues and challenges</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_Toc170302157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98</w:t>
        </w:r>
        <w:r w:rsidR="00BD5D1F" w:rsidRPr="00BD5D1F">
          <w:rPr>
            <w:rStyle w:val="Hyperlink"/>
            <w:noProof/>
            <w:webHidden/>
          </w:rPr>
          <w:fldChar w:fldCharType="end"/>
        </w:r>
      </w:hyperlink>
    </w:p>
    <w:p w14:paraId="7C00190C" w14:textId="4407F013" w:rsidR="00BD5D1F" w:rsidRDefault="00F437C5">
      <w:pPr>
        <w:pStyle w:val="TOC1"/>
        <w:rPr>
          <w:rFonts w:eastAsiaTheme="minorEastAsia"/>
          <w:b w:val="0"/>
          <w:noProof/>
          <w:color w:val="auto"/>
          <w:sz w:val="24"/>
          <w:szCs w:val="24"/>
          <w:lang w:eastAsia="en-NZ"/>
        </w:rPr>
      </w:pPr>
      <w:hyperlink w:anchor="_Toc170302158" w:history="1">
        <w:r w:rsidR="00BD5D1F" w:rsidRPr="00BD5D1F">
          <w:rPr>
            <w:rStyle w:val="Hyperlink"/>
            <w:rFonts w:eastAsia="Metropolis Black"/>
            <w:noProof/>
          </w:rPr>
          <w:t xml:space="preserve">Chapter </w:t>
        </w:r>
        <w:r w:rsidR="00BD5D1F">
          <w:rPr>
            <w:rStyle w:val="Hyperlink"/>
            <w:rFonts w:eastAsia="Metropolis Black"/>
            <w:noProof/>
          </w:rPr>
          <w:t>9</w:t>
        </w:r>
        <w:r w:rsidR="00BD5D1F" w:rsidRPr="00BD5D1F">
          <w:rPr>
            <w:rStyle w:val="Hyperlink"/>
            <w:rFonts w:eastAsia="Metropolis Black"/>
            <w:noProof/>
          </w:rPr>
          <w:t xml:space="preserve">: </w:t>
        </w:r>
        <w:r w:rsidR="00BD5D1F" w:rsidRPr="006A4E08">
          <w:rPr>
            <w:rStyle w:val="Hyperlink"/>
            <w:rFonts w:eastAsia="Metropolis Black"/>
            <w:noProof/>
          </w:rPr>
          <w:t>Employment</w:t>
        </w:r>
        <w:r w:rsidR="00BD5D1F">
          <w:rPr>
            <w:noProof/>
            <w:webHidden/>
          </w:rPr>
          <w:tab/>
        </w:r>
        <w:r w:rsidR="00BD5D1F">
          <w:rPr>
            <w:noProof/>
            <w:webHidden/>
          </w:rPr>
          <w:fldChar w:fldCharType="begin"/>
        </w:r>
        <w:r w:rsidR="00BD5D1F">
          <w:rPr>
            <w:noProof/>
            <w:webHidden/>
          </w:rPr>
          <w:instrText xml:space="preserve"> PAGEREF _Toc170302158 \h </w:instrText>
        </w:r>
        <w:r w:rsidR="00BD5D1F">
          <w:rPr>
            <w:noProof/>
            <w:webHidden/>
          </w:rPr>
        </w:r>
        <w:r w:rsidR="00BD5D1F">
          <w:rPr>
            <w:noProof/>
            <w:webHidden/>
          </w:rPr>
          <w:fldChar w:fldCharType="separate"/>
        </w:r>
        <w:r w:rsidR="00454008">
          <w:rPr>
            <w:noProof/>
            <w:webHidden/>
          </w:rPr>
          <w:t>101</w:t>
        </w:r>
        <w:r w:rsidR="00BD5D1F">
          <w:rPr>
            <w:noProof/>
            <w:webHidden/>
          </w:rPr>
          <w:fldChar w:fldCharType="end"/>
        </w:r>
      </w:hyperlink>
    </w:p>
    <w:p w14:paraId="2ACDC936" w14:textId="1FC96233" w:rsidR="00BD5D1F" w:rsidRPr="00BD5D1F" w:rsidRDefault="00F437C5" w:rsidP="00BD5D1F">
      <w:pPr>
        <w:pStyle w:val="TOC2"/>
        <w:spacing w:after="120"/>
        <w:rPr>
          <w:rStyle w:val="Hyperlink"/>
          <w:noProof/>
        </w:rPr>
      </w:pPr>
      <w:hyperlink w:anchor="_Toc170302159" w:history="1">
        <w:r w:rsidR="00BD5D1F" w:rsidRPr="006A4E08">
          <w:rPr>
            <w:rStyle w:val="Hyperlink"/>
            <w:noProof/>
          </w:rPr>
          <w:t>Introduction</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_Toc170302159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101</w:t>
        </w:r>
        <w:r w:rsidR="00BD5D1F" w:rsidRPr="00BD5D1F">
          <w:rPr>
            <w:rStyle w:val="Hyperlink"/>
            <w:noProof/>
            <w:webHidden/>
          </w:rPr>
          <w:fldChar w:fldCharType="end"/>
        </w:r>
      </w:hyperlink>
    </w:p>
    <w:p w14:paraId="33ACED2B" w14:textId="3C7E082A" w:rsidR="00BD5D1F" w:rsidRPr="00BD5D1F" w:rsidRDefault="00F437C5" w:rsidP="00BD5D1F">
      <w:pPr>
        <w:pStyle w:val="TOC2"/>
        <w:spacing w:after="120"/>
        <w:rPr>
          <w:rStyle w:val="Hyperlink"/>
          <w:noProof/>
        </w:rPr>
      </w:pPr>
      <w:hyperlink w:anchor="_Toc170302160" w:history="1">
        <w:r w:rsidR="00BD5D1F" w:rsidRPr="006A4E08">
          <w:rPr>
            <w:rStyle w:val="Hyperlink"/>
            <w:noProof/>
          </w:rPr>
          <w:t>Scope of protection</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_Toc170302160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101</w:t>
        </w:r>
        <w:r w:rsidR="00BD5D1F" w:rsidRPr="00BD5D1F">
          <w:rPr>
            <w:rStyle w:val="Hyperlink"/>
            <w:noProof/>
            <w:webHidden/>
          </w:rPr>
          <w:fldChar w:fldCharType="end"/>
        </w:r>
      </w:hyperlink>
    </w:p>
    <w:p w14:paraId="0C134837" w14:textId="3CC9767D" w:rsidR="00BD5D1F" w:rsidRPr="00BD5D1F" w:rsidRDefault="00F437C5" w:rsidP="00BD5D1F">
      <w:pPr>
        <w:pStyle w:val="TOC2"/>
        <w:spacing w:after="120"/>
        <w:rPr>
          <w:rStyle w:val="Hyperlink"/>
          <w:noProof/>
        </w:rPr>
      </w:pPr>
      <w:hyperlink w:anchor="_Toc170302161" w:history="1">
        <w:r w:rsidR="00BD5D1F" w:rsidRPr="006A4E08">
          <w:rPr>
            <w:rStyle w:val="Hyperlink"/>
            <w:noProof/>
          </w:rPr>
          <w:t>Exceptions</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_Toc170302161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104</w:t>
        </w:r>
        <w:r w:rsidR="00BD5D1F" w:rsidRPr="00BD5D1F">
          <w:rPr>
            <w:rStyle w:val="Hyperlink"/>
            <w:noProof/>
            <w:webHidden/>
          </w:rPr>
          <w:fldChar w:fldCharType="end"/>
        </w:r>
      </w:hyperlink>
    </w:p>
    <w:p w14:paraId="5AC6254B" w14:textId="160F54FF" w:rsidR="00BD5D1F" w:rsidRDefault="00F437C5" w:rsidP="00BD5D1F">
      <w:pPr>
        <w:pStyle w:val="TOC2"/>
        <w:spacing w:after="120"/>
        <w:rPr>
          <w:rFonts w:eastAsiaTheme="minorEastAsia"/>
          <w:noProof/>
          <w:sz w:val="24"/>
          <w:szCs w:val="24"/>
          <w:lang w:eastAsia="en-NZ"/>
        </w:rPr>
      </w:pPr>
      <w:hyperlink w:anchor="_Toc170302162" w:history="1">
        <w:r w:rsidR="00BD5D1F" w:rsidRPr="006A4E08">
          <w:rPr>
            <w:rStyle w:val="Hyperlink"/>
            <w:noProof/>
          </w:rPr>
          <w:t>Implications of this review for the Employment Relations Act 2000</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_Toc170302162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115</w:t>
        </w:r>
        <w:r w:rsidR="00BD5D1F" w:rsidRPr="00BD5D1F">
          <w:rPr>
            <w:rStyle w:val="Hyperlink"/>
            <w:noProof/>
            <w:webHidden/>
          </w:rPr>
          <w:fldChar w:fldCharType="end"/>
        </w:r>
      </w:hyperlink>
    </w:p>
    <w:p w14:paraId="7E919ABD" w14:textId="4A71241F" w:rsidR="00BD5D1F" w:rsidRDefault="00F437C5">
      <w:pPr>
        <w:pStyle w:val="TOC1"/>
        <w:rPr>
          <w:rFonts w:eastAsiaTheme="minorEastAsia"/>
          <w:b w:val="0"/>
          <w:noProof/>
          <w:color w:val="auto"/>
          <w:sz w:val="24"/>
          <w:szCs w:val="24"/>
          <w:lang w:eastAsia="en-NZ"/>
        </w:rPr>
      </w:pPr>
      <w:hyperlink w:anchor="_Toc170302163" w:history="1">
        <w:r w:rsidR="00BD5D1F" w:rsidRPr="00BD5D1F">
          <w:rPr>
            <w:rStyle w:val="Hyperlink"/>
            <w:rFonts w:eastAsia="Metropolis Black"/>
            <w:noProof/>
          </w:rPr>
          <w:t xml:space="preserve">Chapter </w:t>
        </w:r>
        <w:r w:rsidR="00BD5D1F">
          <w:rPr>
            <w:rStyle w:val="Hyperlink"/>
            <w:rFonts w:eastAsia="Metropolis Black"/>
            <w:noProof/>
          </w:rPr>
          <w:t>10</w:t>
        </w:r>
        <w:r w:rsidR="00BD5D1F" w:rsidRPr="00BD5D1F">
          <w:rPr>
            <w:rStyle w:val="Hyperlink"/>
            <w:rFonts w:eastAsia="Metropolis Black"/>
            <w:noProof/>
          </w:rPr>
          <w:t xml:space="preserve">: </w:t>
        </w:r>
        <w:r w:rsidR="00BD5D1F" w:rsidRPr="006A4E08">
          <w:rPr>
            <w:rStyle w:val="Hyperlink"/>
            <w:rFonts w:eastAsia="Metropolis Black"/>
            <w:noProof/>
          </w:rPr>
          <w:t>Goods, services, facilities and places</w:t>
        </w:r>
        <w:r w:rsidR="00BD5D1F">
          <w:rPr>
            <w:noProof/>
            <w:webHidden/>
          </w:rPr>
          <w:tab/>
        </w:r>
        <w:r w:rsidR="00BD5D1F">
          <w:rPr>
            <w:noProof/>
            <w:webHidden/>
          </w:rPr>
          <w:fldChar w:fldCharType="begin"/>
        </w:r>
        <w:r w:rsidR="00BD5D1F">
          <w:rPr>
            <w:noProof/>
            <w:webHidden/>
          </w:rPr>
          <w:instrText xml:space="preserve"> PAGEREF _Toc170302163 \h </w:instrText>
        </w:r>
        <w:r w:rsidR="00BD5D1F">
          <w:rPr>
            <w:noProof/>
            <w:webHidden/>
          </w:rPr>
        </w:r>
        <w:r w:rsidR="00BD5D1F">
          <w:rPr>
            <w:noProof/>
            <w:webHidden/>
          </w:rPr>
          <w:fldChar w:fldCharType="separate"/>
        </w:r>
        <w:r w:rsidR="00454008">
          <w:rPr>
            <w:noProof/>
            <w:webHidden/>
          </w:rPr>
          <w:t>117</w:t>
        </w:r>
        <w:r w:rsidR="00BD5D1F">
          <w:rPr>
            <w:noProof/>
            <w:webHidden/>
          </w:rPr>
          <w:fldChar w:fldCharType="end"/>
        </w:r>
      </w:hyperlink>
    </w:p>
    <w:p w14:paraId="32EA4577" w14:textId="093C5EB0" w:rsidR="00BD5D1F" w:rsidRPr="00BD5D1F" w:rsidRDefault="00F437C5" w:rsidP="00BD5D1F">
      <w:pPr>
        <w:pStyle w:val="TOC2"/>
        <w:spacing w:after="120"/>
        <w:rPr>
          <w:rStyle w:val="Hyperlink"/>
          <w:noProof/>
        </w:rPr>
      </w:pPr>
      <w:hyperlink w:anchor="_Toc170302164" w:history="1">
        <w:r w:rsidR="00BD5D1F" w:rsidRPr="006A4E08">
          <w:rPr>
            <w:rStyle w:val="Hyperlink"/>
            <w:noProof/>
          </w:rPr>
          <w:t>Introduction</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_Toc170302164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117</w:t>
        </w:r>
        <w:r w:rsidR="00BD5D1F" w:rsidRPr="00BD5D1F">
          <w:rPr>
            <w:rStyle w:val="Hyperlink"/>
            <w:noProof/>
            <w:webHidden/>
          </w:rPr>
          <w:fldChar w:fldCharType="end"/>
        </w:r>
      </w:hyperlink>
    </w:p>
    <w:p w14:paraId="6077A2FF" w14:textId="744042F6" w:rsidR="00BD5D1F" w:rsidRPr="00BD5D1F" w:rsidRDefault="00F437C5" w:rsidP="00BD5D1F">
      <w:pPr>
        <w:pStyle w:val="TOC2"/>
        <w:spacing w:after="120"/>
        <w:rPr>
          <w:rStyle w:val="Hyperlink"/>
          <w:noProof/>
        </w:rPr>
      </w:pPr>
      <w:hyperlink w:anchor="_Toc170302165" w:history="1">
        <w:r w:rsidR="00BD5D1F" w:rsidRPr="006A4E08">
          <w:rPr>
            <w:rStyle w:val="Hyperlink"/>
            <w:noProof/>
          </w:rPr>
          <w:t>Scope of protection</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_Toc170302165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117</w:t>
        </w:r>
        <w:r w:rsidR="00BD5D1F" w:rsidRPr="00BD5D1F">
          <w:rPr>
            <w:rStyle w:val="Hyperlink"/>
            <w:noProof/>
            <w:webHidden/>
          </w:rPr>
          <w:fldChar w:fldCharType="end"/>
        </w:r>
      </w:hyperlink>
    </w:p>
    <w:p w14:paraId="68B4F663" w14:textId="5886EA75" w:rsidR="00BD5D1F" w:rsidRPr="00BD5D1F" w:rsidRDefault="00F437C5" w:rsidP="00BD5D1F">
      <w:pPr>
        <w:pStyle w:val="TOC2"/>
        <w:spacing w:after="120"/>
        <w:rPr>
          <w:rStyle w:val="Hyperlink"/>
          <w:noProof/>
        </w:rPr>
      </w:pPr>
      <w:hyperlink w:anchor="_Toc170302166" w:history="1">
        <w:r w:rsidR="00BD5D1F" w:rsidRPr="006A4E08">
          <w:rPr>
            <w:rStyle w:val="Hyperlink"/>
            <w:noProof/>
          </w:rPr>
          <w:t>Exceptions</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_Toc170302166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119</w:t>
        </w:r>
        <w:r w:rsidR="00BD5D1F" w:rsidRPr="00BD5D1F">
          <w:rPr>
            <w:rStyle w:val="Hyperlink"/>
            <w:noProof/>
            <w:webHidden/>
          </w:rPr>
          <w:fldChar w:fldCharType="end"/>
        </w:r>
      </w:hyperlink>
    </w:p>
    <w:p w14:paraId="015D276F" w14:textId="312F3B09" w:rsidR="00BD5D1F" w:rsidRDefault="00F437C5">
      <w:pPr>
        <w:pStyle w:val="TOC1"/>
        <w:rPr>
          <w:rFonts w:eastAsiaTheme="minorEastAsia"/>
          <w:b w:val="0"/>
          <w:noProof/>
          <w:color w:val="auto"/>
          <w:sz w:val="24"/>
          <w:szCs w:val="24"/>
          <w:lang w:eastAsia="en-NZ"/>
        </w:rPr>
      </w:pPr>
      <w:hyperlink w:anchor="_Toc170302167" w:history="1">
        <w:r w:rsidR="00BD5D1F" w:rsidRPr="00BD5D1F">
          <w:rPr>
            <w:rStyle w:val="Hyperlink"/>
            <w:rFonts w:eastAsia="Metropolis Black"/>
            <w:noProof/>
          </w:rPr>
          <w:t>Chapter 1</w:t>
        </w:r>
        <w:r w:rsidR="00BD5D1F">
          <w:rPr>
            <w:rStyle w:val="Hyperlink"/>
            <w:rFonts w:eastAsia="Metropolis Black"/>
            <w:noProof/>
          </w:rPr>
          <w:t>1</w:t>
        </w:r>
        <w:r w:rsidR="00BD5D1F" w:rsidRPr="00BD5D1F">
          <w:rPr>
            <w:rStyle w:val="Hyperlink"/>
            <w:rFonts w:eastAsia="Metropolis Black"/>
            <w:noProof/>
          </w:rPr>
          <w:t xml:space="preserve">: </w:t>
        </w:r>
        <w:r w:rsidR="00BD5D1F" w:rsidRPr="006A4E08">
          <w:rPr>
            <w:rStyle w:val="Hyperlink"/>
            <w:rFonts w:eastAsia="Metropolis Black"/>
            <w:noProof/>
          </w:rPr>
          <w:t>Land, housing and accommodation</w:t>
        </w:r>
        <w:r w:rsidR="00BD5D1F">
          <w:rPr>
            <w:noProof/>
            <w:webHidden/>
          </w:rPr>
          <w:tab/>
        </w:r>
        <w:r w:rsidR="00BD5D1F">
          <w:rPr>
            <w:noProof/>
            <w:webHidden/>
          </w:rPr>
          <w:fldChar w:fldCharType="begin"/>
        </w:r>
        <w:r w:rsidR="00BD5D1F">
          <w:rPr>
            <w:noProof/>
            <w:webHidden/>
          </w:rPr>
          <w:instrText xml:space="preserve"> PAGEREF _Toc170302167 \h </w:instrText>
        </w:r>
        <w:r w:rsidR="00BD5D1F">
          <w:rPr>
            <w:noProof/>
            <w:webHidden/>
          </w:rPr>
        </w:r>
        <w:r w:rsidR="00BD5D1F">
          <w:rPr>
            <w:noProof/>
            <w:webHidden/>
          </w:rPr>
          <w:fldChar w:fldCharType="separate"/>
        </w:r>
        <w:r w:rsidR="00454008">
          <w:rPr>
            <w:noProof/>
            <w:webHidden/>
          </w:rPr>
          <w:t>128</w:t>
        </w:r>
        <w:r w:rsidR="00BD5D1F">
          <w:rPr>
            <w:noProof/>
            <w:webHidden/>
          </w:rPr>
          <w:fldChar w:fldCharType="end"/>
        </w:r>
      </w:hyperlink>
    </w:p>
    <w:p w14:paraId="6DBE7D47" w14:textId="7D2D7FE0" w:rsidR="00BD5D1F" w:rsidRPr="00BD5D1F" w:rsidRDefault="00F437C5" w:rsidP="00BD5D1F">
      <w:pPr>
        <w:pStyle w:val="TOC2"/>
        <w:spacing w:after="120"/>
        <w:rPr>
          <w:rStyle w:val="Hyperlink"/>
          <w:noProof/>
        </w:rPr>
      </w:pPr>
      <w:hyperlink w:anchor="_Toc170302168" w:history="1">
        <w:r w:rsidR="00BD5D1F" w:rsidRPr="006A4E08">
          <w:rPr>
            <w:rStyle w:val="Hyperlink"/>
            <w:noProof/>
          </w:rPr>
          <w:t>Introduction</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_Toc170302168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128</w:t>
        </w:r>
        <w:r w:rsidR="00BD5D1F" w:rsidRPr="00BD5D1F">
          <w:rPr>
            <w:rStyle w:val="Hyperlink"/>
            <w:noProof/>
            <w:webHidden/>
          </w:rPr>
          <w:fldChar w:fldCharType="end"/>
        </w:r>
      </w:hyperlink>
    </w:p>
    <w:p w14:paraId="3FD8F039" w14:textId="36AF7008" w:rsidR="00BD5D1F" w:rsidRPr="00BD5D1F" w:rsidRDefault="00F437C5" w:rsidP="00BD5D1F">
      <w:pPr>
        <w:pStyle w:val="TOC2"/>
        <w:spacing w:after="120"/>
        <w:rPr>
          <w:rStyle w:val="Hyperlink"/>
          <w:noProof/>
        </w:rPr>
      </w:pPr>
      <w:hyperlink w:anchor="_Toc170302169" w:history="1">
        <w:r w:rsidR="00BD5D1F" w:rsidRPr="006A4E08">
          <w:rPr>
            <w:rStyle w:val="Hyperlink"/>
            <w:noProof/>
          </w:rPr>
          <w:t>Scope of protection</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_Toc170302169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128</w:t>
        </w:r>
        <w:r w:rsidR="00BD5D1F" w:rsidRPr="00BD5D1F">
          <w:rPr>
            <w:rStyle w:val="Hyperlink"/>
            <w:noProof/>
            <w:webHidden/>
          </w:rPr>
          <w:fldChar w:fldCharType="end"/>
        </w:r>
      </w:hyperlink>
    </w:p>
    <w:p w14:paraId="0084A196" w14:textId="7AEEE284" w:rsidR="00BD5D1F" w:rsidRPr="00BD5D1F" w:rsidRDefault="00F437C5" w:rsidP="00BD5D1F">
      <w:pPr>
        <w:pStyle w:val="TOC2"/>
        <w:spacing w:after="120"/>
        <w:rPr>
          <w:rStyle w:val="Hyperlink"/>
          <w:noProof/>
        </w:rPr>
      </w:pPr>
      <w:hyperlink w:anchor="_Toc170302170" w:history="1">
        <w:r w:rsidR="00BD5D1F" w:rsidRPr="006A4E08">
          <w:rPr>
            <w:rStyle w:val="Hyperlink"/>
            <w:noProof/>
          </w:rPr>
          <w:t>Exceptions</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_Toc170302170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130</w:t>
        </w:r>
        <w:r w:rsidR="00BD5D1F" w:rsidRPr="00BD5D1F">
          <w:rPr>
            <w:rStyle w:val="Hyperlink"/>
            <w:noProof/>
            <w:webHidden/>
          </w:rPr>
          <w:fldChar w:fldCharType="end"/>
        </w:r>
      </w:hyperlink>
    </w:p>
    <w:p w14:paraId="7B37BA06" w14:textId="7B635045" w:rsidR="00BD5D1F" w:rsidRPr="00BD5D1F" w:rsidRDefault="00F437C5" w:rsidP="00BD5D1F">
      <w:pPr>
        <w:pStyle w:val="TOC2"/>
        <w:spacing w:after="120"/>
        <w:rPr>
          <w:rStyle w:val="Hyperlink"/>
          <w:noProof/>
        </w:rPr>
      </w:pPr>
      <w:hyperlink w:anchor="_Toc170302171" w:history="1">
        <w:r w:rsidR="00BD5D1F" w:rsidRPr="006A4E08">
          <w:rPr>
            <w:rStyle w:val="Hyperlink"/>
            <w:noProof/>
          </w:rPr>
          <w:t>Implications of this review for the Residential Tenancies Act 1986</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_Toc170302171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132</w:t>
        </w:r>
        <w:r w:rsidR="00BD5D1F" w:rsidRPr="00BD5D1F">
          <w:rPr>
            <w:rStyle w:val="Hyperlink"/>
            <w:noProof/>
            <w:webHidden/>
          </w:rPr>
          <w:fldChar w:fldCharType="end"/>
        </w:r>
      </w:hyperlink>
    </w:p>
    <w:p w14:paraId="23E883C6" w14:textId="1965D2D8" w:rsidR="00BD5D1F" w:rsidRDefault="00F437C5">
      <w:pPr>
        <w:pStyle w:val="TOC1"/>
        <w:rPr>
          <w:rFonts w:eastAsiaTheme="minorEastAsia"/>
          <w:b w:val="0"/>
          <w:noProof/>
          <w:color w:val="auto"/>
          <w:sz w:val="24"/>
          <w:szCs w:val="24"/>
          <w:lang w:eastAsia="en-NZ"/>
        </w:rPr>
      </w:pPr>
      <w:hyperlink w:anchor="_Toc170302172" w:history="1">
        <w:r w:rsidR="00BD5D1F" w:rsidRPr="00BD5D1F">
          <w:rPr>
            <w:rStyle w:val="Hyperlink"/>
            <w:rFonts w:eastAsia="Metropolis Black"/>
            <w:noProof/>
          </w:rPr>
          <w:t>Chapter 1</w:t>
        </w:r>
        <w:r w:rsidR="00BD5D1F">
          <w:rPr>
            <w:rStyle w:val="Hyperlink"/>
            <w:rFonts w:eastAsia="Metropolis Black"/>
            <w:noProof/>
          </w:rPr>
          <w:t>2</w:t>
        </w:r>
        <w:r w:rsidR="00BD5D1F" w:rsidRPr="00BD5D1F">
          <w:rPr>
            <w:rStyle w:val="Hyperlink"/>
            <w:rFonts w:eastAsia="Metropolis Black"/>
            <w:noProof/>
          </w:rPr>
          <w:t xml:space="preserve">: </w:t>
        </w:r>
        <w:r w:rsidR="00BD5D1F" w:rsidRPr="006A4E08">
          <w:rPr>
            <w:rStyle w:val="Hyperlink"/>
            <w:rFonts w:eastAsia="Metropolis Black"/>
            <w:noProof/>
          </w:rPr>
          <w:t>Education</w:t>
        </w:r>
        <w:r w:rsidR="00BD5D1F">
          <w:rPr>
            <w:noProof/>
            <w:webHidden/>
          </w:rPr>
          <w:tab/>
        </w:r>
        <w:r w:rsidR="00BD5D1F">
          <w:rPr>
            <w:noProof/>
            <w:webHidden/>
          </w:rPr>
          <w:fldChar w:fldCharType="begin"/>
        </w:r>
        <w:r w:rsidR="00BD5D1F">
          <w:rPr>
            <w:noProof/>
            <w:webHidden/>
          </w:rPr>
          <w:instrText xml:space="preserve"> PAGEREF _Toc170302172 \h </w:instrText>
        </w:r>
        <w:r w:rsidR="00BD5D1F">
          <w:rPr>
            <w:noProof/>
            <w:webHidden/>
          </w:rPr>
        </w:r>
        <w:r w:rsidR="00BD5D1F">
          <w:rPr>
            <w:noProof/>
            <w:webHidden/>
          </w:rPr>
          <w:fldChar w:fldCharType="separate"/>
        </w:r>
        <w:r w:rsidR="00454008">
          <w:rPr>
            <w:noProof/>
            <w:webHidden/>
          </w:rPr>
          <w:t>134</w:t>
        </w:r>
        <w:r w:rsidR="00BD5D1F">
          <w:rPr>
            <w:noProof/>
            <w:webHidden/>
          </w:rPr>
          <w:fldChar w:fldCharType="end"/>
        </w:r>
      </w:hyperlink>
    </w:p>
    <w:p w14:paraId="2A14113B" w14:textId="030C3416" w:rsidR="00BD5D1F" w:rsidRPr="00BD5D1F" w:rsidRDefault="00F437C5" w:rsidP="00BD5D1F">
      <w:pPr>
        <w:pStyle w:val="TOC2"/>
        <w:spacing w:after="120"/>
        <w:rPr>
          <w:rStyle w:val="Hyperlink"/>
          <w:noProof/>
        </w:rPr>
      </w:pPr>
      <w:hyperlink w:anchor="_Toc170302173" w:history="1">
        <w:r w:rsidR="00BD5D1F" w:rsidRPr="006A4E08">
          <w:rPr>
            <w:rStyle w:val="Hyperlink"/>
            <w:noProof/>
          </w:rPr>
          <w:t>Introduction</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_Toc170302173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134</w:t>
        </w:r>
        <w:r w:rsidR="00BD5D1F" w:rsidRPr="00BD5D1F">
          <w:rPr>
            <w:rStyle w:val="Hyperlink"/>
            <w:noProof/>
            <w:webHidden/>
          </w:rPr>
          <w:fldChar w:fldCharType="end"/>
        </w:r>
      </w:hyperlink>
    </w:p>
    <w:p w14:paraId="5EE5D727" w14:textId="3B66E4DA" w:rsidR="00BD5D1F" w:rsidRPr="00BD5D1F" w:rsidRDefault="00F437C5" w:rsidP="00BD5D1F">
      <w:pPr>
        <w:pStyle w:val="TOC2"/>
        <w:spacing w:after="120"/>
        <w:rPr>
          <w:rStyle w:val="Hyperlink"/>
          <w:noProof/>
        </w:rPr>
      </w:pPr>
      <w:hyperlink w:anchor="_Toc170302174" w:history="1">
        <w:r w:rsidR="00BD5D1F" w:rsidRPr="006A4E08">
          <w:rPr>
            <w:rStyle w:val="Hyperlink"/>
            <w:noProof/>
          </w:rPr>
          <w:t>Scope of protection</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_Toc170302174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134</w:t>
        </w:r>
        <w:r w:rsidR="00BD5D1F" w:rsidRPr="00BD5D1F">
          <w:rPr>
            <w:rStyle w:val="Hyperlink"/>
            <w:noProof/>
            <w:webHidden/>
          </w:rPr>
          <w:fldChar w:fldCharType="end"/>
        </w:r>
      </w:hyperlink>
    </w:p>
    <w:p w14:paraId="327BE163" w14:textId="44CEF69A" w:rsidR="00BD5D1F" w:rsidRPr="00BD5D1F" w:rsidRDefault="00F437C5" w:rsidP="00BD5D1F">
      <w:pPr>
        <w:pStyle w:val="TOC2"/>
        <w:spacing w:after="120"/>
        <w:rPr>
          <w:rStyle w:val="Hyperlink"/>
          <w:noProof/>
        </w:rPr>
      </w:pPr>
      <w:hyperlink w:anchor="_Toc170302175" w:history="1">
        <w:r w:rsidR="00BD5D1F" w:rsidRPr="006A4E08">
          <w:rPr>
            <w:rStyle w:val="Hyperlink"/>
            <w:noProof/>
          </w:rPr>
          <w:t>Exceptions</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_Toc170302175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137</w:t>
        </w:r>
        <w:r w:rsidR="00BD5D1F" w:rsidRPr="00BD5D1F">
          <w:rPr>
            <w:rStyle w:val="Hyperlink"/>
            <w:noProof/>
            <w:webHidden/>
          </w:rPr>
          <w:fldChar w:fldCharType="end"/>
        </w:r>
      </w:hyperlink>
    </w:p>
    <w:p w14:paraId="55827439" w14:textId="561CF330" w:rsidR="00BD5D1F" w:rsidRPr="00BD5D1F" w:rsidRDefault="00F437C5" w:rsidP="00BD5D1F">
      <w:pPr>
        <w:pStyle w:val="TOC2"/>
        <w:spacing w:after="120"/>
        <w:rPr>
          <w:rStyle w:val="Hyperlink"/>
          <w:noProof/>
        </w:rPr>
      </w:pPr>
      <w:hyperlink w:anchor="_Toc170302176" w:history="1">
        <w:r w:rsidR="00BD5D1F" w:rsidRPr="006A4E08">
          <w:rPr>
            <w:rStyle w:val="Hyperlink"/>
            <w:noProof/>
          </w:rPr>
          <w:t>Implications of this review for the Education and Training Act 2020</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_Toc170302176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143</w:t>
        </w:r>
        <w:r w:rsidR="00BD5D1F" w:rsidRPr="00BD5D1F">
          <w:rPr>
            <w:rStyle w:val="Hyperlink"/>
            <w:noProof/>
            <w:webHidden/>
          </w:rPr>
          <w:fldChar w:fldCharType="end"/>
        </w:r>
      </w:hyperlink>
    </w:p>
    <w:p w14:paraId="726A2866" w14:textId="77777777" w:rsidR="00642024" w:rsidRDefault="00642024">
      <w:pPr>
        <w:widowControl w:val="0"/>
        <w:spacing w:after="200" w:line="276" w:lineRule="auto"/>
        <w:rPr>
          <w:b/>
          <w:noProof/>
          <w:color w:val="6BA539"/>
        </w:rPr>
      </w:pPr>
      <w:r>
        <w:rPr>
          <w:noProof/>
        </w:rPr>
        <w:br w:type="page"/>
      </w:r>
    </w:p>
    <w:p w14:paraId="08B17FB5" w14:textId="69E4F520" w:rsidR="00BD5D1F" w:rsidRDefault="00F437C5">
      <w:pPr>
        <w:pStyle w:val="TOC1"/>
        <w:rPr>
          <w:rFonts w:eastAsiaTheme="minorEastAsia"/>
          <w:b w:val="0"/>
          <w:noProof/>
          <w:color w:val="auto"/>
          <w:sz w:val="24"/>
          <w:szCs w:val="24"/>
          <w:lang w:eastAsia="en-NZ"/>
        </w:rPr>
      </w:pPr>
      <w:hyperlink w:anchor="_Toc170302177" w:history="1">
        <w:r w:rsidR="00BD5D1F" w:rsidRPr="00BD5D1F">
          <w:rPr>
            <w:rStyle w:val="Hyperlink"/>
            <w:rFonts w:eastAsia="Metropolis Black"/>
            <w:noProof/>
          </w:rPr>
          <w:t>Chapter 1</w:t>
        </w:r>
        <w:r w:rsidR="00BD5D1F">
          <w:rPr>
            <w:rStyle w:val="Hyperlink"/>
            <w:rFonts w:eastAsia="Metropolis Black"/>
            <w:noProof/>
          </w:rPr>
          <w:t>3</w:t>
        </w:r>
        <w:r w:rsidR="00BD5D1F" w:rsidRPr="00BD5D1F">
          <w:rPr>
            <w:rStyle w:val="Hyperlink"/>
            <w:rFonts w:eastAsia="Metropolis Black"/>
            <w:noProof/>
          </w:rPr>
          <w:t xml:space="preserve">: </w:t>
        </w:r>
        <w:r w:rsidR="00BD5D1F" w:rsidRPr="006A4E08">
          <w:rPr>
            <w:rStyle w:val="Hyperlink"/>
            <w:rFonts w:eastAsia="Metropolis Black"/>
            <w:noProof/>
          </w:rPr>
          <w:t>Exceptions for single-sex facilities</w:t>
        </w:r>
        <w:r w:rsidR="00BD5D1F">
          <w:rPr>
            <w:noProof/>
            <w:webHidden/>
          </w:rPr>
          <w:tab/>
        </w:r>
        <w:r w:rsidR="00BD5D1F">
          <w:rPr>
            <w:noProof/>
            <w:webHidden/>
          </w:rPr>
          <w:fldChar w:fldCharType="begin"/>
        </w:r>
        <w:r w:rsidR="00BD5D1F">
          <w:rPr>
            <w:noProof/>
            <w:webHidden/>
          </w:rPr>
          <w:instrText xml:space="preserve"> PAGEREF _Toc170302177 \h </w:instrText>
        </w:r>
        <w:r w:rsidR="00BD5D1F">
          <w:rPr>
            <w:noProof/>
            <w:webHidden/>
          </w:rPr>
        </w:r>
        <w:r w:rsidR="00BD5D1F">
          <w:rPr>
            <w:noProof/>
            <w:webHidden/>
          </w:rPr>
          <w:fldChar w:fldCharType="separate"/>
        </w:r>
        <w:r w:rsidR="00454008">
          <w:rPr>
            <w:noProof/>
            <w:webHidden/>
          </w:rPr>
          <w:t>144</w:t>
        </w:r>
        <w:r w:rsidR="00BD5D1F">
          <w:rPr>
            <w:noProof/>
            <w:webHidden/>
          </w:rPr>
          <w:fldChar w:fldCharType="end"/>
        </w:r>
      </w:hyperlink>
    </w:p>
    <w:p w14:paraId="1C7D03CB" w14:textId="1E2630B3" w:rsidR="00BD5D1F" w:rsidRDefault="00F437C5" w:rsidP="00BD5D1F">
      <w:pPr>
        <w:pStyle w:val="TOC2"/>
        <w:spacing w:after="120"/>
        <w:rPr>
          <w:rFonts w:eastAsiaTheme="minorEastAsia"/>
          <w:noProof/>
          <w:sz w:val="24"/>
          <w:szCs w:val="24"/>
          <w:lang w:eastAsia="en-NZ"/>
        </w:rPr>
      </w:pPr>
      <w:hyperlink w:anchor="_Toc170302178" w:history="1">
        <w:r w:rsidR="00BD5D1F" w:rsidRPr="006A4E08">
          <w:rPr>
            <w:rStyle w:val="Hyperlink"/>
            <w:noProof/>
          </w:rPr>
          <w:t>Introduction</w:t>
        </w:r>
        <w:r w:rsidR="00BD5D1F">
          <w:rPr>
            <w:noProof/>
            <w:webHidden/>
          </w:rPr>
          <w:tab/>
        </w:r>
        <w:r w:rsidR="00BD5D1F">
          <w:rPr>
            <w:noProof/>
            <w:webHidden/>
          </w:rPr>
          <w:fldChar w:fldCharType="begin"/>
        </w:r>
        <w:r w:rsidR="00BD5D1F">
          <w:rPr>
            <w:noProof/>
            <w:webHidden/>
          </w:rPr>
          <w:instrText xml:space="preserve"> PAGEREF _Toc170302178 \h </w:instrText>
        </w:r>
        <w:r w:rsidR="00BD5D1F">
          <w:rPr>
            <w:noProof/>
            <w:webHidden/>
          </w:rPr>
        </w:r>
        <w:r w:rsidR="00BD5D1F">
          <w:rPr>
            <w:noProof/>
            <w:webHidden/>
          </w:rPr>
          <w:fldChar w:fldCharType="separate"/>
        </w:r>
        <w:r w:rsidR="00454008">
          <w:rPr>
            <w:noProof/>
            <w:webHidden/>
          </w:rPr>
          <w:t>144</w:t>
        </w:r>
        <w:r w:rsidR="00BD5D1F">
          <w:rPr>
            <w:noProof/>
            <w:webHidden/>
          </w:rPr>
          <w:fldChar w:fldCharType="end"/>
        </w:r>
      </w:hyperlink>
    </w:p>
    <w:p w14:paraId="03074FB4" w14:textId="3C841C53" w:rsidR="00BD5D1F" w:rsidRPr="00BD5D1F" w:rsidRDefault="00F437C5" w:rsidP="00BD5D1F">
      <w:pPr>
        <w:pStyle w:val="TOC2"/>
        <w:spacing w:after="120"/>
        <w:rPr>
          <w:rStyle w:val="Hyperlink"/>
          <w:noProof/>
        </w:rPr>
      </w:pPr>
      <w:hyperlink w:anchor="_Toc170302179" w:history="1">
        <w:r w:rsidR="00BD5D1F" w:rsidRPr="006A4E08">
          <w:rPr>
            <w:rStyle w:val="Hyperlink"/>
            <w:noProof/>
          </w:rPr>
          <w:t>Scope of the exceptions</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_Toc170302179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144</w:t>
        </w:r>
        <w:r w:rsidR="00BD5D1F" w:rsidRPr="00BD5D1F">
          <w:rPr>
            <w:rStyle w:val="Hyperlink"/>
            <w:noProof/>
            <w:webHidden/>
          </w:rPr>
          <w:fldChar w:fldCharType="end"/>
        </w:r>
      </w:hyperlink>
    </w:p>
    <w:p w14:paraId="4A894E68" w14:textId="1A570A8A" w:rsidR="00BD5D1F" w:rsidRPr="00BD5D1F" w:rsidRDefault="00F437C5" w:rsidP="00BD5D1F">
      <w:pPr>
        <w:pStyle w:val="TOC2"/>
        <w:spacing w:after="120"/>
        <w:rPr>
          <w:rStyle w:val="Hyperlink"/>
          <w:noProof/>
        </w:rPr>
      </w:pPr>
      <w:hyperlink w:anchor="_Toc170302180" w:history="1">
        <w:r w:rsidR="00BD5D1F" w:rsidRPr="006A4E08">
          <w:rPr>
            <w:rStyle w:val="Hyperlink"/>
            <w:noProof/>
          </w:rPr>
          <w:t>Rationale for the exceptions</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_Toc170302180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145</w:t>
        </w:r>
        <w:r w:rsidR="00BD5D1F" w:rsidRPr="00BD5D1F">
          <w:rPr>
            <w:rStyle w:val="Hyperlink"/>
            <w:noProof/>
            <w:webHidden/>
          </w:rPr>
          <w:fldChar w:fldCharType="end"/>
        </w:r>
      </w:hyperlink>
    </w:p>
    <w:p w14:paraId="1091D775" w14:textId="32A0E071" w:rsidR="00BD5D1F" w:rsidRPr="00BD5D1F" w:rsidRDefault="00F437C5" w:rsidP="00BD5D1F">
      <w:pPr>
        <w:pStyle w:val="TOC2"/>
        <w:spacing w:after="120"/>
        <w:rPr>
          <w:rStyle w:val="Hyperlink"/>
          <w:noProof/>
        </w:rPr>
      </w:pPr>
      <w:hyperlink w:anchor="_Toc170302181" w:history="1">
        <w:r w:rsidR="00BD5D1F" w:rsidRPr="006A4E08">
          <w:rPr>
            <w:rStyle w:val="Hyperlink"/>
            <w:noProof/>
          </w:rPr>
          <w:t>Differing perspectives</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_Toc170302181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146</w:t>
        </w:r>
        <w:r w:rsidR="00BD5D1F" w:rsidRPr="00BD5D1F">
          <w:rPr>
            <w:rStyle w:val="Hyperlink"/>
            <w:noProof/>
            <w:webHidden/>
          </w:rPr>
          <w:fldChar w:fldCharType="end"/>
        </w:r>
      </w:hyperlink>
    </w:p>
    <w:p w14:paraId="46036EA8" w14:textId="7E1B70EF" w:rsidR="00BD5D1F" w:rsidRPr="00BD5D1F" w:rsidRDefault="00F437C5" w:rsidP="00BD5D1F">
      <w:pPr>
        <w:pStyle w:val="TOC2"/>
        <w:spacing w:after="120"/>
        <w:rPr>
          <w:rStyle w:val="Hyperlink"/>
          <w:noProof/>
        </w:rPr>
      </w:pPr>
      <w:hyperlink w:anchor="_Toc170302182" w:history="1">
        <w:r w:rsidR="00BD5D1F" w:rsidRPr="006A4E08">
          <w:rPr>
            <w:rStyle w:val="Hyperlink"/>
            <w:noProof/>
          </w:rPr>
          <w:t>The potential of unisex facilities</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_Toc170302182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147</w:t>
        </w:r>
        <w:r w:rsidR="00BD5D1F" w:rsidRPr="00BD5D1F">
          <w:rPr>
            <w:rStyle w:val="Hyperlink"/>
            <w:noProof/>
            <w:webHidden/>
          </w:rPr>
          <w:fldChar w:fldCharType="end"/>
        </w:r>
      </w:hyperlink>
    </w:p>
    <w:p w14:paraId="0CB903FE" w14:textId="2FDB2CA3" w:rsidR="00BD5D1F" w:rsidRPr="00BD5D1F" w:rsidRDefault="00F437C5" w:rsidP="00BD5D1F">
      <w:pPr>
        <w:pStyle w:val="TOC2"/>
        <w:spacing w:after="120"/>
        <w:rPr>
          <w:rStyle w:val="Hyperlink"/>
          <w:noProof/>
        </w:rPr>
      </w:pPr>
      <w:hyperlink w:anchor="_Toc170302183" w:history="1">
        <w:r w:rsidR="00BD5D1F" w:rsidRPr="006A4E08">
          <w:rPr>
            <w:rStyle w:val="Hyperlink"/>
            <w:noProof/>
          </w:rPr>
          <w:t>Should the exceptions be amended?</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_Toc170302183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150</w:t>
        </w:r>
        <w:r w:rsidR="00BD5D1F" w:rsidRPr="00BD5D1F">
          <w:rPr>
            <w:rStyle w:val="Hyperlink"/>
            <w:noProof/>
            <w:webHidden/>
          </w:rPr>
          <w:fldChar w:fldCharType="end"/>
        </w:r>
      </w:hyperlink>
    </w:p>
    <w:p w14:paraId="30DADC66" w14:textId="1A3EB533" w:rsidR="00BD5D1F" w:rsidRPr="00BD5D1F" w:rsidRDefault="00F437C5" w:rsidP="00BD5D1F">
      <w:pPr>
        <w:pStyle w:val="TOC2"/>
        <w:spacing w:after="120"/>
        <w:rPr>
          <w:rStyle w:val="Hyperlink"/>
          <w:noProof/>
        </w:rPr>
      </w:pPr>
      <w:hyperlink w:anchor="_Toc170302184" w:history="1">
        <w:r w:rsidR="00BD5D1F" w:rsidRPr="006A4E08">
          <w:rPr>
            <w:rStyle w:val="Hyperlink"/>
            <w:noProof/>
          </w:rPr>
          <w:t>Single-sex facilities in schools and workplaces</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_Toc170302184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154</w:t>
        </w:r>
        <w:r w:rsidR="00BD5D1F" w:rsidRPr="00BD5D1F">
          <w:rPr>
            <w:rStyle w:val="Hyperlink"/>
            <w:noProof/>
            <w:webHidden/>
          </w:rPr>
          <w:fldChar w:fldCharType="end"/>
        </w:r>
      </w:hyperlink>
    </w:p>
    <w:p w14:paraId="57460693" w14:textId="7631D572" w:rsidR="00BD5D1F" w:rsidRDefault="00F437C5">
      <w:pPr>
        <w:pStyle w:val="TOC1"/>
        <w:rPr>
          <w:rFonts w:eastAsiaTheme="minorEastAsia"/>
          <w:b w:val="0"/>
          <w:noProof/>
          <w:color w:val="auto"/>
          <w:sz w:val="24"/>
          <w:szCs w:val="24"/>
          <w:lang w:eastAsia="en-NZ"/>
        </w:rPr>
      </w:pPr>
      <w:hyperlink w:anchor="_Toc170302185" w:history="1">
        <w:r w:rsidR="00BD5D1F" w:rsidRPr="00BD5D1F">
          <w:rPr>
            <w:rStyle w:val="Hyperlink"/>
            <w:rFonts w:eastAsia="Metropolis Black"/>
            <w:noProof/>
          </w:rPr>
          <w:t>Chapter 1</w:t>
        </w:r>
        <w:r w:rsidR="00BD5D1F">
          <w:rPr>
            <w:rStyle w:val="Hyperlink"/>
            <w:rFonts w:eastAsia="Metropolis Black"/>
            <w:noProof/>
          </w:rPr>
          <w:t>4</w:t>
        </w:r>
        <w:r w:rsidR="00BD5D1F" w:rsidRPr="00BD5D1F">
          <w:rPr>
            <w:rStyle w:val="Hyperlink"/>
            <w:rFonts w:eastAsia="Metropolis Black"/>
            <w:noProof/>
          </w:rPr>
          <w:t xml:space="preserve">: </w:t>
        </w:r>
        <w:r w:rsidR="00BD5D1F" w:rsidRPr="006A4E08">
          <w:rPr>
            <w:rStyle w:val="Hyperlink"/>
            <w:rFonts w:eastAsia="Metropolis Black"/>
            <w:noProof/>
          </w:rPr>
          <w:t>Competitive sports</w:t>
        </w:r>
        <w:r w:rsidR="00BD5D1F">
          <w:rPr>
            <w:noProof/>
            <w:webHidden/>
          </w:rPr>
          <w:tab/>
        </w:r>
        <w:r w:rsidR="00BD5D1F">
          <w:rPr>
            <w:noProof/>
            <w:webHidden/>
          </w:rPr>
          <w:fldChar w:fldCharType="begin"/>
        </w:r>
        <w:r w:rsidR="00BD5D1F">
          <w:rPr>
            <w:noProof/>
            <w:webHidden/>
          </w:rPr>
          <w:instrText xml:space="preserve"> PAGEREF _Toc170302185 \h </w:instrText>
        </w:r>
        <w:r w:rsidR="00BD5D1F">
          <w:rPr>
            <w:noProof/>
            <w:webHidden/>
          </w:rPr>
        </w:r>
        <w:r w:rsidR="00BD5D1F">
          <w:rPr>
            <w:noProof/>
            <w:webHidden/>
          </w:rPr>
          <w:fldChar w:fldCharType="separate"/>
        </w:r>
        <w:r w:rsidR="00454008">
          <w:rPr>
            <w:noProof/>
            <w:webHidden/>
          </w:rPr>
          <w:t>157</w:t>
        </w:r>
        <w:r w:rsidR="00BD5D1F">
          <w:rPr>
            <w:noProof/>
            <w:webHidden/>
          </w:rPr>
          <w:fldChar w:fldCharType="end"/>
        </w:r>
      </w:hyperlink>
    </w:p>
    <w:p w14:paraId="34772738" w14:textId="57DF9923" w:rsidR="00BD5D1F" w:rsidRPr="00BD5D1F" w:rsidRDefault="00F437C5" w:rsidP="00BD5D1F">
      <w:pPr>
        <w:pStyle w:val="TOC2"/>
        <w:spacing w:after="120"/>
        <w:rPr>
          <w:rStyle w:val="Hyperlink"/>
          <w:noProof/>
        </w:rPr>
      </w:pPr>
      <w:hyperlink w:anchor="_Toc170302186" w:history="1">
        <w:r w:rsidR="00BD5D1F" w:rsidRPr="006A4E08">
          <w:rPr>
            <w:rStyle w:val="Hyperlink"/>
            <w:noProof/>
          </w:rPr>
          <w:t>Introduction</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_Toc170302186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157</w:t>
        </w:r>
        <w:r w:rsidR="00BD5D1F" w:rsidRPr="00BD5D1F">
          <w:rPr>
            <w:rStyle w:val="Hyperlink"/>
            <w:noProof/>
            <w:webHidden/>
          </w:rPr>
          <w:fldChar w:fldCharType="end"/>
        </w:r>
      </w:hyperlink>
    </w:p>
    <w:p w14:paraId="5A2865CF" w14:textId="5A804013" w:rsidR="00BD5D1F" w:rsidRPr="00BD5D1F" w:rsidRDefault="00F437C5" w:rsidP="00BD5D1F">
      <w:pPr>
        <w:pStyle w:val="TOC2"/>
        <w:spacing w:after="120"/>
        <w:rPr>
          <w:rStyle w:val="Hyperlink"/>
          <w:noProof/>
        </w:rPr>
      </w:pPr>
      <w:hyperlink w:anchor="_Toc170302187" w:history="1">
        <w:r w:rsidR="00BD5D1F" w:rsidRPr="006A4E08">
          <w:rPr>
            <w:rStyle w:val="Hyperlink"/>
            <w:noProof/>
          </w:rPr>
          <w:t>Scope of the exception</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_Toc170302187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157</w:t>
        </w:r>
        <w:r w:rsidR="00BD5D1F" w:rsidRPr="00BD5D1F">
          <w:rPr>
            <w:rStyle w:val="Hyperlink"/>
            <w:noProof/>
            <w:webHidden/>
          </w:rPr>
          <w:fldChar w:fldCharType="end"/>
        </w:r>
      </w:hyperlink>
    </w:p>
    <w:p w14:paraId="5AD6A790" w14:textId="03AEB3DC" w:rsidR="00BD5D1F" w:rsidRPr="00BD5D1F" w:rsidRDefault="00F437C5" w:rsidP="00BD5D1F">
      <w:pPr>
        <w:pStyle w:val="TOC2"/>
        <w:spacing w:after="120"/>
        <w:rPr>
          <w:rStyle w:val="Hyperlink"/>
          <w:noProof/>
        </w:rPr>
      </w:pPr>
      <w:hyperlink w:anchor="_Toc170302188" w:history="1">
        <w:r w:rsidR="00BD5D1F" w:rsidRPr="006A4E08">
          <w:rPr>
            <w:rStyle w:val="Hyperlink"/>
            <w:noProof/>
          </w:rPr>
          <w:t>Rationales for the exception</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_Toc170302188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158</w:t>
        </w:r>
        <w:r w:rsidR="00BD5D1F" w:rsidRPr="00BD5D1F">
          <w:rPr>
            <w:rStyle w:val="Hyperlink"/>
            <w:noProof/>
            <w:webHidden/>
          </w:rPr>
          <w:fldChar w:fldCharType="end"/>
        </w:r>
      </w:hyperlink>
    </w:p>
    <w:p w14:paraId="77E738B1" w14:textId="5739D8FE" w:rsidR="00BD5D1F" w:rsidRPr="00BD5D1F" w:rsidRDefault="00F437C5" w:rsidP="00BD5D1F">
      <w:pPr>
        <w:pStyle w:val="TOC2"/>
        <w:spacing w:after="120"/>
        <w:rPr>
          <w:rStyle w:val="Hyperlink"/>
          <w:noProof/>
        </w:rPr>
      </w:pPr>
      <w:hyperlink w:anchor="_Toc170302189" w:history="1">
        <w:r w:rsidR="00BD5D1F" w:rsidRPr="006A4E08">
          <w:rPr>
            <w:rStyle w:val="Hyperlink"/>
            <w:noProof/>
          </w:rPr>
          <w:t>Current practice</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_Toc170302189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159</w:t>
        </w:r>
        <w:r w:rsidR="00BD5D1F" w:rsidRPr="00BD5D1F">
          <w:rPr>
            <w:rStyle w:val="Hyperlink"/>
            <w:noProof/>
            <w:webHidden/>
          </w:rPr>
          <w:fldChar w:fldCharType="end"/>
        </w:r>
      </w:hyperlink>
    </w:p>
    <w:p w14:paraId="7C76E864" w14:textId="0C11A750" w:rsidR="00BD5D1F" w:rsidRPr="00BD5D1F" w:rsidRDefault="00F437C5" w:rsidP="00BD5D1F">
      <w:pPr>
        <w:pStyle w:val="TOC2"/>
        <w:spacing w:after="120"/>
        <w:rPr>
          <w:rStyle w:val="Hyperlink"/>
          <w:noProof/>
        </w:rPr>
      </w:pPr>
      <w:hyperlink w:anchor="_Toc170302190" w:history="1">
        <w:r w:rsidR="00BD5D1F" w:rsidRPr="006A4E08">
          <w:rPr>
            <w:rStyle w:val="Hyperlink"/>
            <w:noProof/>
          </w:rPr>
          <w:t>Differing perspectives</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_Toc170302190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162</w:t>
        </w:r>
        <w:r w:rsidR="00BD5D1F" w:rsidRPr="00BD5D1F">
          <w:rPr>
            <w:rStyle w:val="Hyperlink"/>
            <w:noProof/>
            <w:webHidden/>
          </w:rPr>
          <w:fldChar w:fldCharType="end"/>
        </w:r>
      </w:hyperlink>
    </w:p>
    <w:p w14:paraId="78BE3B89" w14:textId="1C14EF41" w:rsidR="00BD5D1F" w:rsidRPr="00BD5D1F" w:rsidRDefault="00F437C5" w:rsidP="00BD5D1F">
      <w:pPr>
        <w:pStyle w:val="TOC2"/>
        <w:spacing w:after="120"/>
        <w:rPr>
          <w:rStyle w:val="Hyperlink"/>
          <w:noProof/>
        </w:rPr>
      </w:pPr>
      <w:hyperlink w:anchor="_Toc170302191" w:history="1">
        <w:r w:rsidR="00BD5D1F" w:rsidRPr="006A4E08">
          <w:rPr>
            <w:rStyle w:val="Hyperlink"/>
            <w:noProof/>
          </w:rPr>
          <w:t>Evidence backdrop</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_Toc170302191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164</w:t>
        </w:r>
        <w:r w:rsidR="00BD5D1F" w:rsidRPr="00BD5D1F">
          <w:rPr>
            <w:rStyle w:val="Hyperlink"/>
            <w:noProof/>
            <w:webHidden/>
          </w:rPr>
          <w:fldChar w:fldCharType="end"/>
        </w:r>
      </w:hyperlink>
    </w:p>
    <w:p w14:paraId="34FEF6AC" w14:textId="2349BBE3" w:rsidR="00BD5D1F" w:rsidRPr="00BD5D1F" w:rsidRDefault="00F437C5" w:rsidP="00BD5D1F">
      <w:pPr>
        <w:pStyle w:val="TOC2"/>
        <w:spacing w:after="120"/>
        <w:rPr>
          <w:rStyle w:val="Hyperlink"/>
          <w:noProof/>
        </w:rPr>
      </w:pPr>
      <w:hyperlink w:anchor="_Toc170302192" w:history="1">
        <w:r w:rsidR="00BD5D1F" w:rsidRPr="006A4E08">
          <w:rPr>
            <w:rStyle w:val="Hyperlink"/>
            <w:noProof/>
          </w:rPr>
          <w:t>Should the exception be amended?</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_Toc170302192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167</w:t>
        </w:r>
        <w:r w:rsidR="00BD5D1F" w:rsidRPr="00BD5D1F">
          <w:rPr>
            <w:rStyle w:val="Hyperlink"/>
            <w:noProof/>
            <w:webHidden/>
          </w:rPr>
          <w:fldChar w:fldCharType="end"/>
        </w:r>
      </w:hyperlink>
    </w:p>
    <w:p w14:paraId="344A00B9" w14:textId="0C5354E9" w:rsidR="00BD5D1F" w:rsidRDefault="00F437C5">
      <w:pPr>
        <w:pStyle w:val="TOC1"/>
        <w:rPr>
          <w:rFonts w:eastAsiaTheme="minorEastAsia"/>
          <w:b w:val="0"/>
          <w:noProof/>
          <w:color w:val="auto"/>
          <w:sz w:val="24"/>
          <w:szCs w:val="24"/>
          <w:lang w:eastAsia="en-NZ"/>
        </w:rPr>
      </w:pPr>
      <w:hyperlink w:anchor="_Toc170302193" w:history="1">
        <w:r w:rsidR="00BD5D1F" w:rsidRPr="00BD5D1F">
          <w:rPr>
            <w:rStyle w:val="Hyperlink"/>
            <w:rFonts w:eastAsia="Metropolis Black"/>
            <w:noProof/>
          </w:rPr>
          <w:t>Chapter 1</w:t>
        </w:r>
        <w:r w:rsidR="00BD5D1F">
          <w:rPr>
            <w:rStyle w:val="Hyperlink"/>
            <w:rFonts w:eastAsia="Metropolis Black"/>
            <w:noProof/>
          </w:rPr>
          <w:t>5</w:t>
        </w:r>
        <w:r w:rsidR="00BD5D1F" w:rsidRPr="00BD5D1F">
          <w:rPr>
            <w:rStyle w:val="Hyperlink"/>
            <w:rFonts w:eastAsia="Metropolis Black"/>
            <w:noProof/>
          </w:rPr>
          <w:t xml:space="preserve">: </w:t>
        </w:r>
        <w:r w:rsidR="00BD5D1F" w:rsidRPr="006A4E08">
          <w:rPr>
            <w:rStyle w:val="Hyperlink"/>
            <w:rFonts w:eastAsia="Metropolis Black"/>
            <w:noProof/>
          </w:rPr>
          <w:t>Other issues in Part 2</w:t>
        </w:r>
        <w:r w:rsidR="00BD5D1F">
          <w:rPr>
            <w:noProof/>
            <w:webHidden/>
          </w:rPr>
          <w:tab/>
        </w:r>
        <w:r w:rsidR="00BD5D1F">
          <w:rPr>
            <w:noProof/>
            <w:webHidden/>
          </w:rPr>
          <w:fldChar w:fldCharType="begin"/>
        </w:r>
        <w:r w:rsidR="00BD5D1F">
          <w:rPr>
            <w:noProof/>
            <w:webHidden/>
          </w:rPr>
          <w:instrText xml:space="preserve"> PAGEREF _Toc170302193 \h </w:instrText>
        </w:r>
        <w:r w:rsidR="00BD5D1F">
          <w:rPr>
            <w:noProof/>
            <w:webHidden/>
          </w:rPr>
        </w:r>
        <w:r w:rsidR="00BD5D1F">
          <w:rPr>
            <w:noProof/>
            <w:webHidden/>
          </w:rPr>
          <w:fldChar w:fldCharType="separate"/>
        </w:r>
        <w:r w:rsidR="00454008">
          <w:rPr>
            <w:noProof/>
            <w:webHidden/>
          </w:rPr>
          <w:t>173</w:t>
        </w:r>
        <w:r w:rsidR="00BD5D1F">
          <w:rPr>
            <w:noProof/>
            <w:webHidden/>
          </w:rPr>
          <w:fldChar w:fldCharType="end"/>
        </w:r>
      </w:hyperlink>
    </w:p>
    <w:p w14:paraId="160A83B0" w14:textId="179DA075" w:rsidR="00BD5D1F" w:rsidRPr="00BD5D1F" w:rsidRDefault="00F437C5" w:rsidP="00BD5D1F">
      <w:pPr>
        <w:pStyle w:val="TOC2"/>
        <w:spacing w:after="120"/>
        <w:rPr>
          <w:rStyle w:val="Hyperlink"/>
          <w:noProof/>
        </w:rPr>
      </w:pPr>
      <w:hyperlink w:anchor="_Toc170302194" w:history="1">
        <w:r w:rsidR="00BD5D1F" w:rsidRPr="006A4E08">
          <w:rPr>
            <w:rStyle w:val="Hyperlink"/>
            <w:noProof/>
          </w:rPr>
          <w:t>Introduction</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_Toc170302194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173</w:t>
        </w:r>
        <w:r w:rsidR="00BD5D1F" w:rsidRPr="00BD5D1F">
          <w:rPr>
            <w:rStyle w:val="Hyperlink"/>
            <w:noProof/>
            <w:webHidden/>
          </w:rPr>
          <w:fldChar w:fldCharType="end"/>
        </w:r>
      </w:hyperlink>
    </w:p>
    <w:p w14:paraId="2C6ABF8B" w14:textId="2C950336" w:rsidR="00BD5D1F" w:rsidRPr="00BD5D1F" w:rsidRDefault="00F437C5" w:rsidP="00BD5D1F">
      <w:pPr>
        <w:pStyle w:val="TOC2"/>
        <w:spacing w:after="120"/>
        <w:rPr>
          <w:rStyle w:val="Hyperlink"/>
          <w:noProof/>
        </w:rPr>
      </w:pPr>
      <w:hyperlink w:anchor="_Toc170302195" w:history="1">
        <w:r w:rsidR="00BD5D1F" w:rsidRPr="006A4E08">
          <w:rPr>
            <w:rStyle w:val="Hyperlink"/>
            <w:noProof/>
          </w:rPr>
          <w:t>Other forms of discrimination</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_Toc170302195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173</w:t>
        </w:r>
        <w:r w:rsidR="00BD5D1F" w:rsidRPr="00BD5D1F">
          <w:rPr>
            <w:rStyle w:val="Hyperlink"/>
            <w:noProof/>
            <w:webHidden/>
          </w:rPr>
          <w:fldChar w:fldCharType="end"/>
        </w:r>
      </w:hyperlink>
    </w:p>
    <w:p w14:paraId="164311B6" w14:textId="597E7D54" w:rsidR="00BD5D1F" w:rsidRPr="00BD5D1F" w:rsidRDefault="00F437C5" w:rsidP="00BD5D1F">
      <w:pPr>
        <w:pStyle w:val="TOC2"/>
        <w:spacing w:after="120"/>
        <w:rPr>
          <w:rStyle w:val="Hyperlink"/>
          <w:noProof/>
        </w:rPr>
      </w:pPr>
      <w:hyperlink w:anchor="_Toc170302196" w:history="1">
        <w:r w:rsidR="00BD5D1F" w:rsidRPr="006A4E08">
          <w:rPr>
            <w:rStyle w:val="Hyperlink"/>
            <w:noProof/>
          </w:rPr>
          <w:t>Special provisions relating to superannuation schemes</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_Toc170302196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181</w:t>
        </w:r>
        <w:r w:rsidR="00BD5D1F" w:rsidRPr="00BD5D1F">
          <w:rPr>
            <w:rStyle w:val="Hyperlink"/>
            <w:noProof/>
            <w:webHidden/>
          </w:rPr>
          <w:fldChar w:fldCharType="end"/>
        </w:r>
      </w:hyperlink>
    </w:p>
    <w:p w14:paraId="260B4145" w14:textId="44770244" w:rsidR="00BD5D1F" w:rsidRPr="00BD5D1F" w:rsidRDefault="00F437C5" w:rsidP="00BD5D1F">
      <w:pPr>
        <w:pStyle w:val="TOC2"/>
        <w:spacing w:after="120"/>
        <w:rPr>
          <w:rStyle w:val="Hyperlink"/>
          <w:noProof/>
        </w:rPr>
      </w:pPr>
      <w:hyperlink w:anchor="_Toc170302197" w:history="1">
        <w:r w:rsidR="00BD5D1F" w:rsidRPr="006A4E08">
          <w:rPr>
            <w:rStyle w:val="Hyperlink"/>
            <w:noProof/>
          </w:rPr>
          <w:t>O</w:t>
        </w:r>
        <w:r w:rsidR="00BD5D1F" w:rsidRPr="00BD5D1F">
          <w:rPr>
            <w:rStyle w:val="Hyperlink"/>
            <w:noProof/>
          </w:rPr>
          <w:t>ther matters</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_Toc170302197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182</w:t>
        </w:r>
        <w:r w:rsidR="00BD5D1F" w:rsidRPr="00BD5D1F">
          <w:rPr>
            <w:rStyle w:val="Hyperlink"/>
            <w:noProof/>
            <w:webHidden/>
          </w:rPr>
          <w:fldChar w:fldCharType="end"/>
        </w:r>
      </w:hyperlink>
    </w:p>
    <w:p w14:paraId="18D3B8DA" w14:textId="2A573AA6" w:rsidR="00BD5D1F" w:rsidRDefault="00F437C5">
      <w:pPr>
        <w:pStyle w:val="TOC1"/>
        <w:rPr>
          <w:rFonts w:eastAsiaTheme="minorEastAsia"/>
          <w:b w:val="0"/>
          <w:noProof/>
          <w:color w:val="auto"/>
          <w:sz w:val="24"/>
          <w:szCs w:val="24"/>
          <w:lang w:eastAsia="en-NZ"/>
        </w:rPr>
      </w:pPr>
      <w:hyperlink w:anchor="_Toc170302198" w:history="1">
        <w:r w:rsidR="00BD5D1F" w:rsidRPr="00BD5D1F">
          <w:rPr>
            <w:rStyle w:val="Hyperlink"/>
            <w:rFonts w:eastAsia="Metropolis Black"/>
            <w:noProof/>
          </w:rPr>
          <w:t>Chapter 1</w:t>
        </w:r>
        <w:r w:rsidR="00BD5D1F">
          <w:rPr>
            <w:rStyle w:val="Hyperlink"/>
            <w:rFonts w:eastAsia="Metropolis Black"/>
            <w:noProof/>
          </w:rPr>
          <w:t>6</w:t>
        </w:r>
        <w:r w:rsidR="00BD5D1F" w:rsidRPr="00BD5D1F">
          <w:rPr>
            <w:rStyle w:val="Hyperlink"/>
            <w:rFonts w:eastAsia="Metropolis Black"/>
            <w:noProof/>
          </w:rPr>
          <w:t xml:space="preserve">: </w:t>
        </w:r>
        <w:r w:rsidR="00BD5D1F" w:rsidRPr="006A4E08">
          <w:rPr>
            <w:rStyle w:val="Hyperlink"/>
            <w:rFonts w:eastAsia="Metropolis Black"/>
            <w:noProof/>
          </w:rPr>
          <w:t>Part 1A and the New Zealand Bill of Rights Act</w:t>
        </w:r>
        <w:r w:rsidR="00BD5D1F">
          <w:rPr>
            <w:noProof/>
            <w:webHidden/>
          </w:rPr>
          <w:tab/>
        </w:r>
        <w:r w:rsidR="00BD5D1F">
          <w:rPr>
            <w:noProof/>
            <w:webHidden/>
          </w:rPr>
          <w:fldChar w:fldCharType="begin"/>
        </w:r>
        <w:r w:rsidR="00BD5D1F">
          <w:rPr>
            <w:noProof/>
            <w:webHidden/>
          </w:rPr>
          <w:instrText xml:space="preserve"> PAGEREF _Toc170302198 \h </w:instrText>
        </w:r>
        <w:r w:rsidR="00BD5D1F">
          <w:rPr>
            <w:noProof/>
            <w:webHidden/>
          </w:rPr>
        </w:r>
        <w:r w:rsidR="00BD5D1F">
          <w:rPr>
            <w:noProof/>
            <w:webHidden/>
          </w:rPr>
          <w:fldChar w:fldCharType="separate"/>
        </w:r>
        <w:r w:rsidR="00454008">
          <w:rPr>
            <w:noProof/>
            <w:webHidden/>
          </w:rPr>
          <w:t>184</w:t>
        </w:r>
        <w:r w:rsidR="00BD5D1F">
          <w:rPr>
            <w:noProof/>
            <w:webHidden/>
          </w:rPr>
          <w:fldChar w:fldCharType="end"/>
        </w:r>
      </w:hyperlink>
    </w:p>
    <w:p w14:paraId="0D67534C" w14:textId="3153ACD3" w:rsidR="00BD5D1F" w:rsidRPr="00BD5D1F" w:rsidRDefault="00F437C5" w:rsidP="00BD5D1F">
      <w:pPr>
        <w:pStyle w:val="TOC2"/>
        <w:spacing w:after="120"/>
        <w:rPr>
          <w:rStyle w:val="Hyperlink"/>
          <w:noProof/>
        </w:rPr>
      </w:pPr>
      <w:hyperlink w:anchor="_Toc170302199" w:history="1">
        <w:r w:rsidR="00BD5D1F" w:rsidRPr="006A4E08">
          <w:rPr>
            <w:rStyle w:val="Hyperlink"/>
            <w:noProof/>
          </w:rPr>
          <w:t>Introduction</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_Toc170302199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184</w:t>
        </w:r>
        <w:r w:rsidR="00BD5D1F" w:rsidRPr="00BD5D1F">
          <w:rPr>
            <w:rStyle w:val="Hyperlink"/>
            <w:noProof/>
            <w:webHidden/>
          </w:rPr>
          <w:fldChar w:fldCharType="end"/>
        </w:r>
      </w:hyperlink>
    </w:p>
    <w:p w14:paraId="4FF344C1" w14:textId="6EC4D5E4" w:rsidR="00BD5D1F" w:rsidRPr="00BD5D1F" w:rsidRDefault="00F437C5" w:rsidP="00BD5D1F">
      <w:pPr>
        <w:pStyle w:val="TOC2"/>
        <w:spacing w:after="120"/>
        <w:rPr>
          <w:rStyle w:val="Hyperlink"/>
          <w:noProof/>
        </w:rPr>
      </w:pPr>
      <w:hyperlink w:anchor="_Toc170302200" w:history="1">
        <w:r w:rsidR="00BD5D1F" w:rsidRPr="006A4E08">
          <w:rPr>
            <w:rStyle w:val="Hyperlink"/>
            <w:noProof/>
          </w:rPr>
          <w:t>The right to freedom from discrimination in the NZ Bill of Rights</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_Toc170302200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184</w:t>
        </w:r>
        <w:r w:rsidR="00BD5D1F" w:rsidRPr="00BD5D1F">
          <w:rPr>
            <w:rStyle w:val="Hyperlink"/>
            <w:noProof/>
            <w:webHidden/>
          </w:rPr>
          <w:fldChar w:fldCharType="end"/>
        </w:r>
      </w:hyperlink>
    </w:p>
    <w:p w14:paraId="42A17827" w14:textId="6ED31CC7" w:rsidR="00BD5D1F" w:rsidRPr="00BD5D1F" w:rsidRDefault="00F437C5" w:rsidP="00BD5D1F">
      <w:pPr>
        <w:pStyle w:val="TOC2"/>
        <w:spacing w:after="120"/>
        <w:rPr>
          <w:rStyle w:val="Hyperlink"/>
          <w:noProof/>
        </w:rPr>
      </w:pPr>
      <w:hyperlink w:anchor="_Toc170302201" w:history="1">
        <w:r w:rsidR="00BD5D1F" w:rsidRPr="006A4E08">
          <w:rPr>
            <w:rStyle w:val="Hyperlink"/>
            <w:noProof/>
          </w:rPr>
          <w:t>Part 1A of the Human Rights Act</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_Toc170302201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186</w:t>
        </w:r>
        <w:r w:rsidR="00BD5D1F" w:rsidRPr="00BD5D1F">
          <w:rPr>
            <w:rStyle w:val="Hyperlink"/>
            <w:noProof/>
            <w:webHidden/>
          </w:rPr>
          <w:fldChar w:fldCharType="end"/>
        </w:r>
      </w:hyperlink>
    </w:p>
    <w:p w14:paraId="478B5A6B" w14:textId="1CC76628" w:rsidR="00BD5D1F" w:rsidRPr="00BD5D1F" w:rsidRDefault="00F437C5" w:rsidP="00BD5D1F">
      <w:pPr>
        <w:pStyle w:val="TOC2"/>
        <w:spacing w:after="120"/>
        <w:rPr>
          <w:rStyle w:val="Hyperlink"/>
          <w:noProof/>
        </w:rPr>
      </w:pPr>
      <w:hyperlink w:anchor="_Toc170302202" w:history="1">
        <w:r w:rsidR="00BD5D1F" w:rsidRPr="006A4E08">
          <w:rPr>
            <w:rStyle w:val="Hyperlink"/>
            <w:noProof/>
          </w:rPr>
          <w:t>Implications of this review for Part 1A and the NZ Bill of Rights</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_Toc170302202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187</w:t>
        </w:r>
        <w:r w:rsidR="00BD5D1F" w:rsidRPr="00BD5D1F">
          <w:rPr>
            <w:rStyle w:val="Hyperlink"/>
            <w:noProof/>
            <w:webHidden/>
          </w:rPr>
          <w:fldChar w:fldCharType="end"/>
        </w:r>
      </w:hyperlink>
    </w:p>
    <w:p w14:paraId="48188413" w14:textId="0C9B4EFB" w:rsidR="00BD5D1F" w:rsidRDefault="00F437C5">
      <w:pPr>
        <w:pStyle w:val="TOC1"/>
        <w:rPr>
          <w:rFonts w:eastAsiaTheme="minorEastAsia"/>
          <w:b w:val="0"/>
          <w:noProof/>
          <w:color w:val="auto"/>
          <w:sz w:val="24"/>
          <w:szCs w:val="24"/>
          <w:lang w:eastAsia="en-NZ"/>
        </w:rPr>
      </w:pPr>
      <w:hyperlink w:anchor="_Toc170302203" w:history="1">
        <w:r w:rsidR="00BD5D1F" w:rsidRPr="00BD5D1F">
          <w:rPr>
            <w:rStyle w:val="Hyperlink"/>
            <w:rFonts w:eastAsia="Metropolis Black"/>
            <w:noProof/>
          </w:rPr>
          <w:t>Chapter 1</w:t>
        </w:r>
        <w:r w:rsidR="00BD5D1F">
          <w:rPr>
            <w:rStyle w:val="Hyperlink"/>
            <w:rFonts w:eastAsia="Metropolis Black"/>
            <w:noProof/>
          </w:rPr>
          <w:t>7</w:t>
        </w:r>
        <w:r w:rsidR="00BD5D1F" w:rsidRPr="00BD5D1F">
          <w:rPr>
            <w:rStyle w:val="Hyperlink"/>
            <w:rFonts w:eastAsia="Metropolis Black"/>
            <w:noProof/>
          </w:rPr>
          <w:t xml:space="preserve">: </w:t>
        </w:r>
        <w:r w:rsidR="00BD5D1F" w:rsidRPr="006A4E08">
          <w:rPr>
            <w:rStyle w:val="Hyperlink"/>
            <w:rFonts w:eastAsia="Metropolis Black"/>
            <w:noProof/>
          </w:rPr>
          <w:t>Cross-cutting issues</w:t>
        </w:r>
        <w:r w:rsidR="00BD5D1F">
          <w:rPr>
            <w:noProof/>
            <w:webHidden/>
          </w:rPr>
          <w:tab/>
        </w:r>
        <w:r w:rsidR="00BD5D1F">
          <w:rPr>
            <w:noProof/>
            <w:webHidden/>
          </w:rPr>
          <w:fldChar w:fldCharType="begin"/>
        </w:r>
        <w:r w:rsidR="00BD5D1F">
          <w:rPr>
            <w:noProof/>
            <w:webHidden/>
          </w:rPr>
          <w:instrText xml:space="preserve"> PAGEREF _Toc170302203 \h </w:instrText>
        </w:r>
        <w:r w:rsidR="00BD5D1F">
          <w:rPr>
            <w:noProof/>
            <w:webHidden/>
          </w:rPr>
        </w:r>
        <w:r w:rsidR="00BD5D1F">
          <w:rPr>
            <w:noProof/>
            <w:webHidden/>
          </w:rPr>
          <w:fldChar w:fldCharType="separate"/>
        </w:r>
        <w:r w:rsidR="00454008">
          <w:rPr>
            <w:noProof/>
            <w:webHidden/>
          </w:rPr>
          <w:t>193</w:t>
        </w:r>
        <w:r w:rsidR="00BD5D1F">
          <w:rPr>
            <w:noProof/>
            <w:webHidden/>
          </w:rPr>
          <w:fldChar w:fldCharType="end"/>
        </w:r>
      </w:hyperlink>
    </w:p>
    <w:p w14:paraId="6F8FB87F" w14:textId="7A092AF6" w:rsidR="00BD5D1F" w:rsidRPr="00BD5D1F" w:rsidRDefault="00F437C5" w:rsidP="00BD5D1F">
      <w:pPr>
        <w:pStyle w:val="TOC2"/>
        <w:spacing w:after="120"/>
        <w:rPr>
          <w:rStyle w:val="Hyperlink"/>
          <w:noProof/>
        </w:rPr>
      </w:pPr>
      <w:hyperlink w:anchor="_Toc170302204" w:history="1">
        <w:r w:rsidR="00BD5D1F" w:rsidRPr="006A4E08">
          <w:rPr>
            <w:rStyle w:val="Hyperlink"/>
            <w:noProof/>
          </w:rPr>
          <w:t>Introduction</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_Toc170302204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193</w:t>
        </w:r>
        <w:r w:rsidR="00BD5D1F" w:rsidRPr="00BD5D1F">
          <w:rPr>
            <w:rStyle w:val="Hyperlink"/>
            <w:noProof/>
            <w:webHidden/>
          </w:rPr>
          <w:fldChar w:fldCharType="end"/>
        </w:r>
      </w:hyperlink>
    </w:p>
    <w:p w14:paraId="77A5DA0B" w14:textId="157DBAD2" w:rsidR="00BD5D1F" w:rsidRPr="00BD5D1F" w:rsidRDefault="00F437C5" w:rsidP="00BD5D1F">
      <w:pPr>
        <w:pStyle w:val="TOC2"/>
        <w:spacing w:after="120"/>
        <w:rPr>
          <w:rStyle w:val="Hyperlink"/>
          <w:noProof/>
        </w:rPr>
      </w:pPr>
      <w:hyperlink w:anchor="_Toc170302205" w:history="1">
        <w:r w:rsidR="00BD5D1F" w:rsidRPr="006A4E08">
          <w:rPr>
            <w:rStyle w:val="Hyperlink"/>
            <w:noProof/>
          </w:rPr>
          <w:t>Potential for interference with tikanga</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_Toc170302205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193</w:t>
        </w:r>
        <w:r w:rsidR="00BD5D1F" w:rsidRPr="00BD5D1F">
          <w:rPr>
            <w:rStyle w:val="Hyperlink"/>
            <w:noProof/>
            <w:webHidden/>
          </w:rPr>
          <w:fldChar w:fldCharType="end"/>
        </w:r>
      </w:hyperlink>
    </w:p>
    <w:p w14:paraId="30AAC638" w14:textId="53DE948A" w:rsidR="00BD5D1F" w:rsidRPr="00BD5D1F" w:rsidRDefault="00F437C5" w:rsidP="00BD5D1F">
      <w:pPr>
        <w:pStyle w:val="TOC2"/>
        <w:spacing w:after="120"/>
        <w:rPr>
          <w:rStyle w:val="Hyperlink"/>
          <w:noProof/>
        </w:rPr>
      </w:pPr>
      <w:hyperlink w:anchor="_Toc170302206" w:history="1">
        <w:r w:rsidR="00BD5D1F" w:rsidRPr="006A4E08">
          <w:rPr>
            <w:rStyle w:val="Hyperlink"/>
            <w:noProof/>
          </w:rPr>
          <w:t>Misgendering and deadnaming</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_Toc170302206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199</w:t>
        </w:r>
        <w:r w:rsidR="00BD5D1F" w:rsidRPr="00BD5D1F">
          <w:rPr>
            <w:rStyle w:val="Hyperlink"/>
            <w:noProof/>
            <w:webHidden/>
          </w:rPr>
          <w:fldChar w:fldCharType="end"/>
        </w:r>
      </w:hyperlink>
    </w:p>
    <w:p w14:paraId="22830D50" w14:textId="19CFD3B9" w:rsidR="00BD5D1F" w:rsidRPr="00BD5D1F" w:rsidRDefault="00F437C5" w:rsidP="00BD5D1F">
      <w:pPr>
        <w:pStyle w:val="TOC2"/>
        <w:spacing w:after="120"/>
        <w:rPr>
          <w:rStyle w:val="Hyperlink"/>
          <w:noProof/>
        </w:rPr>
      </w:pPr>
      <w:hyperlink w:anchor="_Toc170302207" w:history="1">
        <w:r w:rsidR="00BD5D1F" w:rsidRPr="006A4E08">
          <w:rPr>
            <w:rStyle w:val="Hyperlink"/>
            <w:noProof/>
          </w:rPr>
          <w:t>Binary language in the Human Rights Act</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_Toc170302207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204</w:t>
        </w:r>
        <w:r w:rsidR="00BD5D1F" w:rsidRPr="00BD5D1F">
          <w:rPr>
            <w:rStyle w:val="Hyperlink"/>
            <w:noProof/>
            <w:webHidden/>
          </w:rPr>
          <w:fldChar w:fldCharType="end"/>
        </w:r>
      </w:hyperlink>
    </w:p>
    <w:p w14:paraId="18A28E08" w14:textId="724A6F37" w:rsidR="00BD5D1F" w:rsidRDefault="00F437C5">
      <w:pPr>
        <w:pStyle w:val="TOC1"/>
        <w:rPr>
          <w:rFonts w:eastAsiaTheme="minorEastAsia"/>
          <w:b w:val="0"/>
          <w:noProof/>
          <w:color w:val="auto"/>
          <w:sz w:val="24"/>
          <w:szCs w:val="24"/>
          <w:lang w:eastAsia="en-NZ"/>
        </w:rPr>
      </w:pPr>
      <w:hyperlink w:anchor="_Toc170302208" w:history="1">
        <w:r w:rsidR="00BD5D1F" w:rsidRPr="00BD5D1F">
          <w:rPr>
            <w:rStyle w:val="Hyperlink"/>
            <w:rFonts w:eastAsia="Metropolis Black"/>
            <w:noProof/>
          </w:rPr>
          <w:t>Chapter 1</w:t>
        </w:r>
        <w:r w:rsidR="00BD5D1F">
          <w:rPr>
            <w:rStyle w:val="Hyperlink"/>
            <w:rFonts w:eastAsia="Metropolis Black"/>
            <w:noProof/>
          </w:rPr>
          <w:t>8</w:t>
        </w:r>
        <w:r w:rsidR="00BD5D1F" w:rsidRPr="00BD5D1F">
          <w:rPr>
            <w:rStyle w:val="Hyperlink"/>
            <w:rFonts w:eastAsia="Metropolis Black"/>
            <w:noProof/>
          </w:rPr>
          <w:t xml:space="preserve">: </w:t>
        </w:r>
        <w:r w:rsidR="00BD5D1F" w:rsidRPr="006A4E08">
          <w:rPr>
            <w:rStyle w:val="Hyperlink"/>
            <w:rFonts w:eastAsia="Metropolis Black"/>
            <w:noProof/>
          </w:rPr>
          <w:t>Other matters</w:t>
        </w:r>
        <w:r w:rsidR="00BD5D1F">
          <w:rPr>
            <w:noProof/>
            <w:webHidden/>
          </w:rPr>
          <w:tab/>
        </w:r>
        <w:r w:rsidR="00BD5D1F">
          <w:rPr>
            <w:noProof/>
            <w:webHidden/>
          </w:rPr>
          <w:fldChar w:fldCharType="begin"/>
        </w:r>
        <w:r w:rsidR="00BD5D1F">
          <w:rPr>
            <w:noProof/>
            <w:webHidden/>
          </w:rPr>
          <w:instrText xml:space="preserve"> PAGEREF _Toc170302208 \h </w:instrText>
        </w:r>
        <w:r w:rsidR="00BD5D1F">
          <w:rPr>
            <w:noProof/>
            <w:webHidden/>
          </w:rPr>
        </w:r>
        <w:r w:rsidR="00BD5D1F">
          <w:rPr>
            <w:noProof/>
            <w:webHidden/>
          </w:rPr>
          <w:fldChar w:fldCharType="separate"/>
        </w:r>
        <w:r w:rsidR="00454008">
          <w:rPr>
            <w:noProof/>
            <w:webHidden/>
          </w:rPr>
          <w:t>206</w:t>
        </w:r>
        <w:r w:rsidR="00BD5D1F">
          <w:rPr>
            <w:noProof/>
            <w:webHidden/>
          </w:rPr>
          <w:fldChar w:fldCharType="end"/>
        </w:r>
      </w:hyperlink>
    </w:p>
    <w:p w14:paraId="2F2F85D3" w14:textId="3621A501" w:rsidR="00BD5D1F" w:rsidRPr="00BD5D1F" w:rsidRDefault="00F437C5" w:rsidP="00BD5D1F">
      <w:pPr>
        <w:pStyle w:val="TOC2"/>
        <w:spacing w:after="120"/>
        <w:rPr>
          <w:rStyle w:val="Hyperlink"/>
          <w:noProof/>
        </w:rPr>
      </w:pPr>
      <w:hyperlink w:anchor="_Toc170302209" w:history="1">
        <w:r w:rsidR="00BD5D1F" w:rsidRPr="006A4E08">
          <w:rPr>
            <w:rStyle w:val="Hyperlink"/>
            <w:noProof/>
          </w:rPr>
          <w:t>Introduction</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_Toc170302209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206</w:t>
        </w:r>
        <w:r w:rsidR="00BD5D1F" w:rsidRPr="00BD5D1F">
          <w:rPr>
            <w:rStyle w:val="Hyperlink"/>
            <w:noProof/>
            <w:webHidden/>
          </w:rPr>
          <w:fldChar w:fldCharType="end"/>
        </w:r>
      </w:hyperlink>
    </w:p>
    <w:p w14:paraId="4D2DBCFA" w14:textId="13FAA42E" w:rsidR="00BD5D1F" w:rsidRPr="00BD5D1F" w:rsidRDefault="00F437C5" w:rsidP="00BD5D1F">
      <w:pPr>
        <w:pStyle w:val="TOC2"/>
        <w:spacing w:after="120"/>
        <w:rPr>
          <w:rStyle w:val="Hyperlink"/>
          <w:noProof/>
        </w:rPr>
      </w:pPr>
      <w:hyperlink w:anchor="_Toc170302210" w:history="1">
        <w:r w:rsidR="00BD5D1F" w:rsidRPr="006A4E08">
          <w:rPr>
            <w:rStyle w:val="Hyperlink"/>
            <w:noProof/>
          </w:rPr>
          <w:t>Part 1 of the Human Rights Act</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_Toc170302210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206</w:t>
        </w:r>
        <w:r w:rsidR="00BD5D1F" w:rsidRPr="00BD5D1F">
          <w:rPr>
            <w:rStyle w:val="Hyperlink"/>
            <w:noProof/>
            <w:webHidden/>
          </w:rPr>
          <w:fldChar w:fldCharType="end"/>
        </w:r>
      </w:hyperlink>
    </w:p>
    <w:p w14:paraId="6EB7AE0A" w14:textId="76E4571E" w:rsidR="00BD5D1F" w:rsidRPr="00BD5D1F" w:rsidRDefault="00F437C5" w:rsidP="00BD5D1F">
      <w:pPr>
        <w:pStyle w:val="TOC2"/>
        <w:spacing w:after="120"/>
        <w:rPr>
          <w:rStyle w:val="Hyperlink"/>
          <w:noProof/>
        </w:rPr>
      </w:pPr>
      <w:hyperlink w:anchor="_Toc170302211" w:history="1">
        <w:r w:rsidR="00BD5D1F" w:rsidRPr="006A4E08">
          <w:rPr>
            <w:rStyle w:val="Hyperlink"/>
            <w:noProof/>
          </w:rPr>
          <w:t>Parts 3 and 4: access to justice and dispute resolution</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_Toc170302211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207</w:t>
        </w:r>
        <w:r w:rsidR="00BD5D1F" w:rsidRPr="00BD5D1F">
          <w:rPr>
            <w:rStyle w:val="Hyperlink"/>
            <w:noProof/>
            <w:webHidden/>
          </w:rPr>
          <w:fldChar w:fldCharType="end"/>
        </w:r>
      </w:hyperlink>
    </w:p>
    <w:p w14:paraId="179CB311" w14:textId="0457CF42" w:rsidR="00BD5D1F" w:rsidRDefault="00F437C5" w:rsidP="00BD5D1F">
      <w:pPr>
        <w:pStyle w:val="TOC2"/>
        <w:spacing w:after="120"/>
        <w:rPr>
          <w:rStyle w:val="Hyperlink"/>
          <w:noProof/>
        </w:rPr>
      </w:pPr>
      <w:hyperlink w:anchor="_Toc170302212" w:history="1">
        <w:r w:rsidR="00BD5D1F" w:rsidRPr="006A4E08">
          <w:rPr>
            <w:rStyle w:val="Hyperlink"/>
            <w:noProof/>
          </w:rPr>
          <w:t>Implications of this review for other laws</w:t>
        </w:r>
        <w:r w:rsidR="00BD5D1F" w:rsidRPr="00BD5D1F">
          <w:rPr>
            <w:rStyle w:val="Hyperlink"/>
            <w:noProof/>
            <w:webHidden/>
          </w:rPr>
          <w:tab/>
        </w:r>
        <w:r w:rsidR="00BD5D1F" w:rsidRPr="00BD5D1F">
          <w:rPr>
            <w:rStyle w:val="Hyperlink"/>
            <w:noProof/>
            <w:webHidden/>
          </w:rPr>
          <w:fldChar w:fldCharType="begin"/>
        </w:r>
        <w:r w:rsidR="00BD5D1F" w:rsidRPr="00BD5D1F">
          <w:rPr>
            <w:rStyle w:val="Hyperlink"/>
            <w:noProof/>
            <w:webHidden/>
          </w:rPr>
          <w:instrText xml:space="preserve"> PAGEREF _Toc170302212 \h </w:instrText>
        </w:r>
        <w:r w:rsidR="00BD5D1F" w:rsidRPr="00BD5D1F">
          <w:rPr>
            <w:rStyle w:val="Hyperlink"/>
            <w:noProof/>
            <w:webHidden/>
          </w:rPr>
        </w:r>
        <w:r w:rsidR="00BD5D1F" w:rsidRPr="00BD5D1F">
          <w:rPr>
            <w:rStyle w:val="Hyperlink"/>
            <w:noProof/>
            <w:webHidden/>
          </w:rPr>
          <w:fldChar w:fldCharType="separate"/>
        </w:r>
        <w:r w:rsidR="00454008">
          <w:rPr>
            <w:rStyle w:val="Hyperlink"/>
            <w:noProof/>
            <w:webHidden/>
          </w:rPr>
          <w:t>208</w:t>
        </w:r>
        <w:r w:rsidR="00BD5D1F" w:rsidRPr="00BD5D1F">
          <w:rPr>
            <w:rStyle w:val="Hyperlink"/>
            <w:noProof/>
            <w:webHidden/>
          </w:rPr>
          <w:fldChar w:fldCharType="end"/>
        </w:r>
      </w:hyperlink>
    </w:p>
    <w:p w14:paraId="2D9F4CE8" w14:textId="77777777" w:rsidR="00BD5D1F" w:rsidRDefault="00BD5D1F" w:rsidP="00BD5D1F">
      <w:pPr>
        <w:rPr>
          <w:noProof/>
        </w:rPr>
      </w:pPr>
    </w:p>
    <w:p w14:paraId="2C1D9EA9" w14:textId="075C9496" w:rsidR="00BD5D1F" w:rsidRPr="00BD5D1F" w:rsidRDefault="00BD5D1F" w:rsidP="00BD5D1F">
      <w:pPr>
        <w:rPr>
          <w:noProof/>
        </w:rPr>
      </w:pPr>
      <w:r w:rsidRPr="008642D1">
        <w:rPr>
          <w:noProof/>
          <w:lang w:eastAsia="en-NZ"/>
        </w:rPr>
        <mc:AlternateContent>
          <mc:Choice Requires="wpg">
            <w:drawing>
              <wp:anchor distT="0" distB="0" distL="114300" distR="114300" simplePos="0" relativeHeight="251668621" behindDoc="1" locked="0" layoutInCell="1" allowOverlap="1" wp14:anchorId="05BCF425" wp14:editId="3E58C038">
                <wp:simplePos x="0" y="0"/>
                <wp:positionH relativeFrom="page">
                  <wp:posOffset>1080135</wp:posOffset>
                </wp:positionH>
                <wp:positionV relativeFrom="paragraph">
                  <wp:posOffset>165410</wp:posOffset>
                </wp:positionV>
                <wp:extent cx="1332230" cy="1270"/>
                <wp:effectExtent l="0" t="19050" r="20320" b="17780"/>
                <wp:wrapNone/>
                <wp:docPr id="417315032" name="Group 417315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469"/>
                          <a:chExt cx="2098" cy="2"/>
                        </a:xfrm>
                      </wpg:grpSpPr>
                      <wps:wsp>
                        <wps:cNvPr id="212630866"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58A37" id="Group 417315032" o:spid="_x0000_s1026" style="position:absolute;margin-left:85.05pt;margin-top:13pt;width:104.9pt;height:.1pt;z-index:-251647859;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" path="m,l2097,e" filled="f" strokecolor="#72ab6a" strokeweight="3pt">
                  <v:path arrowok="t" o:connecttype="custom" o:connectlocs="0,0;2097,0" o:connectangles="0,0"/>
                </v:shape>
                <w10:wrap anchorx="page"/>
              </v:group>
            </w:pict>
          </mc:Fallback>
        </mc:AlternateContent>
      </w:r>
    </w:p>
    <w:p w14:paraId="54823FA4" w14:textId="718E4959" w:rsidR="004A3CB5" w:rsidRPr="008642D1" w:rsidRDefault="00B06235" w:rsidP="00187179">
      <w:pPr>
        <w:rPr>
          <w:lang w:eastAsia="en-NZ"/>
        </w:rPr>
        <w:sectPr w:rsidR="004A3CB5" w:rsidRPr="008642D1" w:rsidSect="006B03F1">
          <w:headerReference w:type="even" r:id="rId28"/>
          <w:headerReference w:type="default" r:id="rId29"/>
          <w:footerReference w:type="even" r:id="rId30"/>
          <w:footnotePr>
            <w:numRestart w:val="eachSect"/>
          </w:footnotePr>
          <w:type w:val="nextColumn"/>
          <w:pgSz w:w="11907" w:h="16840" w:code="9"/>
          <w:pgMar w:top="1134" w:right="1134" w:bottom="1134" w:left="1701" w:header="499" w:footer="0" w:gutter="0"/>
          <w:pgNumType w:start="1"/>
          <w:cols w:space="720"/>
        </w:sectPr>
      </w:pPr>
      <w:r w:rsidRPr="008642D1">
        <w:rPr>
          <w:lang w:eastAsia="en-NZ"/>
        </w:rPr>
        <w:fldChar w:fldCharType="end"/>
      </w:r>
    </w:p>
    <w:p w14:paraId="076622F7" w14:textId="34CF13F4" w:rsidR="00C17BEB" w:rsidRPr="008642D1" w:rsidRDefault="00C17BEB" w:rsidP="00634007">
      <w:pPr>
        <w:pStyle w:val="HEADING2topchapter-notinTOC"/>
      </w:pPr>
      <w:r w:rsidRPr="008642D1">
        <w:lastRenderedPageBreak/>
        <w:t xml:space="preserve">CHAPTER </w:t>
      </w:r>
      <w:r w:rsidR="007B655D" w:rsidRPr="008642D1">
        <w:t>1</w:t>
      </w:r>
    </w:p>
    <w:p w14:paraId="745820DD" w14:textId="205A3D3D" w:rsidR="00C17BEB" w:rsidRPr="008642D1" w:rsidRDefault="00C17BEB" w:rsidP="00C17BEB">
      <w:pPr>
        <w:spacing w:line="200" w:lineRule="exact"/>
        <w:rPr>
          <w:szCs w:val="20"/>
        </w:rPr>
      </w:pPr>
      <w:r w:rsidRPr="008642D1">
        <w:rPr>
          <w:noProof/>
          <w:lang w:eastAsia="en-NZ"/>
        </w:rPr>
        <mc:AlternateContent>
          <mc:Choice Requires="wpg">
            <w:drawing>
              <wp:anchor distT="0" distB="0" distL="114300" distR="114300" simplePos="0" relativeHeight="251658245" behindDoc="1" locked="0" layoutInCell="1" allowOverlap="1" wp14:anchorId="7E2EAB7C" wp14:editId="49186F7C">
                <wp:simplePos x="0" y="0"/>
                <wp:positionH relativeFrom="page">
                  <wp:posOffset>1076325</wp:posOffset>
                </wp:positionH>
                <wp:positionV relativeFrom="paragraph">
                  <wp:posOffset>6350</wp:posOffset>
                </wp:positionV>
                <wp:extent cx="1332230" cy="1270"/>
                <wp:effectExtent l="0" t="19050" r="1270" b="177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510200" id="Group 1" o:spid="_x0000_s1026" style="position:absolute;margin-left:84.75pt;margin-top:.5pt;width:104.9pt;height:.1pt;z-index:-251658235;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bd9gIAANc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" path="m,l2098,e" filled="f" strokecolor="#73ab6e" strokeweight="3pt">
                  <v:path arrowok="t" o:connecttype="custom" o:connectlocs="0,0;2098,0" o:connectangles="0,0"/>
                </v:shape>
                <w10:wrap anchorx="page"/>
              </v:group>
            </w:pict>
          </mc:Fallback>
        </mc:AlternateContent>
      </w:r>
    </w:p>
    <w:p w14:paraId="1C7263AE" w14:textId="77777777" w:rsidR="00331C0D" w:rsidRPr="008642D1" w:rsidRDefault="00331C0D" w:rsidP="00DF306B">
      <w:pPr>
        <w:pStyle w:val="Heading1"/>
        <w:numPr>
          <w:ilvl w:val="0"/>
          <w:numId w:val="26"/>
        </w:numPr>
      </w:pPr>
      <w:bookmarkStart w:id="31" w:name="_Toc158742484"/>
      <w:bookmarkStart w:id="32" w:name="_Toc170302107"/>
      <w:r w:rsidRPr="008642D1">
        <w:t>Introduction</w:t>
      </w:r>
      <w:bookmarkEnd w:id="31"/>
      <w:bookmarkEnd w:id="32"/>
    </w:p>
    <w:p w14:paraId="6DCFDC92" w14:textId="2D7EF01E" w:rsidR="001E24BE" w:rsidRPr="008642D1" w:rsidRDefault="001E24BE" w:rsidP="006E2256">
      <w:pPr>
        <w:spacing w:line="200" w:lineRule="exact"/>
        <w:rPr>
          <w:szCs w:val="20"/>
        </w:rPr>
      </w:pPr>
      <w:r w:rsidRPr="008642D1">
        <w:rPr>
          <w:noProof/>
          <w:lang w:eastAsia="en-NZ"/>
        </w:rPr>
        <mc:AlternateContent>
          <mc:Choice Requires="wpg">
            <w:drawing>
              <wp:anchor distT="0" distB="0" distL="114300" distR="114300" simplePos="0" relativeHeight="251658247" behindDoc="1" locked="0" layoutInCell="1" allowOverlap="1" wp14:anchorId="42B5FFCE" wp14:editId="26F88AAA">
                <wp:simplePos x="0" y="0"/>
                <wp:positionH relativeFrom="margin">
                  <wp:align>left</wp:align>
                </wp:positionH>
                <wp:positionV relativeFrom="paragraph">
                  <wp:posOffset>97596</wp:posOffset>
                </wp:positionV>
                <wp:extent cx="1332230" cy="1270"/>
                <wp:effectExtent l="0" t="19050" r="20320" b="1778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7"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E860C" id="Group 5" o:spid="_x0000_s1026" style="position:absolute;margin-left:0;margin-top:7.7pt;width:104.9pt;height:.1pt;z-index:-251658233;mso-position-horizontal:left;mso-position-horizontal-relative:margin"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Mv9QIAANg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" path="m,l2098,e" filled="f" strokecolor="#73ab6e" strokeweight="3pt">
                  <v:path arrowok="t" o:connecttype="custom" o:connectlocs="0,0;2098,0" o:connectangles="0,0"/>
                </v:shape>
                <w10:wrap anchorx="margin"/>
              </v:group>
            </w:pict>
          </mc:Fallback>
        </mc:AlternateContent>
      </w:r>
    </w:p>
    <w:p w14:paraId="2926E331" w14:textId="77777777" w:rsidR="00DA088B" w:rsidRPr="008642D1" w:rsidRDefault="00DA088B" w:rsidP="00DA088B"/>
    <w:p w14:paraId="268270CE" w14:textId="77919F6B" w:rsidR="00EE7042" w:rsidRPr="008642D1" w:rsidRDefault="009C3D14" w:rsidP="00EE7042">
      <w:pPr>
        <w:pStyle w:val="Heading2"/>
      </w:pPr>
      <w:bookmarkStart w:id="33" w:name="_Toc170302108"/>
      <w:r>
        <w:t>About this Issues Paper</w:t>
      </w:r>
      <w:bookmarkEnd w:id="33"/>
      <w:r>
        <w:t xml:space="preserve"> </w:t>
      </w:r>
    </w:p>
    <w:p w14:paraId="3E844BC7" w14:textId="6EE61FB1" w:rsidR="00736420" w:rsidRPr="008642D1" w:rsidRDefault="00736420" w:rsidP="00736420">
      <w:pPr>
        <w:pStyle w:val="BodyText"/>
        <w:tabs>
          <w:tab w:val="num" w:pos="1022"/>
        </w:tabs>
      </w:pPr>
      <w:r w:rsidRPr="008642D1">
        <w:t>Te Aka Matua o te Ture | Law Commission has been asked to review the protections in the Human Rights Act 1993 for people who are transgender, people who are non-binary and people who have an innate variation of sex characteristics. While we explain these terms more fully in Chapter 2, briefly:</w:t>
      </w:r>
    </w:p>
    <w:p w14:paraId="745BDC98" w14:textId="77777777" w:rsidR="00736420" w:rsidRPr="008642D1" w:rsidRDefault="00736420" w:rsidP="00DF306B">
      <w:pPr>
        <w:pStyle w:val="BodyTextnonum"/>
        <w:numPr>
          <w:ilvl w:val="3"/>
          <w:numId w:val="23"/>
        </w:numPr>
      </w:pPr>
      <w:r w:rsidRPr="008642D1">
        <w:t>a person who is transgender is someone whose gender identity is different to the sex they were assigned at birth;</w:t>
      </w:r>
    </w:p>
    <w:p w14:paraId="032AA21E" w14:textId="77777777" w:rsidR="00736420" w:rsidRPr="008642D1" w:rsidRDefault="00736420" w:rsidP="00DF306B">
      <w:pPr>
        <w:pStyle w:val="BodyTextnonum"/>
        <w:numPr>
          <w:ilvl w:val="3"/>
          <w:numId w:val="23"/>
        </w:numPr>
      </w:pPr>
      <w:r w:rsidRPr="008642D1">
        <w:t>a person who is non-binary is someone whose gender identity does not fit exclusively into the binary of male or female; and</w:t>
      </w:r>
    </w:p>
    <w:p w14:paraId="159A05C9" w14:textId="1DA016B9" w:rsidR="00736420" w:rsidRPr="008642D1" w:rsidRDefault="00736420" w:rsidP="00DF306B">
      <w:pPr>
        <w:pStyle w:val="BodyTextnonum"/>
        <w:numPr>
          <w:ilvl w:val="3"/>
          <w:numId w:val="23"/>
        </w:numPr>
      </w:pPr>
      <w:r w:rsidRPr="008642D1">
        <w:t xml:space="preserve">a person with an innate variation of sex characteristics is someone who was born with genetic, hormonal or physical sex characteristics that differ from </w:t>
      </w:r>
      <w:r w:rsidR="00043075">
        <w:t>medi</w:t>
      </w:r>
      <w:r w:rsidR="00C71112">
        <w:t>cal and social norms for</w:t>
      </w:r>
      <w:r w:rsidRPr="008642D1">
        <w:t xml:space="preserve"> male or female bodies (although</w:t>
      </w:r>
      <w:r w:rsidR="00813D2C">
        <w:t>,</w:t>
      </w:r>
      <w:r w:rsidRPr="008642D1">
        <w:t xml:space="preserve"> in some cases, the variation may not be evident until later in life).</w:t>
      </w:r>
    </w:p>
    <w:p w14:paraId="50DC9BEE" w14:textId="77777777" w:rsidR="00736420" w:rsidRPr="008642D1" w:rsidRDefault="00736420" w:rsidP="00736420">
      <w:pPr>
        <w:pStyle w:val="BodyText"/>
        <w:tabs>
          <w:tab w:val="num" w:pos="1022"/>
        </w:tabs>
      </w:pPr>
      <w:r w:rsidRPr="008642D1">
        <w:t xml:space="preserve">We are seeking feedback from the public about law reform in this area. This Issues Paper is designed to support that consultation process. It provides some background to the review, identifies and explores potential options for reform and poses some questions on which we are seeking feedback. </w:t>
      </w:r>
    </w:p>
    <w:p w14:paraId="3A56D4E0" w14:textId="77777777" w:rsidR="00736420" w:rsidRPr="008642D1" w:rsidRDefault="00736420" w:rsidP="00736420">
      <w:pPr>
        <w:pStyle w:val="Heading2"/>
      </w:pPr>
      <w:bookmarkStart w:id="34" w:name="_Toc170302109"/>
      <w:r w:rsidRPr="008642D1">
        <w:t>New Zealand’s anti-discrimination law — the Human Rights Act 1993</w:t>
      </w:r>
      <w:bookmarkEnd w:id="34"/>
      <w:r w:rsidRPr="008642D1">
        <w:t xml:space="preserve"> </w:t>
      </w:r>
    </w:p>
    <w:p w14:paraId="30315FEE" w14:textId="77777777" w:rsidR="00736420" w:rsidRPr="008642D1" w:rsidRDefault="00736420" w:rsidP="00736420">
      <w:pPr>
        <w:pStyle w:val="BodyText"/>
        <w:tabs>
          <w:tab w:val="num" w:pos="1022"/>
        </w:tabs>
      </w:pPr>
      <w:r w:rsidRPr="008642D1">
        <w:t xml:space="preserve">The Human Rights Act states when it is unlawful in Aotearoa New Zealand to discriminate. Discrimination is treating a person differently from and worse than others based on a prohibited ground. Examples include refusing someone a job, a tenancy or access to a public facility because of their sex, race or religion. </w:t>
      </w:r>
    </w:p>
    <w:p w14:paraId="7139FD08" w14:textId="724249A0" w:rsidR="00736420" w:rsidRPr="008642D1" w:rsidRDefault="00736420" w:rsidP="00736420">
      <w:pPr>
        <w:pStyle w:val="BodyText"/>
        <w:tabs>
          <w:tab w:val="num" w:pos="1022"/>
        </w:tabs>
      </w:pPr>
      <w:r w:rsidRPr="008642D1">
        <w:t>In Aotearoa New Zealand, it is not always unlawful to treat people differently. Sometimes</w:t>
      </w:r>
      <w:r w:rsidR="006E5431">
        <w:t>,</w:t>
      </w:r>
      <w:r w:rsidRPr="008642D1">
        <w:t xml:space="preserve"> it can be fair to treat people differently from others. The Human Rights Act has several ways to distinguish between fair and unfair differences in treatment. This allows for competing rights and interests to be weighed.</w:t>
      </w:r>
    </w:p>
    <w:p w14:paraId="58AD185C" w14:textId="77777777" w:rsidR="00736420" w:rsidRPr="008642D1" w:rsidRDefault="00736420" w:rsidP="00736420">
      <w:pPr>
        <w:pStyle w:val="BodyText"/>
        <w:tabs>
          <w:tab w:val="num" w:pos="1022"/>
        </w:tabs>
      </w:pPr>
      <w:r w:rsidRPr="008642D1">
        <w:t>We explain in this chapter some key features of the Human Rights Act that we think are helpful for readers of this Issues Paper to understand at the outset. The explanations given in this chapter are not comprehensive. We provide more detailed explanations of some provisions in later chapters where that is needed for readers to understand issues being discussed.</w:t>
      </w:r>
    </w:p>
    <w:p w14:paraId="038C7664" w14:textId="77777777" w:rsidR="00736420" w:rsidRPr="008642D1" w:rsidRDefault="00736420" w:rsidP="00736420">
      <w:pPr>
        <w:pStyle w:val="Heading3"/>
      </w:pPr>
      <w:r w:rsidRPr="008642D1">
        <w:lastRenderedPageBreak/>
        <w:t>The prohibited grounds of discrimination</w:t>
      </w:r>
    </w:p>
    <w:p w14:paraId="3EA67C32" w14:textId="77777777" w:rsidR="00736420" w:rsidRPr="008642D1" w:rsidRDefault="00736420" w:rsidP="00736420">
      <w:pPr>
        <w:pStyle w:val="BodyText"/>
        <w:tabs>
          <w:tab w:val="num" w:pos="1022"/>
        </w:tabs>
      </w:pPr>
      <w:r w:rsidRPr="008642D1">
        <w:t xml:space="preserve">The Human Rights Act singles out 13 personal traits or characteristics as “prohibited grounds of discrimination”. </w:t>
      </w:r>
      <w:bookmarkStart w:id="35" w:name="_Hlk163817937"/>
      <w:r w:rsidRPr="008642D1">
        <w:rPr>
          <w:rFonts w:eastAsiaTheme="minorEastAsia" w:cstheme="minorBidi"/>
          <w:color w:val="000000"/>
          <w:shd w:val="clear" w:color="auto" w:fill="FFFFFF"/>
          <w:lang w:eastAsia="en-US"/>
        </w:rPr>
        <w:t>T</w:t>
      </w:r>
      <w:r w:rsidRPr="008642D1">
        <w:t>hese are listed in section 21 and include sex, religious belief, race, colour, disability and sexual orientation.</w:t>
      </w:r>
      <w:bookmarkEnd w:id="35"/>
      <w:r w:rsidRPr="008642D1">
        <w:t xml:space="preserve"> </w:t>
      </w:r>
    </w:p>
    <w:p w14:paraId="13F767E7" w14:textId="499705D0" w:rsidR="00736420" w:rsidRPr="008642D1" w:rsidRDefault="00736420" w:rsidP="00736420">
      <w:pPr>
        <w:pStyle w:val="BodyText"/>
        <w:tabs>
          <w:tab w:val="num" w:pos="1022"/>
        </w:tabs>
      </w:pPr>
      <w:r w:rsidRPr="008642D1">
        <w:t>To make a complaint about discrimination under the Human Rights Act, the difference in treatment must be linked to one or more of these prohibited grounds.</w:t>
      </w:r>
      <w:r w:rsidRPr="008642D1">
        <w:rPr>
          <w:rStyle w:val="FootnoteReference"/>
        </w:rPr>
        <w:footnoteReference w:id="2"/>
      </w:r>
      <w:r w:rsidRPr="008642D1">
        <w:t xml:space="preserve"> For example, a difference in treatment might be motivated by the discriminator’s belief that the person has one or more of these traits or characteristics. </w:t>
      </w:r>
      <w:r w:rsidRPr="008642D1" w:rsidDel="006E5431">
        <w:t>Or, e</w:t>
      </w:r>
      <w:r w:rsidRPr="008642D1">
        <w:t>ven if there is no intention to discriminate, a sufficient link might be present if the difference in treatment has a disproportionate effect on people with the particular trait or characteristic and there is no good reason for it.</w:t>
      </w:r>
      <w:r w:rsidRPr="008642D1">
        <w:rPr>
          <w:rStyle w:val="FootnoteReference"/>
        </w:rPr>
        <w:footnoteReference w:id="3"/>
      </w:r>
    </w:p>
    <w:p w14:paraId="1559C550" w14:textId="5A085FC0" w:rsidR="00736420" w:rsidRPr="008642D1" w:rsidRDefault="00736420" w:rsidP="00736420">
      <w:pPr>
        <w:pStyle w:val="BodyText"/>
        <w:tabs>
          <w:tab w:val="num" w:pos="1022"/>
        </w:tabs>
      </w:pPr>
      <w:r w:rsidRPr="008642D1">
        <w:t xml:space="preserve">Being transgender or non-binary or having an innate variation of sex characteristics are not identified explicitly in section 21 as prohibited grounds of discrimination. That has led to doubt and confusion about whether discrimination that is linked to these characteristics is ever unlawful in Aotearoa New Zealand. A key issue in this review is whether an amendment to section 21 is necessary and desirable to address that doubt and confusion. </w:t>
      </w:r>
    </w:p>
    <w:p w14:paraId="2FF350FA" w14:textId="77777777" w:rsidR="00736420" w:rsidRPr="008642D1" w:rsidRDefault="00736420" w:rsidP="00736420">
      <w:pPr>
        <w:pStyle w:val="Heading3"/>
      </w:pPr>
      <w:r w:rsidRPr="008642D1">
        <w:t>Rules to determine when discrimination is unlawful</w:t>
      </w:r>
    </w:p>
    <w:p w14:paraId="2476422A" w14:textId="48961C20" w:rsidR="00736420" w:rsidRPr="008642D1" w:rsidRDefault="00736420" w:rsidP="00736420">
      <w:pPr>
        <w:pStyle w:val="BodyText"/>
        <w:tabs>
          <w:tab w:val="num" w:pos="1022"/>
        </w:tabs>
      </w:pPr>
      <w:r w:rsidRPr="008642D1">
        <w:t xml:space="preserve">Even if a person is treated differently from others based on a prohibited ground, it does not follow automatically that the treatment is unlawful. The Human Rights Act contains two sets of rules to determine when such treatment is unlawful </w:t>
      </w:r>
      <w:r w:rsidR="00BF7A1A">
        <w:t>—</w:t>
      </w:r>
      <w:r w:rsidRPr="008642D1">
        <w:t xml:space="preserve"> one applying to government and one to private individuals and organisations.</w:t>
      </w:r>
    </w:p>
    <w:p w14:paraId="67D519B3" w14:textId="77777777" w:rsidR="00736420" w:rsidRPr="008642D1" w:rsidRDefault="00736420" w:rsidP="00736420">
      <w:pPr>
        <w:pStyle w:val="Heading4"/>
      </w:pPr>
      <w:r w:rsidRPr="008642D1">
        <w:t>Rules that apply to government (Part 1A)</w:t>
      </w:r>
    </w:p>
    <w:p w14:paraId="7547DD10" w14:textId="77777777" w:rsidR="00736420" w:rsidRPr="008642D1" w:rsidRDefault="00736420" w:rsidP="00736420">
      <w:pPr>
        <w:pStyle w:val="BodyText"/>
        <w:tabs>
          <w:tab w:val="num" w:pos="1022"/>
        </w:tabs>
      </w:pPr>
      <w:r w:rsidRPr="008642D1">
        <w:t>The first set of rules is found in Part 1A of the Human Rights Act. It applies to government agencies and others carrying out government functions.</w:t>
      </w:r>
      <w:r w:rsidRPr="008642D1">
        <w:rPr>
          <w:rStyle w:val="FootnoteReference"/>
        </w:rPr>
        <w:footnoteReference w:id="4"/>
      </w:r>
      <w:r w:rsidRPr="008642D1">
        <w:t xml:space="preserve"> </w:t>
      </w:r>
    </w:p>
    <w:p w14:paraId="60F8A460" w14:textId="77777777" w:rsidR="00736420" w:rsidRPr="008642D1" w:rsidRDefault="00736420" w:rsidP="00736420">
      <w:pPr>
        <w:pStyle w:val="BodyText"/>
        <w:tabs>
          <w:tab w:val="num" w:pos="1022"/>
        </w:tabs>
      </w:pPr>
      <w:r w:rsidRPr="008642D1">
        <w:t>The rules in Part 1A are drawn from and replicate rules in the New Zealand Bill of Rights Act 1990 (NZ Bill of Rights). In general, a government act, omission, policy or practice is unlawful discrimination under Part 1A if:</w:t>
      </w:r>
      <w:r w:rsidRPr="008642D1">
        <w:rPr>
          <w:rStyle w:val="FootnoteReference"/>
        </w:rPr>
        <w:footnoteReference w:id="5"/>
      </w:r>
    </w:p>
    <w:p w14:paraId="3DC6D091" w14:textId="77777777" w:rsidR="00736420" w:rsidRPr="008642D1" w:rsidRDefault="00736420" w:rsidP="00DF306B">
      <w:pPr>
        <w:pStyle w:val="BodyTextnonum"/>
        <w:numPr>
          <w:ilvl w:val="3"/>
          <w:numId w:val="23"/>
        </w:numPr>
      </w:pPr>
      <w:r w:rsidRPr="008642D1">
        <w:t>it treats someone differently from others (and leaves them materially worse off) based on a prohibited ground; and</w:t>
      </w:r>
    </w:p>
    <w:p w14:paraId="0F3C0E6A" w14:textId="77777777" w:rsidR="00736420" w:rsidRPr="008642D1" w:rsidRDefault="00736420" w:rsidP="00DF306B">
      <w:pPr>
        <w:pStyle w:val="BodyTextnonum"/>
        <w:numPr>
          <w:ilvl w:val="3"/>
          <w:numId w:val="23"/>
        </w:numPr>
      </w:pPr>
      <w:r w:rsidRPr="008642D1">
        <w:t>the government has not demonstrated the difference in treatment was justified.</w:t>
      </w:r>
      <w:r w:rsidRPr="008642D1">
        <w:rPr>
          <w:rStyle w:val="FootnoteReference"/>
        </w:rPr>
        <w:footnoteReference w:id="6"/>
      </w:r>
    </w:p>
    <w:p w14:paraId="0E01B3C8" w14:textId="27A31FD9" w:rsidR="00736420" w:rsidRPr="008642D1" w:rsidRDefault="00736420" w:rsidP="00736420">
      <w:pPr>
        <w:pStyle w:val="BodyText"/>
        <w:tabs>
          <w:tab w:val="num" w:pos="1022"/>
        </w:tabs>
      </w:pPr>
      <w:r w:rsidRPr="008642D1">
        <w:t xml:space="preserve">The second requirement recognises there can be good reasons for </w:t>
      </w:r>
      <w:r w:rsidR="0052042C">
        <w:t xml:space="preserve">the </w:t>
      </w:r>
      <w:r w:rsidRPr="008642D1">
        <w:t xml:space="preserve">government to treat people differently. A pension that is only for people of retirement age is an example. </w:t>
      </w:r>
    </w:p>
    <w:p w14:paraId="725AA6C4" w14:textId="646E0637" w:rsidR="00736420" w:rsidRPr="008642D1" w:rsidRDefault="00736420" w:rsidP="00736420">
      <w:pPr>
        <w:pStyle w:val="Heading4"/>
      </w:pPr>
      <w:r w:rsidRPr="008642D1">
        <w:lastRenderedPageBreak/>
        <w:t xml:space="preserve">Rules that apply to private </w:t>
      </w:r>
      <w:r w:rsidR="0052042C">
        <w:t>individuals</w:t>
      </w:r>
      <w:r w:rsidR="0052042C" w:rsidRPr="008642D1">
        <w:t xml:space="preserve"> </w:t>
      </w:r>
      <w:r w:rsidRPr="008642D1">
        <w:t>and organisations (Part 2)</w:t>
      </w:r>
    </w:p>
    <w:p w14:paraId="1ABCA65D" w14:textId="5A7C80C8" w:rsidR="00736420" w:rsidRPr="008642D1" w:rsidRDefault="00736420" w:rsidP="00736420">
      <w:pPr>
        <w:pStyle w:val="BodyText"/>
        <w:tabs>
          <w:tab w:val="num" w:pos="1022"/>
        </w:tabs>
      </w:pPr>
      <w:r w:rsidRPr="008642D1">
        <w:t>A second set of rules applies to people and organisations that are not exercising government functions.</w:t>
      </w:r>
      <w:r w:rsidRPr="008642D1">
        <w:rPr>
          <w:rStyle w:val="FootnoteReference"/>
        </w:rPr>
        <w:footnoteReference w:id="7"/>
      </w:r>
      <w:r w:rsidRPr="008642D1">
        <w:t xml:space="preserve"> These are in Part 2 of the </w:t>
      </w:r>
      <w:r w:rsidR="0052042C" w:rsidRPr="008642D1">
        <w:t xml:space="preserve">Human Rights </w:t>
      </w:r>
      <w:r w:rsidRPr="008642D1">
        <w:t xml:space="preserve">Act. </w:t>
      </w:r>
    </w:p>
    <w:p w14:paraId="52470CAF" w14:textId="105A8FB2" w:rsidR="00736420" w:rsidRPr="008642D1" w:rsidDel="00533064" w:rsidRDefault="00736420" w:rsidP="00B07657">
      <w:pPr>
        <w:pStyle w:val="BodyText"/>
      </w:pPr>
      <w:bookmarkStart w:id="36" w:name="_Hlk161170147"/>
      <w:r w:rsidRPr="008642D1">
        <w:t xml:space="preserve">The obligations placed on private </w:t>
      </w:r>
      <w:r w:rsidR="0052042C">
        <w:t>individuals</w:t>
      </w:r>
      <w:r w:rsidR="0052042C" w:rsidRPr="008642D1">
        <w:t xml:space="preserve"> </w:t>
      </w:r>
      <w:r w:rsidRPr="008642D1">
        <w:t xml:space="preserve">and organisations are far more confined than those placed on government. Unless they are exercising government functions, private </w:t>
      </w:r>
      <w:r w:rsidR="0052042C">
        <w:t>individuals</w:t>
      </w:r>
      <w:r w:rsidR="0052042C" w:rsidRPr="008642D1">
        <w:t xml:space="preserve"> </w:t>
      </w:r>
      <w:r w:rsidRPr="008642D1">
        <w:t>and organisations generally only have obligations under the Human Rights Act when they take part in certain public-facing activities that are listed in Part 2</w:t>
      </w:r>
      <w:bookmarkEnd w:id="36"/>
      <w:r w:rsidRPr="008642D1">
        <w:t>. Some examples are employing staff, selling or renting</w:t>
      </w:r>
      <w:r w:rsidRPr="008642D1" w:rsidDel="0047402B">
        <w:t xml:space="preserve"> out</w:t>
      </w:r>
      <w:r w:rsidRPr="008642D1">
        <w:t xml:space="preserve"> a house or supplying goods, services or facilities to the public. </w:t>
      </w:r>
    </w:p>
    <w:p w14:paraId="0ABE79AF" w14:textId="77777777" w:rsidR="00736420" w:rsidRPr="008642D1" w:rsidRDefault="00736420" w:rsidP="00B07657">
      <w:pPr>
        <w:pStyle w:val="BodyText"/>
      </w:pPr>
      <w:r w:rsidRPr="008642D1">
        <w:t>When carrying out one of these activities, it may well be unlawful to treat someone differently from and worse than others based on a prohibited ground of discrimination. For example, it is usually unlawful to refuse to hire someone because of their race, sex or political opinion. The Human Rights Act sets out in some detail what treatment is unlawful and when.</w:t>
      </w:r>
    </w:p>
    <w:p w14:paraId="484ED576" w14:textId="663371E4" w:rsidR="00736420" w:rsidRPr="008642D1" w:rsidRDefault="00736420" w:rsidP="00736420">
      <w:pPr>
        <w:pStyle w:val="BodyText"/>
        <w:tabs>
          <w:tab w:val="num" w:pos="1022"/>
        </w:tabs>
      </w:pPr>
      <w:r w:rsidRPr="008642D1">
        <w:t>The Act also outlines exceptions — situations in which different treatment based on a prohibited ground is lawful even though it is a regulated activity. We discuss these exceptions in detail later in this Issues Paper. They are key mechanisms by which the Human Rights Act distinguishes between fair and unfair differences in treatment</w:t>
      </w:r>
      <w:r w:rsidRPr="008642D1" w:rsidDel="00BC6506">
        <w:t>,</w:t>
      </w:r>
      <w:r w:rsidRPr="008642D1">
        <w:t xml:space="preserve"> and weighs competing rights and interests.</w:t>
      </w:r>
    </w:p>
    <w:p w14:paraId="135FF420" w14:textId="77777777" w:rsidR="00736420" w:rsidRPr="008642D1" w:rsidRDefault="00736420" w:rsidP="00B07657">
      <w:pPr>
        <w:pStyle w:val="BodyText"/>
      </w:pPr>
      <w:r w:rsidRPr="008642D1">
        <w:t>Outside of the listed activities, the Human Rights Act does not regulate private (non-government) conduct. For example, the Act does not stop people from discriminating in who they choose to spend time with or live with.</w:t>
      </w:r>
      <w:r w:rsidRPr="008642D1">
        <w:rPr>
          <w:rStyle w:val="FootnoteReference"/>
        </w:rPr>
        <w:footnoteReference w:id="8"/>
      </w:r>
      <w:r w:rsidRPr="008642D1">
        <w:t xml:space="preserve"> </w:t>
      </w:r>
    </w:p>
    <w:p w14:paraId="63252473" w14:textId="77777777" w:rsidR="00736420" w:rsidRPr="008642D1" w:rsidRDefault="00736420" w:rsidP="00736420">
      <w:pPr>
        <w:pStyle w:val="Heading4"/>
      </w:pPr>
      <w:r w:rsidRPr="008642D1">
        <w:t>Complaints of discrimination</w:t>
      </w:r>
    </w:p>
    <w:p w14:paraId="22F42BCB" w14:textId="454A5325" w:rsidR="00736420" w:rsidRPr="008642D1" w:rsidRDefault="00736420" w:rsidP="00736420">
      <w:pPr>
        <w:pStyle w:val="BodyText"/>
        <w:tabs>
          <w:tab w:val="num" w:pos="1022"/>
        </w:tabs>
      </w:pPr>
      <w:r w:rsidRPr="008642D1">
        <w:t>The Human Rights Act also establishes mechanisms for people to complain about discrimination. People can complain at first instance to Te Kāhui Tika Tangata | Human Rights Commission, which will assist the parties to resolve the dispute.</w:t>
      </w:r>
      <w:r w:rsidRPr="008642D1">
        <w:rPr>
          <w:rStyle w:val="FootnoteReference"/>
        </w:rPr>
        <w:footnoteReference w:id="9"/>
      </w:r>
      <w:r w:rsidRPr="008642D1">
        <w:t xml:space="preserve"> If the complainant is not satisfied with the outcome, they can take a case to Te Taraipiunara Mana Tangata | Human Rights Review Tribunal.</w:t>
      </w:r>
      <w:r w:rsidRPr="008642D1" w:rsidDel="000071FA">
        <w:t xml:space="preserve"> The Tribunal</w:t>
      </w:r>
      <w:r w:rsidRPr="008642D1">
        <w:t xml:space="preserve"> can determine whether discrimination has occurred and has the power to award remedies such as declarations, restraining orders and damages (that is, a payment of money).</w:t>
      </w:r>
    </w:p>
    <w:p w14:paraId="0C40C053" w14:textId="56B52ECE" w:rsidR="00736420" w:rsidRPr="008642D1" w:rsidRDefault="00736420" w:rsidP="00736420">
      <w:pPr>
        <w:pStyle w:val="Heading2"/>
      </w:pPr>
      <w:bookmarkStart w:id="37" w:name="_Toc170302110"/>
      <w:r w:rsidRPr="008642D1">
        <w:t xml:space="preserve">Evolution of New Zealand’s </w:t>
      </w:r>
      <w:r w:rsidR="00245841" w:rsidRPr="00245841">
        <w:t>a</w:t>
      </w:r>
      <w:r w:rsidRPr="008642D1">
        <w:t>nti-discrimination protections</w:t>
      </w:r>
      <w:bookmarkEnd w:id="37"/>
    </w:p>
    <w:p w14:paraId="2B1EDEC2" w14:textId="77777777" w:rsidR="00736420" w:rsidRPr="008642D1" w:rsidRDefault="00736420" w:rsidP="00736420">
      <w:pPr>
        <w:pStyle w:val="BodyText"/>
        <w:tabs>
          <w:tab w:val="num" w:pos="1022"/>
        </w:tabs>
      </w:pPr>
      <w:r w:rsidRPr="008642D1">
        <w:t xml:space="preserve">The grounds of discrimination that are prohibited by New Zealand law have evolved gradually. New Zealand’s first anti-discrimination law, the Race Relations Act 1971, contained only three prohibited grounds: race; colour; and national or ethnic origin. </w:t>
      </w:r>
    </w:p>
    <w:p w14:paraId="5A549191" w14:textId="77777777" w:rsidR="00736420" w:rsidRPr="008642D1" w:rsidRDefault="00736420" w:rsidP="00736420">
      <w:pPr>
        <w:pStyle w:val="BodyText"/>
        <w:tabs>
          <w:tab w:val="num" w:pos="1022"/>
        </w:tabs>
      </w:pPr>
      <w:r w:rsidRPr="008642D1">
        <w:t>Six years later, the Human Rights Commission Act 1977 was enacted to sit alongside the Race Relations Act. It added four new grounds: sex; marital status; religious belief; and ethical belief.</w:t>
      </w:r>
    </w:p>
    <w:p w14:paraId="79614063" w14:textId="77777777" w:rsidR="00736420" w:rsidRPr="008642D1" w:rsidRDefault="00736420" w:rsidP="00736420">
      <w:pPr>
        <w:pStyle w:val="BodyText"/>
        <w:tabs>
          <w:tab w:val="num" w:pos="1022"/>
        </w:tabs>
      </w:pPr>
      <w:r w:rsidRPr="008642D1">
        <w:lastRenderedPageBreak/>
        <w:t>In 1993, the Human Rights Act repealed and replaced the two earlier laws. It replicated the existing grounds of discrimination and added six new ones: disability; political opinion; employment status; family status; sexual orientation; and age.</w:t>
      </w:r>
      <w:r w:rsidRPr="008642D1">
        <w:rPr>
          <w:rStyle w:val="FootnoteReference"/>
        </w:rPr>
        <w:footnoteReference w:id="10"/>
      </w:r>
      <w:r w:rsidRPr="008642D1">
        <w:t xml:space="preserve"> </w:t>
      </w:r>
    </w:p>
    <w:p w14:paraId="22F01891" w14:textId="77777777" w:rsidR="00736420" w:rsidRPr="008642D1" w:rsidRDefault="00736420" w:rsidP="00736420">
      <w:pPr>
        <w:pStyle w:val="BodyText"/>
        <w:tabs>
          <w:tab w:val="num" w:pos="1022"/>
        </w:tabs>
      </w:pPr>
      <w:r w:rsidRPr="008642D1">
        <w:t>New Zealand’s tradition of anti-discrimination protection is therefore “gradualist”.</w:t>
      </w:r>
      <w:r w:rsidRPr="008642D1">
        <w:rPr>
          <w:rStyle w:val="FootnoteReference"/>
        </w:rPr>
        <w:footnoteReference w:id="11"/>
      </w:r>
      <w:r w:rsidRPr="008642D1">
        <w:t xml:space="preserve"> As one member of Parliament put it during the parliamentary debates leading to the enactment of the Human Rights Act, anti-discrimination laws evolve “as societal attitudes become receptive to new ideas, to changing values, and to changing perceptions of what is just”.</w:t>
      </w:r>
      <w:r w:rsidRPr="008642D1">
        <w:rPr>
          <w:rStyle w:val="FootnoteReference"/>
        </w:rPr>
        <w:footnoteReference w:id="12"/>
      </w:r>
      <w:r w:rsidRPr="008642D1">
        <w:t xml:space="preserve"> </w:t>
      </w:r>
    </w:p>
    <w:p w14:paraId="6FEB3D3A" w14:textId="77777777" w:rsidR="00736420" w:rsidRPr="008642D1" w:rsidRDefault="00736420" w:rsidP="00736420">
      <w:pPr>
        <w:pStyle w:val="BodyText"/>
        <w:tabs>
          <w:tab w:val="num" w:pos="1022"/>
        </w:tabs>
      </w:pPr>
      <w:r w:rsidRPr="008642D1">
        <w:t xml:space="preserve">The </w:t>
      </w:r>
      <w:r w:rsidRPr="008642D1">
        <w:rPr>
          <w:rFonts w:eastAsia="Calibri" w:cs="Arial"/>
        </w:rPr>
        <w:t>prohibited grounds of discrimination have not, however, been systematically reviewed in the three decades since the Human Rights Act was enacted.</w:t>
      </w:r>
      <w:r w:rsidRPr="008642D1">
        <w:rPr>
          <w:rStyle w:val="FootnoteReference"/>
          <w:rFonts w:eastAsia="Calibri" w:cs="Arial"/>
        </w:rPr>
        <w:footnoteReference w:id="13"/>
      </w:r>
      <w:r w:rsidRPr="008642D1">
        <w:t xml:space="preserve"> </w:t>
      </w:r>
    </w:p>
    <w:p w14:paraId="2E98D002" w14:textId="77777777" w:rsidR="00736420" w:rsidRPr="008642D1" w:rsidRDefault="00736420" w:rsidP="00736420">
      <w:pPr>
        <w:pStyle w:val="Heading2"/>
      </w:pPr>
      <w:bookmarkStart w:id="38" w:name="_Toc170302111"/>
      <w:r w:rsidRPr="008642D1">
        <w:t>Momentum for change</w:t>
      </w:r>
      <w:bookmarkEnd w:id="38"/>
    </w:p>
    <w:p w14:paraId="3770B2F8" w14:textId="27A2051C" w:rsidR="00736420" w:rsidRPr="008642D1" w:rsidRDefault="00736420" w:rsidP="00736420">
      <w:pPr>
        <w:pStyle w:val="BodyText"/>
        <w:tabs>
          <w:tab w:val="num" w:pos="1022"/>
        </w:tabs>
      </w:pPr>
      <w:r w:rsidRPr="008642D1">
        <w:t xml:space="preserve">There have been several attempts since 1993 to amend section 21 to provide explicit protection from discrimination that is linked to a person’s gender identity or their sex characteristics but none so far </w:t>
      </w:r>
      <w:r w:rsidR="006C0B84">
        <w:t>has</w:t>
      </w:r>
      <w:r w:rsidR="006C0B84" w:rsidRPr="008642D1">
        <w:t xml:space="preserve"> </w:t>
      </w:r>
      <w:r w:rsidRPr="008642D1">
        <w:t>been successful.</w:t>
      </w:r>
      <w:r w:rsidRPr="008642D1">
        <w:rPr>
          <w:rStyle w:val="FootnoteReference"/>
        </w:rPr>
        <w:footnoteReference w:id="14"/>
      </w:r>
      <w:r w:rsidRPr="008642D1">
        <w:t xml:space="preserve"> In 2004, a member</w:t>
      </w:r>
      <w:r w:rsidR="0053776E">
        <w:t>’</w:t>
      </w:r>
      <w:r w:rsidRPr="008642D1">
        <w:t>s Bill sponsored by Georgina Beyer MP was drawn from the ballot.</w:t>
      </w:r>
      <w:r w:rsidRPr="008642D1">
        <w:rPr>
          <w:rStyle w:val="FootnoteReference"/>
        </w:rPr>
        <w:footnoteReference w:id="15"/>
      </w:r>
      <w:r w:rsidRPr="008642D1">
        <w:t xml:space="preserve"> It sought to add </w:t>
      </w:r>
      <w:r w:rsidRPr="008642D1" w:rsidDel="0053780C">
        <w:t>“</w:t>
      </w:r>
      <w:r w:rsidRPr="008642D1">
        <w:t>gender identity</w:t>
      </w:r>
      <w:r w:rsidRPr="008642D1" w:rsidDel="0053780C">
        <w:t>”</w:t>
      </w:r>
      <w:r w:rsidRPr="008642D1">
        <w:t xml:space="preserve"> as a prohibited ground. Beyer agreed to withdraw the Bill after Te Tari Ture o te Karauna | Crown Law issued an opinion saying that discrimination based on a person’s gender identity already falls within the scope of the Human Rights Act because it amounts to discrimination based on a person’s sex.</w:t>
      </w:r>
      <w:r w:rsidRPr="008642D1">
        <w:rPr>
          <w:rStyle w:val="FootnoteReference"/>
        </w:rPr>
        <w:footnoteReference w:id="16"/>
      </w:r>
      <w:r w:rsidRPr="008642D1">
        <w:t xml:space="preserve"> </w:t>
      </w:r>
    </w:p>
    <w:p w14:paraId="798EB08D" w14:textId="1296F8C2" w:rsidR="00736420" w:rsidRPr="008642D1" w:rsidRDefault="00736420" w:rsidP="00736420">
      <w:pPr>
        <w:pStyle w:val="BodyText"/>
        <w:tabs>
          <w:tab w:val="num" w:pos="1022"/>
        </w:tabs>
      </w:pPr>
      <w:r w:rsidRPr="008642D1">
        <w:t xml:space="preserve">In 2014, the issue was again discussed in Parliament. Louisa Wall MP sought to insert a provision amending section 21 (by adding </w:t>
      </w:r>
      <w:r w:rsidRPr="008642D1" w:rsidDel="0053780C">
        <w:t>“</w:t>
      </w:r>
      <w:r w:rsidRPr="008642D1">
        <w:t>gender identity</w:t>
      </w:r>
      <w:r w:rsidRPr="008642D1" w:rsidDel="0053780C">
        <w:t>”</w:t>
      </w:r>
      <w:r w:rsidRPr="008642D1">
        <w:t>) into a Statutes Amendment Bill. These Bills are for “technical, short, and non-controversial amendments”.</w:t>
      </w:r>
      <w:r w:rsidRPr="008642D1">
        <w:rPr>
          <w:rStyle w:val="FootnoteReference"/>
        </w:rPr>
        <w:footnoteReference w:id="17"/>
      </w:r>
      <w:r w:rsidRPr="008642D1">
        <w:t xml:space="preserve"> They can only proceed with the unanimous support of the House.</w:t>
      </w:r>
      <w:r w:rsidRPr="008642D1">
        <w:rPr>
          <w:rStyle w:val="FootnoteReference"/>
        </w:rPr>
        <w:footnoteReference w:id="18"/>
      </w:r>
      <w:r w:rsidRPr="008642D1">
        <w:t xml:space="preserve"> Wall’s proposal did not proceed because she was unable to attract sufficient support.</w:t>
      </w:r>
      <w:r w:rsidRPr="008642D1">
        <w:rPr>
          <w:rStyle w:val="FootnoteReference"/>
        </w:rPr>
        <w:footnoteReference w:id="19"/>
      </w:r>
    </w:p>
    <w:p w14:paraId="721816F8" w14:textId="576933BC" w:rsidR="00736420" w:rsidRPr="008642D1" w:rsidRDefault="00736420" w:rsidP="00736420">
      <w:pPr>
        <w:pStyle w:val="BodyText"/>
        <w:tabs>
          <w:tab w:val="num" w:pos="1022"/>
        </w:tabs>
      </w:pPr>
      <w:r w:rsidRPr="008642D1">
        <w:t xml:space="preserve">In 2021, the </w:t>
      </w:r>
      <w:r w:rsidR="00D9204F">
        <w:t>g</w:t>
      </w:r>
      <w:r w:rsidRPr="008642D1">
        <w:t xml:space="preserve">overnment published a consultation document that, among other things, proposed to amend section 21 to “clarify that trans, gender diverse, and intersex people are protected from discrimination”. Specifically, the </w:t>
      </w:r>
      <w:r w:rsidR="00D9204F">
        <w:t>g</w:t>
      </w:r>
      <w:r w:rsidRPr="008642D1">
        <w:t>overnment proposed to define the prohibited ground of sex to include “sex characteristics or intersex status” and to add a new prohibited ground of “gender including gender expression and gender identity”.</w:t>
      </w:r>
      <w:r w:rsidRPr="008642D1">
        <w:rPr>
          <w:rStyle w:val="FootnoteReference"/>
        </w:rPr>
        <w:footnoteReference w:id="20"/>
      </w:r>
      <w:r w:rsidRPr="008642D1">
        <w:t xml:space="preserve"> </w:t>
      </w:r>
      <w:r w:rsidRPr="008642D1">
        <w:lastRenderedPageBreak/>
        <w:t>Following public consultation, this proposal did not proceed. Instead, in November 2022, the then Minister responsible for the Law Commission Hon Kiritapu Allan referred the Law Commission this review.</w:t>
      </w:r>
    </w:p>
    <w:p w14:paraId="21360AC7" w14:textId="177FEC50" w:rsidR="00736420" w:rsidRPr="008642D1" w:rsidRDefault="00736420" w:rsidP="00736420">
      <w:pPr>
        <w:pStyle w:val="BodyText"/>
        <w:tabs>
          <w:tab w:val="num" w:pos="1022"/>
        </w:tabs>
      </w:pPr>
      <w:r w:rsidRPr="008642D1">
        <w:t>In August 2023, another member’s Bill (sponsored by Dr Elizabeth Kerekere MP) was drawn from the ballot.</w:t>
      </w:r>
      <w:r w:rsidRPr="008642D1">
        <w:rPr>
          <w:rStyle w:val="FootnoteReference"/>
        </w:rPr>
        <w:footnoteReference w:id="21"/>
      </w:r>
      <w:r w:rsidRPr="008642D1">
        <w:t xml:space="preserve"> This Bill would amend section 21 to add two new prohibited grounds: </w:t>
      </w:r>
      <w:r w:rsidRPr="008642D1" w:rsidDel="008373CE">
        <w:t>“</w:t>
      </w:r>
      <w:r w:rsidRPr="008642D1">
        <w:t>gender identity or expression</w:t>
      </w:r>
      <w:r w:rsidRPr="008642D1" w:rsidDel="008373CE">
        <w:t>”</w:t>
      </w:r>
      <w:r w:rsidRPr="008642D1">
        <w:t xml:space="preserve"> and </w:t>
      </w:r>
      <w:r w:rsidRPr="008642D1" w:rsidDel="008373CE">
        <w:t>“</w:t>
      </w:r>
      <w:r w:rsidRPr="008642D1">
        <w:t>variations of sex characteristics</w:t>
      </w:r>
      <w:r w:rsidRPr="008642D1" w:rsidDel="008373CE">
        <w:t>”</w:t>
      </w:r>
      <w:r w:rsidRPr="008642D1">
        <w:t>. Dr Kerekere left Parliament at the October 2023 general election. The Bill is now sponsored by Debbie Ngarewa-Packer MP. On 6 December 2023, the Business Committee agreed to postpone the first reading of the Bill until further notice.</w:t>
      </w:r>
      <w:r w:rsidRPr="008642D1">
        <w:rPr>
          <w:rStyle w:val="FootnoteReference"/>
        </w:rPr>
        <w:footnoteReference w:id="22"/>
      </w:r>
    </w:p>
    <w:p w14:paraId="31483050" w14:textId="2F2EA872" w:rsidR="00736420" w:rsidRPr="008642D1" w:rsidRDefault="00736420" w:rsidP="00736420">
      <w:pPr>
        <w:pStyle w:val="Heading2"/>
      </w:pPr>
      <w:bookmarkStart w:id="39" w:name="_Toc170302112"/>
      <w:r w:rsidRPr="008642D1">
        <w:t xml:space="preserve">Scope of the review and approach taken in this </w:t>
      </w:r>
      <w:r w:rsidR="000D2F22" w:rsidRPr="000D2F22">
        <w:t>Issues Paper</w:t>
      </w:r>
      <w:bookmarkEnd w:id="39"/>
    </w:p>
    <w:p w14:paraId="3972337F" w14:textId="77777777" w:rsidR="00736420" w:rsidRPr="008642D1" w:rsidRDefault="00736420" w:rsidP="00736420">
      <w:pPr>
        <w:pStyle w:val="BodyText"/>
        <w:tabs>
          <w:tab w:val="num" w:pos="1022"/>
        </w:tabs>
      </w:pPr>
      <w:r w:rsidRPr="008642D1">
        <w:t xml:space="preserve">Our task in this review is to advise the government whether the current wording of the Human Rights Act adequately protects people who are transgender or non-binary or who have an innate variation of sex characteristics and, if not, what amendments should be made. </w:t>
      </w:r>
    </w:p>
    <w:p w14:paraId="6D2E5F15" w14:textId="77777777" w:rsidR="00736420" w:rsidRPr="008642D1" w:rsidRDefault="00736420" w:rsidP="00736420">
      <w:pPr>
        <w:pStyle w:val="Heading3"/>
      </w:pPr>
      <w:r w:rsidRPr="008642D1">
        <w:t>Should section 21 be amended?</w:t>
      </w:r>
    </w:p>
    <w:p w14:paraId="2702A191" w14:textId="3FA2A2AF" w:rsidR="00736420" w:rsidRPr="008642D1" w:rsidRDefault="00736420" w:rsidP="00736420">
      <w:pPr>
        <w:pStyle w:val="BodyText"/>
        <w:tabs>
          <w:tab w:val="num" w:pos="1022"/>
        </w:tabs>
      </w:pPr>
      <w:r w:rsidRPr="008642D1">
        <w:t xml:space="preserve">A key issue we are examining is whether to extend, modify or further define the prohibited grounds of discrimination in section 21 of the Human Rights Act to clarify that being transgender or non-binary or having an innate variation of sex characteristics are protected characteristics. </w:t>
      </w:r>
    </w:p>
    <w:p w14:paraId="2AFCF1BF" w14:textId="52910F9A" w:rsidR="00736420" w:rsidRPr="008642D1" w:rsidRDefault="00736420" w:rsidP="00736420">
      <w:pPr>
        <w:pStyle w:val="BodyText"/>
        <w:tabs>
          <w:tab w:val="num" w:pos="1022"/>
        </w:tabs>
      </w:pPr>
      <w:r w:rsidRPr="008642D1">
        <w:t>Based on our research and analysis to date, we have reached a preliminary view that an amendment of this kind is necessary and desirable. People who are transgender or non-binary or who have an innate variation of sex characteristics have historically experienced, and continue to experience, significant disadvantage, prejudice, marginalisation and discrimination.</w:t>
      </w:r>
      <w:r w:rsidRPr="008642D1">
        <w:rPr>
          <w:rStyle w:val="FootnoteReference"/>
        </w:rPr>
        <w:footnoteReference w:id="23"/>
      </w:r>
      <w:r w:rsidRPr="008642D1">
        <w:t xml:space="preserve"> An amendment to clarify that discrimination on these grounds is prohibited would bring New Zealand law better into line with the laws in other states with similar legal and political systems. The absence of similar protection in</w:t>
      </w:r>
      <w:r w:rsidRPr="008642D1" w:rsidDel="008373CE">
        <w:t xml:space="preserve"> </w:t>
      </w:r>
      <w:r w:rsidRPr="008642D1">
        <w:t>New Zealand law is attracting negative attention from several United Nations bodies.</w:t>
      </w:r>
      <w:r w:rsidRPr="008642D1">
        <w:rPr>
          <w:rStyle w:val="FootnoteReference"/>
        </w:rPr>
        <w:footnoteReference w:id="24"/>
      </w:r>
      <w:r w:rsidRPr="008642D1">
        <w:t xml:space="preserve"> </w:t>
      </w:r>
    </w:p>
    <w:p w14:paraId="44D2FD76" w14:textId="77777777" w:rsidR="00736420" w:rsidRPr="008642D1" w:rsidRDefault="00736420" w:rsidP="00736420">
      <w:pPr>
        <w:pStyle w:val="BodyText"/>
        <w:tabs>
          <w:tab w:val="num" w:pos="1022"/>
        </w:tabs>
      </w:pPr>
      <w:r w:rsidRPr="008642D1">
        <w:t xml:space="preserve">In Chapter 6 of this Issues Paper, we discuss the reasons for this preliminary conclusion more fully and seek feedback on it. </w:t>
      </w:r>
    </w:p>
    <w:p w14:paraId="6D525FDF" w14:textId="77777777" w:rsidR="00736420" w:rsidRPr="008642D1" w:rsidRDefault="00736420" w:rsidP="00736420">
      <w:pPr>
        <w:pStyle w:val="Heading3"/>
      </w:pPr>
      <w:r w:rsidRPr="008642D1">
        <w:t xml:space="preserve">Matters to consider if section 21 is amended </w:t>
      </w:r>
    </w:p>
    <w:p w14:paraId="0C34DD35" w14:textId="77777777" w:rsidR="00736420" w:rsidRPr="008642D1" w:rsidRDefault="00736420" w:rsidP="003C5E87">
      <w:pPr>
        <w:pStyle w:val="BodyText"/>
      </w:pPr>
      <w:r w:rsidRPr="008642D1">
        <w:t>If section 21 is to be amended, there are some complex issues to address along the way. First, it is necessary to settle some precise wording for new prohibited grounds of discrimination. There are several potential options, which we present for feedback in Chapter 7.</w:t>
      </w:r>
    </w:p>
    <w:p w14:paraId="63170302" w14:textId="77777777" w:rsidR="00736420" w:rsidRPr="008642D1" w:rsidRDefault="00736420" w:rsidP="003C5E87">
      <w:pPr>
        <w:pStyle w:val="BodyText"/>
      </w:pPr>
      <w:r w:rsidRPr="008642D1">
        <w:lastRenderedPageBreak/>
        <w:t>Second, we need to consider whether any other sections in the Human Rights Act should be amended to address the wider implications of amending section 21. As we explained earlier, the Human Rights Act contains detailed rules that dictate when discrimination is unlawful. These rules are designed to ensure the right to freedom from discrimination is balanced against other rights, interests and concerns that Parliament deemed to be important when it passed the Human Rights Act in 1993. We need to consider the Act as a whole to ensure it strikes an appropriate balance between the right to freedom from discrimination (as it relates to any new prohibited grounds) and other rights, interests and concerns.</w:t>
      </w:r>
    </w:p>
    <w:p w14:paraId="04DB4BE1" w14:textId="5F88B3FC" w:rsidR="00736420" w:rsidRPr="008642D1" w:rsidRDefault="00736420" w:rsidP="003C5E87">
      <w:pPr>
        <w:pStyle w:val="BodyText"/>
      </w:pPr>
      <w:r w:rsidRPr="008642D1">
        <w:t xml:space="preserve">For example, we examine closely in this Issues Paper the various exceptions in Part 2 of the Human Rights Act (the circumstances in which it is lawful for a private </w:t>
      </w:r>
      <w:r w:rsidR="00635FA3">
        <w:t>individual</w:t>
      </w:r>
      <w:r w:rsidR="00635FA3" w:rsidRPr="008642D1">
        <w:t xml:space="preserve"> </w:t>
      </w:r>
      <w:r w:rsidRPr="008642D1">
        <w:t>or body to treat someone differently based on a prohibited ground even when engaging in one of the public-facing activities regulated by Part 2).</w:t>
      </w:r>
      <w:r w:rsidRPr="008642D1">
        <w:rPr>
          <w:rStyle w:val="FootnoteReference"/>
        </w:rPr>
        <w:footnoteReference w:id="25"/>
      </w:r>
      <w:r w:rsidRPr="008642D1">
        <w:t xml:space="preserve"> We seek feedback on whether it is desirable to amend any of these exceptions to reflect any new prohibited grounds of discrimination that are added to section 21.</w:t>
      </w:r>
    </w:p>
    <w:p w14:paraId="6BFABCA5" w14:textId="77777777" w:rsidR="00736420" w:rsidRPr="008642D1" w:rsidRDefault="00736420" w:rsidP="003C5E87">
      <w:pPr>
        <w:pStyle w:val="BodyText"/>
      </w:pPr>
      <w:r w:rsidRPr="008642D1">
        <w:t xml:space="preserve">We understand from preliminary research and engagement that there are divergent views in the community about some of the issues on which we seek feedback. These include access to single-sex services and facilities (such as bathrooms and changing rooms) and participation in competitive sports. Through the public consultation process, we hope to gain a better understanding of the perspectives people in Aotearoa New Zealand hold on these issues, the reasons and concerns that underlie them and, where relevant, the evidence that exists to support them. </w:t>
      </w:r>
    </w:p>
    <w:p w14:paraId="0D23F1D7" w14:textId="77777777" w:rsidR="00736420" w:rsidRPr="008642D1" w:rsidRDefault="00736420" w:rsidP="00736420">
      <w:pPr>
        <w:pStyle w:val="BodyText"/>
        <w:tabs>
          <w:tab w:val="num" w:pos="1022"/>
        </w:tabs>
      </w:pPr>
      <w:r w:rsidRPr="008642D1">
        <w:t>Finally, in this review, we need to understand the consequential implications of amending the Human Rights Act for other New Zealand laws. Some other statutes contain references to the Human Rights Act. For example, the NZ Bill of Rights has a right to be free from discrimination “on the grounds of discrimination in the Human Rights Act”.</w:t>
      </w:r>
      <w:r w:rsidRPr="008642D1">
        <w:rPr>
          <w:rStyle w:val="FootnoteReference"/>
        </w:rPr>
        <w:footnoteReference w:id="26"/>
      </w:r>
      <w:r w:rsidRPr="008642D1">
        <w:t xml:space="preserve"> We need to understand the consequential implications of any reform we propose so that we can satisfy ourselves that reform is appropriate. </w:t>
      </w:r>
    </w:p>
    <w:p w14:paraId="37018E29" w14:textId="77777777" w:rsidR="00736420" w:rsidRPr="008642D1" w:rsidRDefault="00736420" w:rsidP="00736420">
      <w:pPr>
        <w:pStyle w:val="BodyText"/>
        <w:tabs>
          <w:tab w:val="num" w:pos="1022"/>
        </w:tabs>
      </w:pPr>
      <w:r w:rsidRPr="008642D1">
        <w:t>We may recommend consequential amendments to other laws if that seems necessary to ensure the consistency and coherence of New Zealand’s laws.</w:t>
      </w:r>
    </w:p>
    <w:p w14:paraId="51B7988E" w14:textId="77777777" w:rsidR="00736420" w:rsidRPr="008642D1" w:rsidRDefault="00736420" w:rsidP="00736420">
      <w:pPr>
        <w:pStyle w:val="Heading2"/>
      </w:pPr>
      <w:bookmarkStart w:id="40" w:name="_Toc170302113"/>
      <w:r w:rsidRPr="008642D1">
        <w:t>Limitations on the scope of this review</w:t>
      </w:r>
      <w:bookmarkEnd w:id="40"/>
    </w:p>
    <w:p w14:paraId="0B645B60" w14:textId="77777777" w:rsidR="00736420" w:rsidRPr="008642D1" w:rsidRDefault="00736420" w:rsidP="00736420">
      <w:pPr>
        <w:pStyle w:val="BodyText"/>
        <w:tabs>
          <w:tab w:val="num" w:pos="1022"/>
        </w:tabs>
      </w:pPr>
      <w:r w:rsidRPr="008642D1">
        <w:t xml:space="preserve">It is helpful to state at the outset several limitations on the scope of our review. </w:t>
      </w:r>
    </w:p>
    <w:p w14:paraId="241238E9" w14:textId="77777777" w:rsidR="00736420" w:rsidRPr="008642D1" w:rsidRDefault="00736420" w:rsidP="00736420">
      <w:pPr>
        <w:pStyle w:val="Heading3"/>
      </w:pPr>
      <w:r w:rsidRPr="008642D1">
        <w:t>We have only been asked to review the Human Rights Act</w:t>
      </w:r>
    </w:p>
    <w:p w14:paraId="6A1DFD9C" w14:textId="4C7BA26C" w:rsidR="00736420" w:rsidRPr="008642D1" w:rsidRDefault="00736420" w:rsidP="00736420">
      <w:pPr>
        <w:pStyle w:val="BodyText"/>
        <w:tabs>
          <w:tab w:val="num" w:pos="1022"/>
        </w:tabs>
      </w:pPr>
      <w:r w:rsidRPr="008642D1">
        <w:t xml:space="preserve">The Law Commission has only been asked to examine the adequacy of protections in the Human Rights Act, not in any other Act. Although we need to understand the implications of any proposed reform </w:t>
      </w:r>
      <w:r w:rsidR="00061AB7">
        <w:t>of</w:t>
      </w:r>
      <w:r w:rsidRPr="008642D1">
        <w:t xml:space="preserve"> the Human Rights Act for other laws, we are not undertaking an overall review of any other laws. For example, we are not reviewing references to sex or gender in other New Zealand legislation. </w:t>
      </w:r>
    </w:p>
    <w:p w14:paraId="1B974801" w14:textId="3E8F1C66" w:rsidR="00736420" w:rsidRPr="008642D1" w:rsidRDefault="00736420" w:rsidP="00736420">
      <w:pPr>
        <w:pStyle w:val="BodyText"/>
        <w:tabs>
          <w:tab w:val="num" w:pos="1022"/>
        </w:tabs>
      </w:pPr>
      <w:r w:rsidRPr="008642D1">
        <w:lastRenderedPageBreak/>
        <w:t xml:space="preserve">This focus on the Human Rights Act means that we do not address in this review all legal issues of concern to people in Aotearoa New Zealand that relate to gender, gender identity or </w:t>
      </w:r>
      <w:r w:rsidR="00EF433C">
        <w:t xml:space="preserve">innate </w:t>
      </w:r>
      <w:r w:rsidRPr="008642D1">
        <w:t>variations of sex characteristics. To give just one example, in our preliminary research and engagement, we heard a range of perspectives and concerns about access to gender-affirming health</w:t>
      </w:r>
      <w:r w:rsidRPr="008642D1" w:rsidDel="00FC71EA">
        <w:t xml:space="preserve"> </w:t>
      </w:r>
      <w:r w:rsidRPr="008642D1">
        <w:t xml:space="preserve">care (such as hormone treatment and surgeries). We heard, for example, that there are significant barriers to accessing gender-affirming treatment and that this is an issue of concern to many people who are transgender or non-binary. We also heard that some other people worry to the contrary that gender-affirming treatments (including puberty blockers) are too easily available </w:t>
      </w:r>
      <w:r w:rsidRPr="008642D1" w:rsidDel="00BF7A1A">
        <w:t xml:space="preserve">– </w:t>
      </w:r>
      <w:r w:rsidRPr="008642D1">
        <w:t xml:space="preserve">especially for children and young people. </w:t>
      </w:r>
    </w:p>
    <w:p w14:paraId="15B20B48" w14:textId="2BE8490B" w:rsidR="00736420" w:rsidRPr="008642D1" w:rsidRDefault="00736420" w:rsidP="00736420">
      <w:pPr>
        <w:pStyle w:val="BodyText"/>
        <w:tabs>
          <w:tab w:val="num" w:pos="1022"/>
        </w:tabs>
      </w:pPr>
      <w:r w:rsidRPr="008642D1">
        <w:t>These issues do not fall directly within the scope of this review. If the Human Rights Act were amended to provide explicit protection from discrimination to people who are transgender or non-binary or who have an innate variation of sex characteristics, that would certainly clarify that government officials and health professionals must make decisions about gender-affirming health</w:t>
      </w:r>
      <w:r w:rsidRPr="008642D1" w:rsidDel="00FC71EA">
        <w:t xml:space="preserve"> </w:t>
      </w:r>
      <w:r w:rsidRPr="008642D1">
        <w:t xml:space="preserve">care in a non-discriminatory way. If they failed to do so, it might be possible for someone to take a claim under the Human Rights Act. This would not, however, displace other relevant considerations such as those relating to the safety and efficacy of treatments or the equitable distribution of state resources. </w:t>
      </w:r>
    </w:p>
    <w:p w14:paraId="6A67967B" w14:textId="77777777" w:rsidR="00736420" w:rsidRPr="008642D1" w:rsidRDefault="00736420" w:rsidP="00736420">
      <w:pPr>
        <w:pStyle w:val="Heading3"/>
      </w:pPr>
      <w:r w:rsidRPr="008642D1">
        <w:t>We are not reviewing other human rights protections (just discrimination)</w:t>
      </w:r>
    </w:p>
    <w:p w14:paraId="2304D7E8" w14:textId="77777777" w:rsidR="00736420" w:rsidRPr="008642D1" w:rsidRDefault="00736420" w:rsidP="00736420">
      <w:pPr>
        <w:pStyle w:val="BodyText"/>
        <w:tabs>
          <w:tab w:val="num" w:pos="1022"/>
        </w:tabs>
      </w:pPr>
      <w:r w:rsidRPr="008642D1">
        <w:t>The Human Rights Act does not protect all types of human rights. In Aotearoa New Zealand, human rights are protected in many different laws. For example, the NZ Bill of Rights protects a range of rights from interference by the government. These include the right to life, fair trial rights and the freedoms of opinion and belief, expression, religion and association. Aotearoa New Zealand is also a party to some international treaties that protect human rights.</w:t>
      </w:r>
    </w:p>
    <w:p w14:paraId="0BDBB65A" w14:textId="77777777" w:rsidR="00736420" w:rsidRPr="008642D1" w:rsidRDefault="00736420" w:rsidP="00736420">
      <w:pPr>
        <w:pStyle w:val="BodyText"/>
        <w:tabs>
          <w:tab w:val="num" w:pos="1022"/>
        </w:tabs>
      </w:pPr>
      <w:r w:rsidRPr="008642D1">
        <w:t xml:space="preserve">By contrast, the Human Rights Act is mainly about the right to be free from discrimination. That is the focus of this review. </w:t>
      </w:r>
    </w:p>
    <w:p w14:paraId="06EF50B9" w14:textId="77777777" w:rsidR="00736420" w:rsidRPr="008642D1" w:rsidRDefault="00736420" w:rsidP="00736420">
      <w:pPr>
        <w:pStyle w:val="Heading3"/>
      </w:pPr>
      <w:r w:rsidRPr="008642D1">
        <w:t>This is not a general review of the Human Rights Act</w:t>
      </w:r>
    </w:p>
    <w:p w14:paraId="25F87B43" w14:textId="77777777" w:rsidR="00736420" w:rsidRPr="008642D1" w:rsidRDefault="00736420" w:rsidP="00736420">
      <w:pPr>
        <w:pStyle w:val="BodyText"/>
        <w:tabs>
          <w:tab w:val="num" w:pos="1022"/>
        </w:tabs>
      </w:pPr>
      <w:r w:rsidRPr="008642D1">
        <w:t xml:space="preserve">Another important limitation on the scope of our review is that we have not been asked to conduct a general review of the Human Rights Act. Rather, we have been asked to review the adequacy of protection for people who are transgender or non-binary or who have an innate variation of sex characteristics. </w:t>
      </w:r>
    </w:p>
    <w:p w14:paraId="489D79B4" w14:textId="19C11D09" w:rsidR="00736420" w:rsidRPr="008642D1" w:rsidRDefault="00736420" w:rsidP="00736420">
      <w:pPr>
        <w:pStyle w:val="BodyText"/>
        <w:tabs>
          <w:tab w:val="num" w:pos="1022"/>
        </w:tabs>
      </w:pPr>
      <w:r w:rsidRPr="008642D1">
        <w:t>Based on our preliminary research and engagement, we think a broader review of the Human Rights Act may well be desirable. The Act is over 30 years old. Some parts of it (including those most significant to this review) have not been systematically reviewed since enactment.</w:t>
      </w:r>
      <w:r w:rsidRPr="008642D1">
        <w:rPr>
          <w:rStyle w:val="FootnoteReference"/>
        </w:rPr>
        <w:footnoteReference w:id="27"/>
      </w:r>
      <w:r w:rsidRPr="008642D1">
        <w:t xml:space="preserve"> Even when it was enacted, the Act drew heavily on earlier anti-discrimination laws from the 1970s. It continues to reflect attitudes and compromises </w:t>
      </w:r>
      <w:r w:rsidRPr="008642D1">
        <w:lastRenderedPageBreak/>
        <w:t xml:space="preserve">made in the context of 1970s </w:t>
      </w:r>
      <w:r w:rsidR="00E731DE">
        <w:t xml:space="preserve">Aotearoa </w:t>
      </w:r>
      <w:r w:rsidRPr="008642D1">
        <w:t xml:space="preserve">New Zealand. We also consider that some sections in the Act are poorly drafted and their meaning </w:t>
      </w:r>
      <w:r w:rsidR="006C0289">
        <w:t xml:space="preserve">is </w:t>
      </w:r>
      <w:r w:rsidRPr="008642D1">
        <w:t xml:space="preserve">obscure. </w:t>
      </w:r>
    </w:p>
    <w:p w14:paraId="5C52C95A" w14:textId="20EB3FFF" w:rsidR="00736420" w:rsidRPr="008642D1" w:rsidRDefault="00736420" w:rsidP="00736420">
      <w:pPr>
        <w:pStyle w:val="BodyText"/>
        <w:tabs>
          <w:tab w:val="num" w:pos="1022"/>
        </w:tabs>
      </w:pPr>
      <w:r w:rsidRPr="008642D1">
        <w:t xml:space="preserve">In this Issues Paper, we sometimes identify broader issues with the Human Rights Act that could be considered as part of a wider review of the Act. We cannot, however, recommend wider reform </w:t>
      </w:r>
      <w:r w:rsidR="00061AB7">
        <w:t>of</w:t>
      </w:r>
      <w:r w:rsidRPr="008642D1">
        <w:t xml:space="preserve"> the Act as part of this review even when there is general agreement that such reform is desirable.</w:t>
      </w:r>
    </w:p>
    <w:p w14:paraId="6F036F2A" w14:textId="77777777" w:rsidR="00736420" w:rsidRPr="008642D1" w:rsidRDefault="00736420" w:rsidP="00736420">
      <w:pPr>
        <w:pStyle w:val="Heading3"/>
      </w:pPr>
      <w:r w:rsidRPr="008642D1">
        <w:t>We are not examining three provisions in the Human Rights Act</w:t>
      </w:r>
    </w:p>
    <w:p w14:paraId="71CC868E" w14:textId="77777777" w:rsidR="00736420" w:rsidRPr="008642D1" w:rsidRDefault="00736420" w:rsidP="00736420">
      <w:pPr>
        <w:pStyle w:val="BodyText"/>
        <w:tabs>
          <w:tab w:val="num" w:pos="1022"/>
        </w:tabs>
      </w:pPr>
      <w:r w:rsidRPr="008642D1">
        <w:t xml:space="preserve">Finally, there are three provisions in the Human Rights Act we do not intend to review even though they do have potential implications for people who are transgender or non-binary or who have an innate variation of sex characteristics:  </w:t>
      </w:r>
    </w:p>
    <w:p w14:paraId="4E52EFCB" w14:textId="77777777" w:rsidR="00736420" w:rsidRPr="008642D1" w:rsidRDefault="00736420" w:rsidP="00DF306B">
      <w:pPr>
        <w:pStyle w:val="BodyTextnonum"/>
        <w:numPr>
          <w:ilvl w:val="3"/>
          <w:numId w:val="23"/>
        </w:numPr>
        <w:tabs>
          <w:tab w:val="num" w:pos="709"/>
        </w:tabs>
      </w:pPr>
      <w:r w:rsidRPr="008642D1">
        <w:t>We are not reviewing sections 61 and 131 of the Human Rights Act, which concern the incitement of racial disharmony (sometimes referred to as hate speech). The Minister responsible for the Law Commission Hon Paul Goldsmith has requested the Law Commission withdraw issues relating to hate speech from its work programme.</w:t>
      </w:r>
    </w:p>
    <w:p w14:paraId="5EC62279" w14:textId="77777777" w:rsidR="00736420" w:rsidRPr="008642D1" w:rsidRDefault="00736420" w:rsidP="00DF306B">
      <w:pPr>
        <w:pStyle w:val="BodyTextnonum"/>
        <w:numPr>
          <w:ilvl w:val="3"/>
          <w:numId w:val="23"/>
        </w:numPr>
        <w:tabs>
          <w:tab w:val="num" w:pos="709"/>
        </w:tabs>
      </w:pPr>
      <w:r w:rsidRPr="008642D1">
        <w:t xml:space="preserve">We are not reviewing section 63A of the Human Rights Act, which relates to conversion practices. This provision was enacted in 2022 after extensive consultation. We think it is too soon to reconsider the policy on which the section was based or to evaluate how it is working in practice. </w:t>
      </w:r>
    </w:p>
    <w:p w14:paraId="72257317" w14:textId="77777777" w:rsidR="00736420" w:rsidRPr="008642D1" w:rsidRDefault="00736420" w:rsidP="00736420">
      <w:pPr>
        <w:pStyle w:val="Heading2"/>
      </w:pPr>
      <w:bookmarkStart w:id="41" w:name="_Toc170302114"/>
      <w:r w:rsidRPr="008642D1">
        <w:t>Our process so far</w:t>
      </w:r>
      <w:bookmarkEnd w:id="41"/>
    </w:p>
    <w:p w14:paraId="21BD3238" w14:textId="77777777" w:rsidR="00736420" w:rsidRPr="008642D1" w:rsidRDefault="00736420" w:rsidP="00736420">
      <w:pPr>
        <w:pStyle w:val="BodyText"/>
        <w:tabs>
          <w:tab w:val="num" w:pos="1022"/>
        </w:tabs>
      </w:pPr>
      <w:r w:rsidRPr="008642D1">
        <w:t>In the initial phase of this review, we undertook preliminary research to determine the scope of the reference. We examined every provision in the Human Rights Act to establish which of them had implications for the review. We also conducted preliminary engagement with various experts, government agencies and community stakeholders. At the end of this scoping phase of the review, we published terms of reference in August 2023.</w:t>
      </w:r>
      <w:r w:rsidRPr="008642D1">
        <w:rPr>
          <w:rStyle w:val="FootnoteReference"/>
        </w:rPr>
        <w:footnoteReference w:id="28"/>
      </w:r>
    </w:p>
    <w:p w14:paraId="723C415E" w14:textId="77777777" w:rsidR="00736420" w:rsidRPr="008642D1" w:rsidRDefault="00736420" w:rsidP="00736420">
      <w:pPr>
        <w:pStyle w:val="BodyText"/>
        <w:tabs>
          <w:tab w:val="num" w:pos="1022"/>
        </w:tabs>
      </w:pPr>
      <w:r w:rsidRPr="008642D1">
        <w:t>In the second phase (leading up to publication of this Issues Paper), we have been conducting in-depth research on the law and issues. For example, we have reviewed New Zealand case law and commentary, legislative history, international human rights law and the laws in several comparable jurisdictions. We have also sought to understand relevant tikanga Māori.</w:t>
      </w:r>
      <w:r w:rsidRPr="008642D1">
        <w:rPr>
          <w:rStyle w:val="FootnoteReference"/>
        </w:rPr>
        <w:footnoteReference w:id="29"/>
      </w:r>
    </w:p>
    <w:p w14:paraId="0CA4A7BE" w14:textId="359D0D0B" w:rsidR="00736420" w:rsidRPr="008642D1" w:rsidRDefault="00736420" w:rsidP="00736420">
      <w:pPr>
        <w:pStyle w:val="BodyText"/>
        <w:tabs>
          <w:tab w:val="num" w:pos="1022"/>
        </w:tabs>
      </w:pPr>
      <w:r w:rsidRPr="008642D1">
        <w:t xml:space="preserve">Not all our research has been focused on legal regulation. For example, we have tried to inform ourselves about the concepts of sex and gender and the range of perspectives in the community about what they mean and how they interrelate. We have sought to understand the experiences of people who are transgender or non-binary or who have an innate variation of sex characteristics (especially their experiences of discrimination). We have learned about some Māori perspectives on the issues in this review. We have also tried to inform ourselves about the perspectives of others in the community who </w:t>
      </w:r>
      <w:r w:rsidRPr="008642D1">
        <w:lastRenderedPageBreak/>
        <w:t xml:space="preserve">have views about the legal regulation of gender </w:t>
      </w:r>
      <w:r w:rsidRPr="008642D1" w:rsidDel="00164C01">
        <w:t xml:space="preserve">— </w:t>
      </w:r>
      <w:r w:rsidRPr="008642D1">
        <w:t xml:space="preserve">including those who worry that it might, in certain circumstances, affect their own rights and interests. </w:t>
      </w:r>
    </w:p>
    <w:p w14:paraId="23C3C96A" w14:textId="77777777" w:rsidR="00736420" w:rsidRPr="008642D1" w:rsidRDefault="00736420" w:rsidP="00736420">
      <w:pPr>
        <w:pStyle w:val="BodyText"/>
        <w:tabs>
          <w:tab w:val="num" w:pos="1022"/>
        </w:tabs>
      </w:pPr>
      <w:r w:rsidRPr="008642D1">
        <w:t>These perspectives provide useful context for the review. Ultimately, however, the Law Commission’s role is to make recommendations for the reform and development of New Zealand law.</w:t>
      </w:r>
      <w:r w:rsidRPr="008642D1">
        <w:rPr>
          <w:rStyle w:val="FootnoteReference"/>
        </w:rPr>
        <w:footnoteReference w:id="30"/>
      </w:r>
      <w:r w:rsidRPr="008642D1">
        <w:t xml:space="preserve"> We do not seek to resolve non-legal questions (for example, the meaning of terms such as sex and gender) except to the extent strictly necessary to carry out the review. </w:t>
      </w:r>
    </w:p>
    <w:p w14:paraId="2912B37D" w14:textId="77777777" w:rsidR="00736420" w:rsidRPr="008642D1" w:rsidRDefault="00736420" w:rsidP="00736420">
      <w:pPr>
        <w:pStyle w:val="Heading2"/>
      </w:pPr>
      <w:bookmarkStart w:id="42" w:name="_Toc170302115"/>
      <w:r w:rsidRPr="008642D1">
        <w:t>What happens now</w:t>
      </w:r>
      <w:bookmarkEnd w:id="42"/>
    </w:p>
    <w:p w14:paraId="4D7C7CEE" w14:textId="387F3FD4" w:rsidR="00736420" w:rsidRPr="008642D1" w:rsidRDefault="00736420" w:rsidP="00736420">
      <w:pPr>
        <w:pStyle w:val="BodyText"/>
        <w:tabs>
          <w:tab w:val="num" w:pos="1022"/>
        </w:tabs>
      </w:pPr>
      <w:r w:rsidRPr="008642D1">
        <w:t xml:space="preserve">Following publication of this Issues Paper, there </w:t>
      </w:r>
      <w:r w:rsidRPr="008642D1" w:rsidDel="00467FE0">
        <w:t>will be</w:t>
      </w:r>
      <w:r w:rsidRPr="008642D1">
        <w:t xml:space="preserve"> a 10-week consultation period during which anyone can make a submission on this review. </w:t>
      </w:r>
    </w:p>
    <w:p w14:paraId="3BD18AFB" w14:textId="67647432" w:rsidR="00736420" w:rsidRPr="008642D1" w:rsidRDefault="00736420" w:rsidP="00736420">
      <w:pPr>
        <w:pStyle w:val="BodyText"/>
        <w:tabs>
          <w:tab w:val="num" w:pos="1022"/>
        </w:tabs>
      </w:pPr>
      <w:r w:rsidRPr="008642D1">
        <w:t xml:space="preserve">The feedback we receive on this Issues Paper will help us to understand better the needs, perspectives and concerns of New Zealanders on the issues we discuss and the practical implications of reform. Along with other relevant evidence and analysis, it will help us to develop our recommendations for law reform. It is important to stress that our process is not a matter of counting submissions to find the option with which most people agree. The only way to measure accurately levels of community support on a particular issue is through a well-designed and properly administered survey. For reasons of timing, resourcing and expertise, the Law Commission does not generally conduct surveys of that kind. In any event, the extent of community support (where that can be accurately assessed) is only one of the factors relevant to whether law reform is necessary and desirable. We discuss what we see as the key reform considerations for this project in Chapter 4. We discuss, more specifically, the reasons that might justify adding a new prohibited ground of discrimination to the Human Rights Act in </w:t>
      </w:r>
      <w:r w:rsidR="00A621DF">
        <w:t>C</w:t>
      </w:r>
      <w:r w:rsidRPr="008642D1">
        <w:t>hapter 6.</w:t>
      </w:r>
    </w:p>
    <w:p w14:paraId="70CD94D3" w14:textId="77777777" w:rsidR="00736420" w:rsidRPr="008642D1" w:rsidRDefault="00736420" w:rsidP="00736420">
      <w:pPr>
        <w:pStyle w:val="BodyText"/>
        <w:tabs>
          <w:tab w:val="num" w:pos="1022"/>
        </w:tabs>
      </w:pPr>
      <w:r w:rsidRPr="008642D1">
        <w:t xml:space="preserve">We will deliver a Final Report with our recommendations to the Minister responsible for the Law Commission by the end of June 2025. The Minister will then table the report in Parliament (usually around one month later). Once that has happened, we will publish the report on our website. </w:t>
      </w:r>
    </w:p>
    <w:p w14:paraId="19D35419" w14:textId="796C82B4" w:rsidR="00736420" w:rsidRPr="008642D1" w:rsidRDefault="00736420" w:rsidP="00736420">
      <w:pPr>
        <w:pStyle w:val="BodyText"/>
        <w:tabs>
          <w:tab w:val="num" w:pos="1022"/>
        </w:tabs>
      </w:pPr>
      <w:r w:rsidRPr="008642D1">
        <w:t xml:space="preserve">The </w:t>
      </w:r>
      <w:r w:rsidR="00D9204F">
        <w:t>g</w:t>
      </w:r>
      <w:r w:rsidRPr="008642D1">
        <w:t xml:space="preserve">overnment can decide whether to accept any recommendations the Law Commission makes for reform of the law. The </w:t>
      </w:r>
      <w:r w:rsidR="00D9204F">
        <w:t>g</w:t>
      </w:r>
      <w:r w:rsidRPr="008642D1">
        <w:t xml:space="preserve">overnment usually presents to Parliament a formal response to a Law Commission report within 120 working days of the report having been tabled in Parliament (and is required to do so if Cabinet has rejected the Law Commission’s recommendations). </w:t>
      </w:r>
    </w:p>
    <w:p w14:paraId="5B4DF6DB" w14:textId="77777777" w:rsidR="00736420" w:rsidRPr="008642D1" w:rsidRDefault="00736420" w:rsidP="00736420">
      <w:pPr>
        <w:pStyle w:val="Heading2"/>
      </w:pPr>
      <w:bookmarkStart w:id="43" w:name="_Toc170302116"/>
      <w:r w:rsidRPr="008642D1">
        <w:t>Structure of this Issues Paper</w:t>
      </w:r>
      <w:bookmarkEnd w:id="43"/>
    </w:p>
    <w:p w14:paraId="59041D1A" w14:textId="2A65D037" w:rsidR="00736420" w:rsidRPr="008642D1" w:rsidRDefault="00736420" w:rsidP="00736420">
      <w:pPr>
        <w:pStyle w:val="BodyText"/>
        <w:tabs>
          <w:tab w:val="num" w:pos="1022"/>
        </w:tabs>
      </w:pPr>
      <w:r w:rsidRPr="008642D1">
        <w:t>There are 18 chapters in this Issues Paper</w:t>
      </w:r>
      <w:r w:rsidR="00164C01">
        <w:t>,</w:t>
      </w:r>
      <w:r w:rsidRPr="008642D1">
        <w:t xml:space="preserve"> including this one.</w:t>
      </w:r>
    </w:p>
    <w:p w14:paraId="0DDD5DB8" w14:textId="23AB4373" w:rsidR="00736420" w:rsidRPr="008642D1" w:rsidRDefault="00736420" w:rsidP="00736420">
      <w:pPr>
        <w:pStyle w:val="BodyText"/>
        <w:tabs>
          <w:tab w:val="num" w:pos="1022"/>
        </w:tabs>
      </w:pPr>
      <w:r w:rsidRPr="008642D1">
        <w:t>In Chapter 2, we introduce the topics of sex, gender and sex characteristics. The purpose of this chapter is to provide context and background and to explain our approach to terminology.</w:t>
      </w:r>
    </w:p>
    <w:p w14:paraId="1ABB2224" w14:textId="77777777" w:rsidR="00CB0BF2" w:rsidRDefault="00CB0BF2">
      <w:pPr>
        <w:widowControl w:val="0"/>
        <w:spacing w:after="200" w:line="276" w:lineRule="auto"/>
        <w:rPr>
          <w:rFonts w:eastAsia="Times New Roman" w:cs="Times New Roman"/>
          <w:color w:val="000000" w:themeColor="text1"/>
          <w:szCs w:val="24"/>
          <w:lang w:eastAsia="en-AU"/>
        </w:rPr>
      </w:pPr>
      <w:r>
        <w:br w:type="page"/>
      </w:r>
    </w:p>
    <w:p w14:paraId="00610535" w14:textId="65D0EA58" w:rsidR="00736420" w:rsidRPr="008642D1" w:rsidRDefault="00736420" w:rsidP="00736420">
      <w:pPr>
        <w:pStyle w:val="BodyText"/>
        <w:tabs>
          <w:tab w:val="num" w:pos="1022"/>
        </w:tabs>
      </w:pPr>
      <w:r w:rsidRPr="008642D1">
        <w:lastRenderedPageBreak/>
        <w:t xml:space="preserve">In Chapter 3, we discuss research on the discrimination and mistreatment experienced by people who are transgender or non-binary or who have an innate variation of sex characteristics. We provide some brief history, summarise contemporary data on discrimination and explore some distinctive issues and concerns held by people in these groups. </w:t>
      </w:r>
    </w:p>
    <w:p w14:paraId="25117FEC" w14:textId="77777777" w:rsidR="00736420" w:rsidRPr="008642D1" w:rsidRDefault="00736420" w:rsidP="00736420">
      <w:pPr>
        <w:pStyle w:val="BodyText"/>
        <w:tabs>
          <w:tab w:val="num" w:pos="1022"/>
        </w:tabs>
      </w:pPr>
      <w:r w:rsidRPr="008642D1">
        <w:t>In Chapter 4, we identify and seek feedback on some key reform considerations that we think the Law Commission should bear in mind when proposing law reform in this review.</w:t>
      </w:r>
    </w:p>
    <w:p w14:paraId="2B654705" w14:textId="77777777" w:rsidR="00736420" w:rsidRPr="008642D1" w:rsidRDefault="00736420" w:rsidP="00736420">
      <w:pPr>
        <w:pStyle w:val="BodyText"/>
        <w:tabs>
          <w:tab w:val="num" w:pos="1022"/>
        </w:tabs>
      </w:pPr>
      <w:r w:rsidRPr="008642D1">
        <w:t xml:space="preserve">In Chapter 5, we explain the steps we have taken to understand Māori perspectives on the issues in this review (including to understand relevant tikanga). We set out our current understanding and seek feedback.  </w:t>
      </w:r>
    </w:p>
    <w:p w14:paraId="67625B36" w14:textId="436F2338" w:rsidR="00736420" w:rsidRPr="008642D1" w:rsidRDefault="00736420" w:rsidP="00736420">
      <w:pPr>
        <w:pStyle w:val="BodyText"/>
        <w:tabs>
          <w:tab w:val="num" w:pos="1022"/>
        </w:tabs>
      </w:pPr>
      <w:r w:rsidRPr="008642D1">
        <w:t xml:space="preserve">In Chapter 6, we examine the case for amending section 21 of the Human Rights Act to clarify that people in Aotearoa New Zealand are protected from discrimination that is linked to the fact (or the discriminator’s belief) they are transgender or non-binary or </w:t>
      </w:r>
      <w:r w:rsidR="00865DBF">
        <w:t xml:space="preserve">they </w:t>
      </w:r>
      <w:r w:rsidRPr="008642D1">
        <w:t xml:space="preserve">have an innate variation of sex characteristics. We reach the preliminary conclusion that amendment is necessary and desirable and seek feedback on that preliminary conclusion. </w:t>
      </w:r>
    </w:p>
    <w:p w14:paraId="43522300" w14:textId="77777777" w:rsidR="00736420" w:rsidRPr="008642D1" w:rsidRDefault="00736420" w:rsidP="00736420">
      <w:pPr>
        <w:pStyle w:val="BodyText"/>
        <w:tabs>
          <w:tab w:val="num" w:pos="1022"/>
        </w:tabs>
      </w:pPr>
      <w:r w:rsidRPr="008642D1">
        <w:t xml:space="preserve">In Chapter 7, we identify and seek feedback on some options for how section 21 might be amended. </w:t>
      </w:r>
    </w:p>
    <w:p w14:paraId="41157E8F" w14:textId="2A9C8E06" w:rsidR="00736420" w:rsidRPr="008642D1" w:rsidRDefault="00736420" w:rsidP="00736420">
      <w:pPr>
        <w:pStyle w:val="BodyText"/>
        <w:tabs>
          <w:tab w:val="num" w:pos="1022"/>
        </w:tabs>
      </w:pPr>
      <w:r w:rsidRPr="008642D1">
        <w:t xml:space="preserve">Chapters 8 to 15 all discuss Part 2 of the Human Rights Act. This is the part in the Human Rights Act that imposes obligations on private </w:t>
      </w:r>
      <w:r w:rsidR="0052042C">
        <w:t>individuals</w:t>
      </w:r>
      <w:r w:rsidR="0052042C" w:rsidRPr="008642D1">
        <w:t xml:space="preserve"> </w:t>
      </w:r>
      <w:r w:rsidRPr="008642D1">
        <w:t xml:space="preserve">and organisations (that is, people or organisations that are not performing government functions). </w:t>
      </w:r>
    </w:p>
    <w:p w14:paraId="70A4F955" w14:textId="77777777" w:rsidR="00736420" w:rsidRPr="008642D1" w:rsidRDefault="00736420" w:rsidP="00736420">
      <w:pPr>
        <w:pStyle w:val="BodyText"/>
        <w:tabs>
          <w:tab w:val="num" w:pos="1022"/>
        </w:tabs>
      </w:pPr>
      <w:r w:rsidRPr="008642D1">
        <w:t xml:space="preserve">In Chapter 8, we explain how Part 2 works, the approach we are taking to reviewing Part 2 and some recurrent challenges we have encountered when analysing options for reform. We advise reading Chapter 8 before trying to engage with the other chapters on Part 2. </w:t>
      </w:r>
    </w:p>
    <w:p w14:paraId="03FE135D" w14:textId="32F3AE4E" w:rsidR="00736420" w:rsidRPr="008642D1" w:rsidRDefault="00736420" w:rsidP="00736420">
      <w:pPr>
        <w:pStyle w:val="BodyText"/>
        <w:tabs>
          <w:tab w:val="num" w:pos="1022"/>
        </w:tabs>
      </w:pPr>
      <w:r w:rsidRPr="008642D1">
        <w:t xml:space="preserve">Chapters 9 to 12 group together thematically certain areas of life that are regulated by Part 2: employment and some closely related contexts (Chapter 9); public access to goods, services, places and facilities (Chapter 10); provision of land, housing and other accommodation (Chapter 11); and education (Chapter 12). In each of these chapters, we outline the relevant protections from discrimination and seek feedback on the implications of amending section 21. We also discuss relevant exceptions to these Part 2 protections </w:t>
      </w:r>
      <w:r w:rsidR="00BF7A1A">
        <w:t xml:space="preserve">— </w:t>
      </w:r>
      <w:r w:rsidRPr="008642D1">
        <w:t xml:space="preserve">circumstances identified in the Act as lawful for a private </w:t>
      </w:r>
      <w:r w:rsidR="00635FA3">
        <w:t>individual</w:t>
      </w:r>
      <w:r w:rsidR="00635FA3" w:rsidRPr="008642D1">
        <w:t xml:space="preserve"> </w:t>
      </w:r>
      <w:r w:rsidRPr="008642D1">
        <w:t>or body to treat someone differently based on a prohibited ground. We seek feedback on whether it is desirable to amend any of these exceptions to reflect any new prohibited grounds that are added to section 21. Finally, we also address in these Part 2 chapters the consequential implications of reform for related statutes that regulate the same areas of life as Part 2 of the Human Rights Act.</w:t>
      </w:r>
    </w:p>
    <w:p w14:paraId="45399666" w14:textId="0C385984" w:rsidR="00736420" w:rsidRPr="008642D1" w:rsidRDefault="00736420" w:rsidP="00736420">
      <w:pPr>
        <w:pStyle w:val="BodyText"/>
        <w:tabs>
          <w:tab w:val="num" w:pos="1022"/>
        </w:tabs>
      </w:pPr>
      <w:r w:rsidRPr="008642D1">
        <w:t>In Chapters 13 and 14, we single out some Part 2 exceptions for closer examination</w:t>
      </w:r>
      <w:r w:rsidR="00316D59">
        <w:t>:</w:t>
      </w:r>
      <w:r w:rsidRPr="008642D1">
        <w:t xml:space="preserve"> </w:t>
      </w:r>
    </w:p>
    <w:p w14:paraId="4D4BA90F" w14:textId="68CED346" w:rsidR="00736420" w:rsidRPr="008642D1" w:rsidRDefault="00736420" w:rsidP="00736420">
      <w:pPr>
        <w:pStyle w:val="BodyText2"/>
      </w:pPr>
      <w:r w:rsidRPr="008642D1">
        <w:t>Chapter 13 discusses two exceptions in Part 2 that permit the provision of single-sex facilities (such as bathrooms and changing rooms) in certain circumstances and also discusses the implications of this review for single-sex facilities more generally.</w:t>
      </w:r>
    </w:p>
    <w:p w14:paraId="6AA194C4" w14:textId="77777777" w:rsidR="00736420" w:rsidRPr="008642D1" w:rsidRDefault="00736420" w:rsidP="00736420">
      <w:pPr>
        <w:pStyle w:val="BodyText2"/>
      </w:pPr>
      <w:r w:rsidRPr="008642D1">
        <w:t xml:space="preserve">Chapter 14 discusses an exception that permits certain competitive sporting activities to be limited to one sex in certain circumstances.  </w:t>
      </w:r>
    </w:p>
    <w:p w14:paraId="53B715B8" w14:textId="77777777" w:rsidR="00316D59" w:rsidRDefault="00316D59" w:rsidP="00195E84">
      <w:pPr>
        <w:pStyle w:val="BodyText"/>
        <w:numPr>
          <w:ilvl w:val="0"/>
          <w:numId w:val="0"/>
        </w:numPr>
        <w:ind w:left="709"/>
      </w:pPr>
      <w:r w:rsidRPr="008642D1">
        <w:t>We seek feedback on whether it would be desirable to amend these exceptions to reflect any new prohibited grounds that are added to section 21</w:t>
      </w:r>
      <w:r>
        <w:t>.</w:t>
      </w:r>
    </w:p>
    <w:p w14:paraId="53D507C2" w14:textId="36FE9A4D" w:rsidR="00736420" w:rsidRPr="008642D1" w:rsidRDefault="00736420" w:rsidP="00736420">
      <w:pPr>
        <w:pStyle w:val="BodyText"/>
        <w:tabs>
          <w:tab w:val="num" w:pos="1022"/>
        </w:tabs>
      </w:pPr>
      <w:r w:rsidRPr="008642D1">
        <w:lastRenderedPageBreak/>
        <w:t>In Chapter 15, we discuss the three remaining subparts in Part 2. The first one is called “Other forms of discrimination”. We seek feedback on the existing provisions in this subpart, and we also ask whether any additional provisions should be added to this subpart. Specifically, we discuss whether there should be new protections in the Act relating to harassment or to medical interventions on children and young people with an innate variation of sex characteristics. In Chapter 15</w:t>
      </w:r>
      <w:r w:rsidR="00E82B78">
        <w:t>,</w:t>
      </w:r>
      <w:r w:rsidRPr="008642D1">
        <w:t xml:space="preserve"> we also seek feedback on the subparts entitled “Special provisions relating to superannuation schemes” and “Other matters”.</w:t>
      </w:r>
    </w:p>
    <w:p w14:paraId="2E976E2D" w14:textId="77777777" w:rsidR="00736420" w:rsidRPr="008642D1" w:rsidRDefault="00736420" w:rsidP="00736420">
      <w:pPr>
        <w:pStyle w:val="BodyText"/>
        <w:tabs>
          <w:tab w:val="num" w:pos="1022"/>
        </w:tabs>
      </w:pPr>
      <w:r w:rsidRPr="008642D1">
        <w:t xml:space="preserve">In Chapter 16, we identify and seek feedback on key implications of the review for Part 1A of the Human Rights Act and section 19 of the NZ Bill of Rights. Together, Part 1A and section 19 set out the anti-discrimination obligations of government departments and other people or bodies exercising government functions. </w:t>
      </w:r>
    </w:p>
    <w:p w14:paraId="026A7FE1" w14:textId="2F107A89" w:rsidR="00736420" w:rsidRPr="008642D1" w:rsidRDefault="00736420" w:rsidP="00736420">
      <w:pPr>
        <w:pStyle w:val="BodyText"/>
        <w:tabs>
          <w:tab w:val="num" w:pos="1022"/>
        </w:tabs>
      </w:pPr>
      <w:r w:rsidRPr="008642D1">
        <w:t>In Chapter 17, we discuss and seek feedback on three cross-cutting issues that are relevant to numerous chapters in this Issues Paper</w:t>
      </w:r>
      <w:r w:rsidRPr="008642D1" w:rsidDel="009E57AA">
        <w:t>. These are</w:t>
      </w:r>
      <w:r w:rsidRPr="008642D1">
        <w:t>: the potential impacts of reform on the ability of Māori to live in accordance with tikanga; misgendering and deadnaming; and whether some of the binary language in the Human Rights Act ought to be removed.</w:t>
      </w:r>
    </w:p>
    <w:p w14:paraId="1BC0DD96" w14:textId="3D35C626" w:rsidR="00685CB7" w:rsidRPr="008642D1" w:rsidRDefault="00736420" w:rsidP="00736420">
      <w:pPr>
        <w:pStyle w:val="BodyText"/>
      </w:pPr>
      <w:r w:rsidRPr="008642D1">
        <w:t>In Chapter 18, we identify and seek feedback on several additional issues. These include the Human Rights Act’s oversight and enforcement mechanisms and the consequential implications of the review for other laws.</w:t>
      </w:r>
    </w:p>
    <w:p w14:paraId="5BE5D80D" w14:textId="77777777" w:rsidR="00EB70BA" w:rsidRDefault="00EB70BA" w:rsidP="00EB70BA">
      <w:pPr>
        <w:pStyle w:val="BodyText"/>
        <w:numPr>
          <w:ilvl w:val="0"/>
          <w:numId w:val="0"/>
        </w:numPr>
        <w:ind w:left="709"/>
      </w:pPr>
    </w:p>
    <w:p w14:paraId="2A89F0C5" w14:textId="77777777" w:rsidR="00D159A2" w:rsidRPr="008642D1" w:rsidRDefault="00D159A2" w:rsidP="00EB70BA">
      <w:pPr>
        <w:pStyle w:val="BodyText"/>
        <w:numPr>
          <w:ilvl w:val="0"/>
          <w:numId w:val="0"/>
        </w:numPr>
        <w:ind w:left="709"/>
      </w:pPr>
    </w:p>
    <w:p w14:paraId="1B9E4C82" w14:textId="77777777" w:rsidR="00EB70BA" w:rsidRPr="008642D1" w:rsidRDefault="00EB70BA" w:rsidP="00EB70BA">
      <w:pPr>
        <w:pStyle w:val="BodyText"/>
        <w:numPr>
          <w:ilvl w:val="0"/>
          <w:numId w:val="0"/>
        </w:numPr>
      </w:pPr>
      <w:r w:rsidRPr="008642D1">
        <w:rPr>
          <w:rFonts w:eastAsiaTheme="minorHAnsi"/>
          <w:noProof/>
          <w:lang w:eastAsia="en-NZ"/>
        </w:rPr>
        <mc:AlternateContent>
          <mc:Choice Requires="wpg">
            <w:drawing>
              <wp:anchor distT="0" distB="0" distL="114300" distR="114300" simplePos="0" relativeHeight="251658264" behindDoc="1" locked="0" layoutInCell="1" allowOverlap="1" wp14:anchorId="58A08C33" wp14:editId="222F54AD">
                <wp:simplePos x="0" y="0"/>
                <wp:positionH relativeFrom="page">
                  <wp:posOffset>1080135</wp:posOffset>
                </wp:positionH>
                <wp:positionV relativeFrom="paragraph">
                  <wp:posOffset>18415</wp:posOffset>
                </wp:positionV>
                <wp:extent cx="1799590" cy="1270"/>
                <wp:effectExtent l="0" t="19050" r="10160" b="17780"/>
                <wp:wrapNone/>
                <wp:docPr id="87594234" name="Group 87594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2065095376"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A5C5D" id="Group 87594234" o:spid="_x0000_s1026" style="position:absolute;margin-left:85.05pt;margin-top:1.45pt;width:141.7pt;height:.1pt;z-index:-251658216;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" path="m,l2097,e" filled="f" strokecolor="#72ab6a" strokeweight="3pt">
                  <v:path arrowok="t" o:connecttype="custom" o:connectlocs="0,0;2097,0" o:connectangles="0,0"/>
                </v:shape>
                <w10:wrap anchorx="page"/>
              </v:group>
            </w:pict>
          </mc:Fallback>
        </mc:AlternateContent>
      </w:r>
    </w:p>
    <w:p w14:paraId="22E9CC47" w14:textId="77777777" w:rsidR="00EB70BA" w:rsidRPr="008642D1" w:rsidRDefault="00EB70BA" w:rsidP="00EB70BA">
      <w:pPr>
        <w:pStyle w:val="BodyText"/>
        <w:numPr>
          <w:ilvl w:val="0"/>
          <w:numId w:val="0"/>
        </w:numPr>
        <w:ind w:left="709"/>
      </w:pPr>
    </w:p>
    <w:p w14:paraId="184C2572" w14:textId="77777777" w:rsidR="008A5B76" w:rsidRPr="008642D1" w:rsidRDefault="008A5B76" w:rsidP="008A5B76">
      <w:pPr>
        <w:pStyle w:val="BodyText"/>
        <w:numPr>
          <w:ilvl w:val="0"/>
          <w:numId w:val="0"/>
        </w:numPr>
        <w:ind w:left="709" w:hanging="709"/>
      </w:pPr>
    </w:p>
    <w:p w14:paraId="3C453F83" w14:textId="77777777" w:rsidR="008A5B76" w:rsidRPr="008642D1" w:rsidRDefault="008A5B76" w:rsidP="008A5B76">
      <w:pPr>
        <w:pStyle w:val="BodyText"/>
        <w:numPr>
          <w:ilvl w:val="0"/>
          <w:numId w:val="0"/>
        </w:numPr>
        <w:ind w:left="709" w:hanging="709"/>
      </w:pPr>
    </w:p>
    <w:p w14:paraId="47A247CD" w14:textId="77777777" w:rsidR="008A5B76" w:rsidRPr="008642D1" w:rsidRDefault="008A5B76" w:rsidP="008A5B76">
      <w:pPr>
        <w:pStyle w:val="BodyText"/>
        <w:numPr>
          <w:ilvl w:val="0"/>
          <w:numId w:val="0"/>
        </w:numPr>
        <w:ind w:left="709" w:hanging="709"/>
      </w:pPr>
    </w:p>
    <w:p w14:paraId="37A95AB1" w14:textId="77777777" w:rsidR="008A5B76" w:rsidRPr="008642D1" w:rsidRDefault="008A5B76" w:rsidP="008A5B76">
      <w:pPr>
        <w:pStyle w:val="BodyText"/>
        <w:numPr>
          <w:ilvl w:val="0"/>
          <w:numId w:val="0"/>
        </w:numPr>
        <w:ind w:left="709"/>
        <w:sectPr w:rsidR="008A5B76" w:rsidRPr="008642D1" w:rsidSect="006B03F1">
          <w:headerReference w:type="default" r:id="rId31"/>
          <w:footerReference w:type="even" r:id="rId32"/>
          <w:footnotePr>
            <w:numRestart w:val="eachSect"/>
          </w:footnotePr>
          <w:pgSz w:w="11920" w:h="16840"/>
          <w:pgMar w:top="1134" w:right="1134" w:bottom="1134" w:left="1701" w:header="499" w:footer="46" w:gutter="0"/>
          <w:cols w:space="720"/>
          <w:docGrid w:linePitch="272"/>
        </w:sectPr>
      </w:pPr>
    </w:p>
    <w:p w14:paraId="7708FC42" w14:textId="1B1E0317" w:rsidR="008A5B76" w:rsidRPr="008642D1" w:rsidRDefault="008A5B76" w:rsidP="008A5B76">
      <w:pPr>
        <w:pStyle w:val="HEADING2topchapter-notinTOC"/>
      </w:pPr>
      <w:r w:rsidRPr="008642D1">
        <w:lastRenderedPageBreak/>
        <w:t xml:space="preserve">CHAPTER </w:t>
      </w:r>
      <w:r w:rsidR="00A168E3" w:rsidRPr="008642D1">
        <w:t>2</w:t>
      </w:r>
    </w:p>
    <w:p w14:paraId="2EC26684" w14:textId="77777777" w:rsidR="008A5B76" w:rsidRPr="008642D1" w:rsidRDefault="008A5B76" w:rsidP="008A5B76">
      <w:pPr>
        <w:spacing w:line="200" w:lineRule="exact"/>
        <w:rPr>
          <w:szCs w:val="20"/>
        </w:rPr>
      </w:pPr>
      <w:r w:rsidRPr="008642D1">
        <w:rPr>
          <w:noProof/>
          <w:lang w:eastAsia="en-NZ"/>
        </w:rPr>
        <mc:AlternateContent>
          <mc:Choice Requires="wpg">
            <w:drawing>
              <wp:anchor distT="0" distB="0" distL="114300" distR="114300" simplePos="0" relativeHeight="251658266" behindDoc="1" locked="0" layoutInCell="1" allowOverlap="1" wp14:anchorId="329372EE" wp14:editId="5DACD57F">
                <wp:simplePos x="0" y="0"/>
                <wp:positionH relativeFrom="page">
                  <wp:posOffset>1076325</wp:posOffset>
                </wp:positionH>
                <wp:positionV relativeFrom="paragraph">
                  <wp:posOffset>6350</wp:posOffset>
                </wp:positionV>
                <wp:extent cx="1332230" cy="1270"/>
                <wp:effectExtent l="0" t="19050" r="1270" b="17780"/>
                <wp:wrapNone/>
                <wp:docPr id="1860438294" name="Group 1860438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53603086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2DB227" id="Group 1860438294" o:spid="_x0000_s1026" style="position:absolute;margin-left:84.75pt;margin-top:.5pt;width:104.9pt;height:.1pt;z-index:-251658214;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72E39736" w14:textId="084FBC2B" w:rsidR="008A5B76" w:rsidRPr="008642D1" w:rsidRDefault="00856DA2" w:rsidP="00DF306B">
      <w:pPr>
        <w:pStyle w:val="Heading1"/>
        <w:numPr>
          <w:ilvl w:val="0"/>
          <w:numId w:val="24"/>
        </w:numPr>
      </w:pPr>
      <w:bookmarkStart w:id="44" w:name="_Toc170302117"/>
      <w:r w:rsidRPr="008642D1">
        <w:rPr>
          <w:rFonts w:eastAsia="Metropolis Black"/>
        </w:rPr>
        <w:t>Sex, gender and sex characteristics</w:t>
      </w:r>
      <w:bookmarkEnd w:id="44"/>
    </w:p>
    <w:p w14:paraId="202CFAD7" w14:textId="77777777" w:rsidR="008A5B76" w:rsidRPr="008642D1" w:rsidRDefault="008A5B76" w:rsidP="008A5B76">
      <w:pPr>
        <w:spacing w:line="200" w:lineRule="exact"/>
        <w:rPr>
          <w:szCs w:val="20"/>
        </w:rPr>
      </w:pPr>
      <w:r w:rsidRPr="008642D1">
        <w:rPr>
          <w:noProof/>
          <w:lang w:eastAsia="en-NZ"/>
        </w:rPr>
        <mc:AlternateContent>
          <mc:Choice Requires="wpg">
            <w:drawing>
              <wp:anchor distT="0" distB="0" distL="114300" distR="114300" simplePos="0" relativeHeight="251658265" behindDoc="1" locked="0" layoutInCell="1" allowOverlap="1" wp14:anchorId="4A875C73" wp14:editId="45F29685">
                <wp:simplePos x="0" y="0"/>
                <wp:positionH relativeFrom="page">
                  <wp:posOffset>1087427</wp:posOffset>
                </wp:positionH>
                <wp:positionV relativeFrom="paragraph">
                  <wp:posOffset>71755</wp:posOffset>
                </wp:positionV>
                <wp:extent cx="1332230" cy="1270"/>
                <wp:effectExtent l="0" t="19050" r="1270" b="17780"/>
                <wp:wrapNone/>
                <wp:docPr id="1117764740" name="Group 1117764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024725431"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35D88" id="Group 1117764740" o:spid="_x0000_s1026" style="position:absolute;margin-left:85.6pt;margin-top:5.65pt;width:104.9pt;height:.1pt;z-index:-251658215;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mU/QIAAOA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789FC645" w14:textId="77777777" w:rsidR="008A5B76" w:rsidRPr="008642D1" w:rsidRDefault="008A5B76" w:rsidP="008A5B76"/>
    <w:p w14:paraId="4D4A6354" w14:textId="77777777" w:rsidR="008A5B76" w:rsidRPr="008642D1" w:rsidRDefault="008A5B76" w:rsidP="008A5B76">
      <w:pPr>
        <w:pStyle w:val="Heading2"/>
        <w:rPr>
          <w:rFonts w:eastAsia="Metropolis Black"/>
        </w:rPr>
      </w:pPr>
      <w:bookmarkStart w:id="45" w:name="_Toc159247965"/>
      <w:bookmarkStart w:id="46" w:name="_Toc170302118"/>
      <w:r w:rsidRPr="008642D1">
        <w:t>Introduction</w:t>
      </w:r>
      <w:bookmarkEnd w:id="45"/>
      <w:bookmarkEnd w:id="46"/>
    </w:p>
    <w:p w14:paraId="3EA278F3" w14:textId="7EBD514C" w:rsidR="00EC204C" w:rsidRPr="008642D1" w:rsidRDefault="00EC204C" w:rsidP="00EF433C">
      <w:pPr>
        <w:pStyle w:val="BodyText"/>
      </w:pPr>
      <w:r w:rsidRPr="008642D1">
        <w:t>In this chapter</w:t>
      </w:r>
      <w:r w:rsidR="00F73235">
        <w:t>,</w:t>
      </w:r>
      <w:r w:rsidRPr="008642D1">
        <w:t xml:space="preserve"> we introduce the topics of sex, gender and sex characteristics. </w:t>
      </w:r>
      <w:r w:rsidRPr="008642D1" w:rsidDel="003A55B6">
        <w:t>The purpose of</w:t>
      </w:r>
      <w:r w:rsidRPr="008642D1">
        <w:t xml:space="preserve"> </w:t>
      </w:r>
      <w:r w:rsidRPr="008642D1" w:rsidDel="00A9462F">
        <w:t>this chapter</w:t>
      </w:r>
      <w:r w:rsidRPr="008642D1" w:rsidDel="003A55B6">
        <w:t xml:space="preserve"> </w:t>
      </w:r>
      <w:r w:rsidRPr="008642D1" w:rsidDel="007D7D09">
        <w:t>is</w:t>
      </w:r>
      <w:r w:rsidRPr="008642D1" w:rsidDel="003A55B6">
        <w:t xml:space="preserve"> </w:t>
      </w:r>
      <w:r w:rsidRPr="008642D1">
        <w:t>to provide context and background for later chapters, to explain some relevant concepts and to explain our approach to terminology.</w:t>
      </w:r>
    </w:p>
    <w:p w14:paraId="7A06C88F" w14:textId="77777777" w:rsidR="00EC204C" w:rsidRPr="008642D1" w:rsidRDefault="00EC204C" w:rsidP="00EC204C">
      <w:pPr>
        <w:pStyle w:val="BodyText"/>
        <w:tabs>
          <w:tab w:val="clear" w:pos="709"/>
        </w:tabs>
      </w:pPr>
      <w:r w:rsidRPr="008642D1">
        <w:t xml:space="preserve">There are different views in the community about many of the concepts we introduce in this chapter — sometimes quite strongly held. Some background understanding of these issues is necessary to give context to our review. We do not, however, canvas all relevant perspectives let alone seek to resolve them. As we explained in Chapter 1, we think it is unhelpful for us to intervene in non-legal arguments except to the extent necessary to move forward with the review. We do, for example, need to settle working language that we can use to communicate clearly in our publications. </w:t>
      </w:r>
    </w:p>
    <w:p w14:paraId="7148FE52" w14:textId="63B99269" w:rsidR="00EC204C" w:rsidRPr="008642D1" w:rsidRDefault="00EC204C" w:rsidP="00EC204C">
      <w:pPr>
        <w:pStyle w:val="BodyText"/>
        <w:tabs>
          <w:tab w:val="clear" w:pos="709"/>
        </w:tabs>
      </w:pPr>
      <w:r w:rsidRPr="008642D1">
        <w:t>In Chapter 5</w:t>
      </w:r>
      <w:r w:rsidR="0034730F">
        <w:t>,</w:t>
      </w:r>
      <w:r w:rsidRPr="008642D1">
        <w:t xml:space="preserve"> we discuss Māori perspectives on issues relevant to this review. For that reason, we do not discuss these in this chapter.</w:t>
      </w:r>
    </w:p>
    <w:p w14:paraId="1851910B" w14:textId="555E68D5" w:rsidR="00EC204C" w:rsidRPr="008642D1" w:rsidRDefault="00EC204C" w:rsidP="00EC204C">
      <w:pPr>
        <w:pStyle w:val="Heading2"/>
      </w:pPr>
      <w:bookmarkStart w:id="47" w:name="_Toc170302119"/>
      <w:r w:rsidRPr="008642D1">
        <w:t xml:space="preserve">The </w:t>
      </w:r>
      <w:r w:rsidR="000935EF" w:rsidRPr="000935EF">
        <w:t>concept of sex</w:t>
      </w:r>
      <w:bookmarkEnd w:id="47"/>
      <w:r w:rsidR="000935EF" w:rsidRPr="008642D1">
        <w:rPr>
          <w:caps w:val="0"/>
        </w:rPr>
        <w:t xml:space="preserve"> </w:t>
      </w:r>
    </w:p>
    <w:p w14:paraId="0C361337" w14:textId="77777777" w:rsidR="00EC204C" w:rsidRPr="008642D1" w:rsidRDefault="00EC204C" w:rsidP="00EC204C">
      <w:pPr>
        <w:pStyle w:val="BodyText"/>
        <w:tabs>
          <w:tab w:val="clear" w:pos="709"/>
        </w:tabs>
        <w:rPr>
          <w:lang w:bidi="th-TH"/>
        </w:rPr>
      </w:pPr>
      <w:r w:rsidRPr="008642D1">
        <w:t xml:space="preserve">Sex is often understood with reference to a person’s anatomy and physiology. Through this understanding, a person’s sex is based on their sex characteristics, which are their physical features that relate to sex. These include </w:t>
      </w:r>
      <w:r w:rsidRPr="008642D1">
        <w:rPr>
          <w:lang w:bidi="th-TH"/>
        </w:rPr>
        <w:t>genitalia, other sexual and reproductive anatomy, chromosomes, hormones and secondary physical features that emerge at puberty such as body hair.</w:t>
      </w:r>
    </w:p>
    <w:p w14:paraId="118BCBA6" w14:textId="3333B9AE" w:rsidR="00EC204C" w:rsidRPr="008642D1" w:rsidRDefault="00EC204C" w:rsidP="00EC204C">
      <w:pPr>
        <w:pStyle w:val="BodyText"/>
        <w:tabs>
          <w:tab w:val="clear" w:pos="709"/>
        </w:tabs>
      </w:pPr>
      <w:r w:rsidRPr="008642D1">
        <w:t>A baby’s sex is usually determined at birth based on their genitalia. A person’s birth sex is often referred to as ‘sex assigned at birth’, although some people prefer other terms such as birth sex, natal sex or sex observed at birth.</w:t>
      </w:r>
    </w:p>
    <w:p w14:paraId="3B10484B" w14:textId="1C5F5727" w:rsidR="00EC204C" w:rsidRPr="008642D1" w:rsidRDefault="00EC204C" w:rsidP="00EC204C">
      <w:pPr>
        <w:pStyle w:val="BodyText"/>
        <w:tabs>
          <w:tab w:val="clear" w:pos="709"/>
        </w:tabs>
      </w:pPr>
      <w:r w:rsidRPr="008642D1">
        <w:t xml:space="preserve">In Western societies (or societies with a history of Western colonisation), sex is generally seen as a binary. For example, in </w:t>
      </w:r>
      <w:r w:rsidR="00E731DE">
        <w:t xml:space="preserve">Aotearoa </w:t>
      </w:r>
      <w:r w:rsidRPr="008642D1">
        <w:t>New Zealand, a baby’s sex can be registered at birth as male or female (or as indeterminate where the doctor or midwife cannot determine the baby’s sex).</w:t>
      </w:r>
      <w:r w:rsidRPr="008642D1">
        <w:rPr>
          <w:rStyle w:val="FootnoteReference"/>
        </w:rPr>
        <w:footnoteReference w:id="31"/>
      </w:r>
      <w:r w:rsidRPr="008642D1">
        <w:t xml:space="preserve"> Tatauranga Aotearoa | Stats NZ classifies sex as having two </w:t>
      </w:r>
      <w:r w:rsidRPr="008642D1">
        <w:lastRenderedPageBreak/>
        <w:t>categories: male/tāne and female/wahine.</w:t>
      </w:r>
      <w:r w:rsidRPr="008642D1">
        <w:rPr>
          <w:rStyle w:val="FootnoteReference"/>
        </w:rPr>
        <w:footnoteReference w:id="32"/>
      </w:r>
      <w:r w:rsidRPr="008642D1">
        <w:t xml:space="preserve"> This binary concept of male and female has been deeply embedded in New Zealand law and practice, for example, in relation to bathrooms, uniforms, schools, sports teams, clothing stores, honorifics, and official forms and documents. It is also reflected in statutory language and in the common law.</w:t>
      </w:r>
      <w:r w:rsidRPr="008642D1">
        <w:rPr>
          <w:rStyle w:val="FootnoteReference"/>
        </w:rPr>
        <w:footnoteReference w:id="33"/>
      </w:r>
      <w:r w:rsidRPr="008642D1">
        <w:t xml:space="preserve"> As we discuss later in this chapter, not all cultures take this binary approach. Further, not all people are born with sex characteristics that clearly align to the binary of male or female. </w:t>
      </w:r>
    </w:p>
    <w:p w14:paraId="7AB2266E" w14:textId="1B21B0BE" w:rsidR="00EC204C" w:rsidRPr="008642D1" w:rsidRDefault="00EC204C" w:rsidP="003F3205">
      <w:pPr>
        <w:pStyle w:val="BodyText"/>
      </w:pPr>
      <w:r w:rsidRPr="008642D1">
        <w:t>There are different opinions about what happens to a person’s sex if they choose to make changes to their sex characteristics such as through hormone therapy or gender-affirming surgery. One view is that this means a person is changing their sex. Our bodies are complex</w:t>
      </w:r>
      <w:r w:rsidR="00E46F09">
        <w:t>,</w:t>
      </w:r>
      <w:r w:rsidRPr="008642D1">
        <w:t xml:space="preserve"> and the biological indicators for sex can be viewed as continuous rather than as discrete variables.</w:t>
      </w:r>
      <w:r w:rsidRPr="008642D1">
        <w:rPr>
          <w:rStyle w:val="FootnoteReference"/>
        </w:rPr>
        <w:footnoteReference w:id="34"/>
      </w:r>
      <w:r w:rsidRPr="008642D1">
        <w:t xml:space="preserve"> For example, within each sex</w:t>
      </w:r>
      <w:r w:rsidR="00E46F09">
        <w:t>,</w:t>
      </w:r>
      <w:r w:rsidRPr="008642D1">
        <w:t xml:space="preserve"> there are variations in sex hormones, internal and external reproductive organs and sex chromosomes. </w:t>
      </w:r>
    </w:p>
    <w:p w14:paraId="1F794B37" w14:textId="6F0FD6ED" w:rsidR="00EC204C" w:rsidRPr="008642D1" w:rsidRDefault="00EC204C" w:rsidP="00EC204C">
      <w:pPr>
        <w:pStyle w:val="BodyText"/>
        <w:tabs>
          <w:tab w:val="clear" w:pos="709"/>
        </w:tabs>
      </w:pPr>
      <w:r w:rsidRPr="008642D1">
        <w:t xml:space="preserve">Another view is that sex is fixed and binary and </w:t>
      </w:r>
      <w:r w:rsidR="00E46F09">
        <w:t xml:space="preserve">that </w:t>
      </w:r>
      <w:r w:rsidRPr="008642D1">
        <w:t>changing one’s sex organs or secondary sex characteristics does not change that.</w:t>
      </w:r>
      <w:r w:rsidRPr="008642D1">
        <w:rPr>
          <w:rStyle w:val="FootnoteReference"/>
        </w:rPr>
        <w:footnoteReference w:id="35"/>
      </w:r>
      <w:r w:rsidRPr="008642D1">
        <w:t xml:space="preserve"> </w:t>
      </w:r>
    </w:p>
    <w:p w14:paraId="0B473D33" w14:textId="57151D25" w:rsidR="00EC204C" w:rsidRPr="008642D1" w:rsidRDefault="00EC204C" w:rsidP="00EC204C">
      <w:pPr>
        <w:pStyle w:val="Heading2"/>
      </w:pPr>
      <w:bookmarkStart w:id="48" w:name="_Toc170302120"/>
      <w:r w:rsidRPr="008642D1">
        <w:t xml:space="preserve">The </w:t>
      </w:r>
      <w:r w:rsidR="000935EF" w:rsidRPr="000935EF">
        <w:t>concept of gender</w:t>
      </w:r>
      <w:bookmarkEnd w:id="48"/>
    </w:p>
    <w:p w14:paraId="47037431" w14:textId="54320D40" w:rsidR="00EC204C" w:rsidRPr="008642D1" w:rsidRDefault="00EC204C" w:rsidP="00EC204C">
      <w:pPr>
        <w:pStyle w:val="BodyText"/>
        <w:tabs>
          <w:tab w:val="clear" w:pos="709"/>
        </w:tabs>
      </w:pPr>
      <w:r w:rsidRPr="008642D1">
        <w:t>Gender is another term that is understood in different ways. Gender is often used to describe a person’s social and personal identity as male, female or sometimes as another gender or genders.</w:t>
      </w:r>
      <w:r w:rsidRPr="008642D1">
        <w:rPr>
          <w:rStyle w:val="FootnoteReference"/>
        </w:rPr>
        <w:footnoteReference w:id="36"/>
      </w:r>
      <w:r w:rsidRPr="008642D1" w:rsidDel="00E46F09">
        <w:t xml:space="preserve"> </w:t>
      </w:r>
      <w:r w:rsidRPr="008642D1">
        <w:t>For example, some people describe their gender as non-binary</w:t>
      </w:r>
      <w:r w:rsidR="00E46F09">
        <w:t>,</w:t>
      </w:r>
      <w:r w:rsidRPr="008642D1">
        <w:t xml:space="preserve"> and some use other terms such as gender</w:t>
      </w:r>
      <w:r w:rsidR="00E46F09">
        <w:t xml:space="preserve"> </w:t>
      </w:r>
      <w:r w:rsidRPr="008642D1">
        <w:t>fluid or bigender.</w:t>
      </w:r>
      <w:r w:rsidRPr="008642D1">
        <w:rPr>
          <w:rStyle w:val="FootnoteReference"/>
        </w:rPr>
        <w:footnoteReference w:id="37"/>
      </w:r>
      <w:r w:rsidRPr="008642D1">
        <w:t xml:space="preserve"> </w:t>
      </w:r>
    </w:p>
    <w:p w14:paraId="6A8D4B26" w14:textId="77777777" w:rsidR="00EC204C" w:rsidRPr="008642D1" w:rsidRDefault="00EC204C" w:rsidP="00EC204C">
      <w:pPr>
        <w:pStyle w:val="BodyText"/>
        <w:tabs>
          <w:tab w:val="clear" w:pos="709"/>
        </w:tabs>
      </w:pPr>
      <w:r w:rsidRPr="008642D1">
        <w:t>Gender can also be understood as a social and cultural construct. In this sense, gender refers to norms, behaviours and roles that a society associates with men, women and other genders.</w:t>
      </w:r>
      <w:r w:rsidRPr="008642D1">
        <w:rPr>
          <w:rStyle w:val="FootnoteReference"/>
        </w:rPr>
        <w:footnoteReference w:id="38"/>
      </w:r>
      <w:r w:rsidRPr="008642D1">
        <w:t xml:space="preserve"> There may be hierarchical elements associated with a society’s understanding of gender. For example, a central idea in many feminist theories is that the social construct of gender in patriarchal societies assumes that men are dominant and women are subordinate.</w:t>
      </w:r>
      <w:r w:rsidRPr="008642D1">
        <w:rPr>
          <w:rStyle w:val="FootnoteReference"/>
        </w:rPr>
        <w:footnoteReference w:id="39"/>
      </w:r>
      <w:r w:rsidRPr="008642D1">
        <w:t xml:space="preserve"> </w:t>
      </w:r>
    </w:p>
    <w:p w14:paraId="4988D85B" w14:textId="77777777" w:rsidR="00EC204C" w:rsidRPr="008642D1" w:rsidRDefault="00EC204C" w:rsidP="00EC204C">
      <w:pPr>
        <w:pStyle w:val="BodyText"/>
        <w:tabs>
          <w:tab w:val="clear" w:pos="709"/>
        </w:tabs>
      </w:pPr>
      <w:r w:rsidRPr="008642D1">
        <w:t>Gender is sometimes used as an umbrella term that includes a person’s gender identity and gender expression. A person’s gender identity may be thought of as their internal and individual experience of gender.</w:t>
      </w:r>
      <w:r w:rsidRPr="008642D1">
        <w:rPr>
          <w:rStyle w:val="FootnoteReference"/>
        </w:rPr>
        <w:footnoteReference w:id="40"/>
      </w:r>
      <w:r w:rsidRPr="008642D1">
        <w:t xml:space="preserve"> Gender expression refers to a person’s </w:t>
      </w:r>
      <w:r w:rsidRPr="008642D1">
        <w:lastRenderedPageBreak/>
        <w:t>presentation of gender through physical appearance, mannerisms, speech, behavioural patterns and names.</w:t>
      </w:r>
      <w:r w:rsidRPr="008642D1">
        <w:rPr>
          <w:rStyle w:val="FootnoteReference"/>
        </w:rPr>
        <w:footnoteReference w:id="41"/>
      </w:r>
    </w:p>
    <w:p w14:paraId="21E0F5F3" w14:textId="6687B43E" w:rsidR="00EC204C" w:rsidRPr="008642D1" w:rsidRDefault="00EC204C" w:rsidP="00EC204C">
      <w:pPr>
        <w:pStyle w:val="BodyText"/>
        <w:tabs>
          <w:tab w:val="clear" w:pos="709"/>
        </w:tabs>
      </w:pPr>
      <w:r w:rsidRPr="008642D1">
        <w:t>Gender identity is sometimes defined as including gender expression.</w:t>
      </w:r>
      <w:r w:rsidRPr="008642D1">
        <w:rPr>
          <w:rStyle w:val="FootnoteReference"/>
        </w:rPr>
        <w:footnoteReference w:id="42"/>
      </w:r>
      <w:r w:rsidR="0053776E">
        <w:t xml:space="preserve"> </w:t>
      </w:r>
      <w:r w:rsidRPr="008642D1">
        <w:t>However, it is also the case that a person’s gender identity and gender expression may not be the same.</w:t>
      </w:r>
      <w:r w:rsidRPr="008642D1">
        <w:rPr>
          <w:rStyle w:val="FootnoteReference"/>
        </w:rPr>
        <w:footnoteReference w:id="43"/>
      </w:r>
      <w:r w:rsidRPr="008642D1">
        <w:t xml:space="preserve"> An example might be a man whose gender identity is male but who enjoys wearing and performing in stereotypically female attire </w:t>
      </w:r>
      <w:r w:rsidR="007108CE">
        <w:t>such as</w:t>
      </w:r>
      <w:r w:rsidR="007108CE" w:rsidRPr="008642D1">
        <w:t xml:space="preserve"> </w:t>
      </w:r>
      <w:r w:rsidRPr="008642D1">
        <w:t xml:space="preserve">dresses, high heels and jewellery. </w:t>
      </w:r>
    </w:p>
    <w:p w14:paraId="4E482B6A" w14:textId="77777777" w:rsidR="00EC204C" w:rsidRPr="008642D1" w:rsidRDefault="00EC204C" w:rsidP="00EC204C">
      <w:pPr>
        <w:pStyle w:val="BodyText"/>
        <w:tabs>
          <w:tab w:val="clear" w:pos="709"/>
        </w:tabs>
      </w:pPr>
      <w:r w:rsidRPr="008642D1">
        <w:t xml:space="preserve">We appreciate some people do not like the term gender identity because they consider they </w:t>
      </w:r>
      <w:r w:rsidRPr="008642D1">
        <w:rPr>
          <w:i/>
          <w:iCs/>
        </w:rPr>
        <w:t>are</w:t>
      </w:r>
      <w:r w:rsidRPr="008642D1">
        <w:t xml:space="preserve"> a particular gender rather than </w:t>
      </w:r>
      <w:r w:rsidRPr="008642D1">
        <w:rPr>
          <w:i/>
          <w:iCs/>
        </w:rPr>
        <w:t>identifying as</w:t>
      </w:r>
      <w:r w:rsidRPr="008642D1">
        <w:t xml:space="preserve"> a particular gender.</w:t>
      </w:r>
      <w:r w:rsidRPr="008642D1">
        <w:rPr>
          <w:rStyle w:val="FootnoteReference"/>
        </w:rPr>
        <w:footnoteReference w:id="44"/>
      </w:r>
      <w:r w:rsidRPr="008642D1">
        <w:t xml:space="preserve"> We nevertheless use the term in this Issues Paper when describing a person’s internal experience of gender. Gender identity is a more precise term than gender. It is also helpful for the purposes of this Issues Paper for us to distinguish between gender identity and expression, each of which may raise different regulatory issues. </w:t>
      </w:r>
    </w:p>
    <w:p w14:paraId="41B66DEE" w14:textId="77777777" w:rsidR="00EC204C" w:rsidRPr="008642D1" w:rsidRDefault="00EC204C" w:rsidP="00EC204C">
      <w:pPr>
        <w:pStyle w:val="BodyText"/>
        <w:tabs>
          <w:tab w:val="clear" w:pos="709"/>
        </w:tabs>
      </w:pPr>
      <w:r w:rsidRPr="008642D1">
        <w:t>We are aware that, for some people with an innate variation of sex characteristics, gender has negative connotations.</w:t>
      </w:r>
      <w:r w:rsidRPr="008642D1">
        <w:rPr>
          <w:rStyle w:val="FootnoteReference"/>
        </w:rPr>
        <w:footnoteReference w:id="45"/>
      </w:r>
      <w:r w:rsidRPr="008642D1">
        <w:t xml:space="preserve"> In the second half of the twentieth century, theories on gender were a key reason why the dominant approach to infants born with an innate variation of sex characteristics was surgical correction.</w:t>
      </w:r>
      <w:r w:rsidRPr="008642D1">
        <w:rPr>
          <w:rStyle w:val="FootnoteReference"/>
        </w:rPr>
        <w:footnoteReference w:id="46"/>
      </w:r>
      <w:r w:rsidRPr="008642D1">
        <w:t xml:space="preserve"> We discuss this issue further in Chapter 3. </w:t>
      </w:r>
    </w:p>
    <w:p w14:paraId="0EA416EF" w14:textId="77777777" w:rsidR="00EC204C" w:rsidRPr="008642D1" w:rsidRDefault="00EC204C" w:rsidP="00EC204C">
      <w:pPr>
        <w:pStyle w:val="Heading2"/>
      </w:pPr>
      <w:bookmarkStart w:id="49" w:name="_Toc170302121"/>
      <w:r w:rsidRPr="008642D1">
        <w:t>Relationship between sex and gender</w:t>
      </w:r>
      <w:bookmarkEnd w:id="49"/>
      <w:r w:rsidRPr="008642D1">
        <w:t xml:space="preserve"> </w:t>
      </w:r>
    </w:p>
    <w:p w14:paraId="48108FA3" w14:textId="1FE62730" w:rsidR="00EC204C" w:rsidRPr="008642D1" w:rsidRDefault="00EC204C" w:rsidP="00EC204C">
      <w:pPr>
        <w:pStyle w:val="BodyText"/>
        <w:tabs>
          <w:tab w:val="clear" w:pos="709"/>
        </w:tabs>
      </w:pPr>
      <w:r w:rsidRPr="008642D1">
        <w:t>There are different views about whether sex and gender are separate or interconnected. This is influenced by how an individual views each of the two concepts in isolation. For example, some consider that sex is socially constructed and that there may not be an intelligible distinction between sex and gender.</w:t>
      </w:r>
      <w:r w:rsidRPr="008642D1">
        <w:rPr>
          <w:rStyle w:val="FootnoteReference"/>
        </w:rPr>
        <w:footnoteReference w:id="47"/>
      </w:r>
      <w:r w:rsidRPr="008642D1">
        <w:t xml:space="preserve"> </w:t>
      </w:r>
    </w:p>
    <w:p w14:paraId="3E633EA0" w14:textId="0A7E5EF9" w:rsidR="00EC204C" w:rsidRPr="008642D1" w:rsidRDefault="00EC204C" w:rsidP="00EC204C">
      <w:pPr>
        <w:pStyle w:val="BodyText"/>
        <w:tabs>
          <w:tab w:val="clear" w:pos="709"/>
        </w:tabs>
        <w:rPr>
          <w:rFonts w:eastAsiaTheme="minorHAnsi"/>
          <w:szCs w:val="20"/>
          <w:shd w:val="clear" w:color="auto" w:fill="FFFFFF"/>
        </w:rPr>
      </w:pPr>
      <w:r w:rsidRPr="008642D1">
        <w:t>In common usage</w:t>
      </w:r>
      <w:r w:rsidRPr="008642D1" w:rsidDel="00C27F46">
        <w:t>,</w:t>
      </w:r>
      <w:r w:rsidRPr="008642D1">
        <w:t xml:space="preserve"> and sometimes in law, the terms sex and gender are often used interchangeably. For example, </w:t>
      </w:r>
      <w:r w:rsidRPr="008642D1">
        <w:rPr>
          <w:rFonts w:eastAsiaTheme="minorEastAsia"/>
          <w:shd w:val="clear" w:color="auto" w:fill="FFFFFF"/>
        </w:rPr>
        <w:t>under New Zealand law</w:t>
      </w:r>
      <w:r w:rsidRPr="008642D1">
        <w:rPr>
          <w:color w:val="0D0D0D"/>
          <w:shd w:val="clear" w:color="auto" w:fill="FFFFFF"/>
        </w:rPr>
        <w:t xml:space="preserve">, a </w:t>
      </w:r>
      <w:r w:rsidRPr="008642D1">
        <w:rPr>
          <w:rFonts w:eastAsiaTheme="minorEastAsia"/>
          <w:shd w:val="clear" w:color="auto" w:fill="FFFFFF"/>
        </w:rPr>
        <w:t xml:space="preserve">person may obtain a birth certificate that lists their nominated </w:t>
      </w:r>
      <w:r w:rsidRPr="008642D1" w:rsidDel="00C27F46">
        <w:rPr>
          <w:rFonts w:eastAsiaTheme="minorEastAsia"/>
          <w:shd w:val="clear" w:color="auto" w:fill="FFFFFF"/>
        </w:rPr>
        <w:t>“</w:t>
      </w:r>
      <w:r w:rsidRPr="008642D1">
        <w:rPr>
          <w:rFonts w:eastAsiaTheme="minorEastAsia"/>
          <w:shd w:val="clear" w:color="auto" w:fill="FFFFFF"/>
        </w:rPr>
        <w:t>sex</w:t>
      </w:r>
      <w:r w:rsidRPr="008642D1" w:rsidDel="00C27F46">
        <w:rPr>
          <w:rFonts w:eastAsiaTheme="minorEastAsia"/>
          <w:shd w:val="clear" w:color="auto" w:fill="FFFFFF"/>
        </w:rPr>
        <w:t>”</w:t>
      </w:r>
      <w:r w:rsidRPr="008642D1">
        <w:rPr>
          <w:rFonts w:eastAsiaTheme="minorEastAsia"/>
          <w:shd w:val="clear" w:color="auto" w:fill="FFFFFF"/>
        </w:rPr>
        <w:t xml:space="preserve"> as male, female or “any other sex or gender </w:t>
      </w:r>
      <w:r w:rsidRPr="008642D1">
        <w:rPr>
          <w:rFonts w:eastAsiaTheme="minorEastAsia"/>
          <w:shd w:val="clear" w:color="auto" w:fill="FFFFFF"/>
        </w:rPr>
        <w:lastRenderedPageBreak/>
        <w:t>specified in regulations”</w:t>
      </w:r>
      <w:r w:rsidRPr="008642D1">
        <w:t>.</w:t>
      </w:r>
      <w:r w:rsidRPr="008642D1">
        <w:rPr>
          <w:rStyle w:val="FootnoteReference"/>
        </w:rPr>
        <w:footnoteReference w:id="48"/>
      </w:r>
      <w:r w:rsidRPr="008642D1">
        <w:t xml:space="preserve"> </w:t>
      </w:r>
      <w:r w:rsidRPr="008642D1">
        <w:rPr>
          <w:rFonts w:eastAsiaTheme="minorEastAsia"/>
        </w:rPr>
        <w:t>T</w:t>
      </w:r>
      <w:r w:rsidRPr="008642D1">
        <w:rPr>
          <w:rFonts w:eastAsiaTheme="minorEastAsia"/>
          <w:shd w:val="clear" w:color="auto" w:fill="FFFFFF"/>
        </w:rPr>
        <w:t xml:space="preserve">here are other references to gender in New Zealand legislation that, in context, seem to mean </w:t>
      </w:r>
      <w:r w:rsidRPr="008642D1" w:rsidDel="005A2FF5">
        <w:rPr>
          <w:rFonts w:eastAsiaTheme="minorEastAsia"/>
          <w:shd w:val="clear" w:color="auto" w:fill="FFFFFF"/>
        </w:rPr>
        <w:t>‘</w:t>
      </w:r>
      <w:r w:rsidRPr="008642D1">
        <w:rPr>
          <w:rFonts w:eastAsiaTheme="minorEastAsia"/>
          <w:shd w:val="clear" w:color="auto" w:fill="FFFFFF"/>
        </w:rPr>
        <w:t>male or female</w:t>
      </w:r>
      <w:r w:rsidRPr="008642D1" w:rsidDel="005A2FF5">
        <w:rPr>
          <w:rFonts w:eastAsiaTheme="minorEastAsia"/>
          <w:shd w:val="clear" w:color="auto" w:fill="FFFFFF"/>
        </w:rPr>
        <w:t>’</w:t>
      </w:r>
      <w:r w:rsidRPr="008642D1">
        <w:rPr>
          <w:rFonts w:eastAsiaTheme="minorEastAsia"/>
          <w:shd w:val="clear" w:color="auto" w:fill="FFFFFF"/>
        </w:rPr>
        <w:t>.</w:t>
      </w:r>
      <w:r w:rsidRPr="008642D1">
        <w:rPr>
          <w:rStyle w:val="FootnoteReference"/>
          <w:rFonts w:eastAsiaTheme="minorEastAsia"/>
          <w:shd w:val="clear" w:color="auto" w:fill="FFFFFF"/>
        </w:rPr>
        <w:footnoteReference w:id="49"/>
      </w:r>
    </w:p>
    <w:p w14:paraId="006654E0" w14:textId="2B4D306B" w:rsidR="00EC204C" w:rsidRPr="008642D1" w:rsidRDefault="00EC204C" w:rsidP="00EC204C">
      <w:pPr>
        <w:pStyle w:val="BodyText"/>
        <w:tabs>
          <w:tab w:val="clear" w:pos="709"/>
        </w:tabs>
      </w:pPr>
      <w:r w:rsidRPr="008642D1">
        <w:t>Some people have concerns that equating sex and gender or relying on</w:t>
      </w:r>
      <w:r w:rsidRPr="008642D1" w:rsidDel="00A96EF7">
        <w:t xml:space="preserve"> </w:t>
      </w:r>
      <w:r w:rsidRPr="008642D1">
        <w:t>gender identity rather than sex in various contexts may dilute the rights of some groups.</w:t>
      </w:r>
      <w:r w:rsidRPr="008642D1">
        <w:rPr>
          <w:rStyle w:val="FootnoteReference"/>
        </w:rPr>
        <w:footnoteReference w:id="50"/>
      </w:r>
      <w:r w:rsidRPr="008642D1">
        <w:t xml:space="preserve"> We discuss </w:t>
      </w:r>
      <w:r w:rsidRPr="008642D1" w:rsidDel="005A2FF5">
        <w:t>‘</w:t>
      </w:r>
      <w:r w:rsidRPr="008642D1">
        <w:t>gender-critical</w:t>
      </w:r>
      <w:r w:rsidRPr="008642D1" w:rsidDel="005A2FF5">
        <w:t>’</w:t>
      </w:r>
      <w:r w:rsidRPr="008642D1">
        <w:t xml:space="preserve"> views of this kind further below.</w:t>
      </w:r>
    </w:p>
    <w:p w14:paraId="70D2B332" w14:textId="77777777" w:rsidR="00EC204C" w:rsidRPr="008642D1" w:rsidRDefault="00EC204C" w:rsidP="00EC204C">
      <w:pPr>
        <w:pStyle w:val="Heading2"/>
      </w:pPr>
      <w:bookmarkStart w:id="50" w:name="_Toc170302122"/>
      <w:r w:rsidRPr="008642D1">
        <w:t>Introduction to the concepts of transgender and non-binary</w:t>
      </w:r>
      <w:bookmarkEnd w:id="50"/>
    </w:p>
    <w:p w14:paraId="5E316A3E" w14:textId="24CD7583" w:rsidR="00EC204C" w:rsidRPr="008642D1" w:rsidRDefault="00EC204C" w:rsidP="00EC204C">
      <w:pPr>
        <w:pStyle w:val="BodyText"/>
        <w:tabs>
          <w:tab w:val="clear" w:pos="709"/>
        </w:tabs>
      </w:pPr>
      <w:r w:rsidRPr="008642D1">
        <w:t xml:space="preserve">While many people have a gender identity that is the same as their sex assigned at birth, some people do not. Some people identify with the opposite gender to their sex assigned at birth and some identify with a gender other than male or female (as we explain further below). A person might identify with two different genders. Other people do not identify with any gender or feel neutral about their gender. A person’s gender identity can change over time. </w:t>
      </w:r>
    </w:p>
    <w:p w14:paraId="28C5B619" w14:textId="43238A93" w:rsidR="00EC204C" w:rsidRPr="008642D1" w:rsidRDefault="00EC204C" w:rsidP="00EC204C">
      <w:pPr>
        <w:pStyle w:val="BodyText"/>
        <w:tabs>
          <w:tab w:val="clear" w:pos="709"/>
        </w:tabs>
      </w:pPr>
      <w:r w:rsidRPr="008642D1">
        <w:t xml:space="preserve">We have been asked to review the protections in the Human Rights Act </w:t>
      </w:r>
      <w:r w:rsidR="006725BD">
        <w:t xml:space="preserve">1993 </w:t>
      </w:r>
      <w:r w:rsidRPr="008642D1">
        <w:t>for people who are transgender and people who are non-binary. In this section, we provide a brief introduction to these overlapping groups and to some related concepts.</w:t>
      </w:r>
    </w:p>
    <w:p w14:paraId="43E7B44C" w14:textId="77777777" w:rsidR="00EC204C" w:rsidRPr="008642D1" w:rsidRDefault="00EC204C" w:rsidP="00EC204C">
      <w:pPr>
        <w:pStyle w:val="BodyText"/>
        <w:tabs>
          <w:tab w:val="clear" w:pos="709"/>
        </w:tabs>
      </w:pPr>
      <w:r w:rsidRPr="008642D1">
        <w:rPr>
          <w:rFonts w:eastAsiaTheme="minorEastAsia"/>
          <w:shd w:val="clear" w:color="auto" w:fill="FFFFFF"/>
        </w:rPr>
        <w:t>In general, a transgender person is someone whose gender identity is different to the sex they were assigned at birth.</w:t>
      </w:r>
      <w:r w:rsidRPr="008642D1">
        <w:rPr>
          <w:rStyle w:val="FootnoteReference"/>
          <w:rFonts w:eastAsiaTheme="minorEastAsia"/>
          <w:shd w:val="clear" w:color="auto" w:fill="FFFFFF"/>
        </w:rPr>
        <w:footnoteReference w:id="51"/>
      </w:r>
      <w:r w:rsidRPr="008642D1">
        <w:rPr>
          <w:rFonts w:eastAsiaTheme="minorEastAsia"/>
          <w:shd w:val="clear" w:color="auto" w:fill="FFFFFF"/>
        </w:rPr>
        <w:t xml:space="preserve"> </w:t>
      </w:r>
    </w:p>
    <w:p w14:paraId="2AFCB1EF" w14:textId="77777777" w:rsidR="00EC204C" w:rsidRPr="008642D1" w:rsidRDefault="00EC204C" w:rsidP="00EC204C">
      <w:pPr>
        <w:pStyle w:val="BodyText"/>
        <w:tabs>
          <w:tab w:val="clear" w:pos="709"/>
        </w:tabs>
      </w:pPr>
      <w:r w:rsidRPr="008642D1">
        <w:t>A non-binary person is someone whose gender identity does not fit exclusively into the binary of male or female.</w:t>
      </w:r>
      <w:r w:rsidRPr="008642D1">
        <w:rPr>
          <w:rStyle w:val="FootnoteReference"/>
        </w:rPr>
        <w:footnoteReference w:id="52"/>
      </w:r>
      <w:r w:rsidRPr="008642D1">
        <w:t xml:space="preserve"> For example, a non-binary person might see themselves as neither male nor female or might identify with multiple genders.</w:t>
      </w:r>
    </w:p>
    <w:p w14:paraId="3B42EE00" w14:textId="7FD9CFC7" w:rsidR="00EC204C" w:rsidRPr="008642D1" w:rsidRDefault="00EC204C" w:rsidP="00EC204C">
      <w:pPr>
        <w:pStyle w:val="BodyText"/>
        <w:tabs>
          <w:tab w:val="clear" w:pos="709"/>
        </w:tabs>
      </w:pPr>
      <w:r w:rsidRPr="008642D1">
        <w:t>Some people describe non-binary as their gender. Others see non-binary as an umbrella concept that is made up of discrete genders such as gender</w:t>
      </w:r>
      <w:r w:rsidR="00E46F09">
        <w:t xml:space="preserve"> </w:t>
      </w:r>
      <w:r w:rsidRPr="008642D1">
        <w:t>fluid or bigender.</w:t>
      </w:r>
      <w:r w:rsidRPr="008642D1">
        <w:rPr>
          <w:rStyle w:val="FootnoteReference"/>
        </w:rPr>
        <w:footnoteReference w:id="53"/>
      </w:r>
      <w:r w:rsidRPr="008642D1">
        <w:t xml:space="preserve"> Still others identify with one or more of these discrete genders and do not relate to the term non-binary at all.</w:t>
      </w:r>
      <w:r w:rsidRPr="008642D1">
        <w:rPr>
          <w:rStyle w:val="FootnoteReference"/>
        </w:rPr>
        <w:footnoteReference w:id="54"/>
      </w:r>
      <w:r w:rsidRPr="008642D1">
        <w:t xml:space="preserve"> </w:t>
      </w:r>
    </w:p>
    <w:p w14:paraId="11B1371E" w14:textId="0D786DCD" w:rsidR="00EC204C" w:rsidRPr="008642D1" w:rsidRDefault="00EC204C" w:rsidP="00EC204C">
      <w:pPr>
        <w:pStyle w:val="BodyText"/>
        <w:tabs>
          <w:tab w:val="clear" w:pos="709"/>
        </w:tabs>
      </w:pPr>
      <w:r w:rsidRPr="008642D1">
        <w:t>We understand that some non-binary people consider themselves transgender or trans but that not all do.</w:t>
      </w:r>
    </w:p>
    <w:p w14:paraId="569C2774" w14:textId="77777777" w:rsidR="00EC204C" w:rsidRPr="008642D1" w:rsidRDefault="00EC204C" w:rsidP="00EC204C">
      <w:pPr>
        <w:pStyle w:val="BodyText"/>
        <w:tabs>
          <w:tab w:val="clear" w:pos="709"/>
        </w:tabs>
      </w:pPr>
      <w:r w:rsidRPr="008642D1">
        <w:t xml:space="preserve">The 2023 Census asked a question about gender for the first time and also asked about sex at birth, but those data are not yet available. In the household survey for the year </w:t>
      </w:r>
      <w:r w:rsidRPr="008642D1">
        <w:lastRenderedPageBreak/>
        <w:t>ending June 2021, 0.5 per cent of people surveyed said they were transgender or non-binary.</w:t>
      </w:r>
      <w:r w:rsidRPr="008642D1">
        <w:rPr>
          <w:rStyle w:val="FootnoteReference"/>
        </w:rPr>
        <w:footnoteReference w:id="55"/>
      </w:r>
      <w:r w:rsidRPr="008642D1">
        <w:t xml:space="preserve"> </w:t>
      </w:r>
    </w:p>
    <w:p w14:paraId="3FA277C4" w14:textId="77777777" w:rsidR="00EC204C" w:rsidRPr="008642D1" w:rsidRDefault="00EC204C" w:rsidP="00EC204C">
      <w:pPr>
        <w:pStyle w:val="Heading3"/>
      </w:pPr>
      <w:r w:rsidRPr="008642D1">
        <w:t xml:space="preserve">Terms people use to describe themselves  </w:t>
      </w:r>
    </w:p>
    <w:p w14:paraId="56D95FE3" w14:textId="0F81B76D" w:rsidR="00EC204C" w:rsidRPr="008642D1" w:rsidRDefault="00EC204C" w:rsidP="00EC204C">
      <w:pPr>
        <w:pStyle w:val="BodyText"/>
        <w:tabs>
          <w:tab w:val="clear" w:pos="709"/>
        </w:tabs>
        <w:rPr>
          <w:lang w:bidi="th-TH"/>
        </w:rPr>
      </w:pPr>
      <w:r w:rsidRPr="008642D1">
        <w:rPr>
          <w:lang w:bidi="th-TH"/>
        </w:rPr>
        <w:t xml:space="preserve">People use many different terms to define their gender. The </w:t>
      </w:r>
      <w:r w:rsidRPr="008642D1">
        <w:rPr>
          <w:i/>
          <w:iCs/>
          <w:lang w:bidi="th-TH"/>
        </w:rPr>
        <w:t>Counting Ourselves</w:t>
      </w:r>
      <w:r w:rsidRPr="008642D1">
        <w:rPr>
          <w:lang w:bidi="th-TH"/>
        </w:rPr>
        <w:t xml:space="preserve"> survey of transgender and non-binary people asked respondents to select the gender or genders with which they identified.</w:t>
      </w:r>
      <w:r w:rsidRPr="008642D1">
        <w:t xml:space="preserve"> </w:t>
      </w:r>
      <w:r w:rsidRPr="008642D1">
        <w:rPr>
          <w:lang w:bidi="th-TH"/>
        </w:rPr>
        <w:t>The more common terms selected included non-binary, transgender, woman/girl/wahine, trans man, man/boy/tāne, trans woman, genderqueer, gender fluid, gender diverse and agender.</w:t>
      </w:r>
      <w:r w:rsidRPr="008642D1">
        <w:rPr>
          <w:rStyle w:val="FootnoteReference"/>
          <w:lang w:bidi="th-TH"/>
        </w:rPr>
        <w:footnoteReference w:id="56"/>
      </w:r>
      <w:r w:rsidRPr="008642D1">
        <w:rPr>
          <w:lang w:bidi="th-TH"/>
        </w:rPr>
        <w:t xml:space="preserve"> Some people identify with the term transsexual, although we understand that many people consider this term to be outdated.</w:t>
      </w:r>
      <w:r w:rsidRPr="008642D1">
        <w:rPr>
          <w:rStyle w:val="FootnoteReference"/>
          <w:lang w:bidi="th-TH"/>
        </w:rPr>
        <w:footnoteReference w:id="57"/>
      </w:r>
      <w:r w:rsidRPr="008642D1">
        <w:rPr>
          <w:lang w:bidi="th-TH"/>
        </w:rPr>
        <w:t xml:space="preserve"> </w:t>
      </w:r>
    </w:p>
    <w:p w14:paraId="6C405E74" w14:textId="77777777" w:rsidR="00EC204C" w:rsidRPr="008642D1" w:rsidRDefault="00EC204C" w:rsidP="00EC204C">
      <w:pPr>
        <w:pStyle w:val="BodyText"/>
        <w:tabs>
          <w:tab w:val="clear" w:pos="709"/>
        </w:tabs>
      </w:pPr>
      <w:r w:rsidRPr="008642D1">
        <w:t>There are also Māori kupu (words) for people who are transgender or non-binary. One kupu that is sometimes used is takatāpui. Although some understand this kupu to mean close or intimate friend of the same sex,</w:t>
      </w:r>
      <w:r w:rsidRPr="008642D1">
        <w:rPr>
          <w:rStyle w:val="FootnoteReference"/>
        </w:rPr>
        <w:footnoteReference w:id="58"/>
      </w:r>
      <w:r w:rsidRPr="008642D1">
        <w:t xml:space="preserve"> others use it more expansively as “an umbrella term that embraces all Māori with diverse gender identities, sexualities and sex characteristics”.</w:t>
      </w:r>
      <w:r w:rsidRPr="008642D1">
        <w:rPr>
          <w:rStyle w:val="FootnoteReference"/>
        </w:rPr>
        <w:footnoteReference w:id="59"/>
      </w:r>
      <w:r w:rsidRPr="008642D1">
        <w:t xml:space="preserve"> Other terms include:</w:t>
      </w:r>
      <w:r w:rsidRPr="008642D1">
        <w:rPr>
          <w:rStyle w:val="FootnoteReference"/>
        </w:rPr>
        <w:footnoteReference w:id="60"/>
      </w:r>
    </w:p>
    <w:p w14:paraId="7C7483EB" w14:textId="77777777" w:rsidR="00EC204C" w:rsidRPr="008642D1" w:rsidDel="006D5F31" w:rsidRDefault="00EC204C" w:rsidP="001E69E7">
      <w:pPr>
        <w:pStyle w:val="BodyText2"/>
        <w:numPr>
          <w:ilvl w:val="3"/>
          <w:numId w:val="41"/>
        </w:numPr>
      </w:pPr>
      <w:r w:rsidRPr="008642D1">
        <w:t>irawhiti, tāne irawhiti and wahine irawhiti, tangata ira tāne and tangata ira wahine, whakawahine, whakatāne and tāhine (for people who are transgender);</w:t>
      </w:r>
      <w:r w:rsidRPr="008642D1" w:rsidDel="003C5EC5">
        <w:rPr>
          <w:rStyle w:val="FootnoteReference"/>
        </w:rPr>
        <w:t xml:space="preserve"> </w:t>
      </w:r>
    </w:p>
    <w:p w14:paraId="1CF5D146" w14:textId="77777777" w:rsidR="00EC204C" w:rsidRPr="008642D1" w:rsidRDefault="00EC204C" w:rsidP="00EC204C">
      <w:pPr>
        <w:pStyle w:val="BodyText2"/>
      </w:pPr>
      <w:r w:rsidRPr="008642D1">
        <w:t>ira tāhūrua-kore, ira weherua-kore and ira-here-kore (for non-binary);</w:t>
      </w:r>
      <w:r w:rsidRPr="008642D1">
        <w:rPr>
          <w:rStyle w:val="FootnoteReference"/>
        </w:rPr>
        <w:footnoteReference w:id="61"/>
      </w:r>
    </w:p>
    <w:p w14:paraId="1D6A2A7F" w14:textId="77777777" w:rsidR="00EC204C" w:rsidRPr="008642D1" w:rsidRDefault="00EC204C" w:rsidP="00EC204C">
      <w:pPr>
        <w:pStyle w:val="BodyText2"/>
      </w:pPr>
      <w:r w:rsidRPr="008642D1">
        <w:t>irarere and irahuri (for gender fluid) and irahuhua (for gender diverse); and</w:t>
      </w:r>
    </w:p>
    <w:p w14:paraId="0CED093B" w14:textId="77777777" w:rsidR="00EC204C" w:rsidRPr="008642D1" w:rsidRDefault="00EC204C" w:rsidP="00EC204C">
      <w:pPr>
        <w:pStyle w:val="BodyText2"/>
      </w:pPr>
      <w:r w:rsidRPr="008642D1">
        <w:t>taitamatāne</w:t>
      </w:r>
      <w:r w:rsidRPr="008642D1" w:rsidDel="00F90B74">
        <w:t>,</w:t>
      </w:r>
      <w:r w:rsidRPr="008642D1">
        <w:t xml:space="preserve"> taitamawahine hoki (for the full spectrum of gender identities between maleness and femaleness).</w:t>
      </w:r>
      <w:r w:rsidRPr="008642D1">
        <w:rPr>
          <w:rStyle w:val="FootnoteReference"/>
        </w:rPr>
        <w:footnoteReference w:id="62"/>
      </w:r>
      <w:r w:rsidRPr="008642D1">
        <w:t xml:space="preserve"> </w:t>
      </w:r>
    </w:p>
    <w:p w14:paraId="7C87CDA8" w14:textId="77777777" w:rsidR="00EC204C" w:rsidRPr="008642D1" w:rsidRDefault="00EC204C" w:rsidP="00EF433C">
      <w:pPr>
        <w:pStyle w:val="BodyText"/>
        <w:rPr>
          <w:lang w:bidi="th-TH"/>
        </w:rPr>
      </w:pPr>
      <w:r w:rsidRPr="008642D1">
        <w:t>Many of these kupu are very new and there is no one set of terms in preferred usage.</w:t>
      </w:r>
      <w:r w:rsidRPr="008642D1">
        <w:rPr>
          <w:rStyle w:val="FootnoteReference"/>
        </w:rPr>
        <w:footnoteReference w:id="63"/>
      </w:r>
      <w:r w:rsidRPr="008642D1">
        <w:t xml:space="preserve"> Although we acknowledge these kupu may be important to some people, we understand from preliminary engagement that some Māori people are not particularly interested in </w:t>
      </w:r>
      <w:r w:rsidRPr="008642D1">
        <w:lastRenderedPageBreak/>
        <w:t>defining themselves through identity terms associated with gender. We explore the reasons for this in Chapter 5.</w:t>
      </w:r>
      <w:r w:rsidRPr="008642D1" w:rsidDel="006C342D">
        <w:t xml:space="preserve"> </w:t>
      </w:r>
    </w:p>
    <w:p w14:paraId="00E9B333" w14:textId="77777777" w:rsidR="00EC204C" w:rsidRPr="008642D1" w:rsidRDefault="00EC204C" w:rsidP="00EC204C">
      <w:pPr>
        <w:pStyle w:val="BodyText"/>
        <w:tabs>
          <w:tab w:val="clear" w:pos="709"/>
        </w:tabs>
        <w:rPr>
          <w:lang w:bidi="th-TH"/>
        </w:rPr>
      </w:pPr>
      <w:r w:rsidRPr="008642D1">
        <w:rPr>
          <w:lang w:bidi="th-TH"/>
        </w:rPr>
        <w:t xml:space="preserve">As we discuss later in this chapter, other cultures have culturally specific terms to refer to people with diverse genders. </w:t>
      </w:r>
    </w:p>
    <w:p w14:paraId="208C6719" w14:textId="77777777" w:rsidR="00EC204C" w:rsidRPr="008642D1" w:rsidRDefault="00EC204C" w:rsidP="00EC204C">
      <w:pPr>
        <w:pStyle w:val="Heading3"/>
        <w:rPr>
          <w:lang w:bidi="th-TH"/>
        </w:rPr>
      </w:pPr>
      <w:r w:rsidRPr="008642D1">
        <w:rPr>
          <w:lang w:bidi="th-TH"/>
        </w:rPr>
        <w:t>Gender dysphoria or gender incongruence</w:t>
      </w:r>
    </w:p>
    <w:p w14:paraId="56E59CB2" w14:textId="77777777" w:rsidR="00206BB0" w:rsidRDefault="00EC204C" w:rsidP="00206BB0">
      <w:pPr>
        <w:pStyle w:val="BodyText"/>
        <w:tabs>
          <w:tab w:val="clear" w:pos="709"/>
        </w:tabs>
      </w:pPr>
      <w:r w:rsidRPr="008642D1">
        <w:t>Gender dysphoria and gender incongruence are terms used by medical professionals where a person has a marked and persistent incongruence between their experienced gender and their sex assigned at birth.</w:t>
      </w:r>
      <w:r w:rsidRPr="008642D1">
        <w:rPr>
          <w:rStyle w:val="FootnoteReference"/>
        </w:rPr>
        <w:footnoteReference w:id="64"/>
      </w:r>
      <w:r w:rsidRPr="008642D1">
        <w:t xml:space="preserve"> The term gender dysphoria replaces the earlier terminology of gender identity disorder.</w:t>
      </w:r>
      <w:r w:rsidRPr="008642D1">
        <w:rPr>
          <w:rStyle w:val="FootnoteReference"/>
        </w:rPr>
        <w:footnoteReference w:id="65"/>
      </w:r>
      <w:r w:rsidRPr="008642D1">
        <w:t xml:space="preserve"> We understand some people prefer the term gender incongruence on the basis that it does not imply being transgender is a mental health condition.</w:t>
      </w:r>
      <w:r w:rsidRPr="008642D1">
        <w:rPr>
          <w:rStyle w:val="FootnoteReference"/>
        </w:rPr>
        <w:footnoteReference w:id="66"/>
      </w:r>
      <w:r w:rsidRPr="008642D1">
        <w:t xml:space="preserve">  </w:t>
      </w:r>
    </w:p>
    <w:p w14:paraId="72A29959" w14:textId="6D93B723" w:rsidR="00EC204C" w:rsidRPr="00206BB0" w:rsidRDefault="00EC204C" w:rsidP="00206BB0">
      <w:pPr>
        <w:pStyle w:val="BodyText"/>
        <w:tabs>
          <w:tab w:val="clear" w:pos="709"/>
        </w:tabs>
      </w:pPr>
      <w:r w:rsidRPr="008642D1">
        <w:t>Both gender dysphoria and gender incongruence are diagnostic terms. A person does not need to be diagnosed with either to be transgender.</w:t>
      </w:r>
    </w:p>
    <w:p w14:paraId="62E1F0B4" w14:textId="77777777" w:rsidR="00EC204C" w:rsidRPr="008642D1" w:rsidRDefault="00EC204C" w:rsidP="00EC204C">
      <w:pPr>
        <w:pStyle w:val="Heading3"/>
        <w:tabs>
          <w:tab w:val="left" w:pos="7023"/>
        </w:tabs>
      </w:pPr>
      <w:r w:rsidRPr="008642D1">
        <w:t xml:space="preserve">Gender affirmation </w:t>
      </w:r>
      <w:r w:rsidRPr="008642D1">
        <w:tab/>
      </w:r>
    </w:p>
    <w:p w14:paraId="10DC0F85" w14:textId="1D5413B9" w:rsidR="00EC204C" w:rsidRDefault="00EC204C" w:rsidP="00EC204C">
      <w:pPr>
        <w:pStyle w:val="BodyText"/>
        <w:tabs>
          <w:tab w:val="clear" w:pos="709"/>
        </w:tabs>
      </w:pPr>
      <w:r w:rsidRPr="008642D1">
        <w:t xml:space="preserve">Gender affirmation refers to respecting and affirming a person’s gender. Individual experiences and preferences vary when it comes to exploring or questioning gender, to </w:t>
      </w:r>
      <w:r w:rsidRPr="008642D1" w:rsidDel="005A2FF5">
        <w:t>‘</w:t>
      </w:r>
      <w:r w:rsidRPr="008642D1">
        <w:t>coming out</w:t>
      </w:r>
      <w:r w:rsidRPr="008642D1" w:rsidDel="005A2FF5">
        <w:t>’</w:t>
      </w:r>
      <w:r w:rsidRPr="008642D1">
        <w:t xml:space="preserve"> as transgender or non-binary and to the process of transitioning or affirming one’s gender identity. Forms of transition or gender affirmation can include:</w:t>
      </w:r>
      <w:r w:rsidRPr="008642D1">
        <w:rPr>
          <w:rStyle w:val="FootnoteReference"/>
        </w:rPr>
        <w:footnoteReference w:id="67"/>
      </w:r>
    </w:p>
    <w:p w14:paraId="654C2AE5" w14:textId="77777777" w:rsidR="00EC204C" w:rsidRPr="00A40960" w:rsidRDefault="00EC204C" w:rsidP="00C22879">
      <w:pPr>
        <w:pStyle w:val="BodyTextnonum"/>
        <w:numPr>
          <w:ilvl w:val="3"/>
          <w:numId w:val="23"/>
        </w:numPr>
        <w:tabs>
          <w:tab w:val="clear" w:pos="709"/>
        </w:tabs>
      </w:pPr>
      <w:r w:rsidRPr="00A40960">
        <w:t>expressive gender affirmation such as changes to hair, clothing or makeup;</w:t>
      </w:r>
    </w:p>
    <w:p w14:paraId="36167B45" w14:textId="602AF895" w:rsidR="00EC204C" w:rsidRPr="00A40960" w:rsidRDefault="00EC204C" w:rsidP="00C22879">
      <w:pPr>
        <w:pStyle w:val="BodyTextnonum"/>
        <w:numPr>
          <w:ilvl w:val="3"/>
          <w:numId w:val="23"/>
        </w:numPr>
        <w:tabs>
          <w:tab w:val="clear" w:pos="709"/>
        </w:tabs>
      </w:pPr>
      <w:r w:rsidRPr="00A40960">
        <w:t xml:space="preserve">social gender affirmation such as </w:t>
      </w:r>
      <w:r w:rsidRPr="00A40960" w:rsidDel="005A2FF5">
        <w:t>‘</w:t>
      </w:r>
      <w:r w:rsidRPr="00A40960">
        <w:t>coming out</w:t>
      </w:r>
      <w:r w:rsidRPr="00A40960" w:rsidDel="005A2FF5">
        <w:t>’</w:t>
      </w:r>
      <w:r w:rsidRPr="00A40960">
        <w:t xml:space="preserve">, using a different name or pronouns or using bathrooms that align with one’s gender identity; </w:t>
      </w:r>
    </w:p>
    <w:p w14:paraId="1783C502" w14:textId="77777777" w:rsidR="00EC204C" w:rsidRPr="00A40960" w:rsidRDefault="00EC204C" w:rsidP="00C22879">
      <w:pPr>
        <w:pStyle w:val="BodyTextnonum"/>
        <w:numPr>
          <w:ilvl w:val="3"/>
          <w:numId w:val="23"/>
        </w:numPr>
        <w:tabs>
          <w:tab w:val="clear" w:pos="709"/>
        </w:tabs>
      </w:pPr>
      <w:r w:rsidRPr="00A40960">
        <w:t>legal gender affirmation, which involves changing official documents; and</w:t>
      </w:r>
    </w:p>
    <w:p w14:paraId="3529A762" w14:textId="0F54A19B" w:rsidR="00EC204C" w:rsidRPr="008642D1" w:rsidRDefault="00EC204C" w:rsidP="00C22879">
      <w:pPr>
        <w:pStyle w:val="BodyTextnonum"/>
        <w:numPr>
          <w:ilvl w:val="3"/>
          <w:numId w:val="23"/>
        </w:numPr>
        <w:tabs>
          <w:tab w:val="clear" w:pos="709"/>
        </w:tabs>
      </w:pPr>
      <w:r w:rsidRPr="00A40960">
        <w:t>medical gender affirmation</w:t>
      </w:r>
      <w:r w:rsidR="00164C01" w:rsidRPr="00A40960">
        <w:t>,</w:t>
      </w:r>
      <w:r w:rsidRPr="00A40960">
        <w:t xml:space="preserve"> including non-surgical options such as hormone treatment or hair removal or surgical</w:t>
      </w:r>
      <w:r w:rsidRPr="008642D1">
        <w:t xml:space="preserve"> procedures such as breast or genital surgery.</w:t>
      </w:r>
    </w:p>
    <w:p w14:paraId="1A072349" w14:textId="77777777" w:rsidR="00EC204C" w:rsidRPr="008642D1" w:rsidRDefault="00EC204C" w:rsidP="00EC204C">
      <w:pPr>
        <w:pStyle w:val="BodyText"/>
        <w:tabs>
          <w:tab w:val="clear" w:pos="709"/>
        </w:tabs>
      </w:pPr>
      <w:r w:rsidRPr="008642D1">
        <w:rPr>
          <w:rFonts w:eastAsiaTheme="minorEastAsia"/>
        </w:rPr>
        <w:t>Gender Minorities Aotearoa explains that, while many transgender people are prescribed hormones to change their bodies and some undergo surgery, a transgender identity is not dependent on medical procedures.</w:t>
      </w:r>
      <w:r w:rsidRPr="008642D1">
        <w:rPr>
          <w:rStyle w:val="FootnoteReference"/>
          <w:rFonts w:eastAsiaTheme="minorEastAsia"/>
        </w:rPr>
        <w:footnoteReference w:id="68"/>
      </w:r>
      <w:r w:rsidRPr="008642D1">
        <w:t xml:space="preserve"> Not everyone wants to undergo medical forms of gender affirmation. Further, as we discuss in Chapter 3, it can be challenging to access some medical procedures due to lack of public funding and long waiting lists. </w:t>
      </w:r>
    </w:p>
    <w:p w14:paraId="1EE16257" w14:textId="77777777" w:rsidR="00EC204C" w:rsidRPr="008642D1" w:rsidRDefault="00EC204C" w:rsidP="00EC204C">
      <w:pPr>
        <w:pStyle w:val="Heading2"/>
      </w:pPr>
      <w:bookmarkStart w:id="51" w:name="_Toc170302123"/>
      <w:r w:rsidRPr="008642D1">
        <w:t>Introduction to innate variations of sex characteristics</w:t>
      </w:r>
      <w:bookmarkEnd w:id="51"/>
    </w:p>
    <w:p w14:paraId="47866DA2" w14:textId="77777777" w:rsidR="00EC204C" w:rsidRPr="008642D1" w:rsidRDefault="00EC204C" w:rsidP="00EC204C">
      <w:pPr>
        <w:pStyle w:val="BodyText"/>
        <w:tabs>
          <w:tab w:val="clear" w:pos="709"/>
        </w:tabs>
      </w:pPr>
      <w:r w:rsidRPr="008642D1">
        <w:t xml:space="preserve">In this review, we have also been asked to consider protections in the Human Rights Act for people with an innate variation of sex characteristics. </w:t>
      </w:r>
    </w:p>
    <w:p w14:paraId="0B28CB61" w14:textId="77777777" w:rsidR="00EC204C" w:rsidRPr="008642D1" w:rsidRDefault="00EC204C" w:rsidP="00EC204C">
      <w:pPr>
        <w:pStyle w:val="BodyText"/>
        <w:tabs>
          <w:tab w:val="clear" w:pos="709"/>
        </w:tabs>
      </w:pPr>
      <w:r w:rsidRPr="008642D1">
        <w:lastRenderedPageBreak/>
        <w:t>The term innate variation of sex characteristics is a broad umbrella term that covers as many as 40 different variations.</w:t>
      </w:r>
      <w:r w:rsidRPr="008642D1">
        <w:rPr>
          <w:rStyle w:val="FootnoteReference"/>
        </w:rPr>
        <w:footnoteReference w:id="69"/>
      </w:r>
      <w:r w:rsidRPr="008642D1">
        <w:t xml:space="preserve"> One way of describing an innate variation of sex characteristics is that it is a variation that:</w:t>
      </w:r>
      <w:r w:rsidRPr="008642D1">
        <w:rPr>
          <w:rStyle w:val="FootnoteReference"/>
        </w:rPr>
        <w:footnoteReference w:id="70"/>
      </w:r>
    </w:p>
    <w:p w14:paraId="370EEE74" w14:textId="77777777" w:rsidR="00EC204C" w:rsidRPr="008642D1" w:rsidRDefault="00EC204C" w:rsidP="00DF306B">
      <w:pPr>
        <w:pStyle w:val="Quote"/>
        <w:numPr>
          <w:ilvl w:val="0"/>
          <w:numId w:val="30"/>
        </w:numPr>
      </w:pPr>
      <w:r w:rsidRPr="008642D1">
        <w:t xml:space="preserve">Shows up in a person’s chromosomes, genitals, gonads or other internal reproductive organs, or how their body produces or responds to hormones; </w:t>
      </w:r>
    </w:p>
    <w:p w14:paraId="52DEA40B" w14:textId="29247AAF" w:rsidR="00EC204C" w:rsidRPr="008642D1" w:rsidRDefault="00EC204C" w:rsidP="00DF306B">
      <w:pPr>
        <w:pStyle w:val="Quote"/>
        <w:numPr>
          <w:ilvl w:val="0"/>
          <w:numId w:val="30"/>
        </w:numPr>
      </w:pPr>
      <w:r w:rsidRPr="008642D1">
        <w:t xml:space="preserve">Differs from what society or medicine considers to be </w:t>
      </w:r>
      <w:r w:rsidR="00717ADD">
        <w:t>“</w:t>
      </w:r>
      <w:r w:rsidRPr="008642D1">
        <w:t>typical</w:t>
      </w:r>
      <w:r w:rsidR="00717ADD">
        <w:t>”</w:t>
      </w:r>
      <w:r w:rsidRPr="008642D1">
        <w:t xml:space="preserve"> or </w:t>
      </w:r>
      <w:r w:rsidR="00717ADD">
        <w:t>“</w:t>
      </w:r>
      <w:r w:rsidRPr="008642D1">
        <w:t>standard</w:t>
      </w:r>
      <w:r w:rsidR="00717ADD">
        <w:t>”</w:t>
      </w:r>
      <w:r w:rsidRPr="008642D1">
        <w:t xml:space="preserve"> for the development, appearance, or function of female bodies or male bodies; and </w:t>
      </w:r>
    </w:p>
    <w:p w14:paraId="424813E9" w14:textId="77777777" w:rsidR="00EC204C" w:rsidRPr="008642D1" w:rsidRDefault="00EC204C" w:rsidP="00DF306B">
      <w:pPr>
        <w:pStyle w:val="Quote"/>
        <w:numPr>
          <w:ilvl w:val="0"/>
          <w:numId w:val="30"/>
        </w:numPr>
      </w:pPr>
      <w:r w:rsidRPr="008642D1">
        <w:t>Is present from birth or develops spontaneously later in life.</w:t>
      </w:r>
    </w:p>
    <w:p w14:paraId="6230AA48" w14:textId="635B2F80" w:rsidR="00EC204C" w:rsidRPr="008642D1" w:rsidRDefault="00EC204C" w:rsidP="00EC204C">
      <w:pPr>
        <w:pStyle w:val="BodyText"/>
        <w:tabs>
          <w:tab w:val="clear" w:pos="709"/>
        </w:tabs>
      </w:pPr>
      <w:r w:rsidRPr="008642D1">
        <w:t>An innate variation of sex characteristics begins during the development of a foetus. It can be caused by chromosomal variances (such as an extra X or Y chromosome), by atypical levels of hormones,</w:t>
      </w:r>
      <w:r w:rsidRPr="008642D1" w:rsidDel="005B56AB">
        <w:t xml:space="preserve"> </w:t>
      </w:r>
      <w:r w:rsidRPr="008642D1">
        <w:t>by reactions to hormones or by other aspects of foetal development.</w:t>
      </w:r>
      <w:r w:rsidRPr="008642D1">
        <w:rPr>
          <w:rStyle w:val="FootnoteReference"/>
        </w:rPr>
        <w:footnoteReference w:id="71"/>
      </w:r>
      <w:r w:rsidRPr="008642D1" w:rsidDel="004C5CD3">
        <w:t xml:space="preserve"> </w:t>
      </w:r>
      <w:r w:rsidRPr="008642D1">
        <w:t>These influences can result in physical sex characteristics that do not correspond with medical norms for male and female bodies.</w:t>
      </w:r>
      <w:r w:rsidRPr="008642D1">
        <w:rPr>
          <w:rStyle w:val="FootnoteReference"/>
        </w:rPr>
        <w:footnoteReference w:id="72"/>
      </w:r>
      <w:r w:rsidRPr="008642D1">
        <w:t xml:space="preserve"> What this means will depend on the type of variation. It might, for example, affect primary sex characteristics </w:t>
      </w:r>
      <w:r w:rsidR="00717ADD">
        <w:t>such as</w:t>
      </w:r>
      <w:r w:rsidR="00717ADD" w:rsidRPr="008642D1">
        <w:t xml:space="preserve"> </w:t>
      </w:r>
      <w:r w:rsidRPr="008642D1">
        <w:t xml:space="preserve">the vulva, clitoris, vagina, fallopian tubes, testes, uterus, ovaries or penis or secondary sex characteristics </w:t>
      </w:r>
      <w:r w:rsidR="00717ADD">
        <w:t>such as</w:t>
      </w:r>
      <w:r w:rsidR="00717ADD" w:rsidRPr="008642D1">
        <w:t xml:space="preserve"> </w:t>
      </w:r>
      <w:r w:rsidRPr="008642D1">
        <w:t>facial hair, breast growth, depth of voice and fat distribution.</w:t>
      </w:r>
      <w:r w:rsidRPr="008642D1">
        <w:rPr>
          <w:rStyle w:val="FootnoteReference"/>
        </w:rPr>
        <w:footnoteReference w:id="73"/>
      </w:r>
      <w:r w:rsidRPr="008642D1">
        <w:t xml:space="preserve"> In some cases, a person with an innate variation of sex characteristics will have external genitalia that are ambiguous or appear more typical of a person of the other sex. </w:t>
      </w:r>
    </w:p>
    <w:p w14:paraId="000187CB" w14:textId="2E7CB91D" w:rsidR="00EC204C" w:rsidRPr="008642D1" w:rsidRDefault="00EC204C" w:rsidP="00EC204C">
      <w:pPr>
        <w:pStyle w:val="BodyText"/>
        <w:tabs>
          <w:tab w:val="clear" w:pos="709"/>
        </w:tabs>
      </w:pPr>
      <w:r w:rsidRPr="008642D1">
        <w:t>Some variations are detected at birth while others may be discovered later in life such as at puberty or when a person seeks to become pregnant. In some cases, a person might never know they have a variation of sex characteristics. Many variations are not noticeable to other people.</w:t>
      </w:r>
    </w:p>
    <w:p w14:paraId="55C31EFB" w14:textId="4F797DCF" w:rsidR="00EC204C" w:rsidRPr="008642D1" w:rsidRDefault="00EC204C" w:rsidP="00EC204C">
      <w:pPr>
        <w:pStyle w:val="BodyText"/>
        <w:tabs>
          <w:tab w:val="clear" w:pos="709"/>
        </w:tabs>
      </w:pPr>
      <w:r w:rsidRPr="008642D1">
        <w:t>Innate variations of sex characteristics are sometimes known as intersex variations. In medical contexts, the term differences of sex development is often used.</w:t>
      </w:r>
      <w:r w:rsidRPr="008642D1">
        <w:rPr>
          <w:rStyle w:val="FootnoteReference"/>
        </w:rPr>
        <w:footnoteReference w:id="74"/>
      </w:r>
      <w:r w:rsidRPr="008642D1">
        <w:t xml:space="preserve"> We understand the term innate variations of sex characteristics encompasses a slightly broader range of variations than what would be medically termed a difference of sex development.</w:t>
      </w:r>
      <w:r w:rsidRPr="008642D1">
        <w:rPr>
          <w:rStyle w:val="FootnoteReference"/>
        </w:rPr>
        <w:footnoteReference w:id="75"/>
      </w:r>
      <w:r w:rsidRPr="008642D1">
        <w:t xml:space="preserve"> We also understand there is a lack of consensus about exactly which innate variations of sex characteristics are intersex variations.</w:t>
      </w:r>
      <w:r w:rsidRPr="008642D1">
        <w:rPr>
          <w:rStyle w:val="FootnoteReference"/>
        </w:rPr>
        <w:footnoteReference w:id="76"/>
      </w:r>
    </w:p>
    <w:p w14:paraId="398871C8" w14:textId="77777777" w:rsidR="00EC204C" w:rsidRPr="008642D1" w:rsidRDefault="00EC204C" w:rsidP="00EC204C">
      <w:pPr>
        <w:pStyle w:val="BodyText"/>
        <w:tabs>
          <w:tab w:val="clear" w:pos="709"/>
        </w:tabs>
      </w:pPr>
      <w:r w:rsidRPr="008642D1">
        <w:lastRenderedPageBreak/>
        <w:t>Some innate variations also affect other aspects of foetal development such as a person’s height, sense of smell, kidneys, spine or heart. Starship Child Health reports that, in approximately 25 per cent of cases where a newborn has a difference of sex development, this is part of a complex medical condition involving congenital, metabolic or endocrine issues.</w:t>
      </w:r>
      <w:r w:rsidRPr="008642D1">
        <w:rPr>
          <w:rStyle w:val="FootnoteReference"/>
        </w:rPr>
        <w:footnoteReference w:id="77"/>
      </w:r>
      <w:r w:rsidRPr="008642D1">
        <w:t xml:space="preserve">  </w:t>
      </w:r>
    </w:p>
    <w:p w14:paraId="4281CAE4" w14:textId="03AF5A42" w:rsidR="00EC204C" w:rsidRPr="008642D1" w:rsidRDefault="00EC204C" w:rsidP="00EC204C">
      <w:pPr>
        <w:pStyle w:val="BodyText"/>
        <w:tabs>
          <w:tab w:val="clear" w:pos="709"/>
        </w:tabs>
      </w:pPr>
      <w:r w:rsidRPr="008642D1">
        <w:t>Data should soon be available on how many New Zealanders reported having an innate variation of sex characteristics in the 2023 Census.</w:t>
      </w:r>
      <w:r w:rsidRPr="008642D1">
        <w:rPr>
          <w:rFonts w:eastAsiaTheme="minorEastAsia"/>
          <w:bdr w:val="none" w:sz="0" w:space="0" w:color="auto" w:frame="1"/>
        </w:rPr>
        <w:t xml:space="preserve"> </w:t>
      </w:r>
      <w:r w:rsidRPr="008642D1">
        <w:t>Globally, estimates range as high as 1.7 per cent of the population,</w:t>
      </w:r>
      <w:r w:rsidRPr="008642D1">
        <w:rPr>
          <w:rStyle w:val="FootnoteReference"/>
        </w:rPr>
        <w:footnoteReference w:id="78"/>
      </w:r>
      <w:r w:rsidRPr="008642D1">
        <w:t xml:space="preserve"> although the figure is a matter of dispute.</w:t>
      </w:r>
      <w:r w:rsidRPr="008642D1">
        <w:rPr>
          <w:rStyle w:val="FootnoteReference"/>
        </w:rPr>
        <w:footnoteReference w:id="79"/>
      </w:r>
      <w:r w:rsidRPr="008642D1">
        <w:t xml:space="preserve"> There are </w:t>
      </w:r>
      <w:r w:rsidRPr="008642D1">
        <w:rPr>
          <w:rFonts w:eastAsiaTheme="minorEastAsia"/>
          <w:bdr w:val="none" w:sz="0" w:space="0" w:color="auto" w:frame="1"/>
        </w:rPr>
        <w:t>challenges with gathering accurate data</w:t>
      </w:r>
      <w:r w:rsidR="00164C01">
        <w:rPr>
          <w:rFonts w:eastAsiaTheme="minorEastAsia"/>
          <w:bdr w:val="none" w:sz="0" w:space="0" w:color="auto" w:frame="1"/>
        </w:rPr>
        <w:t>,</w:t>
      </w:r>
      <w:r w:rsidRPr="008642D1">
        <w:rPr>
          <w:rFonts w:eastAsiaTheme="minorEastAsia"/>
          <w:bdr w:val="none" w:sz="0" w:space="0" w:color="auto" w:frame="1"/>
        </w:rPr>
        <w:t xml:space="preserve"> including stigma, secrecy, lack of understanding of what an innate variation is and misunderstandings with survey questions.</w:t>
      </w:r>
      <w:r w:rsidRPr="008642D1">
        <w:rPr>
          <w:rStyle w:val="FootnoteReference"/>
          <w:rFonts w:eastAsiaTheme="minorEastAsia"/>
          <w:bdr w:val="none" w:sz="0" w:space="0" w:color="auto" w:frame="1"/>
        </w:rPr>
        <w:footnoteReference w:id="80"/>
      </w:r>
      <w:r w:rsidRPr="008642D1">
        <w:t xml:space="preserve">  </w:t>
      </w:r>
    </w:p>
    <w:p w14:paraId="08516060" w14:textId="77777777" w:rsidR="00EC204C" w:rsidRPr="008642D1" w:rsidRDefault="00EC204C" w:rsidP="00EC204C">
      <w:pPr>
        <w:pStyle w:val="BodyText"/>
        <w:tabs>
          <w:tab w:val="clear" w:pos="709"/>
        </w:tabs>
      </w:pPr>
      <w:r w:rsidRPr="008642D1">
        <w:t>Like other members of society, people with innate variations of sex characteristics have diverse identities. While some consider their innate variation to be an essential part of their identity, others see it as a medical issue. People with innate variations have diverse genders and sexualities, including many who identify as cisgender and heterosexual.</w:t>
      </w:r>
      <w:r w:rsidRPr="008642D1">
        <w:rPr>
          <w:rStyle w:val="FootnoteReference"/>
        </w:rPr>
        <w:footnoteReference w:id="81"/>
      </w:r>
    </w:p>
    <w:p w14:paraId="34EB0AA8" w14:textId="6C66B820" w:rsidR="00EC204C" w:rsidRPr="008642D1" w:rsidRDefault="00EC204C" w:rsidP="00A40892">
      <w:pPr>
        <w:pStyle w:val="BodyText"/>
      </w:pPr>
      <w:r w:rsidRPr="008642D1">
        <w:t xml:space="preserve">People with innate variations of sex characteristics also </w:t>
      </w:r>
      <w:r w:rsidR="0088765E">
        <w:t>think</w:t>
      </w:r>
      <w:r w:rsidRPr="008642D1">
        <w:t xml:space="preserve"> about their </w:t>
      </w:r>
      <w:r w:rsidRPr="008642D1">
        <w:rPr>
          <w:i/>
          <w:iCs/>
        </w:rPr>
        <w:t xml:space="preserve">sex </w:t>
      </w:r>
      <w:r w:rsidR="0088765E">
        <w:t>in</w:t>
      </w:r>
      <w:r w:rsidRPr="008642D1">
        <w:t xml:space="preserve"> di</w:t>
      </w:r>
      <w:r w:rsidR="00B23E7B">
        <w:t>fferent</w:t>
      </w:r>
      <w:r w:rsidRPr="008642D1">
        <w:t xml:space="preserve"> </w:t>
      </w:r>
      <w:r w:rsidR="0088765E">
        <w:t>ways</w:t>
      </w:r>
      <w:r w:rsidRPr="008642D1">
        <w:t>. Some people who have an innate variation of sex characteristics use the term intersex to describe their sex</w:t>
      </w:r>
      <w:r w:rsidR="00711740">
        <w:t>,</w:t>
      </w:r>
      <w:r w:rsidRPr="008642D1">
        <w:t xml:space="preserve"> but we understand this is presently uncommon. Many people with innate variations of sex characteristics see their variation as quite separate from their sex and describe their sex as male or female.</w:t>
      </w:r>
      <w:r w:rsidRPr="008642D1">
        <w:rPr>
          <w:rStyle w:val="FootnoteReference"/>
        </w:rPr>
        <w:footnoteReference w:id="82"/>
      </w:r>
      <w:r w:rsidRPr="008642D1">
        <w:t xml:space="preserve">  </w:t>
      </w:r>
    </w:p>
    <w:p w14:paraId="3804A952" w14:textId="77777777" w:rsidR="00EC204C" w:rsidRPr="008642D1" w:rsidRDefault="00EC204C" w:rsidP="00EC204C">
      <w:pPr>
        <w:pStyle w:val="Heading3"/>
      </w:pPr>
      <w:r w:rsidRPr="008642D1">
        <w:rPr>
          <w:rFonts w:eastAsiaTheme="minorEastAsia"/>
          <w:bdr w:val="none" w:sz="0" w:space="0" w:color="auto" w:frame="1"/>
        </w:rPr>
        <w:t xml:space="preserve">Terms people use to describe themselves </w:t>
      </w:r>
    </w:p>
    <w:p w14:paraId="25E083E9" w14:textId="55F1A9D0" w:rsidR="00EC204C" w:rsidRPr="008642D1" w:rsidRDefault="00EC204C" w:rsidP="00EC204C">
      <w:pPr>
        <w:pStyle w:val="BodyText"/>
        <w:tabs>
          <w:tab w:val="clear" w:pos="709"/>
        </w:tabs>
      </w:pPr>
      <w:r w:rsidRPr="008642D1">
        <w:t>People with innate variations of sex characteristics use a variety of terms to describe themselves and their variations. Some of the more common terms are intersex and variation of sex characteristics.</w:t>
      </w:r>
      <w:r w:rsidRPr="008642D1">
        <w:rPr>
          <w:rStyle w:val="FootnoteReference"/>
        </w:rPr>
        <w:footnoteReference w:id="83"/>
      </w:r>
      <w:r w:rsidRPr="008642D1">
        <w:t xml:space="preserve"> Many people prefer to use the name of their specific variation rather than an umbrella term.</w:t>
      </w:r>
      <w:r w:rsidRPr="008642D1">
        <w:rPr>
          <w:rStyle w:val="FootnoteReference"/>
        </w:rPr>
        <w:footnoteReference w:id="84"/>
      </w:r>
      <w:r w:rsidRPr="008642D1">
        <w:t xml:space="preserve"> Terms may also be context dependent. For example, Australian research shows that some people with an innate variation of sex characteristics have a term they prefer to use for themselves but use another term with family and friends and a third when accessing medical services.</w:t>
      </w:r>
      <w:r w:rsidRPr="008642D1">
        <w:rPr>
          <w:rStyle w:val="FootnoteReference"/>
        </w:rPr>
        <w:footnoteReference w:id="85"/>
      </w:r>
      <w:r w:rsidRPr="008642D1">
        <w:t xml:space="preserve"> </w:t>
      </w:r>
    </w:p>
    <w:p w14:paraId="3131424F" w14:textId="51A7FA11" w:rsidR="00EC204C" w:rsidRPr="008642D1" w:rsidRDefault="00EC204C" w:rsidP="00EC204C">
      <w:pPr>
        <w:pStyle w:val="BodyText"/>
        <w:tabs>
          <w:tab w:val="clear" w:pos="709"/>
        </w:tabs>
      </w:pPr>
      <w:r w:rsidRPr="008642D1">
        <w:lastRenderedPageBreak/>
        <w:t>Different terms are also used in te reo Māori, including</w:t>
      </w:r>
      <w:r w:rsidRPr="008642D1" w:rsidDel="00711740">
        <w:t>:</w:t>
      </w:r>
      <w:r w:rsidRPr="008642D1">
        <w:t xml:space="preserve"> taihemarua or ira tangata (for intersex)</w:t>
      </w:r>
      <w:r w:rsidRPr="008642D1" w:rsidDel="00711740">
        <w:t>;</w:t>
      </w:r>
      <w:r w:rsidRPr="008642D1">
        <w:rPr>
          <w:rStyle w:val="FootnoteReference"/>
        </w:rPr>
        <w:footnoteReference w:id="86"/>
      </w:r>
      <w:r w:rsidRPr="008642D1">
        <w:t xml:space="preserve"> and rerekētanga āhuiatanga ā-ira or ruaruanga taha wahine, taha tāne (for variations of sex characteristics).</w:t>
      </w:r>
      <w:r w:rsidRPr="008642D1">
        <w:rPr>
          <w:rStyle w:val="FootnoteReference"/>
        </w:rPr>
        <w:footnoteReference w:id="87"/>
      </w:r>
      <w:r w:rsidRPr="008642D1" w:rsidDel="003C716A">
        <w:rPr>
          <w:rStyle w:val="FootnoteReference"/>
        </w:rPr>
        <w:t xml:space="preserve"> </w:t>
      </w:r>
      <w:r w:rsidRPr="008642D1">
        <w:t xml:space="preserve"> </w:t>
      </w:r>
    </w:p>
    <w:p w14:paraId="49C9A12C" w14:textId="2052D5B8" w:rsidR="00EC204C" w:rsidRPr="008642D1" w:rsidRDefault="00EC204C" w:rsidP="00EC204C">
      <w:pPr>
        <w:pStyle w:val="BodyText"/>
        <w:tabs>
          <w:tab w:val="clear" w:pos="709"/>
        </w:tabs>
      </w:pPr>
      <w:r w:rsidRPr="008642D1">
        <w:t>As we noted above, in medical settings, innate variations are usually referred to as differences of sex development (or, historically, disorders of sex development),</w:t>
      </w:r>
      <w:r w:rsidRPr="008642D1">
        <w:rPr>
          <w:rStyle w:val="FootnoteReference"/>
        </w:rPr>
        <w:footnoteReference w:id="88"/>
      </w:r>
      <w:r w:rsidRPr="008642D1">
        <w:t xml:space="preserve"> but we understand many people do not use</w:t>
      </w:r>
      <w:r w:rsidRPr="008642D1" w:rsidDel="0039786B">
        <w:t xml:space="preserve"> </w:t>
      </w:r>
      <w:r w:rsidRPr="008642D1">
        <w:t>these terms.</w:t>
      </w:r>
      <w:r w:rsidRPr="008642D1">
        <w:rPr>
          <w:rStyle w:val="FootnoteReference"/>
        </w:rPr>
        <w:footnoteReference w:id="89"/>
      </w:r>
      <w:r w:rsidRPr="008642D1">
        <w:t xml:space="preserve"> Hermaphrodite is an outdated word that some see as demeaning but others have chosen to reclaim.</w:t>
      </w:r>
      <w:r w:rsidRPr="008642D1">
        <w:rPr>
          <w:rStyle w:val="FootnoteReference"/>
        </w:rPr>
        <w:footnoteReference w:id="90"/>
      </w:r>
    </w:p>
    <w:p w14:paraId="5738F1F8" w14:textId="15856762" w:rsidR="00EC204C" w:rsidRPr="008642D1" w:rsidRDefault="00EC204C" w:rsidP="00EC204C">
      <w:pPr>
        <w:pStyle w:val="BodyText"/>
        <w:tabs>
          <w:tab w:val="clear" w:pos="709"/>
        </w:tabs>
      </w:pPr>
      <w:r w:rsidRPr="008642D1">
        <w:t>The term endosex is sometimes used as the opposite of intersex. One definition of endosex is “a person that was born with physical sex characteristics that match what is considered usual for binary female or male bodies by the medical field”.</w:t>
      </w:r>
      <w:r w:rsidRPr="008642D1">
        <w:rPr>
          <w:rStyle w:val="FootnoteReference"/>
        </w:rPr>
        <w:footnoteReference w:id="91"/>
      </w:r>
      <w:r w:rsidRPr="008642D1">
        <w:t xml:space="preserve"> </w:t>
      </w:r>
    </w:p>
    <w:p w14:paraId="3EA7A0E5" w14:textId="77777777" w:rsidR="00EC204C" w:rsidRPr="008642D1" w:rsidRDefault="00EC204C" w:rsidP="00EC204C">
      <w:pPr>
        <w:pStyle w:val="Heading2"/>
      </w:pPr>
      <w:bookmarkStart w:id="52" w:name="_Toc170302124"/>
      <w:r w:rsidRPr="008642D1">
        <w:t>Other cultural perspectives</w:t>
      </w:r>
      <w:bookmarkEnd w:id="52"/>
      <w:r w:rsidRPr="008642D1">
        <w:t xml:space="preserve"> </w:t>
      </w:r>
    </w:p>
    <w:p w14:paraId="3FD436F3" w14:textId="3F54D500" w:rsidR="00EC204C" w:rsidRPr="008642D1" w:rsidRDefault="00EC204C" w:rsidP="00EC204C">
      <w:pPr>
        <w:pStyle w:val="BodyText"/>
        <w:tabs>
          <w:tab w:val="clear" w:pos="709"/>
        </w:tabs>
      </w:pPr>
      <w:r w:rsidRPr="008642D1">
        <w:t xml:space="preserve">Aotearoa New Zealand is a diverse multicultural society and so we are interested to understand a range of cultural perspectives </w:t>
      </w:r>
      <w:r w:rsidR="00C24080">
        <w:t>a</w:t>
      </w:r>
      <w:r w:rsidRPr="008642D1">
        <w:t xml:space="preserve">bout sex, gender and sex characteristics. </w:t>
      </w:r>
    </w:p>
    <w:p w14:paraId="4B4CE63D" w14:textId="77777777" w:rsidR="00EC204C" w:rsidRPr="008642D1" w:rsidRDefault="00EC204C" w:rsidP="00EC204C">
      <w:pPr>
        <w:pStyle w:val="BodyText"/>
        <w:tabs>
          <w:tab w:val="clear" w:pos="709"/>
        </w:tabs>
      </w:pPr>
      <w:r w:rsidRPr="008642D1">
        <w:t>In many places, particularly in Pacific nations and other non-Western countries, sex and gender are viewed holistically as one and the same, and the binary of male and female is not seen as the only way of experiencing sex and gender.</w:t>
      </w:r>
      <w:r w:rsidRPr="008642D1">
        <w:rPr>
          <w:rStyle w:val="FootnoteReference"/>
        </w:rPr>
        <w:footnoteReference w:id="92"/>
      </w:r>
      <w:r w:rsidRPr="008642D1">
        <w:rPr>
          <w:szCs w:val="20"/>
        </w:rPr>
        <w:t xml:space="preserve"> </w:t>
      </w:r>
      <w:r w:rsidRPr="008642D1">
        <w:t xml:space="preserve"> </w:t>
      </w:r>
    </w:p>
    <w:p w14:paraId="60298375" w14:textId="6DA150F2" w:rsidR="00EC204C" w:rsidRPr="008642D1" w:rsidRDefault="00EC204C" w:rsidP="00EC204C">
      <w:pPr>
        <w:pStyle w:val="BodyText"/>
        <w:tabs>
          <w:tab w:val="clear" w:pos="709"/>
        </w:tabs>
      </w:pPr>
      <w:r w:rsidRPr="008642D1">
        <w:t>Across the many island nations in the Pacific, there are examples of cultural recognition that sex and gender are not always fixed and binary. Many Pacific cultures have terms that encompass concepts of being transgender</w:t>
      </w:r>
      <w:r w:rsidR="00DF2988">
        <w:t xml:space="preserve"> or</w:t>
      </w:r>
      <w:r w:rsidRPr="008642D1">
        <w:t xml:space="preserve"> gender fluid or the idea of a third gender.</w:t>
      </w:r>
    </w:p>
    <w:p w14:paraId="33A4FC6B" w14:textId="77777777" w:rsidR="00EC204C" w:rsidRPr="008642D1" w:rsidRDefault="00EC204C" w:rsidP="00EC204C">
      <w:pPr>
        <w:pStyle w:val="BodyText"/>
        <w:tabs>
          <w:tab w:val="clear" w:pos="709"/>
        </w:tabs>
      </w:pPr>
      <w:r w:rsidRPr="008642D1">
        <w:t>The acronym MVPFAFF+ refers to some of the words used in Pacific cultures to describe sexual orientation and gender identity.</w:t>
      </w:r>
      <w:r w:rsidRPr="008642D1">
        <w:rPr>
          <w:rStyle w:val="FootnoteReference"/>
        </w:rPr>
        <w:footnoteReference w:id="93"/>
      </w:r>
      <w:r w:rsidRPr="008642D1">
        <w:t xml:space="preserve"> This acronym refers to māhū (Hawai’i and Tahiti), vakasalewalewa (Fiji), palopa (Papua New Guinea), fa’afafine or fa’atama (Samoa), </w:t>
      </w:r>
      <w:r w:rsidRPr="008642D1">
        <w:lastRenderedPageBreak/>
        <w:t>akava’ine (Cook Islands), fakafifine (Niue) and fakaleitī/leitī (Tonga). The terms used in the Pacific vary across different communities and do not map neatly onto Western ideas.</w:t>
      </w:r>
      <w:r w:rsidRPr="008642D1">
        <w:rPr>
          <w:rStyle w:val="FootnoteReference"/>
        </w:rPr>
        <w:footnoteReference w:id="94"/>
      </w:r>
      <w:r w:rsidRPr="008642D1">
        <w:t xml:space="preserve"> </w:t>
      </w:r>
    </w:p>
    <w:p w14:paraId="5B745156" w14:textId="5F7B6888" w:rsidR="00EC204C" w:rsidRPr="008642D1" w:rsidRDefault="00EC204C" w:rsidP="00EC204C">
      <w:pPr>
        <w:pStyle w:val="BodyText"/>
        <w:tabs>
          <w:tab w:val="clear" w:pos="709"/>
        </w:tabs>
      </w:pPr>
      <w:r w:rsidRPr="008642D1">
        <w:t xml:space="preserve">In some other non-Western cultures, sex and gender are not considered fixed or binary. There are also cultures across Asia that acknowledge a </w:t>
      </w:r>
      <w:r w:rsidRPr="008642D1" w:rsidDel="005A2FF5">
        <w:t>‘</w:t>
      </w:r>
      <w:r w:rsidRPr="008642D1">
        <w:t>third gender</w:t>
      </w:r>
      <w:r w:rsidRPr="008642D1" w:rsidDel="005A2FF5">
        <w:t>’</w:t>
      </w:r>
      <w:r w:rsidRPr="008642D1">
        <w:t xml:space="preserve"> or more than two sexes and genders. For example, the Bugis people, an ethnic group indigenous to the South Sulawesi region of Indonesia, recognise multiple sexes and genders. These include oroané (male-men), makkunrai (female-women), calabai/calalai (people whose gender expression is different to their sex assigned at birth) and bissu (people who embody both female and male ways of being).</w:t>
      </w:r>
      <w:r w:rsidRPr="008642D1">
        <w:rPr>
          <w:rStyle w:val="FootnoteReference"/>
        </w:rPr>
        <w:footnoteReference w:id="95"/>
      </w:r>
      <w:r w:rsidRPr="008642D1">
        <w:t xml:space="preserve"> Similarly, the hijra of South Asia are a feminine-presenting </w:t>
      </w:r>
      <w:r w:rsidRPr="008642D1" w:rsidDel="0053776E">
        <w:t>'</w:t>
      </w:r>
      <w:r w:rsidRPr="008642D1">
        <w:t>third gender</w:t>
      </w:r>
      <w:r w:rsidRPr="008642D1" w:rsidDel="005A2FF5">
        <w:t>’</w:t>
      </w:r>
      <w:r w:rsidRPr="008642D1">
        <w:t xml:space="preserve"> and the term can include transgender people and people with an innate variation of sex characteristics.</w:t>
      </w:r>
      <w:r w:rsidRPr="008642D1">
        <w:rPr>
          <w:rStyle w:val="FootnoteReference"/>
          <w:rFonts w:eastAsiaTheme="majorEastAsia"/>
        </w:rPr>
        <w:footnoteReference w:id="96"/>
      </w:r>
    </w:p>
    <w:p w14:paraId="1861407D" w14:textId="6E4E2B79" w:rsidR="00EC204C" w:rsidRPr="008642D1" w:rsidRDefault="00EC204C" w:rsidP="00EC204C">
      <w:pPr>
        <w:pStyle w:val="BodyText"/>
        <w:tabs>
          <w:tab w:val="clear" w:pos="709"/>
        </w:tabs>
      </w:pPr>
      <w:r w:rsidRPr="008642D1">
        <w:t>In many non-Western cultures</w:t>
      </w:r>
      <w:r w:rsidR="00991A37">
        <w:t>,</w:t>
      </w:r>
      <w:r w:rsidRPr="008642D1">
        <w:t xml:space="preserve"> gender diversity, gender fluidity and not conforming to the male and female binary is celebrated and sometimes revered. Many of those who are gender diverse hold special roles in their respective societies. For example, the hijra of India hold important ceremonial roles in relation to the birth of children. They provide blessings to newborn babies in a practice commonly known as badhai.</w:t>
      </w:r>
      <w:r w:rsidRPr="008642D1">
        <w:rPr>
          <w:rStyle w:val="FootnoteReference"/>
          <w:szCs w:val="20"/>
        </w:rPr>
        <w:footnoteReference w:id="97"/>
      </w:r>
      <w:r w:rsidRPr="008642D1">
        <w:rPr>
          <w:vertAlign w:val="superscript"/>
        </w:rPr>
        <w:t xml:space="preserve"> </w:t>
      </w:r>
    </w:p>
    <w:p w14:paraId="65F3B2A1" w14:textId="77777777" w:rsidR="00EC204C" w:rsidRPr="008642D1" w:rsidRDefault="00EC204C" w:rsidP="00EC204C">
      <w:pPr>
        <w:pStyle w:val="BodyText"/>
        <w:tabs>
          <w:tab w:val="clear" w:pos="709"/>
        </w:tabs>
      </w:pPr>
      <w:r w:rsidRPr="008642D1">
        <w:t>On the other hand, even where gender diversity is part of indigenous traditions, people who are gender diverse can still face discrimination and exclusion. It is also important to acknowledge that, in some parts of the world, traditional understandings of sex and gender may have been disrupted by factors such as colonisation or the introduction of new religions.</w:t>
      </w:r>
    </w:p>
    <w:p w14:paraId="5118C5AB" w14:textId="77777777" w:rsidR="00EC204C" w:rsidRPr="008642D1" w:rsidRDefault="00EC204C" w:rsidP="00EC204C">
      <w:pPr>
        <w:pStyle w:val="Heading2"/>
      </w:pPr>
      <w:bookmarkStart w:id="53" w:name="_Toc170302125"/>
      <w:r w:rsidRPr="008642D1">
        <w:t>Gender-critical perspectives</w:t>
      </w:r>
      <w:bookmarkEnd w:id="53"/>
    </w:p>
    <w:p w14:paraId="3E6422A3" w14:textId="0D229B04" w:rsidR="00EC204C" w:rsidRPr="008642D1" w:rsidRDefault="00EC204C" w:rsidP="00EC204C">
      <w:pPr>
        <w:pStyle w:val="BodyText"/>
        <w:tabs>
          <w:tab w:val="clear" w:pos="709"/>
        </w:tabs>
      </w:pPr>
      <w:r w:rsidRPr="008642D1">
        <w:t xml:space="preserve">As we discussed above, there is a variety of different perspectives on the concepts of sex and gender. Some people are sceptical or cautious about ideas of gender identity and gender fluidity and worry these ideas detract from the priority they think should be given to biological sex in social discourse and public policy. The term </w:t>
      </w:r>
      <w:r w:rsidRPr="008642D1" w:rsidDel="00310C61">
        <w:t>‘</w:t>
      </w:r>
      <w:r w:rsidRPr="008642D1">
        <w:t>gender critical</w:t>
      </w:r>
      <w:r w:rsidRPr="008642D1" w:rsidDel="00310C61">
        <w:t>’</w:t>
      </w:r>
      <w:r w:rsidRPr="008642D1">
        <w:t xml:space="preserve"> is commonly used to refer to this collection of views. We use that term in this Issues Paper</w:t>
      </w:r>
      <w:r w:rsidR="00C652CF">
        <w:t>,</w:t>
      </w:r>
      <w:r w:rsidRPr="008642D1">
        <w:t xml:space="preserve"> although we understand it is not a perfect term. </w:t>
      </w:r>
    </w:p>
    <w:p w14:paraId="2291A82D" w14:textId="1B42B761" w:rsidR="00EC204C" w:rsidRPr="008642D1" w:rsidRDefault="00EC204C" w:rsidP="00A40892">
      <w:pPr>
        <w:pStyle w:val="BodyText"/>
      </w:pPr>
      <w:r w:rsidRPr="008642D1">
        <w:t>For some people, gender</w:t>
      </w:r>
      <w:r w:rsidR="007700CE">
        <w:t>-</w:t>
      </w:r>
      <w:r w:rsidRPr="008642D1">
        <w:t xml:space="preserve">critical beliefs are linked to feminism. The term </w:t>
      </w:r>
      <w:r w:rsidR="00A1204D">
        <w:t>‘</w:t>
      </w:r>
      <w:r w:rsidRPr="008642D1">
        <w:t>trans-exclusionary radical feminist</w:t>
      </w:r>
      <w:r w:rsidR="00A1204D">
        <w:t>’</w:t>
      </w:r>
      <w:r w:rsidRPr="008642D1">
        <w:t xml:space="preserve"> was initially coined to distinguish the subset of radical </w:t>
      </w:r>
      <w:r w:rsidRPr="008642D1">
        <w:lastRenderedPageBreak/>
        <w:t>feminism that sought to exclude transgender women but is now regarded by some as derogatory.</w:t>
      </w:r>
      <w:r w:rsidRPr="008642D1">
        <w:rPr>
          <w:rStyle w:val="FootnoteReference"/>
        </w:rPr>
        <w:footnoteReference w:id="98"/>
      </w:r>
      <w:r w:rsidRPr="008642D1">
        <w:t xml:space="preserve"> </w:t>
      </w:r>
    </w:p>
    <w:p w14:paraId="48ED7B79" w14:textId="77777777" w:rsidR="00EC204C" w:rsidRPr="008642D1" w:rsidRDefault="00EC204C" w:rsidP="00EC204C">
      <w:pPr>
        <w:pStyle w:val="BodyText"/>
        <w:tabs>
          <w:tab w:val="clear" w:pos="709"/>
        </w:tabs>
      </w:pPr>
      <w:r w:rsidRPr="008642D1">
        <w:t xml:space="preserve">Not all feminists are gender critical and not all people who hold gender-critical views see those beliefs as linked to feminism. </w:t>
      </w:r>
      <w:r w:rsidRPr="008642D1" w:rsidDel="0096454E">
        <w:t xml:space="preserve">For example, some people might have gender-critical views based on </w:t>
      </w:r>
      <w:r w:rsidRPr="008642D1">
        <w:t>their</w:t>
      </w:r>
      <w:r w:rsidRPr="008642D1" w:rsidDel="0096454E">
        <w:t xml:space="preserve"> religious beliefs.</w:t>
      </w:r>
    </w:p>
    <w:p w14:paraId="59A6A27A" w14:textId="16F01EEE" w:rsidR="00EC204C" w:rsidRPr="008642D1" w:rsidRDefault="00EC204C" w:rsidP="00EC204C">
      <w:pPr>
        <w:pStyle w:val="BodyText"/>
        <w:tabs>
          <w:tab w:val="clear" w:pos="709"/>
        </w:tabs>
      </w:pPr>
      <w:r w:rsidRPr="008642D1">
        <w:t>There is no one homogen</w:t>
      </w:r>
      <w:r w:rsidR="00991A37">
        <w:t>e</w:t>
      </w:r>
      <w:r w:rsidRPr="008642D1">
        <w:t>ous set of gender-critical views. However, some</w:t>
      </w:r>
      <w:r w:rsidRPr="008642D1" w:rsidDel="00974B03">
        <w:t xml:space="preserve"> </w:t>
      </w:r>
      <w:r w:rsidRPr="008642D1">
        <w:t>core beliefs that we understand are held by many people who are gender critical are</w:t>
      </w:r>
      <w:r w:rsidRPr="008642D1" w:rsidDel="006949B6">
        <w:t xml:space="preserve"> </w:t>
      </w:r>
      <w:r w:rsidRPr="008642D1">
        <w:t>that sex is binary, innate and immutable and that the rights of cisgender women are being diluted by a</w:t>
      </w:r>
      <w:r w:rsidRPr="008642D1" w:rsidDel="00A61163">
        <w:t xml:space="preserve"> </w:t>
      </w:r>
      <w:r w:rsidRPr="008642D1">
        <w:t xml:space="preserve">focus in public policy and social discourse on gender identity. Some people also believe that the very idea of having a gender identity separate from one’s </w:t>
      </w:r>
      <w:r w:rsidR="00DC7206">
        <w:t>‘</w:t>
      </w:r>
      <w:r w:rsidRPr="008642D1">
        <w:t>biological</w:t>
      </w:r>
      <w:r w:rsidR="00DC7206">
        <w:t>’</w:t>
      </w:r>
      <w:r w:rsidRPr="008642D1">
        <w:t xml:space="preserve"> sex</w:t>
      </w:r>
      <w:r w:rsidRPr="008642D1" w:rsidDel="000631B7">
        <w:t xml:space="preserve"> </w:t>
      </w:r>
      <w:r w:rsidRPr="008642D1">
        <w:t xml:space="preserve">is </w:t>
      </w:r>
      <w:r w:rsidRPr="008642D1" w:rsidDel="00E0558A">
        <w:t xml:space="preserve">an </w:t>
      </w:r>
      <w:r w:rsidRPr="008642D1">
        <w:t>expression</w:t>
      </w:r>
      <w:r w:rsidRPr="008642D1" w:rsidDel="00E0558A">
        <w:t xml:space="preserve"> of</w:t>
      </w:r>
      <w:r w:rsidRPr="008642D1" w:rsidDel="00790D35">
        <w:t xml:space="preserve"> </w:t>
      </w:r>
      <w:r w:rsidRPr="008642D1">
        <w:t>ideology.</w:t>
      </w:r>
    </w:p>
    <w:p w14:paraId="68B41422" w14:textId="398DA15B" w:rsidR="00EC204C" w:rsidRPr="008642D1" w:rsidRDefault="00EC204C" w:rsidP="00EC204C">
      <w:pPr>
        <w:pStyle w:val="BodyText"/>
        <w:tabs>
          <w:tab w:val="clear" w:pos="709"/>
        </w:tabs>
      </w:pPr>
      <w:r w:rsidRPr="008642D1">
        <w:t>We are aware of a range of practical concerns that have been expressed about how gender identity is reflected in public policy</w:t>
      </w:r>
      <w:r w:rsidR="000340CA">
        <w:t>,</w:t>
      </w:r>
      <w:r w:rsidRPr="008642D1">
        <w:t xml:space="preserve"> many of which come from a gender-critical perspective. Where those concerns relate to issues in this review, we address them in relevant chapters.</w:t>
      </w:r>
    </w:p>
    <w:p w14:paraId="5F75592E" w14:textId="77777777" w:rsidR="00EC204C" w:rsidRPr="008642D1" w:rsidRDefault="00EC204C" w:rsidP="00EC204C">
      <w:pPr>
        <w:pStyle w:val="BodyText"/>
        <w:tabs>
          <w:tab w:val="clear" w:pos="709"/>
        </w:tabs>
      </w:pPr>
      <w:r w:rsidRPr="008642D1">
        <w:t>For completeness, we think it is important to note that, while some gender-critical groups in Aotearoa New Zealand oppose the general idea of amending the Human Rights Act to provide securer protection from discrimination to people who are transgender,</w:t>
      </w:r>
      <w:r w:rsidRPr="008642D1">
        <w:rPr>
          <w:rStyle w:val="FootnoteReference"/>
        </w:rPr>
        <w:footnoteReference w:id="99"/>
      </w:r>
      <w:r w:rsidRPr="008642D1">
        <w:t xml:space="preserve"> some do not. For example, the group Speak Up For Women has said gender non-conforming people should not face discrimination and has supported amending the Act.</w:t>
      </w:r>
      <w:r w:rsidRPr="008642D1">
        <w:rPr>
          <w:rStyle w:val="FootnoteReference"/>
        </w:rPr>
        <w:footnoteReference w:id="100"/>
      </w:r>
      <w:r w:rsidRPr="008642D1">
        <w:t xml:space="preserve"> However, the group also has specific policy</w:t>
      </w:r>
      <w:r w:rsidRPr="008642D1" w:rsidDel="00E57D4F">
        <w:t xml:space="preserve"> </w:t>
      </w:r>
      <w:r w:rsidRPr="008642D1">
        <w:t>concerns stemming from their gender-critical beliefs that would be relevant to how, precisely, the Act is reformed.</w:t>
      </w:r>
      <w:r w:rsidRPr="008642D1">
        <w:rPr>
          <w:rStyle w:val="FootnoteReference"/>
        </w:rPr>
        <w:footnoteReference w:id="101"/>
      </w:r>
    </w:p>
    <w:p w14:paraId="33EB2B14" w14:textId="77777777" w:rsidR="00EC204C" w:rsidRPr="008642D1" w:rsidRDefault="00EC204C" w:rsidP="00EC204C">
      <w:pPr>
        <w:pStyle w:val="Heading2"/>
      </w:pPr>
      <w:bookmarkStart w:id="54" w:name="_Toc170302126"/>
      <w:r w:rsidRPr="008642D1">
        <w:t>Terminology in this Issues Paper</w:t>
      </w:r>
      <w:bookmarkEnd w:id="54"/>
      <w:r w:rsidRPr="008642D1">
        <w:t xml:space="preserve"> </w:t>
      </w:r>
    </w:p>
    <w:p w14:paraId="5FE07149" w14:textId="77777777" w:rsidR="00EC204C" w:rsidRPr="008642D1" w:rsidRDefault="00EC204C" w:rsidP="00EC204C">
      <w:pPr>
        <w:pStyle w:val="BodyText"/>
        <w:tabs>
          <w:tab w:val="clear" w:pos="709"/>
        </w:tabs>
      </w:pPr>
      <w:r w:rsidRPr="008642D1">
        <w:rPr>
          <w:rFonts w:eastAsiaTheme="minorEastAsia"/>
          <w:shd w:val="clear" w:color="auto" w:fill="FFFFFF"/>
        </w:rPr>
        <w:t>As we have</w:t>
      </w:r>
      <w:r w:rsidRPr="008642D1" w:rsidDel="00E82B0C">
        <w:rPr>
          <w:rFonts w:eastAsiaTheme="minorEastAsia"/>
          <w:shd w:val="clear" w:color="auto" w:fill="FFFFFF"/>
        </w:rPr>
        <w:t xml:space="preserve"> </w:t>
      </w:r>
      <w:r w:rsidRPr="008642D1">
        <w:rPr>
          <w:rFonts w:eastAsiaTheme="minorEastAsia"/>
          <w:shd w:val="clear" w:color="auto" w:fill="FFFFFF"/>
        </w:rPr>
        <w:t xml:space="preserve">discussed in this chapter, there are many different terms that can refer to people who are transgender or non-binary or who have an innate variation of sex characteristics. We acknowledge the importance of people being able to refer to themselves using the language that is right for them. </w:t>
      </w:r>
    </w:p>
    <w:p w14:paraId="4066E140" w14:textId="77777777" w:rsidR="00EC204C" w:rsidRPr="008642D1" w:rsidRDefault="00EC204C" w:rsidP="00EC204C">
      <w:pPr>
        <w:pStyle w:val="BodyText"/>
        <w:tabs>
          <w:tab w:val="clear" w:pos="709"/>
        </w:tabs>
      </w:pPr>
      <w:r w:rsidRPr="008642D1">
        <w:rPr>
          <w:rFonts w:eastAsiaTheme="minorEastAsia"/>
          <w:shd w:val="clear" w:color="auto" w:fill="FFFFFF"/>
        </w:rPr>
        <w:t xml:space="preserve">At the same time, we have needed to settle on some consistent language for our Issues Paper for the purposes of readability and clarity. In a review of law, it helps to be as precise as possible with language. </w:t>
      </w:r>
      <w:r w:rsidRPr="008642D1">
        <w:t>We acknowledge that the terms we use in this Issues Paper will not resonate for everyone.</w:t>
      </w:r>
    </w:p>
    <w:p w14:paraId="45DC2506" w14:textId="37BC16A5" w:rsidR="00EC204C" w:rsidRPr="008642D1" w:rsidRDefault="00EC204C" w:rsidP="00EC204C">
      <w:pPr>
        <w:pStyle w:val="BodyText"/>
        <w:tabs>
          <w:tab w:val="clear" w:pos="709"/>
        </w:tabs>
      </w:pPr>
      <w:r w:rsidRPr="008642D1">
        <w:lastRenderedPageBreak/>
        <w:t xml:space="preserve">In this review, we generally use the phrase </w:t>
      </w:r>
      <w:r w:rsidR="00442B16">
        <w:t>‘</w:t>
      </w:r>
      <w:r w:rsidRPr="008642D1">
        <w:t>people who are transgender or non-binary or who have an innate variation of sex characteristics</w:t>
      </w:r>
      <w:r w:rsidR="00442B16">
        <w:t>’</w:t>
      </w:r>
      <w:r w:rsidRPr="008642D1">
        <w:t>. We</w:t>
      </w:r>
      <w:r w:rsidRPr="008642D1" w:rsidDel="00101D79">
        <w:t xml:space="preserve"> </w:t>
      </w:r>
      <w:r w:rsidRPr="008642D1">
        <w:t xml:space="preserve">use the composite phrase </w:t>
      </w:r>
      <w:r w:rsidR="00442B16">
        <w:t>‘</w:t>
      </w:r>
      <w:r w:rsidRPr="008642D1">
        <w:t xml:space="preserve">transgender </w:t>
      </w:r>
      <w:r w:rsidR="00085BA0">
        <w:t>or</w:t>
      </w:r>
      <w:r w:rsidRPr="008642D1">
        <w:t xml:space="preserve"> non-binary</w:t>
      </w:r>
      <w:r w:rsidR="00442B16">
        <w:t>’</w:t>
      </w:r>
      <w:r w:rsidRPr="008642D1">
        <w:t xml:space="preserve"> to refer to people whose gender identity is different to their sex assigned at birth</w:t>
      </w:r>
      <w:r w:rsidR="00164C01">
        <w:t>,</w:t>
      </w:r>
      <w:r w:rsidRPr="008642D1">
        <w:t xml:space="preserve"> including those whose gender identity is neither male nor female. This reflects the fact that some people who are non-binary consider themselves to be transgender or trans, but others do not. It is also consistent with the letter of referral from the Minister of Justice that initiated this review.</w:t>
      </w:r>
    </w:p>
    <w:p w14:paraId="298529AD" w14:textId="1F450AB4" w:rsidR="00EC204C" w:rsidRPr="008642D1" w:rsidRDefault="00EC204C" w:rsidP="00EC204C">
      <w:pPr>
        <w:pStyle w:val="BodyText"/>
        <w:tabs>
          <w:tab w:val="clear" w:pos="709"/>
        </w:tabs>
      </w:pPr>
      <w:r w:rsidRPr="008642D1">
        <w:t xml:space="preserve">We are more specific if the context requires it. For example, in some instances, the legal implications are different for people who identify outside the gender binary compared to those who do not. This is because, as we explained earlier in the chapter, a binary concept of sex and gender is deeply embedded in current law and practice. Where we need to make this distinction, we generally refer to people who </w:t>
      </w:r>
      <w:r w:rsidRPr="008642D1" w:rsidDel="005A2FF5">
        <w:t>‘</w:t>
      </w:r>
      <w:r w:rsidRPr="008642D1">
        <w:t>identify outside the gender binary</w:t>
      </w:r>
      <w:r w:rsidRPr="008642D1" w:rsidDel="005A2FF5">
        <w:t>’</w:t>
      </w:r>
      <w:r w:rsidRPr="008642D1">
        <w:rPr>
          <w:b/>
        </w:rPr>
        <w:t xml:space="preserve"> </w:t>
      </w:r>
      <w:r w:rsidRPr="008642D1">
        <w:t xml:space="preserve">rather than using specific labels. </w:t>
      </w:r>
    </w:p>
    <w:p w14:paraId="749CAB29" w14:textId="77777777" w:rsidR="00EC204C" w:rsidRPr="008642D1" w:rsidRDefault="00EC204C" w:rsidP="00EC204C">
      <w:pPr>
        <w:pStyle w:val="BodyText"/>
        <w:tabs>
          <w:tab w:val="clear" w:pos="709"/>
        </w:tabs>
      </w:pPr>
      <w:r w:rsidRPr="008642D1">
        <w:t xml:space="preserve">Another example of when we use more specific language is when we are discussing wording that might go into the Human Rights Act to frame new prohibited grounds of discrimination (Chapter 7).  </w:t>
      </w:r>
    </w:p>
    <w:p w14:paraId="395F3184" w14:textId="30ED3764" w:rsidR="00EC204C" w:rsidRPr="008642D1" w:rsidRDefault="00EC204C" w:rsidP="00EC204C">
      <w:pPr>
        <w:pStyle w:val="BodyText"/>
        <w:tabs>
          <w:tab w:val="clear" w:pos="709"/>
        </w:tabs>
      </w:pPr>
      <w:r w:rsidRPr="008642D1">
        <w:t xml:space="preserve">We generally refer to </w:t>
      </w:r>
      <w:r w:rsidRPr="008642D1" w:rsidDel="005A2FF5">
        <w:t>‘</w:t>
      </w:r>
      <w:r w:rsidRPr="008642D1">
        <w:t>people with an innate variation of sex characteristics</w:t>
      </w:r>
      <w:r w:rsidRPr="008642D1" w:rsidDel="005A2FF5">
        <w:t>’</w:t>
      </w:r>
      <w:r w:rsidRPr="008642D1">
        <w:t xml:space="preserve"> rather than using terms such as intersex or differences of sex development. While the term intersex is widely used, we understand that some people with an innate variation of sex characteristics do not see this term as applying to them. For some people, the term also has unhelpful connotations of </w:t>
      </w:r>
      <w:r w:rsidR="004744AF">
        <w:t xml:space="preserve">being </w:t>
      </w:r>
      <w:r w:rsidRPr="008642D1" w:rsidDel="005A2FF5">
        <w:t>‘</w:t>
      </w:r>
      <w:r w:rsidRPr="008642D1">
        <w:t>between the sexes</w:t>
      </w:r>
      <w:r w:rsidRPr="008642D1" w:rsidDel="005A2FF5">
        <w:t>’</w:t>
      </w:r>
      <w:r w:rsidRPr="008642D1">
        <w:t xml:space="preserve"> or being a third sex. As we have explained above, we understand the term differences of sex development is mainly used in medical contexts and may have a slightly narrower meaning. </w:t>
      </w:r>
    </w:p>
    <w:p w14:paraId="13FB64E8" w14:textId="0DFC3376" w:rsidR="00EC204C" w:rsidRPr="008642D1" w:rsidRDefault="00EC204C" w:rsidP="00EC204C">
      <w:pPr>
        <w:pStyle w:val="BodyText"/>
        <w:tabs>
          <w:tab w:val="clear" w:pos="709"/>
        </w:tabs>
      </w:pPr>
      <w:r w:rsidRPr="008642D1">
        <w:t xml:space="preserve">We refer to </w:t>
      </w:r>
      <w:r w:rsidRPr="00CA4070">
        <w:rPr>
          <w:i/>
          <w:iCs/>
        </w:rPr>
        <w:t>innate</w:t>
      </w:r>
      <w:r w:rsidRPr="008642D1">
        <w:t xml:space="preserve"> variations of sex characteristics to clarify that we are referring to variations that are congenital. This is to distinguish</w:t>
      </w:r>
      <w:r w:rsidRPr="008642D1" w:rsidDel="00931807">
        <w:t xml:space="preserve"> </w:t>
      </w:r>
      <w:r w:rsidRPr="008642D1">
        <w:t xml:space="preserve">them from variations in a person’s sex characteristics that have other causes such as a medical procedure or injury. While we know that some people who are transgender consider themselves to have an innate variation of sex characteristics, we do not use the term in this way in this review. This is so that we can separately consider the needs, interests and concerns of people who have a congenital variation of sex characteristics — as we consider we are required to do by the terms of the referral. (Whether the law should prohibit discrimination based on all variations of sex characteristics is a separate question, which we discuss in Chapter 7.) </w:t>
      </w:r>
    </w:p>
    <w:p w14:paraId="2E5AC47E" w14:textId="3E5A6A8D" w:rsidR="00EC204C" w:rsidRPr="008642D1" w:rsidRDefault="00EC204C" w:rsidP="00EC204C">
      <w:pPr>
        <w:pStyle w:val="BodyText"/>
        <w:tabs>
          <w:tab w:val="clear" w:pos="709"/>
        </w:tabs>
      </w:pPr>
      <w:r w:rsidRPr="008642D1">
        <w:t xml:space="preserve">We use the term </w:t>
      </w:r>
      <w:r w:rsidR="00301C4D">
        <w:t>‘</w:t>
      </w:r>
      <w:r w:rsidRPr="008642D1">
        <w:t>cisgender</w:t>
      </w:r>
      <w:r w:rsidR="00301C4D">
        <w:t>’</w:t>
      </w:r>
      <w:r w:rsidRPr="008642D1">
        <w:t xml:space="preserve"> to refer to someone whose gender is the same as their sex assigned at birth. We acknowledge that some people do not like this term and may even find it offensive. However, we have been unable to find another term that clearly and concisely conveys the same concept.</w:t>
      </w:r>
    </w:p>
    <w:p w14:paraId="6B30CFB1" w14:textId="2BCC9DC9" w:rsidR="00EC204C" w:rsidRPr="008642D1" w:rsidRDefault="00EC204C" w:rsidP="00EC204C">
      <w:pPr>
        <w:pStyle w:val="BodyText"/>
        <w:tabs>
          <w:tab w:val="clear" w:pos="709"/>
        </w:tabs>
      </w:pPr>
      <w:r w:rsidRPr="008642D1">
        <w:t xml:space="preserve">We occasionally use the word </w:t>
      </w:r>
      <w:r w:rsidR="00096436">
        <w:t>‘</w:t>
      </w:r>
      <w:r w:rsidRPr="008642D1">
        <w:t>rainbow</w:t>
      </w:r>
      <w:r w:rsidR="00096436">
        <w:t>’</w:t>
      </w:r>
      <w:r w:rsidRPr="008642D1">
        <w:t xml:space="preserve">, which is an umbrella term for gender and sexual minorities. </w:t>
      </w:r>
    </w:p>
    <w:p w14:paraId="4A9CA2CD" w14:textId="77777777" w:rsidR="00EC204C" w:rsidRPr="008642D1" w:rsidRDefault="00EC204C" w:rsidP="00EC204C">
      <w:pPr>
        <w:pStyle w:val="BodyText"/>
        <w:tabs>
          <w:tab w:val="clear" w:pos="709"/>
        </w:tabs>
      </w:pPr>
      <w:r w:rsidRPr="008642D1">
        <w:t xml:space="preserve">As noted above, the appropriate terminology for legislation is a different issue. The language we use in this Issues Paper will not necessarily be the best language to use in the Human Rights Act. In Chapter 7, we discuss different options for how any new ground or grounds in the Act could be worded. </w:t>
      </w:r>
    </w:p>
    <w:p w14:paraId="6C018C22" w14:textId="4717F7EE" w:rsidR="00EB70BA" w:rsidRPr="008642D1" w:rsidRDefault="00745147" w:rsidP="00EB70BA">
      <w:pPr>
        <w:pStyle w:val="BodyText"/>
        <w:numPr>
          <w:ilvl w:val="0"/>
          <w:numId w:val="0"/>
        </w:numPr>
        <w:ind w:left="709" w:hanging="709"/>
      </w:pPr>
      <w:r w:rsidRPr="008642D1">
        <w:rPr>
          <w:rFonts w:eastAsiaTheme="minorHAnsi"/>
          <w:noProof/>
          <w:lang w:eastAsia="en-NZ"/>
        </w:rPr>
        <mc:AlternateContent>
          <mc:Choice Requires="wpg">
            <w:drawing>
              <wp:anchor distT="0" distB="0" distL="114300" distR="114300" simplePos="0" relativeHeight="251658267" behindDoc="1" locked="0" layoutInCell="1" allowOverlap="1" wp14:anchorId="44124043" wp14:editId="76FDB43A">
                <wp:simplePos x="0" y="0"/>
                <wp:positionH relativeFrom="page">
                  <wp:posOffset>1080135</wp:posOffset>
                </wp:positionH>
                <wp:positionV relativeFrom="paragraph">
                  <wp:posOffset>304610</wp:posOffset>
                </wp:positionV>
                <wp:extent cx="1799590" cy="1270"/>
                <wp:effectExtent l="0" t="19050" r="10160" b="17780"/>
                <wp:wrapNone/>
                <wp:docPr id="355480810" name="Group 355480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236679676"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4C423" id="Group 355480810" o:spid="_x0000_s1026" style="position:absolute;margin-left:85.05pt;margin-top:24pt;width:141.7pt;height:.1pt;z-index:-251658213;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" path="m,l2097,e" filled="f" strokecolor="#72ab6a" strokeweight="3pt">
                  <v:path arrowok="t" o:connecttype="custom" o:connectlocs="0,0;2097,0" o:connectangles="0,0"/>
                </v:shape>
                <w10:wrap anchorx="page"/>
              </v:group>
            </w:pict>
          </mc:Fallback>
        </mc:AlternateContent>
      </w:r>
    </w:p>
    <w:p w14:paraId="1269ED4A" w14:textId="6E83887C" w:rsidR="00EB70BA" w:rsidRPr="008642D1" w:rsidRDefault="00EB70BA" w:rsidP="00EB70BA">
      <w:pPr>
        <w:pStyle w:val="BodyText"/>
        <w:numPr>
          <w:ilvl w:val="0"/>
          <w:numId w:val="0"/>
        </w:numPr>
        <w:ind w:left="709"/>
        <w:sectPr w:rsidR="00EB70BA" w:rsidRPr="008642D1" w:rsidSect="006B03F1">
          <w:headerReference w:type="default" r:id="rId33"/>
          <w:footerReference w:type="even" r:id="rId34"/>
          <w:footnotePr>
            <w:numRestart w:val="eachSect"/>
          </w:footnotePr>
          <w:pgSz w:w="11920" w:h="16840"/>
          <w:pgMar w:top="1134" w:right="1134" w:bottom="1134" w:left="1701" w:header="499" w:footer="46" w:gutter="0"/>
          <w:cols w:space="720"/>
          <w:docGrid w:linePitch="272"/>
        </w:sectPr>
      </w:pPr>
    </w:p>
    <w:p w14:paraId="04C0E9F5" w14:textId="77777777" w:rsidR="00EB70BA" w:rsidRPr="008642D1" w:rsidRDefault="00EB70BA" w:rsidP="00EB70BA">
      <w:pPr>
        <w:pStyle w:val="HEADING2topchapter-notinTOC"/>
      </w:pPr>
      <w:r w:rsidRPr="008642D1">
        <w:lastRenderedPageBreak/>
        <w:t>CHAPTER 3</w:t>
      </w:r>
    </w:p>
    <w:p w14:paraId="77DC06B6" w14:textId="77777777" w:rsidR="00EB70BA" w:rsidRPr="008642D1" w:rsidRDefault="00EB70BA" w:rsidP="00EB70BA">
      <w:pPr>
        <w:spacing w:line="200" w:lineRule="exact"/>
        <w:rPr>
          <w:szCs w:val="20"/>
        </w:rPr>
      </w:pPr>
      <w:r w:rsidRPr="008642D1">
        <w:rPr>
          <w:noProof/>
          <w:lang w:eastAsia="en-NZ"/>
        </w:rPr>
        <mc:AlternateContent>
          <mc:Choice Requires="wpg">
            <w:drawing>
              <wp:anchor distT="0" distB="0" distL="114300" distR="114300" simplePos="0" relativeHeight="251658253" behindDoc="1" locked="0" layoutInCell="1" allowOverlap="1" wp14:anchorId="6885A006" wp14:editId="6958F765">
                <wp:simplePos x="0" y="0"/>
                <wp:positionH relativeFrom="page">
                  <wp:posOffset>1076325</wp:posOffset>
                </wp:positionH>
                <wp:positionV relativeFrom="paragraph">
                  <wp:posOffset>6350</wp:posOffset>
                </wp:positionV>
                <wp:extent cx="1332230" cy="1270"/>
                <wp:effectExtent l="0" t="19050" r="1270" b="17780"/>
                <wp:wrapNone/>
                <wp:docPr id="494502362" name="Group 494502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054127873"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268CB4" id="Group 494502362" o:spid="_x0000_s1026" style="position:absolute;margin-left:84.75pt;margin-top:.5pt;width:104.9pt;height:.1pt;z-index:-251658227;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JsK/QIAAOA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4EFA627C" w14:textId="65ED5338" w:rsidR="00EB70BA" w:rsidRPr="008642D1" w:rsidRDefault="004B1519" w:rsidP="00DF306B">
      <w:pPr>
        <w:pStyle w:val="Heading1"/>
        <w:numPr>
          <w:ilvl w:val="0"/>
          <w:numId w:val="24"/>
        </w:numPr>
      </w:pPr>
      <w:bookmarkStart w:id="55" w:name="_Toc170302127"/>
      <w:r w:rsidRPr="008642D1">
        <w:rPr>
          <w:rFonts w:eastAsia="Metropolis Black"/>
        </w:rPr>
        <w:t>Experiences of discrimination</w:t>
      </w:r>
      <w:bookmarkEnd w:id="55"/>
    </w:p>
    <w:p w14:paraId="76A11E50" w14:textId="77777777" w:rsidR="00EB70BA" w:rsidRPr="008642D1" w:rsidRDefault="00EB70BA" w:rsidP="00EB70BA">
      <w:pPr>
        <w:spacing w:line="200" w:lineRule="exact"/>
        <w:rPr>
          <w:szCs w:val="20"/>
        </w:rPr>
      </w:pPr>
      <w:r w:rsidRPr="008642D1">
        <w:rPr>
          <w:noProof/>
          <w:lang w:eastAsia="en-NZ"/>
        </w:rPr>
        <mc:AlternateContent>
          <mc:Choice Requires="wpg">
            <w:drawing>
              <wp:anchor distT="0" distB="0" distL="114300" distR="114300" simplePos="0" relativeHeight="251658252" behindDoc="1" locked="0" layoutInCell="1" allowOverlap="1" wp14:anchorId="1517C924" wp14:editId="4C8C2FB0">
                <wp:simplePos x="0" y="0"/>
                <wp:positionH relativeFrom="page">
                  <wp:posOffset>1087427</wp:posOffset>
                </wp:positionH>
                <wp:positionV relativeFrom="paragraph">
                  <wp:posOffset>71755</wp:posOffset>
                </wp:positionV>
                <wp:extent cx="1332230" cy="1270"/>
                <wp:effectExtent l="0" t="19050" r="1270" b="17780"/>
                <wp:wrapNone/>
                <wp:docPr id="466836069" name="Group 466836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005231198"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3A9D9F" id="Group 466836069" o:spid="_x0000_s1026" style="position:absolute;margin-left:85.6pt;margin-top:5.65pt;width:104.9pt;height:.1pt;z-index:-251658228;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&#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1E14D927" w14:textId="77777777" w:rsidR="00EB70BA" w:rsidRPr="008642D1" w:rsidRDefault="00EB70BA" w:rsidP="00EB70BA"/>
    <w:p w14:paraId="5AF906EE" w14:textId="77777777" w:rsidR="00FA2C91" w:rsidRPr="008642D1" w:rsidRDefault="00FA2C91" w:rsidP="00FA2C91">
      <w:pPr>
        <w:pStyle w:val="Heading2"/>
        <w:rPr>
          <w:rFonts w:eastAsia="Metropolis Black"/>
        </w:rPr>
      </w:pPr>
      <w:bookmarkStart w:id="56" w:name="_Toc159247971"/>
      <w:bookmarkStart w:id="57" w:name="_Toc170302128"/>
      <w:r w:rsidRPr="008642D1">
        <w:t>Introduction</w:t>
      </w:r>
      <w:bookmarkEnd w:id="56"/>
      <w:bookmarkEnd w:id="57"/>
    </w:p>
    <w:p w14:paraId="3A7CB423" w14:textId="77777777" w:rsidR="00361703" w:rsidRPr="008642D1" w:rsidRDefault="00361703" w:rsidP="00361703">
      <w:pPr>
        <w:pStyle w:val="BodyText"/>
      </w:pPr>
      <w:r w:rsidRPr="008642D1">
        <w:t xml:space="preserve">We have been asked to review the adequacy of protections in the Human Rights Act 1993 for people who are transgender or non-binary or who have an innate variation of sex characteristics. People in these groups can experience discrimination and unfair treatment in many aspects of their lives. This chapter discusses some of the research on this and identifies some issues we have heard are of particular concern to people in these groups. This is important background to the law reform issues we are considering in this review. </w:t>
      </w:r>
    </w:p>
    <w:p w14:paraId="5D17828C" w14:textId="1F3F6342" w:rsidR="00361703" w:rsidRPr="008642D1" w:rsidRDefault="00361703" w:rsidP="00361703">
      <w:pPr>
        <w:pStyle w:val="BodyText"/>
      </w:pPr>
      <w:r w:rsidRPr="008642D1">
        <w:t>This chapter does not discuss whether amendments to the Human Rights Act are necessary and desirable whether to protect people in these groups from discrimination or to ensure the Act appropriately balances their right to freedom from discrimination against other relevant rights and interests. Those are questions for later chapters.</w:t>
      </w:r>
    </w:p>
    <w:p w14:paraId="69F81AE9" w14:textId="77777777" w:rsidR="00361703" w:rsidRPr="008642D1" w:rsidRDefault="00361703" w:rsidP="00361703">
      <w:pPr>
        <w:pStyle w:val="Heading2"/>
      </w:pPr>
      <w:bookmarkStart w:id="58" w:name="_Toc170302129"/>
      <w:r w:rsidRPr="008642D1">
        <w:t>People who are transgender or non-binary</w:t>
      </w:r>
      <w:bookmarkEnd w:id="58"/>
    </w:p>
    <w:p w14:paraId="6E2D459E" w14:textId="725E90B7" w:rsidR="00361703" w:rsidRPr="008642D1" w:rsidRDefault="00361703" w:rsidP="00D604B2">
      <w:pPr>
        <w:pStyle w:val="BodyText"/>
      </w:pPr>
      <w:r w:rsidRPr="008642D1">
        <w:t xml:space="preserve">The “extreme” social stigma and prejudice faced by people who are transgender </w:t>
      </w:r>
      <w:r w:rsidR="00CC1A10">
        <w:t>or</w:t>
      </w:r>
      <w:r w:rsidR="00CC1A10" w:rsidRPr="008642D1">
        <w:t xml:space="preserve"> </w:t>
      </w:r>
      <w:r w:rsidRPr="008642D1">
        <w:t>non-binary in Western societies throughout history has been described as a “notorious fact”.</w:t>
      </w:r>
      <w:r w:rsidRPr="008642D1">
        <w:rPr>
          <w:rStyle w:val="FootnoteReference"/>
        </w:rPr>
        <w:footnoteReference w:id="102"/>
      </w:r>
      <w:r w:rsidRPr="008642D1">
        <w:t xml:space="preserve"> A </w:t>
      </w:r>
      <w:r w:rsidRPr="008642D1" w:rsidDel="0004772F">
        <w:t>U</w:t>
      </w:r>
      <w:r w:rsidRPr="008642D1">
        <w:t xml:space="preserve">nited </w:t>
      </w:r>
      <w:r w:rsidRPr="008642D1" w:rsidDel="0004772F">
        <w:t>N</w:t>
      </w:r>
      <w:r w:rsidRPr="008642D1">
        <w:t>ations</w:t>
      </w:r>
      <w:r w:rsidRPr="008642D1" w:rsidDel="0004772F">
        <w:t xml:space="preserve"> Independent Expert </w:t>
      </w:r>
      <w:r w:rsidRPr="008642D1">
        <w:t>has suggested the levels of violence experienced by transgender people “offend the human conscience”</w:t>
      </w:r>
      <w:r w:rsidR="00286EBB">
        <w:t>.</w:t>
      </w:r>
      <w:r w:rsidRPr="008642D1">
        <w:rPr>
          <w:rStyle w:val="FootnoteReference"/>
        </w:rPr>
        <w:footnoteReference w:id="103"/>
      </w:r>
      <w:r w:rsidRPr="008642D1">
        <w:t xml:space="preserve"> The Canadian Supreme Court recently observed that transgender people “remain among the most marginalized in Canadian society”.</w:t>
      </w:r>
      <w:r w:rsidRPr="008642D1">
        <w:rPr>
          <w:rStyle w:val="FootnoteReference"/>
        </w:rPr>
        <w:footnoteReference w:id="104"/>
      </w:r>
      <w:r w:rsidRPr="008642D1">
        <w:t xml:space="preserve"> The Court described a history marked by suspicion, prejudice and stereotyping concluding that, despite some gains, “transgender people continue to live their lives ‘facing disadvantage, prejudice, stereotyping, and vulnerability’”.</w:t>
      </w:r>
      <w:r w:rsidRPr="008642D1">
        <w:rPr>
          <w:rStyle w:val="FootnoteReference"/>
        </w:rPr>
        <w:footnoteReference w:id="105"/>
      </w:r>
      <w:r w:rsidRPr="008642D1">
        <w:t xml:space="preserve"> </w:t>
      </w:r>
    </w:p>
    <w:p w14:paraId="59D4AA98" w14:textId="3FBAE685" w:rsidR="00361703" w:rsidRPr="008642D1" w:rsidRDefault="00361703" w:rsidP="00361703">
      <w:pPr>
        <w:pStyle w:val="BodyText"/>
      </w:pPr>
      <w:r w:rsidRPr="008642D1">
        <w:lastRenderedPageBreak/>
        <w:t xml:space="preserve">The same is true in Aotearoa New Zealand. In its 2008 report </w:t>
      </w:r>
      <w:r w:rsidRPr="008642D1">
        <w:rPr>
          <w:i/>
          <w:iCs/>
        </w:rPr>
        <w:t>To Be Who I Am</w:t>
      </w:r>
      <w:r w:rsidR="00286EBB">
        <w:t>,</w:t>
      </w:r>
      <w:r w:rsidRPr="008642D1">
        <w:rPr>
          <w:i/>
          <w:iCs/>
        </w:rPr>
        <w:t xml:space="preserve"> </w:t>
      </w:r>
      <w:r w:rsidRPr="008642D1">
        <w:t>Te Kāhui Tika Tangata | Human Rights Commission summed up the position as follows:</w:t>
      </w:r>
      <w:r w:rsidRPr="008642D1">
        <w:rPr>
          <w:vertAlign w:val="superscript"/>
        </w:rPr>
        <w:footnoteReference w:id="106"/>
      </w:r>
    </w:p>
    <w:p w14:paraId="4EA16E26" w14:textId="77777777" w:rsidR="00361703" w:rsidRPr="008642D1" w:rsidRDefault="00361703" w:rsidP="00361703">
      <w:pPr>
        <w:pStyle w:val="Quote"/>
      </w:pPr>
      <w:r w:rsidRPr="008642D1">
        <w:t>Trans people in New Zealand face discrimination that undermines the ability to have a secure family life, to find accommodation, to work, to build a career and to participate in community life. At worst, there was constant harassment and vicious assault. Trans people faced daily challenges simply to find acceptance and do the things other New Zealanders take for granted.</w:t>
      </w:r>
    </w:p>
    <w:p w14:paraId="220B74FC" w14:textId="0650F230" w:rsidR="00361703" w:rsidRPr="008642D1" w:rsidRDefault="00361703" w:rsidP="00D604B2">
      <w:pPr>
        <w:pStyle w:val="BodyText"/>
      </w:pPr>
      <w:r w:rsidRPr="008642D1">
        <w:t xml:space="preserve">In this section, we traverse some history, summarise some contemporary data on discrimination and violence against people who are transgender </w:t>
      </w:r>
      <w:r w:rsidR="007B2870">
        <w:t>or</w:t>
      </w:r>
      <w:r w:rsidR="007B2870" w:rsidRPr="008642D1">
        <w:t xml:space="preserve"> </w:t>
      </w:r>
      <w:r w:rsidRPr="008642D1">
        <w:t xml:space="preserve">non-binary and explore some distinctive issues and concerns of people in these groups. </w:t>
      </w:r>
    </w:p>
    <w:p w14:paraId="2C939E79" w14:textId="77777777" w:rsidR="00361703" w:rsidRPr="008642D1" w:rsidRDefault="00361703" w:rsidP="00361703">
      <w:pPr>
        <w:pStyle w:val="Heading3"/>
      </w:pPr>
      <w:r w:rsidRPr="008642D1">
        <w:t>Brief history</w:t>
      </w:r>
    </w:p>
    <w:p w14:paraId="363340E7" w14:textId="3A897A76" w:rsidR="00361703" w:rsidRPr="008642D1" w:rsidRDefault="00361703" w:rsidP="00361703">
      <w:pPr>
        <w:pStyle w:val="BodyText"/>
      </w:pPr>
      <w:r w:rsidRPr="008642D1">
        <w:t>Until recently, living openly as transgender almost inevitably meant living on the margins of New Zealand society and not being able to “fully participate in regular life”.</w:t>
      </w:r>
      <w:r w:rsidRPr="008642D1">
        <w:rPr>
          <w:rStyle w:val="FootnoteReference"/>
        </w:rPr>
        <w:footnoteReference w:id="107"/>
      </w:r>
      <w:r w:rsidRPr="008642D1">
        <w:t xml:space="preserve"> For example, New Zealand’s first openly transgender Member of Parliament, the late Georgina Beyer MNZM, described how the lack of employment opportunities for transgender people in the 1970s resulted in many being “funnelled” towards sex work.</w:t>
      </w:r>
      <w:r w:rsidRPr="008642D1">
        <w:rPr>
          <w:vertAlign w:val="superscript"/>
        </w:rPr>
        <w:footnoteReference w:id="108"/>
      </w:r>
      <w:r w:rsidRPr="008642D1">
        <w:t xml:space="preserve"> While, for some, sex work was (and remains) a choice, others felt they had no option.</w:t>
      </w:r>
      <w:r w:rsidRPr="008642D1">
        <w:rPr>
          <w:rStyle w:val="FootnoteReference"/>
        </w:rPr>
        <w:footnoteReference w:id="109"/>
      </w:r>
      <w:r w:rsidRPr="008642D1">
        <w:t xml:space="preserve"> According to the research of one scholar, this was particularly so for Māori: “</w:t>
      </w:r>
      <w:r w:rsidR="001F395B">
        <w:t>[I]</w:t>
      </w:r>
      <w:r w:rsidRPr="008642D1">
        <w:t>t was expected that if you were both Māori and a trans woman, then the only suitable job for you would be in sex work.”</w:t>
      </w:r>
      <w:r w:rsidRPr="008642D1">
        <w:rPr>
          <w:vertAlign w:val="superscript"/>
        </w:rPr>
        <w:footnoteReference w:id="110"/>
      </w:r>
      <w:r w:rsidRPr="008642D1">
        <w:t xml:space="preserve"> </w:t>
      </w:r>
    </w:p>
    <w:p w14:paraId="674DB98E" w14:textId="2B2A40E3" w:rsidR="00361703" w:rsidRPr="008642D1" w:rsidRDefault="00361703" w:rsidP="00361703">
      <w:pPr>
        <w:pStyle w:val="BodyText"/>
      </w:pPr>
      <w:r w:rsidRPr="008642D1">
        <w:t>Throughout the twentieth century, the legal status of transgender people in Aotearoa New Zealand was “largely characterised by invisibility”.</w:t>
      </w:r>
      <w:r w:rsidRPr="008642D1">
        <w:rPr>
          <w:vertAlign w:val="superscript"/>
        </w:rPr>
        <w:footnoteReference w:id="111"/>
      </w:r>
      <w:r w:rsidRPr="008642D1">
        <w:t xml:space="preserve"> It was not until 1995 that legislation was passed to enable transgender people to change their legal sex. The absence of legal status had numerous consequences. For example, it left people vulnerable to being </w:t>
      </w:r>
      <w:r w:rsidRPr="008642D1" w:rsidDel="00B321F6">
        <w:t>‘</w:t>
      </w:r>
      <w:r w:rsidRPr="008642D1">
        <w:t>outed</w:t>
      </w:r>
      <w:r w:rsidRPr="008642D1" w:rsidDel="00B321F6">
        <w:t>’</w:t>
      </w:r>
      <w:r w:rsidRPr="008642D1">
        <w:t xml:space="preserve"> and it meant heterosexual transgender people could not marry. Further, until 2013, a transgender person who was married had to either divorce or change their relationship from a marriage to a civil union before amending their sex on their birth certificate.</w:t>
      </w:r>
      <w:r w:rsidRPr="008642D1">
        <w:rPr>
          <w:rStyle w:val="FootnoteReference"/>
        </w:rPr>
        <w:footnoteReference w:id="112"/>
      </w:r>
    </w:p>
    <w:p w14:paraId="2BD45C0C" w14:textId="16061BE2" w:rsidR="00361703" w:rsidRPr="008642D1" w:rsidRDefault="00361703" w:rsidP="00361703">
      <w:pPr>
        <w:pStyle w:val="BodyText"/>
      </w:pPr>
      <w:r w:rsidRPr="008642D1">
        <w:t xml:space="preserve">Although being transgender was never illegal in Aotearoa New Zealand, laws and police practices were used to oppress people who were transgender. Transgender people could be targeted by laws and police practices about vagrancy, sex work, disorderly behaviour, indecent publications and, because they could not change their legal sex, same-sex sexual </w:t>
      </w:r>
      <w:r w:rsidRPr="008642D1">
        <w:lastRenderedPageBreak/>
        <w:t>activity.</w:t>
      </w:r>
      <w:r w:rsidRPr="008642D1">
        <w:rPr>
          <w:rStyle w:val="FootnoteReference"/>
        </w:rPr>
        <w:footnoteReference w:id="113"/>
      </w:r>
      <w:r w:rsidRPr="008642D1">
        <w:t xml:space="preserve"> For example, prior to 1966, transgender women were sometimes arrested for “behaving in an offensive manner in a public place” if they wore women’s clothing.</w:t>
      </w:r>
      <w:r w:rsidRPr="008642D1">
        <w:rPr>
          <w:rStyle w:val="FootnoteReference"/>
        </w:rPr>
        <w:footnoteReference w:id="114"/>
      </w:r>
      <w:r w:rsidRPr="008642D1">
        <w:t xml:space="preserve"> If transgender people were mistreated by police, there was little recourse. As Georgina Beyer MNZM put it: “I’m not saying it was right, but at that time who are you going to go and complain to?”</w:t>
      </w:r>
      <w:r w:rsidRPr="008642D1">
        <w:rPr>
          <w:rStyle w:val="FootnoteReference"/>
        </w:rPr>
        <w:footnoteReference w:id="115"/>
      </w:r>
      <w:r w:rsidRPr="008642D1">
        <w:t xml:space="preserve"> </w:t>
      </w:r>
    </w:p>
    <w:p w14:paraId="0CDBFB93" w14:textId="77777777" w:rsidR="00361703" w:rsidRPr="008642D1" w:rsidRDefault="00361703" w:rsidP="00361703">
      <w:pPr>
        <w:pStyle w:val="BodyText"/>
      </w:pPr>
      <w:r w:rsidRPr="008642D1">
        <w:t xml:space="preserve">In a 2004 review of human rights in Aotearoa New Zealand, the Human Rights Commission described </w:t>
      </w:r>
      <w:r w:rsidRPr="008642D1" w:rsidDel="00411FBF">
        <w:t xml:space="preserve">transgender </w:t>
      </w:r>
      <w:r w:rsidRPr="008642D1">
        <w:t xml:space="preserve">(along with intersex) </w:t>
      </w:r>
      <w:r w:rsidRPr="008642D1" w:rsidDel="00411FBF">
        <w:t>people</w:t>
      </w:r>
      <w:r w:rsidRPr="008642D1">
        <w:t xml:space="preserve"> as a “highly marginalised” population.</w:t>
      </w:r>
      <w:r w:rsidRPr="008642D1">
        <w:rPr>
          <w:vertAlign w:val="superscript"/>
        </w:rPr>
        <w:footnoteReference w:id="116"/>
      </w:r>
      <w:r w:rsidRPr="008642D1">
        <w:t xml:space="preserve"> </w:t>
      </w:r>
    </w:p>
    <w:p w14:paraId="6E4EE741" w14:textId="77777777" w:rsidR="00361703" w:rsidRPr="008642D1" w:rsidRDefault="00361703" w:rsidP="00361703">
      <w:pPr>
        <w:pStyle w:val="Heading3"/>
      </w:pPr>
      <w:r w:rsidRPr="008642D1">
        <w:t>Contemporary data on conventional forms of discrimination and mistreatment</w:t>
      </w:r>
    </w:p>
    <w:p w14:paraId="640A92EF" w14:textId="551173A8" w:rsidR="00361703" w:rsidRPr="008642D1" w:rsidDel="0018014B" w:rsidRDefault="00361703" w:rsidP="00361703">
      <w:pPr>
        <w:pStyle w:val="BodyText"/>
      </w:pPr>
      <w:r w:rsidRPr="008642D1">
        <w:t xml:space="preserve">There is recent evidence in Aotearoa New Zealand of changing attitudes to people who are transgender </w:t>
      </w:r>
      <w:r w:rsidR="007B2870">
        <w:t>or</w:t>
      </w:r>
      <w:r w:rsidR="007B2870" w:rsidRPr="008642D1">
        <w:t xml:space="preserve"> </w:t>
      </w:r>
      <w:r w:rsidRPr="008642D1">
        <w:t>non-binary.</w:t>
      </w:r>
      <w:r w:rsidRPr="008642D1">
        <w:rPr>
          <w:rStyle w:val="FootnoteReference"/>
        </w:rPr>
        <w:footnoteReference w:id="117"/>
      </w:r>
      <w:r w:rsidRPr="008642D1">
        <w:t xml:space="preserve"> However, people who are transgender </w:t>
      </w:r>
      <w:r w:rsidR="007B2870">
        <w:t>or</w:t>
      </w:r>
      <w:r w:rsidR="007B2870" w:rsidRPr="008642D1">
        <w:t xml:space="preserve"> </w:t>
      </w:r>
      <w:r w:rsidRPr="008642D1">
        <w:t xml:space="preserve">non-binary continue to experience significant challenges across many areas of daily life. </w:t>
      </w:r>
    </w:p>
    <w:p w14:paraId="04B3D171" w14:textId="5BAF04D3" w:rsidR="00361703" w:rsidRPr="008642D1" w:rsidRDefault="00361703" w:rsidP="00361703">
      <w:pPr>
        <w:pStyle w:val="BodyText"/>
      </w:pPr>
      <w:r w:rsidRPr="008642D1">
        <w:t xml:space="preserve">In 2019, the Transgender Health Research Lab published the first comprehensive national survey of the health and wellbeing of transgender and non-binary people in Aotearoa New Zealand — </w:t>
      </w:r>
      <w:r w:rsidRPr="008642D1">
        <w:rPr>
          <w:i/>
          <w:iCs/>
        </w:rPr>
        <w:t>Counting Ourselves</w:t>
      </w:r>
      <w:r w:rsidRPr="008642D1">
        <w:t>.</w:t>
      </w:r>
      <w:r w:rsidRPr="008642D1">
        <w:rPr>
          <w:rStyle w:val="FootnoteReference"/>
        </w:rPr>
        <w:footnoteReference w:id="118"/>
      </w:r>
      <w:r w:rsidRPr="008642D1">
        <w:t xml:space="preserve"> Almost half the participants in that survey reported having been discriminated against in the preceding 12 months. This is more than double the rate for the general population.</w:t>
      </w:r>
      <w:r w:rsidRPr="008642D1">
        <w:rPr>
          <w:rStyle w:val="FootnoteReference"/>
        </w:rPr>
        <w:footnoteReference w:id="119"/>
      </w:r>
      <w:r w:rsidRPr="008642D1">
        <w:t xml:space="preserve"> Research in Australia similarly found transgender and gender diverse participants experienced significantly higher levels of harassment and abuse than cisgender participants (45</w:t>
      </w:r>
      <w:r w:rsidR="00EA6A67">
        <w:t>–</w:t>
      </w:r>
      <w:r w:rsidRPr="008642D1">
        <w:t>52 per cent compared to 29</w:t>
      </w:r>
      <w:r w:rsidR="00EA6A67">
        <w:t>–</w:t>
      </w:r>
      <w:r w:rsidRPr="008642D1">
        <w:t>33 per cent).</w:t>
      </w:r>
      <w:r w:rsidRPr="008642D1">
        <w:rPr>
          <w:rStyle w:val="FootnoteReference"/>
        </w:rPr>
        <w:footnoteReference w:id="120"/>
      </w:r>
    </w:p>
    <w:p w14:paraId="01767DC6" w14:textId="2E92621F" w:rsidR="00361703" w:rsidRPr="008642D1" w:rsidRDefault="00361703" w:rsidP="00361703">
      <w:pPr>
        <w:pStyle w:val="BodyText"/>
      </w:pPr>
      <w:r w:rsidRPr="008642D1">
        <w:t>In this section, we summarise the data relating to conventional forms of discrimination and mistreatment. By this</w:t>
      </w:r>
      <w:r w:rsidR="00EA6A67">
        <w:t>,</w:t>
      </w:r>
      <w:r w:rsidRPr="008642D1">
        <w:t xml:space="preserve"> we mean types of discrimination and mistreatment that are also experienced by other marginalised groups in the community (for example, being refused employment, evicted from housing or experiencing violence or abuse). </w:t>
      </w:r>
    </w:p>
    <w:p w14:paraId="39C3BE5E" w14:textId="77777777" w:rsidR="00361703" w:rsidRPr="008642D1" w:rsidRDefault="00361703" w:rsidP="00361703">
      <w:pPr>
        <w:pStyle w:val="Heading4"/>
      </w:pPr>
      <w:r w:rsidRPr="008642D1">
        <w:t>Violence and online abuse</w:t>
      </w:r>
    </w:p>
    <w:p w14:paraId="256AE0C9" w14:textId="77777777" w:rsidR="00361703" w:rsidRPr="008642D1" w:rsidRDefault="00361703" w:rsidP="00361703">
      <w:pPr>
        <w:pStyle w:val="BodyText"/>
      </w:pPr>
      <w:r w:rsidRPr="008642D1">
        <w:t xml:space="preserve">Reports of hate-motivated offending against people in Aotearoa New Zealand who are transgender or non-binary are relatively common and seem to be increasing. According to a media article, police received 161 reports of hate crimes motivated by gender identity </w:t>
      </w:r>
      <w:r w:rsidRPr="008642D1">
        <w:lastRenderedPageBreak/>
        <w:t>in 2022 and 229 in 2023. Police believe there is significant underreporting and that the real figure is likely much higher.</w:t>
      </w:r>
      <w:r w:rsidRPr="008642D1">
        <w:rPr>
          <w:rStyle w:val="FootnoteReference"/>
        </w:rPr>
        <w:footnoteReference w:id="121"/>
      </w:r>
    </w:p>
    <w:p w14:paraId="103E4CA6" w14:textId="0633EC8D" w:rsidR="00361703" w:rsidRPr="008642D1" w:rsidRDefault="00361703" w:rsidP="00361703">
      <w:pPr>
        <w:pStyle w:val="BodyText"/>
      </w:pPr>
      <w:r w:rsidRPr="008642D1">
        <w:t>An emerging issue is the increasing levels of extreme anti-transgender content online.</w:t>
      </w:r>
      <w:r w:rsidRPr="008642D1">
        <w:rPr>
          <w:rStyle w:val="FootnoteReference"/>
        </w:rPr>
        <w:footnoteReference w:id="122"/>
      </w:r>
      <w:r w:rsidRPr="008642D1">
        <w:t xml:space="preserve"> Te Mana Whakaatu | Classification Office recently noted the increasing prevalence of anti-trans narratives online.</w:t>
      </w:r>
      <w:r w:rsidRPr="008642D1">
        <w:rPr>
          <w:rStyle w:val="FootnoteReference"/>
        </w:rPr>
        <w:footnoteReference w:id="123"/>
      </w:r>
      <w:r w:rsidRPr="008642D1">
        <w:t xml:space="preserve"> It called for more New Zealand-based data but shared international studies showing that it is common for transgender people to experience transphobic abuse online. One European survey found that 93 per cent of transgender respondents had experienced online abuse in the last five years (compared </w:t>
      </w:r>
      <w:r w:rsidR="000340CA">
        <w:t>to</w:t>
      </w:r>
      <w:r w:rsidR="000340CA" w:rsidRPr="008642D1">
        <w:t xml:space="preserve"> </w:t>
      </w:r>
      <w:r w:rsidRPr="008642D1">
        <w:t>70 per cent of cisgender rainbow respondents).</w:t>
      </w:r>
      <w:r w:rsidRPr="008642D1">
        <w:rPr>
          <w:rStyle w:val="FootnoteReference"/>
        </w:rPr>
        <w:footnoteReference w:id="124"/>
      </w:r>
      <w:r w:rsidRPr="008642D1">
        <w:t xml:space="preserve"> Incidents included insults, threats of physical or sexual violence, death threats, outing, having private details published, threats to destroy property and blackmail.</w:t>
      </w:r>
      <w:r w:rsidRPr="008642D1">
        <w:rPr>
          <w:rStyle w:val="FootnoteReference"/>
        </w:rPr>
        <w:footnoteReference w:id="125"/>
      </w:r>
      <w:r w:rsidRPr="008642D1">
        <w:t xml:space="preserve"> A British survey found that one in four transgender people had experienced online abuse in the past month.</w:t>
      </w:r>
      <w:r w:rsidRPr="008642D1">
        <w:rPr>
          <w:rStyle w:val="FootnoteReference"/>
        </w:rPr>
        <w:footnoteReference w:id="126"/>
      </w:r>
    </w:p>
    <w:p w14:paraId="410F36AD" w14:textId="324E5E4D" w:rsidR="00361703" w:rsidRPr="008642D1" w:rsidRDefault="00361703" w:rsidP="00361703">
      <w:pPr>
        <w:pStyle w:val="BodyText"/>
      </w:pPr>
      <w:r w:rsidRPr="008642D1">
        <w:t xml:space="preserve">Transgender and non-binary people also experience much higher rates of sexual violence than the general population. Almost a third of </w:t>
      </w:r>
      <w:r w:rsidRPr="008642D1">
        <w:rPr>
          <w:i/>
          <w:iCs/>
        </w:rPr>
        <w:t xml:space="preserve">Counting Ourselves </w:t>
      </w:r>
      <w:r w:rsidRPr="008642D1">
        <w:t>participants (32 per cent) reported someone had had sex with them against their will compared to seven per cent of the general population (11 per cent of women and three per cent of men).</w:t>
      </w:r>
      <w:r w:rsidRPr="008642D1">
        <w:rPr>
          <w:rStyle w:val="FootnoteReference"/>
        </w:rPr>
        <w:footnoteReference w:id="127"/>
      </w:r>
      <w:r w:rsidRPr="008642D1">
        <w:t xml:space="preserve"> Separate analysis of data for transgender women, transgender men and non-binary participants showed that each group reported rates of such sexual violence that were two to three times higher than for women in the general population and seven to 12 times higher than for men in the general population.</w:t>
      </w:r>
      <w:r w:rsidRPr="008642D1">
        <w:rPr>
          <w:rStyle w:val="FootnoteReference"/>
        </w:rPr>
        <w:footnoteReference w:id="128"/>
      </w:r>
      <w:r w:rsidRPr="008642D1">
        <w:t xml:space="preserve"> According to a survey of survivors of family and sexual violence, more than half of transgender and non-binary participants did not report the violence to the police.</w:t>
      </w:r>
      <w:r w:rsidRPr="008642D1">
        <w:rPr>
          <w:rStyle w:val="FootnoteReference"/>
        </w:rPr>
        <w:footnoteReference w:id="129"/>
      </w:r>
      <w:r w:rsidRPr="008642D1">
        <w:t xml:space="preserve"> A key reason was a fear that the police would treat them badly, including because of their gender.</w:t>
      </w:r>
      <w:r w:rsidRPr="008642D1">
        <w:rPr>
          <w:rStyle w:val="FootnoteReference"/>
        </w:rPr>
        <w:footnoteReference w:id="130"/>
      </w:r>
      <w:r w:rsidRPr="008642D1">
        <w:t xml:space="preserve"> Of those transgender and non-binary participants who had reported family and sexual violence to the police, over a third (37 per cent) rated their first contact as very poor and only three per cent gave it a very good rating.</w:t>
      </w:r>
      <w:r w:rsidRPr="008642D1">
        <w:rPr>
          <w:rStyle w:val="FootnoteReference"/>
        </w:rPr>
        <w:footnoteReference w:id="131"/>
      </w:r>
      <w:r w:rsidRPr="008642D1">
        <w:t xml:space="preserve"> By comparison, 15 per</w:t>
      </w:r>
      <w:r w:rsidR="00671FA9">
        <w:t xml:space="preserve"> </w:t>
      </w:r>
      <w:r w:rsidRPr="008642D1">
        <w:t xml:space="preserve">cent of all women in an earlier survey conducted by the </w:t>
      </w:r>
      <w:r w:rsidRPr="008642D1">
        <w:lastRenderedPageBreak/>
        <w:t>same organisation rated their first contact with police as very poor and 17 per cent gave it a very good rating.</w:t>
      </w:r>
      <w:r w:rsidRPr="008642D1">
        <w:rPr>
          <w:rStyle w:val="FootnoteReference"/>
        </w:rPr>
        <w:footnoteReference w:id="132"/>
      </w:r>
      <w:r w:rsidRPr="008642D1">
        <w:t xml:space="preserve"> </w:t>
      </w:r>
    </w:p>
    <w:p w14:paraId="7FB1516D" w14:textId="2FAA32EA" w:rsidR="00361703" w:rsidRPr="008642D1" w:rsidRDefault="00361703" w:rsidP="00361703">
      <w:pPr>
        <w:pStyle w:val="BodyText"/>
      </w:pPr>
      <w:r w:rsidRPr="008642D1">
        <w:t xml:space="preserve">Transgender and non-binary participants were three times as likely to say police made fun of them than the women who had been surveyed (21 per cent compared </w:t>
      </w:r>
      <w:r w:rsidR="000340CA">
        <w:t>to</w:t>
      </w:r>
      <w:r w:rsidR="000340CA" w:rsidRPr="008642D1">
        <w:t xml:space="preserve"> </w:t>
      </w:r>
      <w:r w:rsidRPr="008642D1">
        <w:t>seven per cent).</w:t>
      </w:r>
      <w:r w:rsidRPr="008642D1">
        <w:rPr>
          <w:rStyle w:val="FootnoteReference"/>
        </w:rPr>
        <w:footnoteReference w:id="133"/>
      </w:r>
      <w:r w:rsidRPr="008642D1">
        <w:t xml:space="preserve"> They were also much more likely to say that police involvement made them feel less safe and made their situation worse.</w:t>
      </w:r>
      <w:r w:rsidRPr="008642D1">
        <w:rPr>
          <w:rStyle w:val="FootnoteReference"/>
        </w:rPr>
        <w:footnoteReference w:id="134"/>
      </w:r>
    </w:p>
    <w:p w14:paraId="508DC6D8" w14:textId="77777777" w:rsidR="00361703" w:rsidRPr="008642D1" w:rsidRDefault="00361703" w:rsidP="00361703">
      <w:pPr>
        <w:pStyle w:val="Heading4"/>
      </w:pPr>
      <w:r w:rsidRPr="008642D1">
        <w:t>Mental distress</w:t>
      </w:r>
    </w:p>
    <w:p w14:paraId="6A123D3C" w14:textId="24ED338A" w:rsidR="00361703" w:rsidRPr="008642D1" w:rsidRDefault="00361703" w:rsidP="00361703">
      <w:pPr>
        <w:pStyle w:val="BodyText"/>
      </w:pPr>
      <w:r w:rsidRPr="008642D1">
        <w:t>According to studies from Aotearoa New Zealand and Australia, fear of discrimination or violence can result in transgender and non-binary people hiding or suppressing their identities.</w:t>
      </w:r>
      <w:r w:rsidRPr="008642D1">
        <w:rPr>
          <w:rStyle w:val="FootnoteReference"/>
        </w:rPr>
        <w:footnoteReference w:id="135"/>
      </w:r>
      <w:r w:rsidRPr="008642D1">
        <w:t xml:space="preserve"> An Australian study showed that transgender and non-binary people experience high levels of mental distress, particularly depression and anxiety.</w:t>
      </w:r>
      <w:r w:rsidRPr="008642D1">
        <w:rPr>
          <w:vertAlign w:val="superscript"/>
        </w:rPr>
        <w:footnoteReference w:id="136"/>
      </w:r>
      <w:r w:rsidRPr="008642D1">
        <w:t xml:space="preserve"> Similarly, 71 per cent of </w:t>
      </w:r>
      <w:r w:rsidRPr="008642D1">
        <w:rPr>
          <w:i/>
          <w:iCs/>
        </w:rPr>
        <w:t xml:space="preserve">Counting Ourselves </w:t>
      </w:r>
      <w:r w:rsidRPr="008642D1">
        <w:t xml:space="preserve">participants had experienced high or very high psychological distress compared </w:t>
      </w:r>
      <w:r w:rsidR="00087A9E">
        <w:t>to</w:t>
      </w:r>
      <w:r w:rsidR="00087A9E" w:rsidRPr="008642D1">
        <w:t xml:space="preserve"> </w:t>
      </w:r>
      <w:r w:rsidRPr="008642D1">
        <w:t>eight per cent of the general population. Forty-two per cent of participants had deliberately injured themselves in the past 12 months</w:t>
      </w:r>
      <w:r w:rsidR="003327E9">
        <w:t>,</w:t>
      </w:r>
      <w:r w:rsidRPr="008642D1">
        <w:t xml:space="preserve"> and 79 per cent had seriously thought about attempting suicide at some point.</w:t>
      </w:r>
      <w:r w:rsidRPr="008642D1">
        <w:rPr>
          <w:rStyle w:val="FootnoteReference"/>
        </w:rPr>
        <w:footnoteReference w:id="137"/>
      </w:r>
    </w:p>
    <w:p w14:paraId="58C40ECC" w14:textId="77777777" w:rsidR="00361703" w:rsidRPr="008642D1" w:rsidRDefault="00361703" w:rsidP="00361703">
      <w:pPr>
        <w:pStyle w:val="BodyText"/>
      </w:pPr>
      <w:r w:rsidRPr="008642D1">
        <w:t xml:space="preserve">Research indicates a connection between these high rates of mental distress and experiences of discrimination. </w:t>
      </w:r>
      <w:r w:rsidRPr="008642D1">
        <w:rPr>
          <w:i/>
          <w:iCs/>
        </w:rPr>
        <w:t>Counting Ourselves</w:t>
      </w:r>
      <w:r w:rsidRPr="008642D1">
        <w:t xml:space="preserve"> participants who had experienced discrimination due to their gender identity were more likely to report very high psychological distress and twice as likely to have attempted suicide in the past year.</w:t>
      </w:r>
      <w:r w:rsidRPr="008642D1">
        <w:rPr>
          <w:rStyle w:val="FootnoteReference"/>
        </w:rPr>
        <w:footnoteReference w:id="138"/>
      </w:r>
    </w:p>
    <w:p w14:paraId="74788671" w14:textId="77777777" w:rsidR="00361703" w:rsidRPr="008642D1" w:rsidRDefault="00361703" w:rsidP="00361703">
      <w:pPr>
        <w:pStyle w:val="Heading4"/>
      </w:pPr>
      <w:r w:rsidRPr="008642D1">
        <w:t>Employment</w:t>
      </w:r>
    </w:p>
    <w:p w14:paraId="4ECA9130" w14:textId="24FF8960" w:rsidR="00361703" w:rsidRPr="008642D1" w:rsidRDefault="00361703" w:rsidP="00361703">
      <w:pPr>
        <w:pStyle w:val="BodyText"/>
      </w:pPr>
      <w:r w:rsidRPr="008642D1">
        <w:t xml:space="preserve">Available data suggest that people who are transgender </w:t>
      </w:r>
      <w:r w:rsidR="007B2870">
        <w:t>or</w:t>
      </w:r>
      <w:r w:rsidR="007B2870" w:rsidRPr="008642D1">
        <w:t xml:space="preserve"> </w:t>
      </w:r>
      <w:r w:rsidRPr="008642D1">
        <w:t>non-binary experience significant challenges in the workforce. They are unemployed at around twice the rate of the general population</w:t>
      </w:r>
      <w:r w:rsidRPr="008642D1">
        <w:rPr>
          <w:rStyle w:val="FootnoteReference"/>
        </w:rPr>
        <w:footnoteReference w:id="139"/>
      </w:r>
      <w:r w:rsidRPr="008642D1">
        <w:t xml:space="preserve"> and have an average income that is substantially less than people </w:t>
      </w:r>
      <w:r w:rsidRPr="008642D1">
        <w:lastRenderedPageBreak/>
        <w:t>who are cisgender.</w:t>
      </w:r>
      <w:r w:rsidRPr="008642D1">
        <w:rPr>
          <w:rStyle w:val="FootnoteReference"/>
        </w:rPr>
        <w:footnoteReference w:id="140"/>
      </w:r>
      <w:r w:rsidRPr="008642D1">
        <w:t xml:space="preserve"> The </w:t>
      </w:r>
      <w:r w:rsidRPr="008642D1">
        <w:rPr>
          <w:i/>
          <w:iCs/>
        </w:rPr>
        <w:t>Counting Ourselves</w:t>
      </w:r>
      <w:r w:rsidRPr="008642D1">
        <w:t xml:space="preserve"> survey found that its participants were two or three times more likely to experience material hardship than the general population.</w:t>
      </w:r>
      <w:r w:rsidRPr="008642D1">
        <w:rPr>
          <w:rStyle w:val="FootnoteReference"/>
        </w:rPr>
        <w:footnoteReference w:id="141"/>
      </w:r>
      <w:r w:rsidRPr="008642D1">
        <w:t xml:space="preserve"> </w:t>
      </w:r>
    </w:p>
    <w:p w14:paraId="4C30CD42" w14:textId="2466983C" w:rsidR="00361703" w:rsidRPr="008642D1" w:rsidRDefault="00361703" w:rsidP="00361703">
      <w:pPr>
        <w:pStyle w:val="BodyText"/>
      </w:pPr>
      <w:r w:rsidRPr="008642D1">
        <w:t>People who are transgender</w:t>
      </w:r>
      <w:r w:rsidRPr="008642D1" w:rsidDel="007B2870">
        <w:t xml:space="preserve"> </w:t>
      </w:r>
      <w:r w:rsidR="007B2870">
        <w:t>or</w:t>
      </w:r>
      <w:r w:rsidR="007B2870" w:rsidRPr="008642D1">
        <w:t xml:space="preserve"> </w:t>
      </w:r>
      <w:r w:rsidRPr="008642D1">
        <w:t xml:space="preserve">non-binary report significant obstacles to gaining employment. Twenty-six per cent of </w:t>
      </w:r>
      <w:r w:rsidRPr="008642D1">
        <w:rPr>
          <w:i/>
          <w:iCs/>
        </w:rPr>
        <w:t>Counting Ourselves</w:t>
      </w:r>
      <w:r w:rsidRPr="008642D1">
        <w:t xml:space="preserve"> participants said their gender expression had made it hard for them to get paid work</w:t>
      </w:r>
      <w:r w:rsidR="00AA5784">
        <w:t>,</w:t>
      </w:r>
      <w:r w:rsidRPr="008642D1">
        <w:t xml:space="preserve"> and 11 per cent said they faced discrimination once the interviewer realised they were transgender or non-binary.</w:t>
      </w:r>
      <w:r w:rsidRPr="008642D1">
        <w:rPr>
          <w:rStyle w:val="FootnoteReference"/>
        </w:rPr>
        <w:footnoteReference w:id="142"/>
      </w:r>
      <w:r w:rsidRPr="008642D1">
        <w:t xml:space="preserve"> The Human Rights Commission’s 2008 report </w:t>
      </w:r>
      <w:r w:rsidRPr="008642D1">
        <w:rPr>
          <w:i/>
          <w:iCs/>
        </w:rPr>
        <w:t>To Be Who I Am</w:t>
      </w:r>
      <w:r w:rsidRPr="008642D1">
        <w:t xml:space="preserve"> described one transgender woman receiving 147 rejection letters post-transition before she gained a job.</w:t>
      </w:r>
      <w:r w:rsidRPr="008642D1">
        <w:rPr>
          <w:rStyle w:val="FootnoteReference"/>
        </w:rPr>
        <w:footnoteReference w:id="143"/>
      </w:r>
      <w:r w:rsidRPr="008642D1">
        <w:t xml:space="preserve"> </w:t>
      </w:r>
    </w:p>
    <w:p w14:paraId="073F2942" w14:textId="23A32D9A" w:rsidR="00361703" w:rsidRPr="008642D1" w:rsidRDefault="00361703" w:rsidP="00361703">
      <w:pPr>
        <w:pStyle w:val="BodyText"/>
      </w:pPr>
      <w:r w:rsidRPr="008642D1">
        <w:t xml:space="preserve">People who are transgender </w:t>
      </w:r>
      <w:r w:rsidR="007B2870">
        <w:t>or</w:t>
      </w:r>
      <w:r w:rsidR="007B2870" w:rsidRPr="008642D1">
        <w:t xml:space="preserve"> </w:t>
      </w:r>
      <w:r w:rsidRPr="008642D1">
        <w:t>non-binary also report a range of concerns about their treatment once in employment. These include</w:t>
      </w:r>
      <w:r w:rsidRPr="008642D1" w:rsidDel="004A191E">
        <w:t xml:space="preserve"> </w:t>
      </w:r>
      <w:r w:rsidRPr="008642D1">
        <w:t>receiving worse pay or conditions than co-workers, being bullied, being denied promotions, being removed from public-facing roles, losing a job and quitting because of how they were treated as a transgender or non-binary person.</w:t>
      </w:r>
      <w:r w:rsidRPr="008642D1">
        <w:rPr>
          <w:rStyle w:val="FootnoteReference"/>
        </w:rPr>
        <w:footnoteReference w:id="144"/>
      </w:r>
      <w:r w:rsidRPr="008642D1">
        <w:t xml:space="preserve">  </w:t>
      </w:r>
    </w:p>
    <w:p w14:paraId="1D1E7902" w14:textId="77777777" w:rsidR="00361703" w:rsidRPr="008642D1" w:rsidRDefault="00361703" w:rsidP="00361703">
      <w:pPr>
        <w:pStyle w:val="Heading4"/>
      </w:pPr>
      <w:r w:rsidRPr="008642D1">
        <w:t>Accessing goods, services and public facilities</w:t>
      </w:r>
    </w:p>
    <w:p w14:paraId="351505C3" w14:textId="77777777" w:rsidR="00361703" w:rsidRPr="008642D1" w:rsidRDefault="00361703" w:rsidP="00361703">
      <w:pPr>
        <w:pStyle w:val="BodyText"/>
      </w:pPr>
      <w:r w:rsidRPr="008642D1">
        <w:t xml:space="preserve">It is also common for people who are transgender or non-binary to experience discrimination when seeking to access goods, services or public facilities. A quarter of </w:t>
      </w:r>
      <w:r w:rsidRPr="008642D1">
        <w:rPr>
          <w:i/>
          <w:iCs/>
        </w:rPr>
        <w:t xml:space="preserve">Counting Ourselves </w:t>
      </w:r>
      <w:r w:rsidRPr="008642D1">
        <w:t>participants reported being discriminated against on a street or in a public place in the last 12 months compared to six per cent of the general population. Similarly, 14 per cent reported discrimination in a shop or restaurant compared to three per cent of the general population.</w:t>
      </w:r>
      <w:r w:rsidRPr="008642D1">
        <w:rPr>
          <w:rStyle w:val="FootnoteReference"/>
        </w:rPr>
        <w:footnoteReference w:id="145"/>
      </w:r>
      <w:r w:rsidRPr="008642D1">
        <w:t xml:space="preserve"> </w:t>
      </w:r>
    </w:p>
    <w:p w14:paraId="028AE0FC" w14:textId="08FC3AF5" w:rsidR="00361703" w:rsidRPr="008642D1" w:rsidRDefault="00361703" w:rsidP="00361703">
      <w:pPr>
        <w:pStyle w:val="BodyText"/>
      </w:pPr>
      <w:r w:rsidRPr="008642D1">
        <w:t xml:space="preserve">Many </w:t>
      </w:r>
      <w:r w:rsidRPr="008642D1">
        <w:rPr>
          <w:i/>
          <w:iCs/>
        </w:rPr>
        <w:t xml:space="preserve">Counting Ourselves </w:t>
      </w:r>
      <w:r w:rsidRPr="008642D1">
        <w:t>participants said they avoided venues such as gyms, pools, banks, hotels and theatres because they feared being mistreated for being transgender or non-binary. Some reported being treated unfairly or verbally harassed when visiting these types of places.</w:t>
      </w:r>
      <w:r w:rsidRPr="008642D1">
        <w:rPr>
          <w:rStyle w:val="FootnoteReference"/>
        </w:rPr>
        <w:footnoteReference w:id="146"/>
      </w:r>
      <w:r w:rsidRPr="008642D1">
        <w:t xml:space="preserve"> In a New Zealand survey of takatāpui and rainbow older people (55 years of age or older), three</w:t>
      </w:r>
      <w:r w:rsidR="00AA5784">
        <w:t>-</w:t>
      </w:r>
      <w:r w:rsidRPr="008642D1">
        <w:t>quarters of transgender and non-binary respondents reported, at some time in their life, avoiding a street or public place due to fear of mistreatment.</w:t>
      </w:r>
      <w:r w:rsidRPr="008642D1">
        <w:rPr>
          <w:rStyle w:val="FootnoteReference"/>
        </w:rPr>
        <w:footnoteReference w:id="147"/>
      </w:r>
      <w:r w:rsidRPr="008642D1">
        <w:t xml:space="preserve"> Similarly, 46 per cent had avoided public transport and 43 per cent had avoided going to a shop or restaurant.</w:t>
      </w:r>
      <w:r w:rsidRPr="008642D1">
        <w:rPr>
          <w:rStyle w:val="FootnoteReference"/>
        </w:rPr>
        <w:footnoteReference w:id="148"/>
      </w:r>
    </w:p>
    <w:p w14:paraId="24E5E08A" w14:textId="0D4D35D0" w:rsidR="00361703" w:rsidRPr="008642D1" w:rsidRDefault="00361703" w:rsidP="00361703">
      <w:pPr>
        <w:pStyle w:val="BodyText"/>
      </w:pPr>
      <w:r w:rsidRPr="008642D1">
        <w:lastRenderedPageBreak/>
        <w:t>Health</w:t>
      </w:r>
      <w:r w:rsidR="00786D6C">
        <w:t xml:space="preserve"> </w:t>
      </w:r>
      <w:r w:rsidRPr="008642D1">
        <w:t xml:space="preserve">care is another context in which people who are transgender </w:t>
      </w:r>
      <w:r w:rsidR="007B2870">
        <w:t>or</w:t>
      </w:r>
      <w:r w:rsidR="007B2870" w:rsidRPr="008642D1">
        <w:t xml:space="preserve"> </w:t>
      </w:r>
      <w:r w:rsidRPr="008642D1">
        <w:t xml:space="preserve">non-binary often report negative experiences. In the </w:t>
      </w:r>
      <w:r w:rsidRPr="008642D1">
        <w:rPr>
          <w:i/>
          <w:iCs/>
        </w:rPr>
        <w:t xml:space="preserve">Counting Ourselves </w:t>
      </w:r>
      <w:r w:rsidRPr="008642D1">
        <w:t xml:space="preserve">survey, eight per cent of respondents reported being discriminated against when seeking medical care in the last 12 months compared </w:t>
      </w:r>
      <w:r w:rsidR="00087A9E">
        <w:t>to</w:t>
      </w:r>
      <w:r w:rsidR="00087A9E" w:rsidRPr="008642D1">
        <w:t xml:space="preserve"> </w:t>
      </w:r>
      <w:r w:rsidRPr="008642D1">
        <w:t>one per cent of the general population.</w:t>
      </w:r>
      <w:r w:rsidRPr="008642D1">
        <w:rPr>
          <w:vertAlign w:val="superscript"/>
        </w:rPr>
        <w:footnoteReference w:id="149"/>
      </w:r>
      <w:r w:rsidRPr="008642D1">
        <w:t xml:space="preserve"> Over a third of respondents reported not visiting a doctor because they thought they would be disrespected or mistreated as a transgender or non-binary person, and 20 per cent of respondents said that this had happened in the last 12 months.</w:t>
      </w:r>
      <w:r w:rsidRPr="008642D1">
        <w:rPr>
          <w:rStyle w:val="FootnoteReference"/>
        </w:rPr>
        <w:footnoteReference w:id="150"/>
      </w:r>
      <w:r w:rsidRPr="008642D1">
        <w:t xml:space="preserve"> In a survey of older people, 24 per cent of transgender and non-binary respondents reported mistreatment when seeking health</w:t>
      </w:r>
      <w:r w:rsidR="00D76ADF">
        <w:t xml:space="preserve"> </w:t>
      </w:r>
      <w:r w:rsidRPr="008642D1">
        <w:t>care</w:t>
      </w:r>
      <w:r w:rsidR="00952297">
        <w:t>,</w:t>
      </w:r>
      <w:r w:rsidRPr="008642D1">
        <w:t xml:space="preserve"> and 21 per cent had avoided seeking health</w:t>
      </w:r>
      <w:r w:rsidR="00650A3C">
        <w:t xml:space="preserve"> </w:t>
      </w:r>
      <w:r w:rsidRPr="008642D1">
        <w:t>care due to fear of mistreatment.</w:t>
      </w:r>
      <w:r w:rsidRPr="008642D1">
        <w:rPr>
          <w:rStyle w:val="FootnoteReference"/>
        </w:rPr>
        <w:footnoteReference w:id="151"/>
      </w:r>
      <w:r w:rsidRPr="008642D1">
        <w:t xml:space="preserve"> </w:t>
      </w:r>
    </w:p>
    <w:p w14:paraId="21E3E26F" w14:textId="77777777" w:rsidR="00361703" w:rsidRPr="008642D1" w:rsidRDefault="00361703" w:rsidP="00361703">
      <w:pPr>
        <w:pStyle w:val="Heading4"/>
      </w:pPr>
      <w:r w:rsidRPr="008642D1">
        <w:t>Housing and accommodation</w:t>
      </w:r>
    </w:p>
    <w:p w14:paraId="3E726DB4" w14:textId="474E7C62" w:rsidR="00361703" w:rsidRPr="008642D1" w:rsidRDefault="00361703" w:rsidP="00361703">
      <w:pPr>
        <w:pStyle w:val="BodyText"/>
      </w:pPr>
      <w:r w:rsidRPr="008642D1">
        <w:t xml:space="preserve">We understand housing instability is a significant issue for some people who are transgender </w:t>
      </w:r>
      <w:r w:rsidR="007B2870">
        <w:t>or</w:t>
      </w:r>
      <w:r w:rsidR="007B2870" w:rsidRPr="008642D1">
        <w:t xml:space="preserve"> </w:t>
      </w:r>
      <w:r w:rsidRPr="008642D1">
        <w:t xml:space="preserve">non-binary. Almost one in five </w:t>
      </w:r>
      <w:r w:rsidRPr="008642D1">
        <w:rPr>
          <w:i/>
          <w:iCs/>
        </w:rPr>
        <w:t>Counting Ourselves</w:t>
      </w:r>
      <w:r w:rsidRPr="008642D1">
        <w:t xml:space="preserve"> participants had been homeless at some point in their lives.</w:t>
      </w:r>
      <w:r w:rsidRPr="008642D1">
        <w:rPr>
          <w:rStyle w:val="FootnoteReference"/>
        </w:rPr>
        <w:footnoteReference w:id="152"/>
      </w:r>
      <w:r w:rsidRPr="008642D1">
        <w:t xml:space="preserve"> </w:t>
      </w:r>
    </w:p>
    <w:p w14:paraId="46E760C4" w14:textId="57280D46" w:rsidR="00361703" w:rsidRPr="008642D1" w:rsidRDefault="00361703" w:rsidP="00361703">
      <w:pPr>
        <w:pStyle w:val="BodyText"/>
      </w:pPr>
      <w:r w:rsidRPr="008642D1">
        <w:t xml:space="preserve">The data from </w:t>
      </w:r>
      <w:r w:rsidRPr="008642D1">
        <w:rPr>
          <w:i/>
          <w:iCs/>
        </w:rPr>
        <w:t xml:space="preserve">Counting Ourselves </w:t>
      </w:r>
      <w:r w:rsidRPr="008642D1">
        <w:t xml:space="preserve">also suggest that people who are transgender </w:t>
      </w:r>
      <w:r w:rsidR="007B2870">
        <w:t>or</w:t>
      </w:r>
      <w:r w:rsidR="007B2870" w:rsidRPr="008642D1">
        <w:t xml:space="preserve"> </w:t>
      </w:r>
      <w:r w:rsidRPr="008642D1">
        <w:t>non-binary experience various forms of discrimination in accessing and retaining housing. Eleven per cent of respondents said they had been denied a home or apartment because they are transgender or non-binary</w:t>
      </w:r>
      <w:r w:rsidR="00952297">
        <w:t>,</w:t>
      </w:r>
      <w:r w:rsidRPr="008642D1">
        <w:t xml:space="preserve"> and six per cent said they had been evicted for this reason.</w:t>
      </w:r>
      <w:r w:rsidRPr="008642D1">
        <w:rPr>
          <w:rStyle w:val="FootnoteReference"/>
        </w:rPr>
        <w:footnoteReference w:id="153"/>
      </w:r>
    </w:p>
    <w:p w14:paraId="357818E5" w14:textId="77777777" w:rsidR="00361703" w:rsidRPr="008642D1" w:rsidRDefault="00361703" w:rsidP="00361703">
      <w:pPr>
        <w:pStyle w:val="Heading4"/>
      </w:pPr>
      <w:r w:rsidRPr="008642D1">
        <w:t xml:space="preserve">Education </w:t>
      </w:r>
    </w:p>
    <w:p w14:paraId="5B5FCCED" w14:textId="551AE4F1" w:rsidR="00361703" w:rsidRPr="008642D1" w:rsidRDefault="00361703" w:rsidP="00361703">
      <w:pPr>
        <w:pStyle w:val="BodyText"/>
      </w:pPr>
      <w:r w:rsidRPr="008642D1">
        <w:t xml:space="preserve">Children and young people who are transgender or non-binary can face discrimination in educational environments. In the </w:t>
      </w:r>
      <w:r w:rsidRPr="008642D1">
        <w:rPr>
          <w:i/>
          <w:iCs/>
        </w:rPr>
        <w:t>Counting Ourselves</w:t>
      </w:r>
      <w:r w:rsidRPr="008642D1">
        <w:t xml:space="preserve"> survey, 35 per cent of transgender and non-binary students aged 15 to 19 reported experiencing discrimination at school compared </w:t>
      </w:r>
      <w:r w:rsidR="00087A9E">
        <w:t>to</w:t>
      </w:r>
      <w:r w:rsidR="00087A9E" w:rsidRPr="008642D1">
        <w:t xml:space="preserve"> </w:t>
      </w:r>
      <w:r w:rsidRPr="008642D1">
        <w:t>13 per cent of all students.</w:t>
      </w:r>
      <w:r w:rsidRPr="008642D1">
        <w:rPr>
          <w:rStyle w:val="FootnoteReference"/>
        </w:rPr>
        <w:footnoteReference w:id="154"/>
      </w:r>
      <w:r w:rsidRPr="008642D1">
        <w:t xml:space="preserve"> In the </w:t>
      </w:r>
      <w:r w:rsidRPr="008642D1">
        <w:rPr>
          <w:i/>
          <w:iCs/>
        </w:rPr>
        <w:t>Youth19</w:t>
      </w:r>
      <w:r w:rsidRPr="008642D1">
        <w:t xml:space="preserve"> survey, 23 per cent of transgender and non-binary school students reported regular bullying compared </w:t>
      </w:r>
      <w:r w:rsidR="00087A9E">
        <w:t>to</w:t>
      </w:r>
      <w:r w:rsidR="00087A9E" w:rsidRPr="008642D1">
        <w:t xml:space="preserve"> </w:t>
      </w:r>
      <w:r w:rsidRPr="008642D1">
        <w:t>around five per cent of cisgender students.</w:t>
      </w:r>
      <w:r w:rsidRPr="008642D1">
        <w:rPr>
          <w:rStyle w:val="FootnoteReference"/>
        </w:rPr>
        <w:footnoteReference w:id="155"/>
      </w:r>
      <w:r w:rsidRPr="008642D1">
        <w:t xml:space="preserve"> </w:t>
      </w:r>
    </w:p>
    <w:p w14:paraId="054581BC" w14:textId="77777777" w:rsidR="00361703" w:rsidRPr="008642D1" w:rsidRDefault="00361703" w:rsidP="00361703">
      <w:pPr>
        <w:pStyle w:val="BodyText"/>
      </w:pPr>
      <w:r w:rsidRPr="008642D1">
        <w:t xml:space="preserve">The same study reported that secondary students who are transgender or unsure of their gender are less likely to report feeling part of their school (70 and 72 per cent, respectively, compared to 86 per cent of cisgender students) and less likely to think </w:t>
      </w:r>
      <w:r w:rsidRPr="008642D1">
        <w:lastRenderedPageBreak/>
        <w:t>teachers treat students fairly most or all of the time (57 and 47 per cent, respectively, compared to 68 per cent of cisgender students).</w:t>
      </w:r>
      <w:r w:rsidRPr="008642D1">
        <w:rPr>
          <w:rStyle w:val="FootnoteReference"/>
        </w:rPr>
        <w:footnoteReference w:id="156"/>
      </w:r>
      <w:r w:rsidRPr="008642D1">
        <w:t xml:space="preserve"> They are also less likely to think their teachers care about them (65 and 51 per cent, respectively, compared to 79 per cent of cisgender students).</w:t>
      </w:r>
      <w:r w:rsidRPr="008642D1">
        <w:rPr>
          <w:rStyle w:val="FootnoteReference"/>
        </w:rPr>
        <w:footnoteReference w:id="157"/>
      </w:r>
      <w:r w:rsidRPr="008642D1">
        <w:t xml:space="preserve"> </w:t>
      </w:r>
    </w:p>
    <w:p w14:paraId="568EB069" w14:textId="13C1E6B2" w:rsidR="00361703" w:rsidRPr="008642D1" w:rsidRDefault="00361703" w:rsidP="00361703">
      <w:pPr>
        <w:pStyle w:val="BodyText"/>
      </w:pPr>
      <w:r w:rsidRPr="008642D1">
        <w:t>Transgender and non-binary tertiary students also report experiencing discrimination. For example, in an Ōtākou Whakaihu Waka | University of Otago study on sexually and gender diverse tertiary students, 85 per cent had avoided disclosing their sexual orientation or gender identity to university staff due to fear of negative outcomes</w:t>
      </w:r>
      <w:r w:rsidR="004E3259">
        <w:t>,</w:t>
      </w:r>
      <w:r w:rsidRPr="008642D1">
        <w:t xml:space="preserve"> and nearly a quarter reported being denied opportunities because of their sexual orientation or gender identity.</w:t>
      </w:r>
      <w:r w:rsidRPr="008642D1">
        <w:rPr>
          <w:rStyle w:val="FootnoteReference"/>
        </w:rPr>
        <w:footnoteReference w:id="158"/>
      </w:r>
    </w:p>
    <w:p w14:paraId="3B127EF1" w14:textId="77777777" w:rsidR="00361703" w:rsidRPr="008642D1" w:rsidRDefault="00361703" w:rsidP="00361703">
      <w:pPr>
        <w:pStyle w:val="Heading3"/>
      </w:pPr>
      <w:r w:rsidRPr="008642D1">
        <w:t xml:space="preserve">Distinctive issues and concerns </w:t>
      </w:r>
    </w:p>
    <w:p w14:paraId="4F9CB260" w14:textId="2E6912F8" w:rsidR="00361703" w:rsidRPr="008642D1" w:rsidRDefault="00361703" w:rsidP="00361703">
      <w:pPr>
        <w:pStyle w:val="BodyText"/>
      </w:pPr>
      <w:r w:rsidRPr="008642D1">
        <w:t>In the previous sections</w:t>
      </w:r>
      <w:r w:rsidR="004E3259">
        <w:t>,</w:t>
      </w:r>
      <w:r w:rsidRPr="008642D1">
        <w:t xml:space="preserve"> we discussed types of discrimination that are also experienced by other marginalised groups. People who are transgender </w:t>
      </w:r>
      <w:r w:rsidR="007B2870">
        <w:t>or</w:t>
      </w:r>
      <w:r w:rsidR="007B2870" w:rsidRPr="008642D1">
        <w:t xml:space="preserve"> </w:t>
      </w:r>
      <w:r w:rsidRPr="008642D1">
        <w:t>non-binary also have distinctive challenges and concerns that other marginalised groups may not face. In this section</w:t>
      </w:r>
      <w:r w:rsidR="00AA4F91">
        <w:t>,</w:t>
      </w:r>
      <w:r w:rsidRPr="008642D1">
        <w:t xml:space="preserve"> we summarise some of those distinctive concerns as reported in studies and survey data. </w:t>
      </w:r>
    </w:p>
    <w:p w14:paraId="4973EA03" w14:textId="77777777" w:rsidR="00361703" w:rsidRPr="008642D1" w:rsidRDefault="00361703" w:rsidP="00361703">
      <w:pPr>
        <w:pStyle w:val="BodyText"/>
      </w:pPr>
      <w:r w:rsidRPr="008642D1">
        <w:t xml:space="preserve">We do not seek to resolve in this chapter the question of which of these issues and concerns amount to discrimination of the kind that should be regulated by the Human Rights Act. Those are issues for later chapters and for consultation. In some cases, they are relatively straightforward. In others, there may be other relevant rights, interests and concerns we will need to consider. </w:t>
      </w:r>
    </w:p>
    <w:p w14:paraId="7EE54675" w14:textId="4BF91189" w:rsidR="00361703" w:rsidRPr="008642D1" w:rsidRDefault="00361703" w:rsidP="00361703">
      <w:pPr>
        <w:pStyle w:val="Heading4"/>
      </w:pPr>
      <w:r w:rsidRPr="008642D1">
        <w:t>Being outed</w:t>
      </w:r>
    </w:p>
    <w:p w14:paraId="3CCD00BF" w14:textId="1AE5E2E6" w:rsidR="00361703" w:rsidRPr="008642D1" w:rsidRDefault="00361703" w:rsidP="00361703">
      <w:pPr>
        <w:pStyle w:val="BodyText"/>
      </w:pPr>
      <w:r w:rsidRPr="008642D1">
        <w:t xml:space="preserve">One distinctive issue reported by people who are transgender </w:t>
      </w:r>
      <w:r w:rsidR="007B2870">
        <w:t>or</w:t>
      </w:r>
      <w:r w:rsidR="007B2870" w:rsidRPr="008642D1">
        <w:t xml:space="preserve"> </w:t>
      </w:r>
      <w:r w:rsidRPr="008642D1">
        <w:t xml:space="preserve">non-binary is being outed — that is, having the fact they are transgender or non-binary disclosed to others without their consent. One way this happens is by having to produce </w:t>
      </w:r>
      <w:r w:rsidR="003021EB">
        <w:t xml:space="preserve">a </w:t>
      </w:r>
      <w:r w:rsidRPr="008642D1">
        <w:t>document that contain</w:t>
      </w:r>
      <w:r w:rsidR="003021EB">
        <w:t>s</w:t>
      </w:r>
      <w:r w:rsidRPr="008642D1">
        <w:t xml:space="preserve"> a name, pronoun or sex marker that </w:t>
      </w:r>
      <w:r w:rsidR="003021EB">
        <w:t>does not align with their gender identity or expression</w:t>
      </w:r>
      <w:r w:rsidRPr="008642D1">
        <w:t xml:space="preserve">. Another way is through the unauthorised disclosure of personal information. Of those </w:t>
      </w:r>
      <w:r w:rsidRPr="008642D1">
        <w:rPr>
          <w:i/>
          <w:iCs/>
        </w:rPr>
        <w:t xml:space="preserve">Counting Ourselves </w:t>
      </w:r>
      <w:r w:rsidRPr="008642D1">
        <w:t>participants whose work colleagues knew they were transgender or non-binary, around a quarter said an employer or co-worker had improperly shared this information.</w:t>
      </w:r>
      <w:r w:rsidRPr="008642D1">
        <w:rPr>
          <w:rStyle w:val="FootnoteReference"/>
        </w:rPr>
        <w:footnoteReference w:id="159"/>
      </w:r>
    </w:p>
    <w:p w14:paraId="1FA27E2C" w14:textId="77777777" w:rsidR="00361703" w:rsidRPr="008642D1" w:rsidRDefault="00361703" w:rsidP="00361703">
      <w:pPr>
        <w:pStyle w:val="BodyText"/>
      </w:pPr>
      <w:r w:rsidRPr="008642D1">
        <w:t xml:space="preserve">Quite apart from the breach of privacy, being outed can have serious consequences. Of those </w:t>
      </w:r>
      <w:r w:rsidRPr="008642D1">
        <w:rPr>
          <w:i/>
          <w:iCs/>
        </w:rPr>
        <w:t xml:space="preserve">Counting Ourselves </w:t>
      </w:r>
      <w:r w:rsidRPr="008642D1">
        <w:t xml:space="preserve">participants who had used an identification document that did not match their appearance, 18 per cent reported being denied services or benefits, 17 per cent reported being verbally harassed and 10 per cent reported being asked to leave </w:t>
      </w:r>
      <w:r w:rsidRPr="008642D1">
        <w:lastRenderedPageBreak/>
        <w:t>after showing identification.</w:t>
      </w:r>
      <w:r w:rsidRPr="008642D1">
        <w:rPr>
          <w:rStyle w:val="FootnoteReference"/>
        </w:rPr>
        <w:footnoteReference w:id="160"/>
      </w:r>
      <w:r w:rsidRPr="008642D1">
        <w:t xml:space="preserve"> For some </w:t>
      </w:r>
      <w:r w:rsidRPr="008642D1">
        <w:rPr>
          <w:i/>
          <w:iCs/>
        </w:rPr>
        <w:t xml:space="preserve">Counting Ourselves </w:t>
      </w:r>
      <w:r w:rsidRPr="008642D1">
        <w:t>participants, having to show documents such as qualifications under another name or gender was a barrier to employment.</w:t>
      </w:r>
      <w:r w:rsidRPr="008642D1">
        <w:rPr>
          <w:vertAlign w:val="superscript"/>
        </w:rPr>
        <w:footnoteReference w:id="161"/>
      </w:r>
      <w:r w:rsidRPr="008642D1">
        <w:t xml:space="preserve"> </w:t>
      </w:r>
    </w:p>
    <w:p w14:paraId="37CF2F35" w14:textId="77777777" w:rsidR="00361703" w:rsidRPr="008642D1" w:rsidRDefault="00361703" w:rsidP="00361703">
      <w:pPr>
        <w:pStyle w:val="Heading4"/>
      </w:pPr>
      <w:r w:rsidRPr="008642D1">
        <w:t>Misgendering and deadnaming</w:t>
      </w:r>
    </w:p>
    <w:p w14:paraId="2252DA33" w14:textId="0BF796A9" w:rsidR="00361703" w:rsidRPr="008642D1" w:rsidRDefault="00361703" w:rsidP="00361703">
      <w:pPr>
        <w:pStyle w:val="BodyText"/>
      </w:pPr>
      <w:r w:rsidRPr="008642D1">
        <w:t xml:space="preserve">A recurrent issue faced by people who are transgender </w:t>
      </w:r>
      <w:r w:rsidR="00AA4F91">
        <w:t>o</w:t>
      </w:r>
      <w:r w:rsidR="007B2870">
        <w:t>r</w:t>
      </w:r>
      <w:r w:rsidR="007B2870" w:rsidRPr="008642D1">
        <w:t xml:space="preserve"> </w:t>
      </w:r>
      <w:r w:rsidRPr="008642D1">
        <w:t>non-binary is being referred to by a name or gender that does not reflect their gender identity. We understand this can be of particular concern in the workplace. In one survey of rainbow public servants, around one</w:t>
      </w:r>
      <w:r w:rsidR="00AA4F91">
        <w:t>-</w:t>
      </w:r>
      <w:r w:rsidRPr="008642D1">
        <w:t>quarter of all respondents said none of their colleagues used their correct name and pronoun.</w:t>
      </w:r>
      <w:r w:rsidRPr="008642D1">
        <w:rPr>
          <w:rStyle w:val="FootnoteReference"/>
        </w:rPr>
        <w:footnoteReference w:id="162"/>
      </w:r>
      <w:r w:rsidRPr="008642D1">
        <w:t xml:space="preserve"> In another survey, 17 per cent of transgender and non-binary respondents said their boss or co-worker had misgendered them on purpose.</w:t>
      </w:r>
      <w:r w:rsidRPr="008642D1">
        <w:rPr>
          <w:rStyle w:val="FootnoteReference"/>
        </w:rPr>
        <w:footnoteReference w:id="163"/>
      </w:r>
    </w:p>
    <w:p w14:paraId="5F89971D" w14:textId="77777777" w:rsidR="00361703" w:rsidRPr="008642D1" w:rsidRDefault="00361703" w:rsidP="00361703">
      <w:pPr>
        <w:pStyle w:val="BodyText"/>
      </w:pPr>
      <w:r w:rsidRPr="008642D1">
        <w:t>We have heard misgendering and deadnaming is also an issue of concern in educational settings. In one survey, a quarter of students who had disclosed their name and/or pronouns reported that teachers or students rarely or never used them.</w:t>
      </w:r>
      <w:r w:rsidRPr="008642D1">
        <w:rPr>
          <w:vertAlign w:val="superscript"/>
        </w:rPr>
        <w:footnoteReference w:id="164"/>
      </w:r>
      <w:r w:rsidRPr="008642D1">
        <w:t xml:space="preserve"> In that survey, 17 per cent of students said that they could not change their name or gender marker on school records.</w:t>
      </w:r>
      <w:r w:rsidRPr="008642D1">
        <w:rPr>
          <w:rStyle w:val="FootnoteReference"/>
        </w:rPr>
        <w:footnoteReference w:id="165"/>
      </w:r>
    </w:p>
    <w:p w14:paraId="3C772367" w14:textId="77777777" w:rsidR="00361703" w:rsidRPr="008642D1" w:rsidRDefault="00361703" w:rsidP="00361703">
      <w:pPr>
        <w:pStyle w:val="Heading4"/>
      </w:pPr>
      <w:r w:rsidRPr="008642D1">
        <w:t>Participation in sports</w:t>
      </w:r>
    </w:p>
    <w:p w14:paraId="41960786" w14:textId="2407BAC6" w:rsidR="00361703" w:rsidRPr="008642D1" w:rsidRDefault="00361703" w:rsidP="00361703">
      <w:pPr>
        <w:pStyle w:val="BodyText"/>
      </w:pPr>
      <w:r w:rsidRPr="008642D1">
        <w:t xml:space="preserve">People who are transgender </w:t>
      </w:r>
      <w:r w:rsidR="007B2870">
        <w:t>or</w:t>
      </w:r>
      <w:r w:rsidR="007B2870" w:rsidRPr="008642D1">
        <w:t xml:space="preserve"> </w:t>
      </w:r>
      <w:r w:rsidRPr="008642D1">
        <w:t>non-binary report very low levels of participation in sports</w:t>
      </w:r>
      <w:r w:rsidR="0012333A">
        <w:t>,</w:t>
      </w:r>
      <w:r w:rsidRPr="008642D1">
        <w:t xml:space="preserve"> </w:t>
      </w:r>
      <w:r w:rsidR="00303175">
        <w:t>including in competitive activities.</w:t>
      </w:r>
      <w:r w:rsidRPr="008642D1">
        <w:t xml:space="preserve"> The </w:t>
      </w:r>
      <w:r w:rsidRPr="008642D1">
        <w:rPr>
          <w:i/>
          <w:iCs/>
        </w:rPr>
        <w:t xml:space="preserve">Counting Ourselves </w:t>
      </w:r>
      <w:r w:rsidRPr="008642D1">
        <w:t xml:space="preserve">survey found that only 14 per cent of transgender and non-binary respondents had participated in a sports competition, event or other organised physical activity in the past four weeks compared </w:t>
      </w:r>
      <w:r w:rsidR="00087A9E">
        <w:t>to</w:t>
      </w:r>
      <w:r w:rsidR="00087A9E" w:rsidRPr="008642D1">
        <w:t xml:space="preserve"> </w:t>
      </w:r>
      <w:r w:rsidRPr="008642D1">
        <w:t>26 per cent of the general population.</w:t>
      </w:r>
      <w:r w:rsidRPr="008642D1">
        <w:rPr>
          <w:rStyle w:val="FootnoteReference"/>
        </w:rPr>
        <w:footnoteReference w:id="166"/>
      </w:r>
      <w:r w:rsidRPr="008642D1">
        <w:t xml:space="preserve"> </w:t>
      </w:r>
    </w:p>
    <w:p w14:paraId="33AB891B" w14:textId="77777777" w:rsidR="00361703" w:rsidRPr="008642D1" w:rsidRDefault="00361703" w:rsidP="00361703">
      <w:pPr>
        <w:pStyle w:val="BodyText"/>
      </w:pPr>
      <w:r w:rsidRPr="008642D1">
        <w:t>One reason for low participation levels in sport</w:t>
      </w:r>
      <w:r w:rsidRPr="008642D1" w:rsidDel="0043286E">
        <w:t xml:space="preserve"> </w:t>
      </w:r>
      <w:r w:rsidRPr="008642D1">
        <w:t xml:space="preserve">is lack of access to safe and appropriate bathrooms and changing facilities. In the </w:t>
      </w:r>
      <w:r w:rsidRPr="008642D1">
        <w:rPr>
          <w:i/>
          <w:iCs/>
        </w:rPr>
        <w:t>Identify</w:t>
      </w:r>
      <w:r w:rsidRPr="008642D1">
        <w:t xml:space="preserve"> survey (of rainbow young people aged 14–26), slightly over a third of transgender and non-binary participants who did not play sport at secondary school despite wanting to attributed this to not being able to use a changing room that matched their gender.</w:t>
      </w:r>
      <w:r w:rsidRPr="008642D1">
        <w:rPr>
          <w:vertAlign w:val="superscript"/>
        </w:rPr>
        <w:footnoteReference w:id="167"/>
      </w:r>
      <w:r w:rsidRPr="008642D1">
        <w:t xml:space="preserve"> </w:t>
      </w:r>
    </w:p>
    <w:p w14:paraId="56B79A16" w14:textId="77777777" w:rsidR="00361703" w:rsidRPr="008642D1" w:rsidRDefault="00361703" w:rsidP="00361703">
      <w:pPr>
        <w:pStyle w:val="BodyText"/>
      </w:pPr>
      <w:r w:rsidRPr="008642D1">
        <w:t xml:space="preserve">Another reason for lack of participation in sport is restrictions on transgender people playing in a team that matches their gender. Of </w:t>
      </w:r>
      <w:r w:rsidRPr="008642D1">
        <w:rPr>
          <w:i/>
          <w:iCs/>
        </w:rPr>
        <w:t xml:space="preserve">Counting Ourselves </w:t>
      </w:r>
      <w:r w:rsidRPr="008642D1">
        <w:t xml:space="preserve">respondents who were interested in competitive sports, 61 per cent were worried about how they would be treated, 20 per cent had been told to play based on their sex assigned at birth and </w:t>
      </w:r>
      <w:r w:rsidRPr="008642D1">
        <w:lastRenderedPageBreak/>
        <w:t>five per cent were told to have hormone therapy before they could play.</w:t>
      </w:r>
      <w:r w:rsidRPr="008642D1">
        <w:rPr>
          <w:rStyle w:val="FootnoteReference"/>
        </w:rPr>
        <w:footnoteReference w:id="168"/>
      </w:r>
      <w:r w:rsidRPr="008642D1">
        <w:t xml:space="preserve"> In the </w:t>
      </w:r>
      <w:r w:rsidRPr="008642D1">
        <w:rPr>
          <w:i/>
          <w:iCs/>
        </w:rPr>
        <w:t>Identify Survey</w:t>
      </w:r>
      <w:r w:rsidRPr="008642D1">
        <w:t>, 40 per cent of transgender and non-binary participants said they were not allowed to play competitive school sport unless they were on hormones or puberty blockers.</w:t>
      </w:r>
      <w:r w:rsidRPr="008642D1">
        <w:rPr>
          <w:rStyle w:val="FootnoteReference"/>
        </w:rPr>
        <w:footnoteReference w:id="169"/>
      </w:r>
      <w:r w:rsidRPr="008642D1">
        <w:t xml:space="preserve"> </w:t>
      </w:r>
    </w:p>
    <w:p w14:paraId="5C9F308E" w14:textId="77777777" w:rsidR="00361703" w:rsidRPr="008642D1" w:rsidRDefault="00361703" w:rsidP="00361703">
      <w:pPr>
        <w:pStyle w:val="Heading4"/>
      </w:pPr>
      <w:r w:rsidRPr="008642D1">
        <w:t>Access to bathrooms and changing rooms</w:t>
      </w:r>
    </w:p>
    <w:p w14:paraId="6216AD5F" w14:textId="7A6C5D1A" w:rsidR="00361703" w:rsidRPr="008642D1" w:rsidRDefault="00361703" w:rsidP="00361703">
      <w:pPr>
        <w:pStyle w:val="BodyText"/>
      </w:pPr>
      <w:r w:rsidRPr="008642D1">
        <w:t xml:space="preserve">Difficulty accessing safe and appropriate bathrooms and changing rooms in public settings is a recurrent problem for people who are transgender </w:t>
      </w:r>
      <w:r w:rsidR="007B2870">
        <w:t>or</w:t>
      </w:r>
      <w:r w:rsidR="007B2870" w:rsidRPr="008642D1">
        <w:t xml:space="preserve"> </w:t>
      </w:r>
      <w:r w:rsidRPr="008642D1">
        <w:t xml:space="preserve">non-binary. Experiences reported by </w:t>
      </w:r>
      <w:r w:rsidRPr="008642D1">
        <w:rPr>
          <w:i/>
          <w:iCs/>
        </w:rPr>
        <w:t xml:space="preserve">Counting Ourselves </w:t>
      </w:r>
      <w:r w:rsidRPr="008642D1">
        <w:t xml:space="preserve">participants </w:t>
      </w:r>
      <w:r w:rsidR="00254F1E">
        <w:t>included</w:t>
      </w:r>
      <w:r w:rsidRPr="008642D1">
        <w:t xml:space="preserve"> being asked if they were using the wrong bathroom</w:t>
      </w:r>
      <w:r w:rsidR="00254F1E">
        <w:t>,</w:t>
      </w:r>
      <w:r w:rsidRPr="008642D1" w:rsidDel="00254F1E">
        <w:t xml:space="preserve"> </w:t>
      </w:r>
      <w:r w:rsidRPr="008642D1">
        <w:t xml:space="preserve">being verbally harassed </w:t>
      </w:r>
      <w:r w:rsidR="00254F1E">
        <w:t>and</w:t>
      </w:r>
      <w:r w:rsidRPr="008642D1">
        <w:t xml:space="preserve"> being prevented from entering or using a bathroom or changing room. Seventy per cent of </w:t>
      </w:r>
      <w:r w:rsidRPr="008642D1">
        <w:rPr>
          <w:i/>
          <w:iCs/>
        </w:rPr>
        <w:t xml:space="preserve">Counting Ourselves </w:t>
      </w:r>
      <w:r w:rsidRPr="008642D1">
        <w:t>participants had avoided using a public bathroom in the past year</w:t>
      </w:r>
      <w:r w:rsidR="00713C8E">
        <w:t>,</w:t>
      </w:r>
      <w:r w:rsidRPr="008642D1">
        <w:t xml:space="preserve"> and a third of participants often or always did.</w:t>
      </w:r>
      <w:r w:rsidRPr="008642D1">
        <w:rPr>
          <w:rStyle w:val="FootnoteReference"/>
        </w:rPr>
        <w:footnoteReference w:id="170"/>
      </w:r>
    </w:p>
    <w:p w14:paraId="1B060409" w14:textId="772CDF89" w:rsidR="00361703" w:rsidRPr="008642D1" w:rsidRDefault="00361703" w:rsidP="00361703">
      <w:pPr>
        <w:pStyle w:val="BodyText"/>
      </w:pPr>
      <w:r w:rsidRPr="008642D1">
        <w:t xml:space="preserve">We understand this can also be an issue for </w:t>
      </w:r>
      <w:r w:rsidR="00713C8E" w:rsidRPr="008642D1">
        <w:t xml:space="preserve">transgender </w:t>
      </w:r>
      <w:r w:rsidR="00713C8E">
        <w:t>and</w:t>
      </w:r>
      <w:r w:rsidR="00713C8E" w:rsidRPr="008642D1">
        <w:t xml:space="preserve"> non-binary </w:t>
      </w:r>
      <w:r w:rsidRPr="008642D1">
        <w:t xml:space="preserve">people in the workplace. In the </w:t>
      </w:r>
      <w:r w:rsidRPr="008642D1">
        <w:rPr>
          <w:i/>
          <w:iCs/>
        </w:rPr>
        <w:t xml:space="preserve">Counting Ourselves </w:t>
      </w:r>
      <w:r w:rsidRPr="008642D1">
        <w:t>survey, 10 per cent of participants said they had not been allowed to use a bathroom that matched their gender at work.</w:t>
      </w:r>
      <w:r w:rsidRPr="008642D1">
        <w:rPr>
          <w:rStyle w:val="FootnoteReference"/>
        </w:rPr>
        <w:footnoteReference w:id="171"/>
      </w:r>
      <w:r w:rsidRPr="008642D1">
        <w:t xml:space="preserve"> </w:t>
      </w:r>
    </w:p>
    <w:p w14:paraId="50D57DAC" w14:textId="294C3E87" w:rsidR="00361703" w:rsidRPr="008642D1" w:rsidRDefault="00361703" w:rsidP="00361703">
      <w:pPr>
        <w:pStyle w:val="BodyText"/>
      </w:pPr>
      <w:r w:rsidRPr="008642D1">
        <w:t xml:space="preserve">We have also heard accessing safe and appropriate bathrooms and changing rooms is a significant problem for school students. In the </w:t>
      </w:r>
      <w:r w:rsidRPr="008642D1">
        <w:rPr>
          <w:i/>
          <w:iCs/>
        </w:rPr>
        <w:t>Identify</w:t>
      </w:r>
      <w:r w:rsidRPr="008642D1">
        <w:t xml:space="preserve"> survey</w:t>
      </w:r>
      <w:r w:rsidR="00713C8E">
        <w:t>,</w:t>
      </w:r>
      <w:r w:rsidRPr="008642D1">
        <w:t xml:space="preserve"> half of the (rainbow) student participants reported that their school did not provide gender-neutral bathrooms</w:t>
      </w:r>
      <w:r w:rsidR="00713C8E">
        <w:t>,</w:t>
      </w:r>
      <w:r w:rsidRPr="008642D1">
        <w:t xml:space="preserve"> and 78 per cent said their school did not provide gender-neutral changing areas.</w:t>
      </w:r>
      <w:r w:rsidRPr="008642D1">
        <w:rPr>
          <w:vertAlign w:val="superscript"/>
        </w:rPr>
        <w:footnoteReference w:id="172"/>
      </w:r>
      <w:r w:rsidRPr="008642D1">
        <w:t xml:space="preserve"> Ten per cent of rainbow secondary school students in the survey said they had been prevented from using a bathroom or changing room that matched their gender while five per cent said they had been disciplined for doing this.</w:t>
      </w:r>
      <w:r w:rsidRPr="008642D1">
        <w:rPr>
          <w:vertAlign w:val="superscript"/>
        </w:rPr>
        <w:footnoteReference w:id="173"/>
      </w:r>
      <w:r w:rsidRPr="008642D1">
        <w:t xml:space="preserve"> Of secondary school respondents who were transgender </w:t>
      </w:r>
      <w:r w:rsidR="007B2870">
        <w:t>or</w:t>
      </w:r>
      <w:r w:rsidR="007B2870" w:rsidRPr="008642D1">
        <w:t xml:space="preserve"> </w:t>
      </w:r>
      <w:r w:rsidRPr="008642D1">
        <w:t>non-binary, one</w:t>
      </w:r>
      <w:r w:rsidR="00713C8E">
        <w:t>-</w:t>
      </w:r>
      <w:r w:rsidRPr="008642D1">
        <w:t>third said someone had made them feel they were in the wrong bathroom or changing area because of their gender.</w:t>
      </w:r>
      <w:r w:rsidRPr="008642D1">
        <w:rPr>
          <w:vertAlign w:val="superscript"/>
        </w:rPr>
        <w:footnoteReference w:id="174"/>
      </w:r>
      <w:r w:rsidRPr="008642D1">
        <w:t xml:space="preserve"> One student remarked that “[a] lot of my trans friends are scared to use the toilets at school”.</w:t>
      </w:r>
      <w:r w:rsidRPr="008642D1">
        <w:rPr>
          <w:vertAlign w:val="superscript"/>
        </w:rPr>
        <w:footnoteReference w:id="175"/>
      </w:r>
    </w:p>
    <w:p w14:paraId="2943165D" w14:textId="77777777" w:rsidR="00361703" w:rsidRPr="008642D1" w:rsidRDefault="00361703" w:rsidP="00361703">
      <w:pPr>
        <w:pStyle w:val="Heading4"/>
      </w:pPr>
      <w:r w:rsidRPr="008642D1">
        <w:t>Schools organised along the sex binary</w:t>
      </w:r>
    </w:p>
    <w:p w14:paraId="0DBDB053" w14:textId="491A03D1" w:rsidR="00361703" w:rsidRPr="008642D1" w:rsidRDefault="00361703" w:rsidP="00361703">
      <w:pPr>
        <w:pStyle w:val="BodyText"/>
        <w:rPr>
          <w:sz w:val="18"/>
          <w:szCs w:val="22"/>
        </w:rPr>
      </w:pPr>
      <w:r w:rsidRPr="008642D1">
        <w:t>As we explained in Chapter 2, many aspects of daily life in Aotearoa New Zealand operate on the assumption that society is divided neatly into two categories of male and female. We have heard that this creates particular challenges in education settings. For example, attendance at single-sex schools can pose challenges for students who are transgender or non-binary</w:t>
      </w:r>
      <w:r w:rsidR="00164C01">
        <w:t>,</w:t>
      </w:r>
      <w:r w:rsidRPr="008642D1">
        <w:t xml:space="preserve"> including in relation to admission and when a student transitions while at </w:t>
      </w:r>
      <w:r w:rsidRPr="008642D1">
        <w:lastRenderedPageBreak/>
        <w:t>the school.</w:t>
      </w:r>
      <w:r w:rsidRPr="008642D1">
        <w:rPr>
          <w:vertAlign w:val="superscript"/>
        </w:rPr>
        <w:footnoteReference w:id="176"/>
      </w:r>
      <w:r w:rsidRPr="008642D1">
        <w:t xml:space="preserve"> Enrolling in a co-educational school may not be possible if a student does not live within the zone of one.</w:t>
      </w:r>
      <w:r w:rsidRPr="008642D1">
        <w:rPr>
          <w:vertAlign w:val="superscript"/>
        </w:rPr>
        <w:footnoteReference w:id="177"/>
      </w:r>
      <w:r w:rsidRPr="008642D1">
        <w:t xml:space="preserve"> </w:t>
      </w:r>
    </w:p>
    <w:p w14:paraId="41221F04" w14:textId="77777777" w:rsidR="00361703" w:rsidRPr="008642D1" w:rsidRDefault="00361703" w:rsidP="00361703">
      <w:pPr>
        <w:pStyle w:val="BodyText"/>
      </w:pPr>
      <w:r w:rsidRPr="008642D1">
        <w:t>Some other issues that we have heard can cause challenges for young people who are transgender or non-binary include gendered uniforms, gendered language and situations where teachers group or categorise students by gender.</w:t>
      </w:r>
      <w:r w:rsidRPr="008642D1">
        <w:rPr>
          <w:vertAlign w:val="superscript"/>
        </w:rPr>
        <w:footnoteReference w:id="178"/>
      </w:r>
      <w:r w:rsidRPr="008642D1">
        <w:t xml:space="preserve"> Forty-six per cent of student participants in the </w:t>
      </w:r>
      <w:r w:rsidRPr="008642D1">
        <w:rPr>
          <w:i/>
        </w:rPr>
        <w:t>Counting Ourselves</w:t>
      </w:r>
      <w:r w:rsidRPr="008642D1">
        <w:t xml:space="preserve"> survey reported that their school did not allow them to choose between the girls’ or boys’ uniform while 52 per cent said that their school did not have a gender-neutral uniform.</w:t>
      </w:r>
      <w:r w:rsidRPr="008642D1">
        <w:rPr>
          <w:vertAlign w:val="superscript"/>
        </w:rPr>
        <w:footnoteReference w:id="179"/>
      </w:r>
    </w:p>
    <w:p w14:paraId="550CC580" w14:textId="4C94D6CF" w:rsidR="00361703" w:rsidRPr="008642D1" w:rsidRDefault="00361703" w:rsidP="00361703">
      <w:pPr>
        <w:pStyle w:val="Heading4"/>
      </w:pPr>
      <w:r w:rsidRPr="008642D1">
        <w:t>Difficulty accessing gender-affirming health</w:t>
      </w:r>
      <w:r w:rsidR="00650A3C">
        <w:t xml:space="preserve"> </w:t>
      </w:r>
      <w:r w:rsidRPr="008642D1">
        <w:t>care</w:t>
      </w:r>
    </w:p>
    <w:p w14:paraId="6601B2AA" w14:textId="091BAAB8" w:rsidR="00361703" w:rsidRPr="008642D1" w:rsidRDefault="00361703" w:rsidP="00361703">
      <w:pPr>
        <w:pStyle w:val="BodyText"/>
      </w:pPr>
      <w:r w:rsidRPr="008642D1">
        <w:t>We understand difficulty accessing medical services, especially in relation to gender-affirming health</w:t>
      </w:r>
      <w:r w:rsidRPr="008642D1" w:rsidDel="00FC71EA">
        <w:t xml:space="preserve"> </w:t>
      </w:r>
      <w:r w:rsidRPr="008642D1">
        <w:t xml:space="preserve">care, is an issue of significant concern to many people who are transgender </w:t>
      </w:r>
      <w:r w:rsidR="007B2870">
        <w:t>or</w:t>
      </w:r>
      <w:r w:rsidR="007B2870" w:rsidRPr="008642D1">
        <w:t xml:space="preserve"> </w:t>
      </w:r>
      <w:r w:rsidRPr="008642D1">
        <w:t xml:space="preserve">non-binary. The 2008 report </w:t>
      </w:r>
      <w:r w:rsidRPr="008642D1">
        <w:rPr>
          <w:i/>
          <w:iCs/>
        </w:rPr>
        <w:t>To Be Who I Am</w:t>
      </w:r>
      <w:r w:rsidRPr="008642D1">
        <w:t xml:space="preserve"> found major gaps in the availability, accessibility, acceptability and quality of medical services required by transgender people.</w:t>
      </w:r>
      <w:r w:rsidRPr="008642D1">
        <w:rPr>
          <w:rStyle w:val="FootnoteReference"/>
        </w:rPr>
        <w:footnoteReference w:id="180"/>
      </w:r>
      <w:r w:rsidRPr="008642D1">
        <w:t xml:space="preserve"> A decade later, </w:t>
      </w:r>
      <w:r w:rsidRPr="008642D1">
        <w:rPr>
          <w:i/>
          <w:iCs/>
        </w:rPr>
        <w:t>Counting Ourselves</w:t>
      </w:r>
      <w:r w:rsidRPr="008642D1">
        <w:t xml:space="preserve"> participants reported significant difficulties accessing gender-affirming health</w:t>
      </w:r>
      <w:r w:rsidR="00650A3C">
        <w:t xml:space="preserve"> </w:t>
      </w:r>
      <w:r w:rsidRPr="008642D1">
        <w:t>care. Two</w:t>
      </w:r>
      <w:r w:rsidR="00FF4B22">
        <w:t>-</w:t>
      </w:r>
      <w:r w:rsidRPr="008642D1">
        <w:t>thirds of transgender men in the survey reported an unmet need for chest reconstruction surgery</w:t>
      </w:r>
      <w:r w:rsidR="00FF4B22">
        <w:t>,</w:t>
      </w:r>
      <w:r w:rsidRPr="008642D1">
        <w:t xml:space="preserve"> and half of transgender women in the survey reported an unmet need for voice therapy and feminising genital surgery.</w:t>
      </w:r>
      <w:r w:rsidRPr="008642D1">
        <w:rPr>
          <w:rStyle w:val="FootnoteReference"/>
        </w:rPr>
        <w:footnoteReference w:id="181"/>
      </w:r>
      <w:r w:rsidRPr="008642D1">
        <w:t xml:space="preserve"> </w:t>
      </w:r>
    </w:p>
    <w:p w14:paraId="6A300490" w14:textId="77777777" w:rsidR="00361703" w:rsidRPr="008642D1" w:rsidRDefault="00361703" w:rsidP="00361703">
      <w:pPr>
        <w:pStyle w:val="BodyText"/>
      </w:pPr>
      <w:r w:rsidRPr="008642D1">
        <w:t>The Gender Affirming (Genital) Surgery Service run through Te Whatu Ora | Health New Zealand is the only publicly funded service for gender-affirming genital surgery. It is funded for up to 14 surgeries a year.</w:t>
      </w:r>
      <w:r w:rsidRPr="008642D1">
        <w:rPr>
          <w:rStyle w:val="FootnoteReference"/>
        </w:rPr>
        <w:footnoteReference w:id="182"/>
      </w:r>
      <w:r w:rsidRPr="008642D1">
        <w:t xml:space="preserve"> Based on current information about the number of people on the active waitlist, this means it would take more than two decades to clear the waitlist.</w:t>
      </w:r>
      <w:r w:rsidRPr="008642D1">
        <w:rPr>
          <w:rStyle w:val="FootnoteReference"/>
        </w:rPr>
        <w:footnoteReference w:id="183"/>
      </w:r>
      <w:r w:rsidRPr="008642D1">
        <w:t xml:space="preserve"> </w:t>
      </w:r>
    </w:p>
    <w:p w14:paraId="4F2BFC3A" w14:textId="202E80CF" w:rsidR="00361703" w:rsidRPr="008642D1" w:rsidRDefault="00361703" w:rsidP="00361703">
      <w:pPr>
        <w:pStyle w:val="BodyText"/>
      </w:pPr>
      <w:r w:rsidRPr="008642D1">
        <w:rPr>
          <w:i/>
          <w:iCs/>
        </w:rPr>
        <w:t>He Ara Oranga</w:t>
      </w:r>
      <w:r w:rsidRPr="008642D1">
        <w:t xml:space="preserve">, the </w:t>
      </w:r>
      <w:r w:rsidR="00D94E5D">
        <w:t xml:space="preserve">report of the </w:t>
      </w:r>
      <w:r w:rsidRPr="008642D1">
        <w:t xml:space="preserve">Government </w:t>
      </w:r>
      <w:r w:rsidR="00D94E5D">
        <w:t>I</w:t>
      </w:r>
      <w:r w:rsidRPr="008642D1">
        <w:t xml:space="preserve">nquiry into </w:t>
      </w:r>
      <w:r w:rsidR="00D94E5D">
        <w:t>M</w:t>
      </w:r>
      <w:r w:rsidRPr="008642D1">
        <w:t xml:space="preserve">ental </w:t>
      </w:r>
      <w:r w:rsidR="00D94E5D">
        <w:t>H</w:t>
      </w:r>
      <w:r w:rsidRPr="008642D1">
        <w:t xml:space="preserve">ealth and </w:t>
      </w:r>
      <w:r w:rsidR="00D94E5D">
        <w:t>A</w:t>
      </w:r>
      <w:r w:rsidRPr="008642D1">
        <w:t>ddiction, found that limited access to gender-affirming health</w:t>
      </w:r>
      <w:r w:rsidR="00650A3C">
        <w:t xml:space="preserve"> </w:t>
      </w:r>
      <w:r w:rsidRPr="008642D1">
        <w:t>care “has a negative effect on the mental health and wellbeing of people seeking to access them”.</w:t>
      </w:r>
      <w:r w:rsidRPr="008642D1">
        <w:rPr>
          <w:rStyle w:val="FootnoteReference"/>
        </w:rPr>
        <w:footnoteReference w:id="184"/>
      </w:r>
      <w:r w:rsidRPr="008642D1">
        <w:t xml:space="preserve"> </w:t>
      </w:r>
    </w:p>
    <w:p w14:paraId="657816D5" w14:textId="77777777" w:rsidR="00361703" w:rsidRPr="008642D1" w:rsidRDefault="00361703" w:rsidP="00361703">
      <w:pPr>
        <w:pStyle w:val="Heading2"/>
      </w:pPr>
      <w:bookmarkStart w:id="59" w:name="_Toc170302130"/>
      <w:r w:rsidRPr="008642D1">
        <w:lastRenderedPageBreak/>
        <w:t>People with innate variations of sex characteristics</w:t>
      </w:r>
      <w:bookmarkEnd w:id="59"/>
      <w:r w:rsidRPr="008642D1">
        <w:t xml:space="preserve"> </w:t>
      </w:r>
    </w:p>
    <w:p w14:paraId="4B10DA72" w14:textId="77777777" w:rsidR="00361703" w:rsidRPr="008642D1" w:rsidRDefault="00361703" w:rsidP="00361703">
      <w:pPr>
        <w:pStyle w:val="BodyText"/>
      </w:pPr>
      <w:r w:rsidRPr="008642D1">
        <w:t>As we discussed in Chapter 2, historically in some non-Western societies, people with innate variations of sex characteristics were sometimes celebrated and even revered. In Western societies, however, people with innate variations of sex characteristics have been marginalised and vilified throughout modern history.</w:t>
      </w:r>
      <w:r w:rsidRPr="008642D1">
        <w:rPr>
          <w:rStyle w:val="FootnoteReference"/>
        </w:rPr>
        <w:footnoteReference w:id="185"/>
      </w:r>
      <w:r w:rsidRPr="008642D1">
        <w:t xml:space="preserve"> </w:t>
      </w:r>
    </w:p>
    <w:p w14:paraId="609924EC" w14:textId="45381EBD" w:rsidR="00361703" w:rsidRPr="008642D1" w:rsidRDefault="00361703" w:rsidP="00361703">
      <w:pPr>
        <w:pStyle w:val="BodyText"/>
      </w:pPr>
      <w:r w:rsidRPr="008642D1">
        <w:t xml:space="preserve">There are fewer data available regarding people with innate variations of sex characteristics than regarding people who are transgender </w:t>
      </w:r>
      <w:r w:rsidR="007B2870">
        <w:t>or</w:t>
      </w:r>
      <w:r w:rsidR="007B2870" w:rsidRPr="008642D1">
        <w:t xml:space="preserve"> </w:t>
      </w:r>
      <w:r w:rsidRPr="008642D1">
        <w:t>non-binary. The data that are available suggest people with innate variations of sex characteristics continue to face many forms of discrimination and other obstacles to full and open participation in New Zealand society.</w:t>
      </w:r>
    </w:p>
    <w:p w14:paraId="6E2A65F2" w14:textId="4DA9D6C3" w:rsidR="00361703" w:rsidRPr="008642D1" w:rsidRDefault="00361703" w:rsidP="00361703">
      <w:pPr>
        <w:pStyle w:val="BodyText"/>
      </w:pPr>
      <w:r w:rsidRPr="008642D1">
        <w:t xml:space="preserve">In this section, we traverse some brief history, summarise some contemporary data on discrimination and violence against people with innate variations of sex characteristics and explore some distinctive issues and concerns. </w:t>
      </w:r>
    </w:p>
    <w:p w14:paraId="6B95EA8D" w14:textId="77777777" w:rsidR="00361703" w:rsidRPr="008642D1" w:rsidRDefault="00361703" w:rsidP="00361703">
      <w:pPr>
        <w:pStyle w:val="Heading3"/>
      </w:pPr>
      <w:r w:rsidRPr="008642D1">
        <w:t>Brief history</w:t>
      </w:r>
    </w:p>
    <w:p w14:paraId="715403F4" w14:textId="77777777" w:rsidR="00361703" w:rsidRPr="008642D1" w:rsidRDefault="00361703" w:rsidP="00361703">
      <w:pPr>
        <w:pStyle w:val="BodyText"/>
      </w:pPr>
      <w:r w:rsidRPr="008642D1">
        <w:t>For many centuries, people with innate variations of sex characteristics have been medicalised, dehumanised and subjected to violence and discrimination. In certain periods and places, they were sometimes killed as infants. Historically, people with innate variations of sex characteristics have been subjects of freak shows.</w:t>
      </w:r>
      <w:r w:rsidRPr="008642D1">
        <w:rPr>
          <w:rStyle w:val="FootnoteReference"/>
        </w:rPr>
        <w:footnoteReference w:id="186"/>
      </w:r>
      <w:r w:rsidRPr="008642D1">
        <w:t xml:space="preserve"> </w:t>
      </w:r>
    </w:p>
    <w:p w14:paraId="3F2894A9" w14:textId="3B5010CA" w:rsidR="00361703" w:rsidRPr="008642D1" w:rsidRDefault="00361703" w:rsidP="00361703">
      <w:pPr>
        <w:pStyle w:val="BodyText"/>
        <w:rPr>
          <w:color w:val="0D0D0D" w:themeColor="text1" w:themeTint="F2"/>
          <w:szCs w:val="20"/>
        </w:rPr>
      </w:pPr>
      <w:r w:rsidRPr="008642D1">
        <w:rPr>
          <w:color w:val="0D0D0D" w:themeColor="text1" w:themeTint="F2"/>
          <w:szCs w:val="20"/>
        </w:rPr>
        <w:t xml:space="preserve">During the nineteenth century, variations </w:t>
      </w:r>
      <w:r w:rsidR="00EB0008">
        <w:rPr>
          <w:color w:val="0D0D0D" w:themeColor="text1" w:themeTint="F2"/>
          <w:szCs w:val="20"/>
        </w:rPr>
        <w:t>of</w:t>
      </w:r>
      <w:r w:rsidRPr="008642D1">
        <w:rPr>
          <w:color w:val="0D0D0D" w:themeColor="text1" w:themeTint="F2"/>
          <w:szCs w:val="20"/>
        </w:rPr>
        <w:t xml:space="preserve"> sex characteristics were associated with homosexuality because scientists conceived of homosexuality as </w:t>
      </w:r>
      <w:r w:rsidRPr="008642D1" w:rsidDel="00B321F6">
        <w:rPr>
          <w:color w:val="0D0D0D" w:themeColor="text1" w:themeTint="F2"/>
          <w:szCs w:val="20"/>
        </w:rPr>
        <w:t>‘</w:t>
      </w:r>
      <w:r w:rsidRPr="008642D1">
        <w:rPr>
          <w:color w:val="0D0D0D" w:themeColor="text1" w:themeTint="F2"/>
          <w:szCs w:val="20"/>
        </w:rPr>
        <w:t>sexual inversion</w:t>
      </w:r>
      <w:r w:rsidRPr="008642D1" w:rsidDel="00B321F6">
        <w:rPr>
          <w:color w:val="0D0D0D" w:themeColor="text1" w:themeTint="F2"/>
          <w:szCs w:val="20"/>
        </w:rPr>
        <w:t>’</w:t>
      </w:r>
      <w:r w:rsidRPr="008642D1">
        <w:rPr>
          <w:color w:val="0D0D0D" w:themeColor="text1" w:themeTint="F2"/>
          <w:szCs w:val="20"/>
        </w:rPr>
        <w:t xml:space="preserve">. Deep-seated homophobia therefore drove a desire to </w:t>
      </w:r>
      <w:r w:rsidRPr="008642D1" w:rsidDel="00B321F6">
        <w:rPr>
          <w:color w:val="0D0D0D" w:themeColor="text1" w:themeTint="F2"/>
          <w:szCs w:val="20"/>
        </w:rPr>
        <w:t>‘</w:t>
      </w:r>
      <w:r w:rsidRPr="008642D1">
        <w:rPr>
          <w:color w:val="0D0D0D" w:themeColor="text1" w:themeTint="F2"/>
          <w:szCs w:val="20"/>
        </w:rPr>
        <w:t>correct</w:t>
      </w:r>
      <w:r w:rsidRPr="008642D1" w:rsidDel="00B321F6">
        <w:rPr>
          <w:color w:val="0D0D0D" w:themeColor="text1" w:themeTint="F2"/>
          <w:szCs w:val="20"/>
        </w:rPr>
        <w:t>’</w:t>
      </w:r>
      <w:r w:rsidRPr="008642D1">
        <w:rPr>
          <w:color w:val="0D0D0D" w:themeColor="text1" w:themeTint="F2"/>
          <w:szCs w:val="20"/>
        </w:rPr>
        <w:t xml:space="preserve"> someone with an innate variation to “eradicate ambiguity and prevent homosexuality”.</w:t>
      </w:r>
      <w:r w:rsidRPr="008642D1">
        <w:rPr>
          <w:rStyle w:val="FootnoteReference"/>
          <w:szCs w:val="20"/>
        </w:rPr>
        <w:footnoteReference w:id="187"/>
      </w:r>
    </w:p>
    <w:p w14:paraId="12DBFC53" w14:textId="3A29F11B" w:rsidR="00361703" w:rsidRPr="008642D1" w:rsidRDefault="00361703" w:rsidP="00361703">
      <w:pPr>
        <w:pStyle w:val="BodyText"/>
        <w:rPr>
          <w:color w:val="0D0D0D" w:themeColor="text1" w:themeTint="F2"/>
          <w:szCs w:val="20"/>
        </w:rPr>
      </w:pPr>
      <w:r w:rsidRPr="008642D1">
        <w:t xml:space="preserve">During the second half of the twentieth century, the dominant approach to </w:t>
      </w:r>
      <w:r w:rsidRPr="008642D1">
        <w:rPr>
          <w:color w:val="0D0D0D" w:themeColor="text1" w:themeTint="F2"/>
          <w:szCs w:val="20"/>
        </w:rPr>
        <w:t>infants born with a variation of sex characteristics was surgical correction. This approach was heavily influenced by the work of psychologist John Money, who thought that gender was entirely a social construct. Money thought a child could be nurtured into a gender assigned to them by doctors so long as their genitals were altered to conform to that gender.</w:t>
      </w:r>
      <w:r w:rsidRPr="008642D1">
        <w:rPr>
          <w:color w:val="0D0D0D" w:themeColor="text1" w:themeTint="F2"/>
          <w:szCs w:val="20"/>
          <w:vertAlign w:val="superscript"/>
        </w:rPr>
        <w:footnoteReference w:id="188"/>
      </w:r>
      <w:r w:rsidRPr="008642D1">
        <w:rPr>
          <w:color w:val="0D0D0D" w:themeColor="text1" w:themeTint="F2"/>
          <w:szCs w:val="20"/>
        </w:rPr>
        <w:t xml:space="preserve"> This genital </w:t>
      </w:r>
      <w:r w:rsidRPr="008642D1" w:rsidDel="00B321F6">
        <w:rPr>
          <w:color w:val="0D0D0D" w:themeColor="text1" w:themeTint="F2"/>
          <w:szCs w:val="20"/>
        </w:rPr>
        <w:t>‘</w:t>
      </w:r>
      <w:r w:rsidRPr="008642D1">
        <w:rPr>
          <w:color w:val="0D0D0D" w:themeColor="text1" w:themeTint="F2"/>
          <w:szCs w:val="20"/>
        </w:rPr>
        <w:t>correction</w:t>
      </w:r>
      <w:r w:rsidRPr="008642D1" w:rsidDel="00B321F6">
        <w:rPr>
          <w:color w:val="0D0D0D" w:themeColor="text1" w:themeTint="F2"/>
          <w:szCs w:val="20"/>
        </w:rPr>
        <w:t>’</w:t>
      </w:r>
      <w:r w:rsidRPr="008642D1">
        <w:rPr>
          <w:color w:val="0D0D0D" w:themeColor="text1" w:themeTint="F2"/>
          <w:szCs w:val="20"/>
        </w:rPr>
        <w:t xml:space="preserve"> of infants with innate variations sometimes involved multiple surgical interventions as well as other highly invasive treatments such as repeat post-surgical dilation of the genitals by the insertion of an instrument.</w:t>
      </w:r>
      <w:r w:rsidRPr="008642D1">
        <w:rPr>
          <w:rStyle w:val="FootnoteReference"/>
          <w:szCs w:val="20"/>
        </w:rPr>
        <w:footnoteReference w:id="189"/>
      </w:r>
    </w:p>
    <w:p w14:paraId="1C6BC955" w14:textId="2E71CDC4" w:rsidR="00361703" w:rsidRPr="008642D1" w:rsidRDefault="00361703" w:rsidP="00361703">
      <w:pPr>
        <w:pStyle w:val="BodyText"/>
        <w:rPr>
          <w:color w:val="0D0D0D" w:themeColor="text1" w:themeTint="F2"/>
          <w:szCs w:val="20"/>
        </w:rPr>
      </w:pPr>
      <w:r w:rsidRPr="008642D1">
        <w:rPr>
          <w:color w:val="0D0D0D" w:themeColor="text1" w:themeTint="F2"/>
          <w:szCs w:val="20"/>
        </w:rPr>
        <w:t xml:space="preserve">Surgical </w:t>
      </w:r>
      <w:r w:rsidRPr="008642D1" w:rsidDel="00B321F6">
        <w:rPr>
          <w:color w:val="0D0D0D" w:themeColor="text1" w:themeTint="F2"/>
          <w:szCs w:val="20"/>
        </w:rPr>
        <w:t>‘</w:t>
      </w:r>
      <w:r w:rsidRPr="008642D1">
        <w:rPr>
          <w:color w:val="0D0D0D" w:themeColor="text1" w:themeTint="F2"/>
          <w:szCs w:val="20"/>
        </w:rPr>
        <w:t>correction</w:t>
      </w:r>
      <w:r w:rsidRPr="008642D1" w:rsidDel="00B321F6">
        <w:rPr>
          <w:color w:val="0D0D0D" w:themeColor="text1" w:themeTint="F2"/>
          <w:szCs w:val="20"/>
        </w:rPr>
        <w:t>’</w:t>
      </w:r>
      <w:r w:rsidRPr="008642D1">
        <w:rPr>
          <w:color w:val="0D0D0D" w:themeColor="text1" w:themeTint="F2"/>
          <w:szCs w:val="20"/>
        </w:rPr>
        <w:t xml:space="preserve"> of infants with an innate variation of sex characteristics was often accompanied by secrecy</w:t>
      </w:r>
      <w:r w:rsidR="00164C01">
        <w:rPr>
          <w:color w:val="0D0D0D" w:themeColor="text1" w:themeTint="F2"/>
          <w:szCs w:val="20"/>
        </w:rPr>
        <w:t>,</w:t>
      </w:r>
      <w:r w:rsidRPr="008642D1">
        <w:rPr>
          <w:color w:val="0D0D0D" w:themeColor="text1" w:themeTint="F2"/>
          <w:szCs w:val="20"/>
        </w:rPr>
        <w:t xml:space="preserve"> including concealment from the individual themselves even into </w:t>
      </w:r>
      <w:r w:rsidRPr="008642D1">
        <w:rPr>
          <w:color w:val="0D0D0D" w:themeColor="text1" w:themeTint="F2"/>
          <w:szCs w:val="20"/>
        </w:rPr>
        <w:lastRenderedPageBreak/>
        <w:t>adulthood. This was motivated by concern about shame and stigma as well as by Money’s theory that a child who was ignorant of their birth circumstances could be socialised into identifying with a particular gender.</w:t>
      </w:r>
      <w:r w:rsidRPr="008642D1">
        <w:rPr>
          <w:color w:val="0D0D0D" w:themeColor="text1" w:themeTint="F2"/>
          <w:szCs w:val="20"/>
          <w:vertAlign w:val="superscript"/>
        </w:rPr>
        <w:footnoteReference w:id="190"/>
      </w:r>
      <w:r w:rsidRPr="008642D1">
        <w:rPr>
          <w:color w:val="0D0D0D" w:themeColor="text1" w:themeTint="F2"/>
          <w:szCs w:val="20"/>
        </w:rPr>
        <w:t xml:space="preserve"> The approach has been described in this way:</w:t>
      </w:r>
      <w:r w:rsidRPr="008642D1">
        <w:rPr>
          <w:color w:val="0D0D0D" w:themeColor="text1" w:themeTint="F2"/>
          <w:szCs w:val="20"/>
          <w:vertAlign w:val="superscript"/>
        </w:rPr>
        <w:footnoteReference w:id="191"/>
      </w:r>
      <w:r w:rsidRPr="008642D1">
        <w:rPr>
          <w:color w:val="0D0D0D" w:themeColor="text1" w:themeTint="F2"/>
          <w:szCs w:val="20"/>
        </w:rPr>
        <w:t xml:space="preserve"> </w:t>
      </w:r>
    </w:p>
    <w:p w14:paraId="6E1778CD" w14:textId="77777777" w:rsidR="00361703" w:rsidRPr="008642D1" w:rsidRDefault="00361703" w:rsidP="00361703">
      <w:pPr>
        <w:pStyle w:val="QuoteIndent0"/>
      </w:pPr>
      <w:r w:rsidRPr="008642D1">
        <w:t xml:space="preserve">Genital surgery, gender reassignment, and non-disclosure were common practice, often stemming from the belief it would protect the child and in some instances the parents from being psychologically scarred or overwhelmed. Ironically this was proven to create the opposite effect, with many affected individuals feeling betrayed, lied to and having a sense of shame. </w:t>
      </w:r>
    </w:p>
    <w:p w14:paraId="15822FC9" w14:textId="77777777" w:rsidR="00361703" w:rsidRPr="008642D1" w:rsidRDefault="00361703" w:rsidP="00361703">
      <w:pPr>
        <w:pStyle w:val="BodyText"/>
        <w:rPr>
          <w:color w:val="0D0D0D" w:themeColor="text1" w:themeTint="F2"/>
          <w:szCs w:val="20"/>
        </w:rPr>
      </w:pPr>
      <w:r w:rsidRPr="008642D1">
        <w:rPr>
          <w:color w:val="0D0D0D" w:themeColor="text1" w:themeTint="F2"/>
          <w:szCs w:val="20"/>
        </w:rPr>
        <w:t>Surgical interventions on infants and children with innate variations were also common in this period in Aotearoa New Zealand.</w:t>
      </w:r>
      <w:r w:rsidRPr="008642D1">
        <w:rPr>
          <w:rStyle w:val="FootnoteReference"/>
          <w:szCs w:val="20"/>
        </w:rPr>
        <w:footnoteReference w:id="192"/>
      </w:r>
      <w:r w:rsidRPr="008642D1">
        <w:rPr>
          <w:color w:val="0D0D0D" w:themeColor="text1" w:themeTint="F2"/>
          <w:szCs w:val="20"/>
        </w:rPr>
        <w:t xml:space="preserve"> In 2008, </w:t>
      </w:r>
      <w:r w:rsidRPr="008642D1">
        <w:rPr>
          <w:i/>
          <w:iCs/>
          <w:color w:val="0D0D0D" w:themeColor="text1" w:themeTint="F2"/>
          <w:szCs w:val="20"/>
        </w:rPr>
        <w:t xml:space="preserve">To Be Who I Am </w:t>
      </w:r>
      <w:r w:rsidRPr="008642D1">
        <w:rPr>
          <w:color w:val="0D0D0D" w:themeColor="text1" w:themeTint="F2"/>
          <w:szCs w:val="20"/>
        </w:rPr>
        <w:t>documented some of the concerns expressed by intersex people about these practices. These included unhappiness at medical decisions that were made on their behalf, concerns about uninformed consent, inability to access medical records (even into adulthood) and ongoing negative effects from interventions such as loss of genital sensation.</w:t>
      </w:r>
      <w:r w:rsidRPr="008642D1">
        <w:rPr>
          <w:color w:val="0D0D0D" w:themeColor="text1" w:themeTint="F2"/>
          <w:szCs w:val="20"/>
          <w:vertAlign w:val="superscript"/>
        </w:rPr>
        <w:footnoteReference w:id="193"/>
      </w:r>
      <w:r w:rsidRPr="008642D1">
        <w:rPr>
          <w:color w:val="0D0D0D" w:themeColor="text1" w:themeTint="F2"/>
          <w:szCs w:val="20"/>
        </w:rPr>
        <w:t xml:space="preserve">   </w:t>
      </w:r>
      <w:r w:rsidRPr="008642D1">
        <w:rPr>
          <w:rStyle w:val="CommentReference"/>
          <w:rFonts w:asciiTheme="minorHAnsi" w:eastAsiaTheme="minorHAnsi" w:hAnsiTheme="minorHAnsi" w:cstheme="minorBidi"/>
          <w:color w:val="auto"/>
          <w:kern w:val="2"/>
          <w:lang w:eastAsia="en-US"/>
          <w14:ligatures w14:val="standardContextual"/>
        </w:rPr>
        <w:t xml:space="preserve"> </w:t>
      </w:r>
      <w:r w:rsidRPr="008642D1">
        <w:rPr>
          <w:color w:val="0D0D0D" w:themeColor="text1" w:themeTint="F2"/>
          <w:szCs w:val="20"/>
        </w:rPr>
        <w:t xml:space="preserve">   </w:t>
      </w:r>
    </w:p>
    <w:p w14:paraId="3E6FE74B" w14:textId="77777777" w:rsidR="00361703" w:rsidRPr="008642D1" w:rsidRDefault="00361703" w:rsidP="00361703">
      <w:pPr>
        <w:pStyle w:val="Heading3"/>
      </w:pPr>
      <w:r w:rsidRPr="008642D1">
        <w:t>Contemporary data on conventional forms of discrimination and mistreatment</w:t>
      </w:r>
    </w:p>
    <w:p w14:paraId="660907B4" w14:textId="313DD198" w:rsidR="00361703" w:rsidRPr="008642D1" w:rsidRDefault="00361703" w:rsidP="00361703">
      <w:pPr>
        <w:pStyle w:val="BodyText"/>
        <w:shd w:val="clear" w:color="auto" w:fill="FFFFFF" w:themeFill="background1"/>
      </w:pPr>
      <w:r w:rsidRPr="008642D1">
        <w:t>There are very little data available about the experiences of discrimination of people with an innate variation of sex characteristics and almost none from Aotearoa New Zealand. The data that are available suggest people with an innate variation of sex characteristics continue to experience high levels of discrimination. In a European study, almost two</w:t>
      </w:r>
      <w:r w:rsidR="00EF5688">
        <w:t>-</w:t>
      </w:r>
      <w:r w:rsidRPr="008642D1">
        <w:t>thirds (62 per cent) of intersex respondents felt they were discriminated against because of being intersex in the 12 months before the survey.</w:t>
      </w:r>
      <w:r w:rsidRPr="008642D1">
        <w:rPr>
          <w:rStyle w:val="FootnoteReference"/>
        </w:rPr>
        <w:footnoteReference w:id="194"/>
      </w:r>
      <w:r w:rsidRPr="008642D1">
        <w:t xml:space="preserve"> </w:t>
      </w:r>
    </w:p>
    <w:p w14:paraId="03796DF8" w14:textId="77777777" w:rsidR="00361703" w:rsidRPr="008642D1" w:rsidRDefault="00361703" w:rsidP="00361703">
      <w:pPr>
        <w:pStyle w:val="BodyText"/>
        <w:shd w:val="clear" w:color="auto" w:fill="FFFFFF" w:themeFill="background1"/>
      </w:pPr>
      <w:r w:rsidRPr="008642D1">
        <w:t>As we explained in Chapter 2, the fact a person has an innate variation of sex characteristics is often not obvious to strangers. In an Australian study, 41 per cent of intersex respondents said strangers “never noticed” their variation while 20 per cent said “few people noticed”.</w:t>
      </w:r>
      <w:r w:rsidRPr="008642D1">
        <w:rPr>
          <w:rStyle w:val="FootnoteReference"/>
        </w:rPr>
        <w:footnoteReference w:id="195"/>
      </w:r>
      <w:r w:rsidRPr="008642D1">
        <w:t xml:space="preserve"> The study found that large proportions of people with an innate variation did not disclose their variation in many areas of their lives. </w:t>
      </w:r>
    </w:p>
    <w:p w14:paraId="647C73F2" w14:textId="77777777" w:rsidR="00361703" w:rsidRPr="008642D1" w:rsidRDefault="00361703" w:rsidP="00361703">
      <w:pPr>
        <w:pStyle w:val="BodyText"/>
        <w:shd w:val="clear" w:color="auto" w:fill="FFFFFF" w:themeFill="background1"/>
      </w:pPr>
      <w:r w:rsidRPr="008642D1">
        <w:t>In those circumstances, people with an innate variation of sex characteristics might be less likely to experience traditional forms of discrimination such as being refused employment or evicted from housing. However, the same Australian study found the following:</w:t>
      </w:r>
      <w:r w:rsidRPr="008642D1">
        <w:rPr>
          <w:rStyle w:val="FootnoteReference"/>
        </w:rPr>
        <w:footnoteReference w:id="196"/>
      </w:r>
    </w:p>
    <w:p w14:paraId="1578F53D" w14:textId="41F09980" w:rsidR="00361703" w:rsidRPr="008642D1" w:rsidRDefault="00361703" w:rsidP="001E69E7">
      <w:pPr>
        <w:pStyle w:val="BodyText2"/>
        <w:numPr>
          <w:ilvl w:val="3"/>
          <w:numId w:val="42"/>
        </w:numPr>
      </w:pPr>
      <w:r w:rsidRPr="008642D1">
        <w:lastRenderedPageBreak/>
        <w:t>Around half of participants said being intersex affected their work experiences. Issues included getting a job, support in their job and employer prejudice due to the visible effects of intersex variations (such as facial hair). For some people, medical issues relating to their variation impacted on their ability to work. The study also found people with an intersex variation experienced higher unemployment than the general population and 41 per cent were earning less than $20,000 per year.</w:t>
      </w:r>
    </w:p>
    <w:p w14:paraId="5C64F555" w14:textId="77777777" w:rsidR="00361703" w:rsidRPr="008642D1" w:rsidRDefault="00361703" w:rsidP="00361703">
      <w:pPr>
        <w:pStyle w:val="BodyText2"/>
      </w:pPr>
      <w:r w:rsidRPr="008642D1">
        <w:t>Respondents were overrepresented in homeless populations compared to the general population, at a similar rate to gender-questioning youth.</w:t>
      </w:r>
    </w:p>
    <w:p w14:paraId="2824A55B" w14:textId="1A5DCBD6" w:rsidR="00361703" w:rsidRPr="008642D1" w:rsidRDefault="00361703" w:rsidP="00361703">
      <w:pPr>
        <w:pStyle w:val="BodyText2"/>
      </w:pPr>
      <w:r w:rsidRPr="008642D1">
        <w:t xml:space="preserve">More than a third of people with intersex variations rated their healthcare provider’s treatment of their variation as </w:t>
      </w:r>
      <w:r w:rsidR="0072386C">
        <w:t>“</w:t>
      </w:r>
      <w:r w:rsidRPr="008642D1">
        <w:t>bad</w:t>
      </w:r>
      <w:r w:rsidR="0072386C">
        <w:t>”</w:t>
      </w:r>
      <w:r w:rsidRPr="008642D1">
        <w:t xml:space="preserve"> or </w:t>
      </w:r>
      <w:r w:rsidR="0072386C">
        <w:t>“</w:t>
      </w:r>
      <w:r w:rsidRPr="008642D1">
        <w:t>very bad</w:t>
      </w:r>
      <w:r w:rsidR="0072386C">
        <w:t>”</w:t>
      </w:r>
      <w:r w:rsidRPr="008642D1">
        <w:t>. A common theme was being given insufficient information about their variation.</w:t>
      </w:r>
    </w:p>
    <w:p w14:paraId="20E867FB" w14:textId="40FC7DB8" w:rsidR="00361703" w:rsidRPr="008642D1" w:rsidRDefault="00361703" w:rsidP="00361703">
      <w:pPr>
        <w:pStyle w:val="BodyText2"/>
      </w:pPr>
      <w:r w:rsidRPr="008642D1">
        <w:t xml:space="preserve">Eighteen per cent of respondents had </w:t>
      </w:r>
      <w:r w:rsidR="0058358A">
        <w:t>not</w:t>
      </w:r>
      <w:r w:rsidR="002D04D1">
        <w:t xml:space="preserve"> completed secondary school</w:t>
      </w:r>
      <w:r w:rsidR="00FB632E">
        <w:t>,</w:t>
      </w:r>
      <w:r w:rsidRPr="008642D1">
        <w:t xml:space="preserve"> compared to two per cent of the general Australian population. </w:t>
      </w:r>
    </w:p>
    <w:p w14:paraId="0EE9CC72" w14:textId="77777777" w:rsidR="00361703" w:rsidRPr="008642D1" w:rsidRDefault="00361703" w:rsidP="00361703">
      <w:pPr>
        <w:pStyle w:val="BodyText"/>
        <w:tabs>
          <w:tab w:val="num" w:pos="709"/>
        </w:tabs>
        <w:ind w:hanging="596"/>
      </w:pPr>
      <w:r w:rsidRPr="008642D1">
        <w:t>A New Zealand study documented instances of children with innate variations of sex characteristics being teased and tormented at school.</w:t>
      </w:r>
      <w:r w:rsidRPr="008642D1">
        <w:rPr>
          <w:rStyle w:val="FootnoteReference"/>
        </w:rPr>
        <w:footnoteReference w:id="197"/>
      </w:r>
      <w:r w:rsidRPr="008642D1">
        <w:t xml:space="preserve"> Another publication observed that access to bathrooms was a “huge” issue for students with an innate variation of sex characteristics.</w:t>
      </w:r>
      <w:r w:rsidRPr="008642D1">
        <w:rPr>
          <w:rStyle w:val="FootnoteReference"/>
        </w:rPr>
        <w:footnoteReference w:id="198"/>
      </w:r>
      <w:r w:rsidRPr="008642D1">
        <w:t xml:space="preserve"> </w:t>
      </w:r>
    </w:p>
    <w:p w14:paraId="3A54F719" w14:textId="55F82FCC" w:rsidR="00361703" w:rsidRPr="008642D1" w:rsidRDefault="00361703" w:rsidP="00361703">
      <w:pPr>
        <w:pStyle w:val="BodyText"/>
        <w:ind w:hanging="596"/>
      </w:pPr>
      <w:r w:rsidRPr="008642D1">
        <w:t>Research also indicates that people with an innate variation of sex characteristics may experience poorer mental health than the general population. One study found they had rates of self-harm and suicidal tendencies comparable to women with a history of physical or sexual abuse (and twice as high as women with no such history).</w:t>
      </w:r>
      <w:r w:rsidRPr="008642D1">
        <w:rPr>
          <w:rStyle w:val="FootnoteReference"/>
        </w:rPr>
        <w:footnoteReference w:id="199"/>
      </w:r>
      <w:r w:rsidRPr="008642D1">
        <w:t xml:space="preserve"> An Australian study found 60 per cent of respondents with an innate variation had thought about suicide compared to 20 per cent of all Australians.</w:t>
      </w:r>
      <w:r w:rsidRPr="008642D1">
        <w:rPr>
          <w:rStyle w:val="FootnoteReference"/>
        </w:rPr>
        <w:footnoteReference w:id="200"/>
      </w:r>
    </w:p>
    <w:p w14:paraId="68985112" w14:textId="77777777" w:rsidR="00361703" w:rsidRPr="008642D1" w:rsidRDefault="00361703" w:rsidP="00361703">
      <w:pPr>
        <w:pStyle w:val="Heading3"/>
      </w:pPr>
      <w:r w:rsidRPr="008642D1">
        <w:t xml:space="preserve">Distinctive issues and concerns </w:t>
      </w:r>
    </w:p>
    <w:p w14:paraId="366B1B52" w14:textId="6B01CF4E" w:rsidR="00361703" w:rsidRPr="008642D1" w:rsidRDefault="00361703" w:rsidP="00361703">
      <w:pPr>
        <w:pStyle w:val="BodyText"/>
      </w:pPr>
      <w:r w:rsidRPr="008642D1">
        <w:t>As will already be clear, people with an innate variation of sex characteristics have distinctive challenges and concerns that other marginalised groups do not face. In this section</w:t>
      </w:r>
      <w:r w:rsidR="00AF0372">
        <w:t>,</w:t>
      </w:r>
      <w:r w:rsidRPr="008642D1">
        <w:t xml:space="preserve"> we summarise some of those distinctive concerns. </w:t>
      </w:r>
    </w:p>
    <w:p w14:paraId="4603F553" w14:textId="77777777" w:rsidR="00361703" w:rsidRPr="008642D1" w:rsidRDefault="00361703" w:rsidP="00361703">
      <w:pPr>
        <w:pStyle w:val="Heading4"/>
      </w:pPr>
      <w:r w:rsidRPr="008642D1">
        <w:t>Medical interventions and their legacy</w:t>
      </w:r>
    </w:p>
    <w:p w14:paraId="20E75782" w14:textId="4A48589A" w:rsidR="00361703" w:rsidRPr="008642D1" w:rsidRDefault="00361703" w:rsidP="00361703">
      <w:pPr>
        <w:pStyle w:val="BodyText"/>
        <w:rPr>
          <w:color w:val="0D0D0D" w:themeColor="text1" w:themeTint="F2"/>
          <w:szCs w:val="20"/>
        </w:rPr>
      </w:pPr>
      <w:r w:rsidRPr="008642D1">
        <w:rPr>
          <w:color w:val="0D0D0D" w:themeColor="text1" w:themeTint="F2"/>
          <w:szCs w:val="20"/>
        </w:rPr>
        <w:t>Medical interventions on people with an innate variation of sex characteristics remain an issue of significant concern for many such people in Aotearoa New Zealand.</w:t>
      </w:r>
      <w:r w:rsidRPr="008642D1">
        <w:rPr>
          <w:color w:val="0D0D0D" w:themeColor="text1" w:themeTint="F2"/>
          <w:szCs w:val="20"/>
          <w:vertAlign w:val="superscript"/>
        </w:rPr>
        <w:footnoteReference w:id="201"/>
      </w:r>
      <w:r w:rsidRPr="008642D1">
        <w:rPr>
          <w:color w:val="0D0D0D" w:themeColor="text1" w:themeTint="F2"/>
          <w:szCs w:val="20"/>
        </w:rPr>
        <w:t xml:space="preserve"> Clinical guidelines for newborns with differences of sex development state that surgical management is not a key focus and will not happen unless there are compelling reasons.</w:t>
      </w:r>
      <w:r w:rsidRPr="008642D1">
        <w:rPr>
          <w:rStyle w:val="FootnoteReference"/>
          <w:szCs w:val="20"/>
        </w:rPr>
        <w:footnoteReference w:id="202"/>
      </w:r>
      <w:r w:rsidRPr="008642D1">
        <w:rPr>
          <w:color w:val="0D0D0D" w:themeColor="text1" w:themeTint="F2"/>
          <w:szCs w:val="20"/>
        </w:rPr>
        <w:t xml:space="preserve"> </w:t>
      </w:r>
      <w:r w:rsidRPr="008642D1">
        <w:rPr>
          <w:color w:val="0D0D0D" w:themeColor="text1" w:themeTint="F2"/>
          <w:szCs w:val="20"/>
        </w:rPr>
        <w:lastRenderedPageBreak/>
        <w:t>However, some community experts and researchers believe these surgeries still happen far too often and in cases that cannot be described as medically necessary.</w:t>
      </w:r>
      <w:r w:rsidR="00A45985">
        <w:rPr>
          <w:rStyle w:val="FootnoteReference"/>
          <w:szCs w:val="20"/>
        </w:rPr>
        <w:footnoteReference w:id="203"/>
      </w:r>
      <w:r w:rsidRPr="008642D1">
        <w:rPr>
          <w:color w:val="0D0D0D" w:themeColor="text1" w:themeTint="F2"/>
          <w:szCs w:val="20"/>
        </w:rPr>
        <w:t xml:space="preserve"> We have heard of concerns that the focus from healthcare providers and experts is still on making patients functional for penetrative sex as adults and enabling them to go through a form of puberty typical for their assigned sex. Related concerns include a lack of education for general practitioners and specialists about innate variations of sex characteristics, inadequate attention to other health effects associated with specific variations (such as those we discussed in Chapter 2), an absence of data on potential health risks and wellbeing issues associated with particular variations and lack of long term follow-up. </w:t>
      </w:r>
    </w:p>
    <w:p w14:paraId="6614CE59" w14:textId="5FE088AA" w:rsidR="00361703" w:rsidRPr="008642D1" w:rsidRDefault="00361703" w:rsidP="00361703">
      <w:pPr>
        <w:pStyle w:val="BodyText"/>
        <w:rPr>
          <w:color w:val="0D0D0D" w:themeColor="text1" w:themeTint="F2"/>
          <w:szCs w:val="20"/>
        </w:rPr>
      </w:pPr>
      <w:r w:rsidRPr="008642D1">
        <w:rPr>
          <w:color w:val="0D0D0D" w:themeColor="text1" w:themeTint="F2"/>
          <w:szCs w:val="20"/>
        </w:rPr>
        <w:t>There are also related concerns about the collection and reliability of data.</w:t>
      </w:r>
      <w:r w:rsidRPr="008642D1">
        <w:rPr>
          <w:color w:val="0D0D0D" w:themeColor="text1" w:themeTint="F2"/>
          <w:szCs w:val="20"/>
          <w:vertAlign w:val="superscript"/>
        </w:rPr>
        <w:footnoteReference w:id="204"/>
      </w:r>
      <w:r w:rsidRPr="008642D1">
        <w:rPr>
          <w:color w:val="0D0D0D" w:themeColor="text1" w:themeTint="F2"/>
          <w:szCs w:val="20"/>
        </w:rPr>
        <w:t xml:space="preserve"> In 2020, the </w:t>
      </w:r>
      <w:r w:rsidR="00D9204F">
        <w:rPr>
          <w:color w:val="0D0D0D" w:themeColor="text1" w:themeTint="F2"/>
          <w:szCs w:val="20"/>
        </w:rPr>
        <w:t>g</w:t>
      </w:r>
      <w:r w:rsidRPr="008642D1">
        <w:rPr>
          <w:color w:val="0D0D0D" w:themeColor="text1" w:themeTint="F2"/>
          <w:szCs w:val="20"/>
        </w:rPr>
        <w:t>overnment said that seven children with an intersex condition had undergone “limited surgery” since 2014 and that all of these were “to resolve a specific functional problem and did not involve sex assignment or re-assignment”.</w:t>
      </w:r>
      <w:r w:rsidRPr="008642D1">
        <w:rPr>
          <w:color w:val="0D0D0D" w:themeColor="text1" w:themeTint="F2"/>
          <w:szCs w:val="20"/>
          <w:vertAlign w:val="superscript"/>
        </w:rPr>
        <w:footnoteReference w:id="205"/>
      </w:r>
      <w:r w:rsidRPr="008642D1">
        <w:rPr>
          <w:color w:val="0D0D0D" w:themeColor="text1" w:themeTint="F2"/>
          <w:szCs w:val="20"/>
        </w:rPr>
        <w:t xml:space="preserve"> However, researchers point to data showing that, on average, 563 children under </w:t>
      </w:r>
      <w:r w:rsidR="00AF0372">
        <w:rPr>
          <w:color w:val="0D0D0D" w:themeColor="text1" w:themeTint="F2"/>
          <w:szCs w:val="20"/>
        </w:rPr>
        <w:t>10</w:t>
      </w:r>
      <w:r w:rsidR="00AF0372" w:rsidRPr="008642D1">
        <w:rPr>
          <w:color w:val="0D0D0D" w:themeColor="text1" w:themeTint="F2"/>
          <w:szCs w:val="20"/>
        </w:rPr>
        <w:t xml:space="preserve"> </w:t>
      </w:r>
      <w:r w:rsidRPr="008642D1">
        <w:rPr>
          <w:color w:val="0D0D0D" w:themeColor="text1" w:themeTint="F2"/>
          <w:szCs w:val="20"/>
        </w:rPr>
        <w:t>years of age had surgery on their genital or reproductive organs between 2015 and 2019.</w:t>
      </w:r>
      <w:r w:rsidRPr="008642D1">
        <w:rPr>
          <w:color w:val="0D0D0D" w:themeColor="text1" w:themeTint="F2"/>
          <w:szCs w:val="20"/>
          <w:vertAlign w:val="superscript"/>
        </w:rPr>
        <w:footnoteReference w:id="206"/>
      </w:r>
      <w:r w:rsidRPr="008642D1">
        <w:rPr>
          <w:color w:val="0D0D0D" w:themeColor="text1" w:themeTint="F2"/>
          <w:szCs w:val="20"/>
        </w:rPr>
        <w:t xml:space="preserve"> This variance likely reflects an absence of consensus about how to define an intersex condition and contributes to the issues we discuss below about data collection.</w:t>
      </w:r>
      <w:r w:rsidRPr="008642D1">
        <w:rPr>
          <w:rStyle w:val="FootnoteReference"/>
          <w:szCs w:val="20"/>
        </w:rPr>
        <w:footnoteReference w:id="207"/>
      </w:r>
    </w:p>
    <w:p w14:paraId="473D080B" w14:textId="003E53B8" w:rsidR="00361703" w:rsidRPr="008642D1" w:rsidRDefault="00361703" w:rsidP="00361703">
      <w:pPr>
        <w:pStyle w:val="BodyText"/>
        <w:rPr>
          <w:color w:val="0D0D0D" w:themeColor="text1" w:themeTint="F2"/>
        </w:rPr>
      </w:pPr>
      <w:r w:rsidRPr="008642D1">
        <w:rPr>
          <w:color w:val="0D0D0D" w:themeColor="text1" w:themeTint="F2"/>
        </w:rPr>
        <w:t xml:space="preserve">In 2022, the </w:t>
      </w:r>
      <w:r w:rsidR="00D9204F">
        <w:rPr>
          <w:color w:val="0D0D0D" w:themeColor="text1" w:themeTint="F2"/>
        </w:rPr>
        <w:t>g</w:t>
      </w:r>
      <w:r w:rsidRPr="008642D1">
        <w:rPr>
          <w:color w:val="0D0D0D" w:themeColor="text1" w:themeTint="F2"/>
        </w:rPr>
        <w:t>overnment announced funding for a rights-based approach to intersex health</w:t>
      </w:r>
      <w:r w:rsidR="00650A3C">
        <w:rPr>
          <w:color w:val="0D0D0D" w:themeColor="text1" w:themeTint="F2"/>
        </w:rPr>
        <w:t xml:space="preserve"> </w:t>
      </w:r>
      <w:r w:rsidRPr="008642D1">
        <w:rPr>
          <w:color w:val="0D0D0D" w:themeColor="text1" w:themeTint="F2"/>
        </w:rPr>
        <w:t>care, which will include updated clinical guidance and funding for peer support.</w:t>
      </w:r>
      <w:r w:rsidRPr="008642D1">
        <w:rPr>
          <w:color w:val="0D0D0D" w:themeColor="text1" w:themeTint="F2"/>
          <w:vertAlign w:val="superscript"/>
        </w:rPr>
        <w:footnoteReference w:id="208"/>
      </w:r>
      <w:r w:rsidRPr="008642D1">
        <w:rPr>
          <w:color w:val="0D0D0D" w:themeColor="text1" w:themeTint="F2"/>
        </w:rPr>
        <w:t xml:space="preserve"> We understand work is currently underway to implement this.</w:t>
      </w:r>
    </w:p>
    <w:p w14:paraId="0B6A746D" w14:textId="77777777" w:rsidR="00361703" w:rsidRPr="008642D1" w:rsidRDefault="00361703" w:rsidP="00361703">
      <w:pPr>
        <w:pStyle w:val="Heading4"/>
      </w:pPr>
      <w:r w:rsidRPr="008642D1">
        <w:t>Poor data collection</w:t>
      </w:r>
    </w:p>
    <w:p w14:paraId="0E0138B1" w14:textId="77777777" w:rsidR="00361703" w:rsidRPr="008642D1" w:rsidRDefault="00361703" w:rsidP="00361703">
      <w:pPr>
        <w:pStyle w:val="BodyText"/>
        <w:rPr>
          <w:color w:val="0D0D0D" w:themeColor="text1" w:themeTint="F2"/>
          <w:szCs w:val="20"/>
        </w:rPr>
      </w:pPr>
      <w:r w:rsidRPr="008642D1">
        <w:rPr>
          <w:color w:val="0D0D0D" w:themeColor="text1" w:themeTint="F2"/>
          <w:szCs w:val="20"/>
        </w:rPr>
        <w:t>As we have already mentioned, there is very little data available about the experiences of people with an innate variation of sex characteristics. Further, the research that exists is often medical, focusing on people “through the lens of aberration or disorder needing intervention”.</w:t>
      </w:r>
      <w:r w:rsidRPr="008642D1">
        <w:rPr>
          <w:rStyle w:val="FootnoteReference"/>
          <w:szCs w:val="20"/>
        </w:rPr>
        <w:footnoteReference w:id="209"/>
      </w:r>
      <w:r w:rsidRPr="008642D1">
        <w:rPr>
          <w:color w:val="0D0D0D" w:themeColor="text1" w:themeTint="F2"/>
          <w:szCs w:val="20"/>
        </w:rPr>
        <w:t xml:space="preserve"> An absence of accurate baseline data makes it difficult to identify and address human rights issues and concerns.</w:t>
      </w:r>
      <w:r w:rsidRPr="008642D1">
        <w:rPr>
          <w:rStyle w:val="FootnoteReference"/>
          <w:szCs w:val="20"/>
        </w:rPr>
        <w:footnoteReference w:id="210"/>
      </w:r>
      <w:r w:rsidRPr="008642D1">
        <w:rPr>
          <w:color w:val="0D0D0D" w:themeColor="text1" w:themeTint="F2"/>
          <w:szCs w:val="20"/>
        </w:rPr>
        <w:t xml:space="preserve">  </w:t>
      </w:r>
    </w:p>
    <w:p w14:paraId="5FE88F87" w14:textId="77777777" w:rsidR="00361703" w:rsidRPr="008642D1" w:rsidRDefault="00361703" w:rsidP="00361703">
      <w:pPr>
        <w:pStyle w:val="Heading4"/>
      </w:pPr>
      <w:r w:rsidRPr="008642D1">
        <w:lastRenderedPageBreak/>
        <w:t>Shame and secrecy</w:t>
      </w:r>
    </w:p>
    <w:p w14:paraId="77D714D7" w14:textId="77777777" w:rsidR="00361703" w:rsidRPr="008642D1" w:rsidRDefault="00361703" w:rsidP="00361703">
      <w:pPr>
        <w:pStyle w:val="BodyText"/>
      </w:pPr>
      <w:r w:rsidRPr="008642D1">
        <w:t>A related issue is that the treatment of people with an innate variation of sex characteristics has been defined by stigma, silence and invisibility.</w:t>
      </w:r>
      <w:r w:rsidRPr="008642D1">
        <w:rPr>
          <w:rStyle w:val="FootnoteReference"/>
        </w:rPr>
        <w:footnoteReference w:id="211"/>
      </w:r>
      <w:r w:rsidRPr="008642D1">
        <w:t xml:space="preserve"> In Aotearoa New Zealand, the 2008 report </w:t>
      </w:r>
      <w:r w:rsidRPr="008642D1">
        <w:rPr>
          <w:i/>
          <w:iCs/>
        </w:rPr>
        <w:t xml:space="preserve">To Be Who I Am </w:t>
      </w:r>
      <w:r w:rsidRPr="008642D1">
        <w:t>referred to the secrecy and shame that was historically associated with innate variations and how this could leave people vulnerable to discrimination and abuse.</w:t>
      </w:r>
      <w:r w:rsidRPr="008642D1">
        <w:rPr>
          <w:rStyle w:val="FootnoteReference"/>
        </w:rPr>
        <w:footnoteReference w:id="212"/>
      </w:r>
      <w:r w:rsidRPr="008642D1">
        <w:t xml:space="preserve"> A 2019 publication indicates that shame and secrecy remain a significant issue for intersex people and their whānau:</w:t>
      </w:r>
      <w:r w:rsidRPr="008642D1">
        <w:rPr>
          <w:color w:val="262626" w:themeColor="text1" w:themeTint="D9"/>
          <w:sz w:val="18"/>
          <w:szCs w:val="18"/>
          <w:vertAlign w:val="superscript"/>
        </w:rPr>
        <w:footnoteReference w:id="213"/>
      </w:r>
      <w:r w:rsidRPr="008642D1">
        <w:t xml:space="preserve"> </w:t>
      </w:r>
    </w:p>
    <w:p w14:paraId="11478467" w14:textId="49A47E5D" w:rsidR="00361703" w:rsidRPr="008642D1" w:rsidRDefault="00361703" w:rsidP="00C22879">
      <w:pPr>
        <w:pStyle w:val="QuoteIndent0"/>
        <w:rPr>
          <w:color w:val="000000" w:themeColor="text1"/>
          <w:szCs w:val="18"/>
        </w:rPr>
      </w:pPr>
      <w:r w:rsidDel="00C834D8">
        <w:rPr>
          <w:color w:val="000000" w:themeColor="text1"/>
          <w:szCs w:val="18"/>
        </w:rPr>
        <w:t>…</w:t>
      </w:r>
      <w:r w:rsidRPr="008642D1">
        <w:rPr>
          <w:color w:val="000000" w:themeColor="text1"/>
          <w:szCs w:val="18"/>
        </w:rPr>
        <w:t>[T]he majority of families I met were told that they would never meet anyone else like them, that there was nobody else like them, or that they shouldn’t ever talk about their diagnosis</w:t>
      </w:r>
      <w:r w:rsidR="00C834D8">
        <w:rPr>
          <w:color w:val="000000" w:themeColor="text1"/>
          <w:szCs w:val="18"/>
        </w:rPr>
        <w:t xml:space="preserve"> </w:t>
      </w:r>
      <w:r w:rsidRPr="008642D1">
        <w:rPr>
          <w:color w:val="000000" w:themeColor="text1"/>
          <w:szCs w:val="18"/>
        </w:rPr>
        <w:t>… Shame and secrecy today is still a very raw and relevant issue facing families. This issue is not merely historical.</w:t>
      </w:r>
    </w:p>
    <w:p w14:paraId="7FAF267A" w14:textId="77777777" w:rsidR="00361703" w:rsidRPr="008642D1" w:rsidRDefault="00361703" w:rsidP="00361703">
      <w:pPr>
        <w:pStyle w:val="BodyText"/>
        <w:rPr>
          <w:color w:val="0D0D0D" w:themeColor="text1" w:themeTint="F2"/>
          <w:szCs w:val="20"/>
        </w:rPr>
      </w:pPr>
      <w:r w:rsidRPr="008642D1">
        <w:rPr>
          <w:color w:val="0D0D0D" w:themeColor="text1" w:themeTint="F2"/>
          <w:szCs w:val="20"/>
        </w:rPr>
        <w:t>A perceived lack of openness from the medical establishment about the existence and prevalence of intersex conditions has also affected the ability of people with innate variations to find community:</w:t>
      </w:r>
      <w:r w:rsidRPr="008642D1">
        <w:rPr>
          <w:rStyle w:val="FootnoteReference"/>
          <w:szCs w:val="20"/>
        </w:rPr>
        <w:footnoteReference w:id="214"/>
      </w:r>
    </w:p>
    <w:p w14:paraId="7D6405F6" w14:textId="567FC05C" w:rsidR="00361703" w:rsidRPr="008642D1" w:rsidRDefault="00361703" w:rsidP="00361703">
      <w:pPr>
        <w:pStyle w:val="QuoteIndent0"/>
      </w:pPr>
      <w:r w:rsidRPr="008642D1">
        <w:t>…</w:t>
      </w:r>
      <w:r w:rsidR="00D35D58">
        <w:t>[</w:t>
      </w:r>
      <w:r w:rsidR="00C834D8">
        <w:t>S]</w:t>
      </w:r>
      <w:r w:rsidRPr="008642D1">
        <w:t>ilence gave people with intersex traits no words to describe our sutures, scars and lack of sensation, and no words to understand commonalities shared across the diversity of lives and histories.</w:t>
      </w:r>
    </w:p>
    <w:p w14:paraId="0145A116" w14:textId="77777777" w:rsidR="00361703" w:rsidRPr="008642D1" w:rsidRDefault="00361703" w:rsidP="00361703">
      <w:pPr>
        <w:pStyle w:val="BodyText"/>
      </w:pPr>
      <w:r w:rsidRPr="008642D1">
        <w:t>People with an innate variation of sex characteristics have also struggled to access their medical records.</w:t>
      </w:r>
      <w:r w:rsidRPr="008642D1">
        <w:rPr>
          <w:rStyle w:val="FootnoteReference"/>
        </w:rPr>
        <w:footnoteReference w:id="215"/>
      </w:r>
      <w:r w:rsidRPr="008642D1">
        <w:t xml:space="preserve"> </w:t>
      </w:r>
    </w:p>
    <w:p w14:paraId="67418010" w14:textId="77777777" w:rsidR="00361703" w:rsidRPr="008642D1" w:rsidRDefault="00361703" w:rsidP="00361703">
      <w:pPr>
        <w:pStyle w:val="Heading4"/>
      </w:pPr>
      <w:r w:rsidRPr="008642D1">
        <w:t>Other challenges of living in the sex binary</w:t>
      </w:r>
    </w:p>
    <w:p w14:paraId="56DAD30F" w14:textId="6F2A659D" w:rsidR="00361703" w:rsidRPr="008642D1" w:rsidRDefault="00361703" w:rsidP="00361703">
      <w:pPr>
        <w:pStyle w:val="BodyText"/>
      </w:pPr>
      <w:r w:rsidRPr="008642D1">
        <w:t>Intersex advocates say the marginalisation of people with an innate variation of sex characteristics has been underpinned by the sex binary and views about what a ‘normal’ body should look like.</w:t>
      </w:r>
      <w:r w:rsidRPr="008642D1">
        <w:rPr>
          <w:vertAlign w:val="superscript"/>
        </w:rPr>
        <w:footnoteReference w:id="216"/>
      </w:r>
      <w:r w:rsidRPr="008642D1">
        <w:t xml:space="preserve"> Categorisations of sex and gender are used everywhere, and “society does not usually recognise a person without reference to their sex”.</w:t>
      </w:r>
      <w:r w:rsidRPr="008642D1">
        <w:rPr>
          <w:rStyle w:val="FootnoteReference"/>
        </w:rPr>
        <w:footnoteReference w:id="217"/>
      </w:r>
      <w:r w:rsidRPr="008642D1">
        <w:t xml:space="preserve"> In practical terms, this has been given effect through measures </w:t>
      </w:r>
      <w:r w:rsidR="00C834D8">
        <w:t>such as</w:t>
      </w:r>
      <w:r w:rsidR="00C834D8" w:rsidRPr="008642D1">
        <w:t xml:space="preserve"> </w:t>
      </w:r>
      <w:r w:rsidRPr="008642D1">
        <w:t>the requirement to register a child’s sex shortly after birth. The options for registering a baby’s sex in Aotearoa New Zealand are male, female or indeterminate.</w:t>
      </w:r>
      <w:r w:rsidRPr="008642D1">
        <w:rPr>
          <w:rStyle w:val="FootnoteReference"/>
        </w:rPr>
        <w:footnoteReference w:id="218"/>
      </w:r>
      <w:r w:rsidRPr="008642D1">
        <w:t xml:space="preserve"> The decision is then reflected in identity </w:t>
      </w:r>
      <w:r w:rsidRPr="008642D1">
        <w:lastRenderedPageBreak/>
        <w:t xml:space="preserve">documents required to access services and participate in “countless aspects of daily </w:t>
      </w:r>
      <w:r w:rsidR="00E74CA4" w:rsidRPr="008642D1">
        <w:rPr>
          <w:noProof/>
        </w:rPr>
        <mc:AlternateContent>
          <mc:Choice Requires="wpg">
            <w:drawing>
              <wp:anchor distT="0" distB="0" distL="114300" distR="114300" simplePos="0" relativeHeight="251658298" behindDoc="1" locked="0" layoutInCell="1" allowOverlap="1" wp14:anchorId="296FC269" wp14:editId="6EF9F0C1">
                <wp:simplePos x="0" y="0"/>
                <wp:positionH relativeFrom="column">
                  <wp:posOffset>-3810</wp:posOffset>
                </wp:positionH>
                <wp:positionV relativeFrom="paragraph">
                  <wp:posOffset>461010</wp:posOffset>
                </wp:positionV>
                <wp:extent cx="5760085" cy="1266190"/>
                <wp:effectExtent l="0" t="0" r="0" b="0"/>
                <wp:wrapNone/>
                <wp:docPr id="764517953" name="Group 764517953" descr="Question"/>
                <wp:cNvGraphicFramePr/>
                <a:graphic xmlns:a="http://schemas.openxmlformats.org/drawingml/2006/main">
                  <a:graphicData uri="http://schemas.microsoft.com/office/word/2010/wordprocessingGroup">
                    <wpg:wgp>
                      <wpg:cNvGrpSpPr/>
                      <wpg:grpSpPr>
                        <a:xfrm>
                          <a:off x="0" y="0"/>
                          <a:ext cx="5760085" cy="1266190"/>
                          <a:chOff x="0" y="62865"/>
                          <a:chExt cx="5760085" cy="1266942"/>
                        </a:xfrm>
                      </wpg:grpSpPr>
                      <wps:wsp>
                        <wps:cNvPr id="76451795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13B1A6" w14:textId="77777777" w:rsidR="00E74CA4" w:rsidRDefault="00E74CA4" w:rsidP="00E74CA4">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7955" name="Group 53"/>
                        <wpg:cNvGrpSpPr>
                          <a:grpSpLocks/>
                        </wpg:cNvGrpSpPr>
                        <wpg:grpSpPr bwMode="auto">
                          <a:xfrm>
                            <a:off x="0" y="316170"/>
                            <a:ext cx="5760085" cy="1013637"/>
                            <a:chOff x="1837" y="1791"/>
                            <a:chExt cx="9302" cy="10949"/>
                          </a:xfrm>
                        </wpg:grpSpPr>
                        <wps:wsp>
                          <wps:cNvPr id="764517956" name="Freeform 54"/>
                          <wps:cNvSpPr>
                            <a:spLocks/>
                          </wps:cNvSpPr>
                          <wps:spPr bwMode="auto">
                            <a:xfrm>
                              <a:off x="1837" y="1791"/>
                              <a:ext cx="9302" cy="1094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7957" name="Group 764517957"/>
                        <wpg:cNvGrpSpPr/>
                        <wpg:grpSpPr>
                          <a:xfrm>
                            <a:off x="0" y="494036"/>
                            <a:ext cx="1443794" cy="252000"/>
                            <a:chOff x="-15880" y="0"/>
                            <a:chExt cx="1444379" cy="252068"/>
                          </a:xfrm>
                        </wpg:grpSpPr>
                        <wps:wsp>
                          <wps:cNvPr id="76451795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01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932A5C" w14:textId="77777777" w:rsidR="00E74CA4" w:rsidRPr="00E90B8A" w:rsidRDefault="00E74CA4" w:rsidP="00E74CA4">
                                <w:pPr>
                                  <w:pStyle w:val="BoxTitle"/>
                                  <w:spacing w:before="0" w:beforeAutospacing="0"/>
                                  <w:rPr>
                                    <w:sz w:val="18"/>
                                    <w:szCs w:val="18"/>
                                  </w:rPr>
                                </w:pPr>
                                <w:r w:rsidRPr="00E90B8A">
                                  <w:rPr>
                                    <w:sz w:val="18"/>
                                    <w:szCs w:val="18"/>
                                  </w:rPr>
                                  <w:t>Q1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96FC269" id="Group 764517953" o:spid="_x0000_s1031" alt="Question" style="position:absolute;left:0;text-align:left;margin-left:-.3pt;margin-top:36.3pt;width:453.55pt;height:99.7pt;z-index:-251658182;mso-height-relative:margin" coordorigin=",628" coordsize="57600,1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">
                <v:shape id="Freeform 52" o:spid="_x0000_s103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713B1A6" w14:textId="77777777" w:rsidR="00E74CA4" w:rsidRDefault="00E74CA4" w:rsidP="00E74CA4">
                        <w:pPr>
                          <w:pStyle w:val="BoxTitle"/>
                          <w:spacing w:before="0" w:beforeAutospacing="0"/>
                        </w:pPr>
                        <w:r w:rsidRPr="007F6876">
                          <w:t>QUESTION</w:t>
                        </w:r>
                      </w:p>
                    </w:txbxContent>
                  </v:textbox>
                </v:shape>
                <v:group id="Group 53" o:spid="_x0000_s1033" style="position:absolute;top:3161;width:57600;height:10137" coordorigin="1837,1791" coordsize="9302,1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">
                  <v:shape id="Freeform 54" o:spid="_x0000_s1034" style="position:absolute;left:1837;top:1791;width:9302;height:1094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" path="m,l9354,r,7809l,7809,,e" fillcolor="#edf2ea" stroked="f">
                    <v:path arrowok="t" o:connecttype="custom" o:connectlocs="0,1402;9302,1402;9302,12351;0,12351;0,1402" o:connectangles="0,0,0,0,0"/>
                  </v:shape>
                </v:group>
                <v:group id="Group 764517957" o:spid="_x0000_s103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">
                  <v:shape id="Freeform 58" o:spid="_x0000_s103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" path="m,l1815,e" filled="f" strokecolor="#72ab6a" strokeweight=".5pt">
                    <v:path arrowok="t" o:connecttype="custom" o:connectlocs="0,0;1073495,0" o:connectangles="0,0"/>
                  </v:shape>
                  <v:shape id="Freeform 66" o:spid="_x0000_s103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9932A5C" w14:textId="77777777" w:rsidR="00E74CA4" w:rsidRPr="00E90B8A" w:rsidRDefault="00E74CA4" w:rsidP="00E74CA4">
                          <w:pPr>
                            <w:pStyle w:val="BoxTitle"/>
                            <w:spacing w:before="0" w:beforeAutospacing="0"/>
                            <w:rPr>
                              <w:sz w:val="18"/>
                              <w:szCs w:val="18"/>
                            </w:rPr>
                          </w:pPr>
                          <w:r w:rsidRPr="00E90B8A">
                            <w:rPr>
                              <w:sz w:val="18"/>
                              <w:szCs w:val="18"/>
                            </w:rPr>
                            <w:t>Q1</w:t>
                          </w:r>
                        </w:p>
                      </w:txbxContent>
                    </v:textbox>
                  </v:shape>
                </v:group>
              </v:group>
            </w:pict>
          </mc:Fallback>
        </mc:AlternateContent>
      </w:r>
      <w:r w:rsidRPr="008642D1">
        <w:t>life”.</w:t>
      </w:r>
      <w:r w:rsidRPr="008642D1">
        <w:rPr>
          <w:rStyle w:val="FootnoteReference"/>
        </w:rPr>
        <w:footnoteReference w:id="219"/>
      </w:r>
    </w:p>
    <w:p w14:paraId="372D29BD" w14:textId="07573C29" w:rsidR="00AB47AC" w:rsidRPr="008642D1" w:rsidRDefault="00AB47AC" w:rsidP="00AB47AC">
      <w:pPr>
        <w:pStyle w:val="BodyText"/>
        <w:numPr>
          <w:ilvl w:val="0"/>
          <w:numId w:val="0"/>
        </w:numPr>
        <w:ind w:left="709" w:hanging="709"/>
      </w:pPr>
    </w:p>
    <w:p w14:paraId="1BAB1AA5" w14:textId="77777777" w:rsidR="00E74CA4" w:rsidRPr="008642D1" w:rsidRDefault="00E74CA4" w:rsidP="00AB47AC">
      <w:pPr>
        <w:pStyle w:val="QuestionBox"/>
      </w:pPr>
    </w:p>
    <w:p w14:paraId="3AAF62E1" w14:textId="58EEE05B" w:rsidR="00AB47AC" w:rsidRPr="008642D1" w:rsidRDefault="00AB47AC" w:rsidP="00AB47AC">
      <w:pPr>
        <w:pStyle w:val="QuestionBox"/>
      </w:pPr>
      <w:r w:rsidRPr="008642D1">
        <w:rPr>
          <w:rFonts w:eastAsiaTheme="minorHAnsi"/>
          <w:noProof/>
          <w:lang w:eastAsia="en-NZ"/>
        </w:rPr>
        <mc:AlternateContent>
          <mc:Choice Requires="wpg">
            <w:drawing>
              <wp:anchor distT="0" distB="0" distL="114300" distR="114300" simplePos="0" relativeHeight="251658262" behindDoc="1" locked="0" layoutInCell="1" allowOverlap="1" wp14:anchorId="6E2E9071" wp14:editId="058208F1">
                <wp:simplePos x="0" y="0"/>
                <wp:positionH relativeFrom="page">
                  <wp:posOffset>1080135</wp:posOffset>
                </wp:positionH>
                <wp:positionV relativeFrom="paragraph">
                  <wp:posOffset>1361440</wp:posOffset>
                </wp:positionV>
                <wp:extent cx="1799590" cy="1270"/>
                <wp:effectExtent l="0" t="19050" r="10160" b="17780"/>
                <wp:wrapNone/>
                <wp:docPr id="1065572528" name="Group 1065572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1965830530"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BCD16" id="Group 1065572528" o:spid="_x0000_s1026" style="position:absolute;margin-left:85.05pt;margin-top:107.2pt;width:141.7pt;height:.1pt;z-index:-251658218;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" path="m,l2097,e" filled="f" strokecolor="#72ab6a" strokeweight="3pt">
                  <v:path arrowok="t" o:connecttype="custom" o:connectlocs="0,0;2097,0" o:connectangles="0,0"/>
                </v:shape>
                <w10:wrap anchorx="page"/>
              </v:group>
            </w:pict>
          </mc:Fallback>
        </mc:AlternateContent>
      </w:r>
      <w:r w:rsidRPr="008642D1">
        <w:t>Is there any other information about discrimination experienced by people who are transgender</w:t>
      </w:r>
      <w:r w:rsidR="00C834D8">
        <w:t xml:space="preserve"> or</w:t>
      </w:r>
      <w:r w:rsidRPr="008642D1">
        <w:t xml:space="preserve"> non-binary or </w:t>
      </w:r>
      <w:r w:rsidR="00C834D8">
        <w:t xml:space="preserve">who </w:t>
      </w:r>
      <w:r w:rsidRPr="008642D1">
        <w:t xml:space="preserve">have an innate variation of sex characteristics that you think </w:t>
      </w:r>
      <w:r w:rsidRPr="008642D1" w:rsidDel="00B569F2">
        <w:t xml:space="preserve">it </w:t>
      </w:r>
      <w:r w:rsidRPr="008642D1">
        <w:t>is important</w:t>
      </w:r>
      <w:r w:rsidR="00E928B7" w:rsidRPr="00E928B7">
        <w:t xml:space="preserve"> for us to consider</w:t>
      </w:r>
      <w:r w:rsidR="00B569F2">
        <w:t>?</w:t>
      </w:r>
    </w:p>
    <w:p w14:paraId="46E3DBC8" w14:textId="556DB6D3" w:rsidR="00EB70BA" w:rsidRPr="008642D1" w:rsidRDefault="00EB70BA" w:rsidP="00EB70BA">
      <w:pPr>
        <w:pStyle w:val="BodyText"/>
        <w:numPr>
          <w:ilvl w:val="0"/>
          <w:numId w:val="0"/>
        </w:numPr>
        <w:ind w:left="709"/>
        <w:sectPr w:rsidR="00EB70BA" w:rsidRPr="008642D1" w:rsidSect="006B03F1">
          <w:headerReference w:type="default" r:id="rId35"/>
          <w:footerReference w:type="even" r:id="rId36"/>
          <w:footerReference w:type="default" r:id="rId37"/>
          <w:footnotePr>
            <w:numRestart w:val="eachSect"/>
          </w:footnotePr>
          <w:pgSz w:w="11920" w:h="16840"/>
          <w:pgMar w:top="1134" w:right="1134" w:bottom="1134" w:left="1701" w:header="499" w:footer="46" w:gutter="0"/>
          <w:cols w:space="720"/>
        </w:sectPr>
      </w:pPr>
    </w:p>
    <w:p w14:paraId="2E736F95" w14:textId="77777777" w:rsidR="00EB70BA" w:rsidRPr="008642D1" w:rsidRDefault="00EB70BA" w:rsidP="00EB70BA">
      <w:pPr>
        <w:pStyle w:val="HEADING2topchapter-notinTOC"/>
      </w:pPr>
      <w:r w:rsidRPr="008642D1">
        <w:lastRenderedPageBreak/>
        <w:t>CHAPTER 4</w:t>
      </w:r>
    </w:p>
    <w:p w14:paraId="1D8C7E7F" w14:textId="77777777" w:rsidR="00EB70BA" w:rsidRPr="008642D1" w:rsidRDefault="00EB70BA" w:rsidP="00EB70BA">
      <w:pPr>
        <w:spacing w:line="200" w:lineRule="exact"/>
        <w:rPr>
          <w:szCs w:val="20"/>
        </w:rPr>
      </w:pPr>
      <w:r w:rsidRPr="008642D1">
        <w:rPr>
          <w:noProof/>
          <w:lang w:eastAsia="en-NZ"/>
        </w:rPr>
        <mc:AlternateContent>
          <mc:Choice Requires="wpg">
            <w:drawing>
              <wp:anchor distT="0" distB="0" distL="114300" distR="114300" simplePos="0" relativeHeight="251658255" behindDoc="1" locked="0" layoutInCell="1" allowOverlap="1" wp14:anchorId="35FC98A4" wp14:editId="3678A425">
                <wp:simplePos x="0" y="0"/>
                <wp:positionH relativeFrom="page">
                  <wp:posOffset>1076325</wp:posOffset>
                </wp:positionH>
                <wp:positionV relativeFrom="paragraph">
                  <wp:posOffset>6350</wp:posOffset>
                </wp:positionV>
                <wp:extent cx="1332230" cy="1270"/>
                <wp:effectExtent l="0" t="19050" r="1270" b="17780"/>
                <wp:wrapNone/>
                <wp:docPr id="276179926" name="Group 276179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302370958"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A6AE0" id="Group 276179926" o:spid="_x0000_s1026" style="position:absolute;margin-left:84.75pt;margin-top:.5pt;width:104.9pt;height:.1pt;z-index:-251658225;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18s/AIAAN8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31DDA009" w14:textId="1F86C23B" w:rsidR="00EB70BA" w:rsidRPr="008642D1" w:rsidRDefault="00C7227E" w:rsidP="00DF306B">
      <w:pPr>
        <w:pStyle w:val="Heading1nonum"/>
        <w:numPr>
          <w:ilvl w:val="0"/>
          <w:numId w:val="24"/>
        </w:numPr>
        <w:spacing w:before="600" w:after="240"/>
        <w:rPr>
          <w:rFonts w:eastAsia="Metropolis Black"/>
        </w:rPr>
      </w:pPr>
      <w:bookmarkStart w:id="60" w:name="_Toc170302131"/>
      <w:r w:rsidRPr="008642D1">
        <w:rPr>
          <w:rFonts w:eastAsia="Metropolis Black"/>
        </w:rPr>
        <w:t>Key reform considerations</w:t>
      </w:r>
      <w:bookmarkEnd w:id="60"/>
    </w:p>
    <w:p w14:paraId="1E514134" w14:textId="77777777" w:rsidR="00EB70BA" w:rsidRPr="008642D1" w:rsidRDefault="00EB70BA" w:rsidP="00EB70BA">
      <w:pPr>
        <w:spacing w:line="200" w:lineRule="exact"/>
        <w:rPr>
          <w:szCs w:val="20"/>
        </w:rPr>
      </w:pPr>
      <w:r w:rsidRPr="008642D1">
        <w:rPr>
          <w:noProof/>
          <w:lang w:eastAsia="en-NZ"/>
        </w:rPr>
        <mc:AlternateContent>
          <mc:Choice Requires="wpg">
            <w:drawing>
              <wp:anchor distT="0" distB="0" distL="114300" distR="114300" simplePos="0" relativeHeight="251658254" behindDoc="1" locked="0" layoutInCell="1" allowOverlap="1" wp14:anchorId="4D3DEDBE" wp14:editId="5BD664BE">
                <wp:simplePos x="0" y="0"/>
                <wp:positionH relativeFrom="page">
                  <wp:posOffset>1087427</wp:posOffset>
                </wp:positionH>
                <wp:positionV relativeFrom="paragraph">
                  <wp:posOffset>71755</wp:posOffset>
                </wp:positionV>
                <wp:extent cx="1332230" cy="1270"/>
                <wp:effectExtent l="0" t="19050" r="1270" b="17780"/>
                <wp:wrapNone/>
                <wp:docPr id="1831619241" name="Group 1831619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12801765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DE3A6" id="Group 1831619241" o:spid="_x0000_s1026" style="position:absolute;margin-left:85.6pt;margin-top:5.65pt;width:104.9pt;height:.1pt;z-index:-251658226;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Zf/QIAAOA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2E3F29C1" w14:textId="77777777" w:rsidR="00EB70BA" w:rsidRPr="008642D1" w:rsidRDefault="00EB70BA" w:rsidP="00EB70BA"/>
    <w:p w14:paraId="6B7B8B8D" w14:textId="77777777" w:rsidR="001E682F" w:rsidRPr="008642D1" w:rsidRDefault="001E682F" w:rsidP="001E682F">
      <w:pPr>
        <w:pStyle w:val="Heading2"/>
      </w:pPr>
      <w:bookmarkStart w:id="61" w:name="_Toc170302132"/>
      <w:r w:rsidRPr="008642D1">
        <w:t>Introduction</w:t>
      </w:r>
      <w:bookmarkEnd w:id="61"/>
    </w:p>
    <w:p w14:paraId="504DF1F7" w14:textId="10A5F4F1" w:rsidR="00D82B85" w:rsidRPr="008642D1" w:rsidRDefault="00D82B85" w:rsidP="00D82B85">
      <w:pPr>
        <w:pStyle w:val="BodyText"/>
      </w:pPr>
      <w:r w:rsidRPr="008642D1">
        <w:t>In this chapter</w:t>
      </w:r>
      <w:r w:rsidR="00F73235">
        <w:t>,</w:t>
      </w:r>
      <w:r w:rsidRPr="008642D1">
        <w:t xml:space="preserve"> we identify some key reform considerations we think Te Aka Matua o te Ture | Law Commission should bear in mind when proposing law reform in this review. We group these considerations into six categories:</w:t>
      </w:r>
    </w:p>
    <w:p w14:paraId="59486BFE" w14:textId="77777777" w:rsidR="00D82B85" w:rsidRPr="008642D1" w:rsidRDefault="00D82B85" w:rsidP="00DF306B">
      <w:pPr>
        <w:pStyle w:val="BodyTextnonum"/>
        <w:numPr>
          <w:ilvl w:val="3"/>
          <w:numId w:val="23"/>
        </w:numPr>
      </w:pPr>
      <w:r w:rsidRPr="008642D1">
        <w:t>coherence of the Human Rights Act 1993;</w:t>
      </w:r>
    </w:p>
    <w:p w14:paraId="4A63D241" w14:textId="77777777" w:rsidR="00D82B85" w:rsidRPr="008642D1" w:rsidRDefault="00D82B85" w:rsidP="00DF306B">
      <w:pPr>
        <w:pStyle w:val="BodyTextnonum"/>
        <w:numPr>
          <w:ilvl w:val="3"/>
          <w:numId w:val="23"/>
        </w:numPr>
      </w:pPr>
      <w:r w:rsidRPr="008642D1">
        <w:t>core values underlying the Human Rights Act;</w:t>
      </w:r>
    </w:p>
    <w:p w14:paraId="7285DF6D" w14:textId="77777777" w:rsidR="00D82B85" w:rsidRPr="008642D1" w:rsidRDefault="00D82B85" w:rsidP="00DF306B">
      <w:pPr>
        <w:pStyle w:val="BodyTextnonum"/>
        <w:numPr>
          <w:ilvl w:val="3"/>
          <w:numId w:val="23"/>
        </w:numPr>
      </w:pPr>
      <w:r w:rsidRPr="008642D1">
        <w:t>constitutional fundamentals;</w:t>
      </w:r>
    </w:p>
    <w:p w14:paraId="14D9544F" w14:textId="77777777" w:rsidR="00D82B85" w:rsidRPr="008642D1" w:rsidRDefault="00D82B85" w:rsidP="00DF306B">
      <w:pPr>
        <w:pStyle w:val="BodyTextnonum"/>
        <w:numPr>
          <w:ilvl w:val="3"/>
          <w:numId w:val="23"/>
        </w:numPr>
      </w:pPr>
      <w:r w:rsidRPr="008642D1">
        <w:t>needs, perspectives and concerns of New Zealanders;</w:t>
      </w:r>
    </w:p>
    <w:p w14:paraId="708409FA" w14:textId="77777777" w:rsidR="00D82B85" w:rsidRPr="008642D1" w:rsidRDefault="00D82B85" w:rsidP="00DF306B">
      <w:pPr>
        <w:pStyle w:val="BodyTextnonum"/>
        <w:numPr>
          <w:ilvl w:val="3"/>
          <w:numId w:val="23"/>
        </w:numPr>
      </w:pPr>
      <w:r w:rsidRPr="008642D1">
        <w:t>evidence-led law reform; and</w:t>
      </w:r>
    </w:p>
    <w:p w14:paraId="147FAD44" w14:textId="2A7A5A7F" w:rsidR="00D82B85" w:rsidRPr="008642D1" w:rsidRDefault="00D82B85" w:rsidP="00DF306B">
      <w:pPr>
        <w:pStyle w:val="BodyTextnonum"/>
        <w:numPr>
          <w:ilvl w:val="3"/>
          <w:numId w:val="23"/>
        </w:numPr>
      </w:pPr>
      <w:r w:rsidRPr="008642D1">
        <w:t>other principles of good law</w:t>
      </w:r>
      <w:r w:rsidR="001D7416">
        <w:t xml:space="preserve"> </w:t>
      </w:r>
      <w:r w:rsidRPr="008642D1">
        <w:t>making.</w:t>
      </w:r>
    </w:p>
    <w:p w14:paraId="0126BD7C" w14:textId="77777777" w:rsidR="00D82B85" w:rsidRPr="008642D1" w:rsidRDefault="00D82B85" w:rsidP="00D82B85">
      <w:pPr>
        <w:pStyle w:val="BodyText"/>
      </w:pPr>
      <w:r w:rsidRPr="008642D1">
        <w:t xml:space="preserve">We are interested in feedback on whether these are useful considerations for the Law Commission to bear in mind and whether there are other key considerations we should consider. </w:t>
      </w:r>
    </w:p>
    <w:p w14:paraId="463FDEDE" w14:textId="77777777" w:rsidR="00D82B85" w:rsidRPr="008642D1" w:rsidRDefault="00D82B85" w:rsidP="00D82B85">
      <w:pPr>
        <w:pStyle w:val="BodyText"/>
      </w:pPr>
      <w:r w:rsidRPr="008642D1">
        <w:t xml:space="preserve">We hope to use these key reform considerations to evaluate options for reform when preparing our Final Report. We expect some of them will point in different directions on some issues and we may need to make trade-offs between them. </w:t>
      </w:r>
    </w:p>
    <w:p w14:paraId="1B55B38F" w14:textId="77777777" w:rsidR="00D82B85" w:rsidRPr="008642D1" w:rsidRDefault="00D82B85" w:rsidP="00D82B85">
      <w:pPr>
        <w:pStyle w:val="Heading2"/>
      </w:pPr>
      <w:bookmarkStart w:id="62" w:name="_Toc170302133"/>
      <w:r w:rsidRPr="008642D1">
        <w:t>Coherence of the Human Rights Act</w:t>
      </w:r>
      <w:bookmarkEnd w:id="62"/>
    </w:p>
    <w:p w14:paraId="41D629C6" w14:textId="77777777" w:rsidR="00D82B85" w:rsidRPr="008642D1" w:rsidRDefault="00D82B85" w:rsidP="00D82B85">
      <w:pPr>
        <w:pStyle w:val="BodyText"/>
      </w:pPr>
      <w:r w:rsidRPr="008642D1">
        <w:t xml:space="preserve">A statute should be internally coherent and make sense as a scheme. That poses some challenges for this reference as we have not been asked to conduct a general review of the Human Rights Act. As we explained in Chapter 1, the Minister responsible for the Law Commission only asked us to review the adequacy of protections in the Act for people who are transgender or non-binary or who have an innate variation of sex characteristics. </w:t>
      </w:r>
    </w:p>
    <w:p w14:paraId="500D6CF1" w14:textId="77777777" w:rsidR="00D82B85" w:rsidRPr="008642D1" w:rsidRDefault="00D82B85" w:rsidP="00D82B85">
      <w:pPr>
        <w:pStyle w:val="BodyText"/>
      </w:pPr>
      <w:r w:rsidRPr="008642D1">
        <w:t xml:space="preserve">We think our core task is to identify the policy intent underlying provisions we are reviewing and to consider how to apply that policy intent to the groups named in the reference. Understanding the policy intent of provisions is not always straightforward. As we explained in Chapter 1, some sections in the Human Rights Act are poorly drafted and the legislative history does not always explain why they were included in the Act. Nevertheless, in preparing this Issues Paper, we </w:t>
      </w:r>
      <w:r w:rsidRPr="008642D1" w:rsidDel="005734B1">
        <w:t>have tried</w:t>
      </w:r>
      <w:r w:rsidRPr="008642D1">
        <w:t xml:space="preserve"> to ascertain the underlying policy intent wherever possible.</w:t>
      </w:r>
    </w:p>
    <w:p w14:paraId="2E19357D" w14:textId="47A00D9D" w:rsidR="00D82B85" w:rsidRPr="008642D1" w:rsidRDefault="00D82B85" w:rsidP="00D82B85">
      <w:pPr>
        <w:pStyle w:val="BodyText"/>
      </w:pPr>
      <w:r w:rsidRPr="008642D1">
        <w:lastRenderedPageBreak/>
        <w:t xml:space="preserve">We see it as outside the scope of this review </w:t>
      </w:r>
      <w:r w:rsidRPr="008642D1" w:rsidDel="00E128BA">
        <w:t xml:space="preserve">to </w:t>
      </w:r>
      <w:r w:rsidRPr="008642D1">
        <w:t xml:space="preserve">renegotiate key policy trade-offs embodied in the </w:t>
      </w:r>
      <w:r w:rsidR="00524838" w:rsidRPr="008642D1">
        <w:t xml:space="preserve">Human Rights </w:t>
      </w:r>
      <w:r w:rsidRPr="008642D1">
        <w:t>Act. One example is the line the Act draws between public conduct (which it regulates) and private conduct (which it generally does not). In preliminary engagement, we heard from some people that this line is drawn in the wrong place. For example, we heard that the exception in Part 2 allowing people to discriminate when choosing flatmates is of concern to many transgender people. Although a wider review of the</w:t>
      </w:r>
      <w:r w:rsidRPr="008642D1" w:rsidDel="00524838">
        <w:t xml:space="preserve"> </w:t>
      </w:r>
      <w:r w:rsidRPr="008642D1">
        <w:t xml:space="preserve">Act might consider this issue, we do not think it is open for us to do so in this review. </w:t>
      </w:r>
    </w:p>
    <w:p w14:paraId="1825D162" w14:textId="117C743D" w:rsidR="00D82B85" w:rsidRPr="008642D1" w:rsidRDefault="00D82B85" w:rsidP="00D82B85">
      <w:pPr>
        <w:pStyle w:val="BodyText"/>
      </w:pPr>
      <w:r w:rsidRPr="008642D1">
        <w:t>Working out which issues it is appropriate for the Law Commission to address in this review</w:t>
      </w:r>
      <w:r w:rsidRPr="008642D1" w:rsidDel="00524838">
        <w:t>,</w:t>
      </w:r>
      <w:r w:rsidRPr="008642D1">
        <w:t xml:space="preserve"> and which should await a wider review</w:t>
      </w:r>
      <w:r w:rsidRPr="008642D1" w:rsidDel="00524838">
        <w:t>,</w:t>
      </w:r>
      <w:r w:rsidRPr="008642D1">
        <w:t xml:space="preserve"> is not straightforward and must be assessed in the light of other key reform considerations identified below. In some cases, whether our review should address an issue is appropriately a matter for consultation. </w:t>
      </w:r>
    </w:p>
    <w:p w14:paraId="7DDE4F53" w14:textId="77777777" w:rsidR="00D82B85" w:rsidRPr="008642D1" w:rsidRDefault="00D82B85" w:rsidP="00D82B85">
      <w:pPr>
        <w:pStyle w:val="BodyText"/>
      </w:pPr>
      <w:r w:rsidRPr="008642D1">
        <w:t xml:space="preserve">Although some of our recommendations will inevitably have implications beyond the subject matter of the review, we need to proceed cautiously in recommending any broad-based reform. One reason is that we cannot consult in this review with all the groups that might be affected by a general review of the Human Rights Act. </w:t>
      </w:r>
    </w:p>
    <w:p w14:paraId="5496223B" w14:textId="77777777" w:rsidR="00D82B85" w:rsidRPr="008642D1" w:rsidRDefault="00D82B85" w:rsidP="00D82B85">
      <w:pPr>
        <w:pStyle w:val="Heading2"/>
      </w:pPr>
      <w:bookmarkStart w:id="63" w:name="_Toc170302134"/>
      <w:r w:rsidRPr="008642D1">
        <w:t>Core values underlying the Human Rights Act</w:t>
      </w:r>
      <w:bookmarkEnd w:id="63"/>
      <w:r w:rsidRPr="008642D1">
        <w:t xml:space="preserve"> </w:t>
      </w:r>
    </w:p>
    <w:p w14:paraId="1EAC0DAC" w14:textId="4906C6CC" w:rsidR="00D82B85" w:rsidRPr="008642D1" w:rsidRDefault="00D82B85" w:rsidP="00D82B85">
      <w:pPr>
        <w:pStyle w:val="BodyText"/>
      </w:pPr>
      <w:r w:rsidRPr="008642D1">
        <w:t xml:space="preserve">As we explained in Chapter 1, the Human Rights Act is a product of gradual evolution in response to changing social norms. It is also a product of pragmatism, compromise, custom and </w:t>
      </w:r>
      <w:r w:rsidRPr="008642D1" w:rsidDel="00B321F6">
        <w:t>‘</w:t>
      </w:r>
      <w:r w:rsidRPr="008642D1">
        <w:t>common sense</w:t>
      </w:r>
      <w:r w:rsidRPr="008642D1" w:rsidDel="00B321F6">
        <w:t>’</w:t>
      </w:r>
      <w:r w:rsidRPr="008642D1">
        <w:t xml:space="preserve"> (as that idea was understood at the time particular provisions were drafted).</w:t>
      </w:r>
    </w:p>
    <w:p w14:paraId="499549F6" w14:textId="6D7536A7" w:rsidR="00D82B85" w:rsidRPr="008642D1" w:rsidRDefault="00D82B85" w:rsidP="00D82B85">
      <w:pPr>
        <w:pStyle w:val="BodyText"/>
      </w:pPr>
      <w:r w:rsidRPr="008642D1">
        <w:t>Ultimately, however, an anti-discrimination code is a statement of values and ideals that are held dear in liberal democratic societies. In drawing out the policy intent underlying</w:t>
      </w:r>
      <w:r w:rsidRPr="008642D1" w:rsidDel="008E18B1">
        <w:t xml:space="preserve"> </w:t>
      </w:r>
      <w:r w:rsidRPr="008642D1">
        <w:t>provisions in the Human Rights Act, we think it is helpful to consider some core values that thread through the Act (and that underlie all domestic and international human rights instruments). We have identified four pairs of ideas: equality/fair play</w:t>
      </w:r>
      <w:r w:rsidR="00524838">
        <w:t>;</w:t>
      </w:r>
      <w:r w:rsidRPr="008642D1">
        <w:t xml:space="preserve"> dignity/self-worth</w:t>
      </w:r>
      <w:r w:rsidR="00524838">
        <w:t>;</w:t>
      </w:r>
      <w:r w:rsidRPr="008642D1">
        <w:t xml:space="preserve"> autonomy/privacy</w:t>
      </w:r>
      <w:r w:rsidR="00524838">
        <w:t>;</w:t>
      </w:r>
      <w:r w:rsidRPr="008642D1">
        <w:t xml:space="preserve"> and limits/proportionality.</w:t>
      </w:r>
      <w:r w:rsidRPr="008642D1" w:rsidDel="004A4CA0">
        <w:t xml:space="preserve"> </w:t>
      </w:r>
    </w:p>
    <w:p w14:paraId="7F435155" w14:textId="1CB9DA4B" w:rsidR="00D82B85" w:rsidRPr="008642D1" w:rsidRDefault="00D82B85" w:rsidP="00D82B85">
      <w:pPr>
        <w:pStyle w:val="BodyText"/>
      </w:pPr>
      <w:r w:rsidRPr="008642D1">
        <w:t xml:space="preserve">When considering the policy intent underlying provisions in the Human Rights Act, we think it may be helpful for us to consider how a provision seeks to advance these ideas and to mediate any tensions between them. Ultimately, it will be helpful for us to consider the ways in which these core ideas are advanced or </w:t>
      </w:r>
      <w:r w:rsidR="00B84470">
        <w:t>affected</w:t>
      </w:r>
      <w:r w:rsidRPr="008642D1">
        <w:t xml:space="preserve"> by any proposed reform.</w:t>
      </w:r>
    </w:p>
    <w:p w14:paraId="54942A74" w14:textId="77777777" w:rsidR="00D82B85" w:rsidRPr="008642D1" w:rsidRDefault="00D82B85" w:rsidP="00D82B85">
      <w:pPr>
        <w:pStyle w:val="Heading3"/>
      </w:pPr>
      <w:r w:rsidRPr="008642D1">
        <w:t>Equality/fair play</w:t>
      </w:r>
    </w:p>
    <w:p w14:paraId="532D98A7" w14:textId="2DF0D630" w:rsidR="00D82B85" w:rsidRPr="008642D1" w:rsidRDefault="00D82B85" w:rsidP="00D82B85">
      <w:pPr>
        <w:pStyle w:val="BodyText"/>
      </w:pPr>
      <w:r w:rsidRPr="008642D1">
        <w:t>Te Kōti Pīra | Court of Appeal has described the “core purpose of anti-discrimination law” as “to give substance to the principle of equality under the law”.</w:t>
      </w:r>
      <w:r w:rsidRPr="008642D1">
        <w:rPr>
          <w:rStyle w:val="FootnoteReference"/>
        </w:rPr>
        <w:footnoteReference w:id="220"/>
      </w:r>
      <w:r w:rsidRPr="008642D1">
        <w:rPr>
          <w:rStyle w:val="FootnoteReference"/>
        </w:rPr>
        <w:t xml:space="preserve"> </w:t>
      </w:r>
      <w:r w:rsidRPr="008642D1">
        <w:t>The idea of equality “rests at the heart of almost all contemporary liberal moral and political theories”</w:t>
      </w:r>
      <w:r w:rsidRPr="008642D1">
        <w:rPr>
          <w:rStyle w:val="FootnoteReference"/>
        </w:rPr>
        <w:footnoteReference w:id="221"/>
      </w:r>
      <w:r w:rsidRPr="008642D1">
        <w:rPr>
          <w:rStyle w:val="FootnoteReference"/>
        </w:rPr>
        <w:t xml:space="preserve"> </w:t>
      </w:r>
      <w:r w:rsidRPr="008642D1">
        <w:t>as well as of international human rights law.</w:t>
      </w:r>
      <w:r w:rsidRPr="008642D1" w:rsidDel="0053776E">
        <w:rPr>
          <w:rStyle w:val="FootnoteReference"/>
          <w:rFonts w:eastAsia="Calibri"/>
        </w:rPr>
        <w:t xml:space="preserve"> </w:t>
      </w:r>
      <w:r w:rsidRPr="008642D1">
        <w:t xml:space="preserve">Its roots in New Zealand social and political thinking go back at least as far as te Tiriti o Waitangi | Treaty of Waitangi, article 3 of which </w:t>
      </w:r>
      <w:r w:rsidRPr="008642D1">
        <w:lastRenderedPageBreak/>
        <w:t>guarantees to Māori “nga tikanga katoa rite tahi ki ana mea ki nga tangata o Ingarani” (“the same rights and duties of citizenship as the people of England”).</w:t>
      </w:r>
      <w:r w:rsidRPr="008642D1">
        <w:rPr>
          <w:rStyle w:val="FootnoteReference"/>
          <w:rFonts w:eastAsia="Calibri"/>
        </w:rPr>
        <w:footnoteReference w:id="222"/>
      </w:r>
      <w:r w:rsidRPr="008642D1">
        <w:rPr>
          <w:rStyle w:val="FootnoteReference"/>
          <w:rFonts w:eastAsia="Calibri"/>
        </w:rPr>
        <w:t xml:space="preserve"> </w:t>
      </w:r>
    </w:p>
    <w:p w14:paraId="174629D1" w14:textId="401610AE" w:rsidR="00D82B85" w:rsidRPr="008642D1" w:rsidRDefault="00D82B85" w:rsidP="00D82B85">
      <w:pPr>
        <w:pStyle w:val="BodyText"/>
      </w:pPr>
      <w:r w:rsidRPr="008642D1">
        <w:t xml:space="preserve">The notion of equality is closely aligned to ideas of </w:t>
      </w:r>
      <w:r w:rsidRPr="008642D1" w:rsidDel="00B321F6">
        <w:t>‘</w:t>
      </w:r>
      <w:r w:rsidRPr="008642D1">
        <w:t>fair go</w:t>
      </w:r>
      <w:r w:rsidRPr="008642D1" w:rsidDel="00B321F6">
        <w:t>’</w:t>
      </w:r>
      <w:r w:rsidRPr="008642D1">
        <w:t xml:space="preserve"> or </w:t>
      </w:r>
      <w:r w:rsidRPr="008642D1" w:rsidDel="00B321F6">
        <w:t>‘</w:t>
      </w:r>
      <w:r w:rsidRPr="008642D1">
        <w:t>fair play</w:t>
      </w:r>
      <w:r w:rsidRPr="008642D1" w:rsidDel="00B321F6">
        <w:t>’</w:t>
      </w:r>
      <w:r w:rsidRPr="008642D1">
        <w:t xml:space="preserve"> that feature in New Zealand’s political culture.</w:t>
      </w:r>
      <w:r w:rsidRPr="008642D1">
        <w:rPr>
          <w:rStyle w:val="FootnoteReference"/>
        </w:rPr>
        <w:footnoteReference w:id="223"/>
      </w:r>
      <w:r w:rsidRPr="008642D1">
        <w:t xml:space="preserve"> As one </w:t>
      </w:r>
      <w:r w:rsidRPr="008642D1">
        <w:rPr>
          <w:rFonts w:eastAsia="Calibri" w:cs="Arial"/>
          <w:szCs w:val="20"/>
        </w:rPr>
        <w:t xml:space="preserve">political journalist and commentator put it, </w:t>
      </w:r>
      <w:r w:rsidR="002E04ED">
        <w:rPr>
          <w:rFonts w:eastAsia="Calibri" w:cs="Arial"/>
          <w:szCs w:val="20"/>
        </w:rPr>
        <w:t xml:space="preserve">a </w:t>
      </w:r>
      <w:r w:rsidRPr="008642D1">
        <w:rPr>
          <w:rFonts w:eastAsia="Calibri" w:cs="Arial"/>
          <w:szCs w:val="20"/>
        </w:rPr>
        <w:t>fair go means “as good a chance as possible to get on in life without other people, including bureaucrats, getting in the way”.</w:t>
      </w:r>
      <w:r w:rsidRPr="008642D1">
        <w:rPr>
          <w:rStyle w:val="FootnoteReference"/>
          <w:rFonts w:eastAsia="Calibri"/>
        </w:rPr>
        <w:footnoteReference w:id="224"/>
      </w:r>
      <w:r w:rsidRPr="008642D1">
        <w:rPr>
          <w:rFonts w:eastAsia="Calibri" w:cs="Arial"/>
          <w:szCs w:val="20"/>
        </w:rPr>
        <w:t xml:space="preserve"> This underlying idea of fair play was invoked by the sponsoring ministers in the parliamentary debates leading to the enactment of both the Human Rights Act and its predecessor, the Human Rights Commission Act 1977.</w:t>
      </w:r>
      <w:r w:rsidRPr="008642D1">
        <w:rPr>
          <w:rStyle w:val="FootnoteReference"/>
          <w:rFonts w:eastAsia="Calibri"/>
        </w:rPr>
        <w:footnoteReference w:id="225"/>
      </w:r>
      <w:r w:rsidRPr="008642D1">
        <w:rPr>
          <w:rFonts w:eastAsia="Calibri" w:cs="Arial"/>
          <w:szCs w:val="20"/>
        </w:rPr>
        <w:t xml:space="preserve"> </w:t>
      </w:r>
    </w:p>
    <w:p w14:paraId="79BF0705" w14:textId="77777777" w:rsidR="00D82B85" w:rsidRPr="008642D1" w:rsidRDefault="00D82B85" w:rsidP="00D82B85">
      <w:pPr>
        <w:pStyle w:val="BodyText"/>
      </w:pPr>
      <w:r w:rsidRPr="008642D1">
        <w:t>Although equality is a cardinal value underlying the Human Rights Act, we acknowledge that equality and freedom from discrimination are not the same thing. Achieving equality requires far more than can be delivered through anti-discrimination laws alone.</w:t>
      </w:r>
    </w:p>
    <w:p w14:paraId="307D51B0" w14:textId="398141B4" w:rsidR="00D82B85" w:rsidRPr="008642D1" w:rsidRDefault="00D82B85" w:rsidP="00D82B85">
      <w:pPr>
        <w:pStyle w:val="BodyText"/>
        <w:rPr>
          <w:rFonts w:eastAsia="Calibri"/>
        </w:rPr>
      </w:pPr>
      <w:r w:rsidRPr="008642D1">
        <w:t>We also acknowledge that the meaning of equality is complex and unsettled.</w:t>
      </w:r>
      <w:r w:rsidRPr="008642D1">
        <w:rPr>
          <w:rStyle w:val="FootnoteReference"/>
        </w:rPr>
        <w:footnoteReference w:id="226"/>
      </w:r>
      <w:r w:rsidRPr="008642D1">
        <w:t xml:space="preserve"> When examining whether and how particular provisions in the Human Rights Act seek to advance equality, we will need to consider the particular vision of equality the drafters had in mind. For example, many provisions in the Act reflect a </w:t>
      </w:r>
      <w:r w:rsidRPr="008642D1" w:rsidDel="00B321F6">
        <w:t>‘</w:t>
      </w:r>
      <w:r w:rsidRPr="008642D1">
        <w:t>substantive</w:t>
      </w:r>
      <w:r w:rsidRPr="008642D1" w:rsidDel="00B321F6">
        <w:t>’</w:t>
      </w:r>
      <w:r w:rsidRPr="008642D1">
        <w:t xml:space="preserve"> rather than a </w:t>
      </w:r>
      <w:r w:rsidRPr="008642D1" w:rsidDel="00B321F6">
        <w:t>‘</w:t>
      </w:r>
      <w:r w:rsidRPr="008642D1">
        <w:t>formal</w:t>
      </w:r>
      <w:r w:rsidRPr="008642D1" w:rsidDel="00B321F6">
        <w:t>’</w:t>
      </w:r>
      <w:r w:rsidRPr="008642D1">
        <w:t xml:space="preserve"> view of equality </w:t>
      </w:r>
      <w:r w:rsidR="00BF7A1A">
        <w:t xml:space="preserve">— </w:t>
      </w:r>
      <w:r w:rsidRPr="008642D1">
        <w:t>one that acknowledges that treating people the same as each other does not always lead to equality of outcome.</w:t>
      </w:r>
      <w:r w:rsidRPr="008642D1">
        <w:rPr>
          <w:rStyle w:val="FootnoteReference"/>
        </w:rPr>
        <w:footnoteReference w:id="227"/>
      </w:r>
      <w:r w:rsidRPr="008642D1">
        <w:t xml:space="preserve"> In short, the Act reflects an understanding that sometimes people need to be treated differently from others to access equal opportunities and to participate in society on an equal basis.</w:t>
      </w:r>
      <w:r w:rsidRPr="008642D1">
        <w:rPr>
          <w:rStyle w:val="FootnoteReference"/>
        </w:rPr>
        <w:footnoteReference w:id="228"/>
      </w:r>
      <w:r w:rsidRPr="008642D1">
        <w:t xml:space="preserve"> </w:t>
      </w:r>
    </w:p>
    <w:p w14:paraId="52B3A4FA" w14:textId="77777777" w:rsidR="00D82B85" w:rsidRPr="008642D1" w:rsidRDefault="00D82B85" w:rsidP="00D82B85">
      <w:pPr>
        <w:pStyle w:val="Heading3"/>
      </w:pPr>
      <w:r w:rsidRPr="008642D1">
        <w:t>Dignity/self-worth</w:t>
      </w:r>
    </w:p>
    <w:p w14:paraId="50CCF511" w14:textId="77777777" w:rsidR="00D82B85" w:rsidRPr="008642D1" w:rsidRDefault="00D82B85" w:rsidP="00D82B85">
      <w:pPr>
        <w:pStyle w:val="BodyText"/>
      </w:pPr>
      <w:r w:rsidRPr="008642D1">
        <w:t>Another cardinal value underlying the Human Rights Act is respect for human dignity. Like equality, the idea of human dignity has no one settled meaning.</w:t>
      </w:r>
      <w:r w:rsidRPr="008642D1">
        <w:rPr>
          <w:rStyle w:val="FootnoteReference"/>
        </w:rPr>
        <w:footnoteReference w:id="229"/>
      </w:r>
      <w:r w:rsidRPr="008642D1">
        <w:t xml:space="preserve"> In human rights law and anti-discrimination law, it is generally used in two ways. </w:t>
      </w:r>
    </w:p>
    <w:p w14:paraId="61E27CBE" w14:textId="173CC30C" w:rsidR="00D82B85" w:rsidRPr="008642D1" w:rsidRDefault="00D82B85" w:rsidP="00D82B85">
      <w:pPr>
        <w:pStyle w:val="BodyText"/>
      </w:pPr>
      <w:r w:rsidRPr="008642D1">
        <w:t>First, it is used to encapsulate “the notion that every person has equal worth”.</w:t>
      </w:r>
      <w:r w:rsidRPr="008642D1">
        <w:rPr>
          <w:rStyle w:val="FootnoteReference"/>
        </w:rPr>
        <w:footnoteReference w:id="230"/>
      </w:r>
      <w:r w:rsidRPr="008642D1">
        <w:t xml:space="preserve"> When used in this way, human dignity describes an inherent quality all humans are born with that cannot be taken from them and that explains why they have rights and deserve equal treatment.</w:t>
      </w:r>
      <w:r w:rsidRPr="008642D1">
        <w:rPr>
          <w:rStyle w:val="FootnoteReference"/>
        </w:rPr>
        <w:footnoteReference w:id="231"/>
      </w:r>
    </w:p>
    <w:p w14:paraId="48D8709F" w14:textId="77777777" w:rsidR="00D82B85" w:rsidRPr="008642D1" w:rsidRDefault="00D82B85" w:rsidP="00D82B85">
      <w:pPr>
        <w:pStyle w:val="BodyText"/>
        <w:rPr>
          <w:rFonts w:eastAsia="Calibri" w:cs="Arial"/>
          <w:szCs w:val="20"/>
        </w:rPr>
      </w:pPr>
      <w:r w:rsidRPr="008642D1">
        <w:rPr>
          <w:rFonts w:eastAsia="Calibri" w:cs="Arial"/>
          <w:szCs w:val="20"/>
        </w:rPr>
        <w:lastRenderedPageBreak/>
        <w:t xml:space="preserve">Second, human dignity is sometimes used to describe feelings of self-worth that can be harmed through ill treatment, including discrimination. According to the Supreme Court of Canada in </w:t>
      </w:r>
      <w:r w:rsidRPr="008642D1">
        <w:rPr>
          <w:rFonts w:eastAsia="Calibri" w:cs="Arial"/>
          <w:i/>
          <w:iCs/>
          <w:szCs w:val="20"/>
        </w:rPr>
        <w:t>Law v Canada</w:t>
      </w:r>
      <w:r w:rsidRPr="008642D1">
        <w:rPr>
          <w:rFonts w:eastAsia="Calibri" w:cs="Arial"/>
          <w:szCs w:val="20"/>
        </w:rPr>
        <w:t>:</w:t>
      </w:r>
      <w:r w:rsidRPr="008642D1">
        <w:rPr>
          <w:rStyle w:val="FootnoteReference"/>
          <w:rFonts w:eastAsia="Calibri"/>
        </w:rPr>
        <w:footnoteReference w:id="232"/>
      </w:r>
    </w:p>
    <w:p w14:paraId="3265574F" w14:textId="77777777" w:rsidR="00D82B85" w:rsidRPr="008642D1" w:rsidRDefault="00D82B85" w:rsidP="00D82B85">
      <w:pPr>
        <w:pStyle w:val="Quote"/>
        <w:rPr>
          <w:rFonts w:eastAsia="Calibri" w:cs="Arial"/>
          <w:szCs w:val="20"/>
        </w:rPr>
      </w:pPr>
      <w:r w:rsidRPr="008642D1">
        <w:t>Human dignity means that an individual or group feels self-respect and self-worth. It is concerned with physical and psychological integrity and empowerment. Human dignity is harmed by unfair treatment premised upon personal traits or circumstances which do not relate to individual needs, capacities, or merits. It is enhanced by laws which are sensitive to the needs, capacities, and merits of different individuals, taking into account the context underlying their differences. Human dignity is harmed when individuals and groups are marginalized, ignored, or devalued, and is enhanced when laws recognize the full place of all individuals and groups within Canadian society.</w:t>
      </w:r>
    </w:p>
    <w:p w14:paraId="74D3397A" w14:textId="2F198B2D" w:rsidR="00D82B85" w:rsidRPr="008642D1" w:rsidRDefault="00D82B85" w:rsidP="00D82B85">
      <w:pPr>
        <w:pStyle w:val="BodyText"/>
        <w:rPr>
          <w:rFonts w:eastAsia="Calibri" w:cs="Arial"/>
          <w:szCs w:val="20"/>
        </w:rPr>
      </w:pPr>
      <w:r w:rsidRPr="008642D1">
        <w:rPr>
          <w:rFonts w:eastAsia="Calibri" w:cs="Arial"/>
          <w:szCs w:val="20"/>
        </w:rPr>
        <w:t xml:space="preserve">The connection between human dignity and New Zealand’s anti-discrimination laws was acknowledged by the sponsoring minister in parliamentary debates leading to the enactment of the </w:t>
      </w:r>
      <w:r w:rsidRPr="008642D1">
        <w:t>Human Rights Commission Act</w:t>
      </w:r>
      <w:r w:rsidRPr="008642D1" w:rsidDel="006C0B84">
        <w:t xml:space="preserve"> </w:t>
      </w:r>
      <w:r w:rsidR="00784E7F">
        <w:t xml:space="preserve">in </w:t>
      </w:r>
      <w:r w:rsidRPr="008642D1" w:rsidDel="006C0B84">
        <w:t>1977</w:t>
      </w:r>
      <w:r w:rsidRPr="008642D1">
        <w:rPr>
          <w:rFonts w:eastAsia="Calibri" w:cs="Arial"/>
          <w:szCs w:val="20"/>
        </w:rPr>
        <w:t>.</w:t>
      </w:r>
      <w:r w:rsidRPr="008642D1">
        <w:rPr>
          <w:rStyle w:val="FootnoteReference"/>
          <w:rFonts w:eastAsia="Calibri"/>
        </w:rPr>
        <w:footnoteReference w:id="233"/>
      </w:r>
      <w:r w:rsidRPr="008642D1">
        <w:rPr>
          <w:rFonts w:eastAsia="Calibri" w:cs="Arial"/>
          <w:szCs w:val="20"/>
        </w:rPr>
        <w:t xml:space="preserve"> It is reflected in the current Act in the power of Te Taraipiunara Mana Tangata | Human Rights Review Tribunal to award damages for “humiliation, loss of dignity, and injury to the feelings of the complainant”.</w:t>
      </w:r>
      <w:r w:rsidRPr="008642D1">
        <w:rPr>
          <w:rStyle w:val="FootnoteReference"/>
          <w:rFonts w:eastAsia="Calibri"/>
        </w:rPr>
        <w:footnoteReference w:id="234"/>
      </w:r>
      <w:r w:rsidRPr="008642D1">
        <w:rPr>
          <w:rFonts w:eastAsia="Calibri" w:cs="Arial"/>
          <w:szCs w:val="20"/>
        </w:rPr>
        <w:t xml:space="preserve"> </w:t>
      </w:r>
      <w:r w:rsidRPr="008642D1">
        <w:t>The Tribunal has described human dignity as “an irreducible, core principle of human rights”</w:t>
      </w:r>
      <w:r w:rsidRPr="008642D1">
        <w:rPr>
          <w:rStyle w:val="FootnoteReference"/>
        </w:rPr>
        <w:footnoteReference w:id="235"/>
      </w:r>
      <w:r w:rsidRPr="008642D1">
        <w:t xml:space="preserve"> and as “the source of all human rights”.</w:t>
      </w:r>
      <w:r w:rsidRPr="008642D1">
        <w:rPr>
          <w:rStyle w:val="FootnoteReference"/>
        </w:rPr>
        <w:footnoteReference w:id="236"/>
      </w:r>
    </w:p>
    <w:p w14:paraId="6650FDF8" w14:textId="77777777" w:rsidR="00D82B85" w:rsidRPr="008642D1" w:rsidRDefault="00D82B85" w:rsidP="00D82B85">
      <w:pPr>
        <w:pStyle w:val="Heading3"/>
        <w:rPr>
          <w:rFonts w:eastAsia="Calibri"/>
        </w:rPr>
      </w:pPr>
      <w:r w:rsidRPr="008642D1">
        <w:rPr>
          <w:rFonts w:eastAsia="Calibri"/>
        </w:rPr>
        <w:t>Autonomy/privacy</w:t>
      </w:r>
    </w:p>
    <w:p w14:paraId="4C2C0EA6" w14:textId="77777777" w:rsidR="00D82B85" w:rsidRPr="008642D1" w:rsidRDefault="00D82B85" w:rsidP="00D82B85">
      <w:pPr>
        <w:pStyle w:val="BodyText"/>
        <w:rPr>
          <w:rFonts w:eastAsia="Calibri" w:cs="Arial"/>
          <w:szCs w:val="20"/>
        </w:rPr>
      </w:pPr>
      <w:r w:rsidRPr="008642D1">
        <w:t>Autonomy (or freedom) is a third idea that is foundational to human rights law and anti-discrimination law. Like equality and dignity, autonomy has no one settled meaning.</w:t>
      </w:r>
      <w:r w:rsidRPr="008642D1">
        <w:rPr>
          <w:rStyle w:val="FootnoteReference"/>
        </w:rPr>
        <w:footnoteReference w:id="237"/>
      </w:r>
      <w:r w:rsidRPr="008642D1">
        <w:t xml:space="preserve"> In general terms, it refers to a person’s right “to make choices and have their choices respected without being dictated to by the state or others”.</w:t>
      </w:r>
      <w:r w:rsidRPr="008642D1">
        <w:rPr>
          <w:rStyle w:val="FootnoteReference"/>
        </w:rPr>
        <w:footnoteReference w:id="238"/>
      </w:r>
      <w:r w:rsidRPr="008642D1">
        <w:t xml:space="preserve"> </w:t>
      </w:r>
    </w:p>
    <w:p w14:paraId="513AE44C" w14:textId="63C8E0FC" w:rsidR="00D82B85" w:rsidRPr="008642D1" w:rsidRDefault="00D82B85" w:rsidP="00D82B85">
      <w:pPr>
        <w:pStyle w:val="BodyText"/>
        <w:rPr>
          <w:rFonts w:eastAsia="Calibri" w:cs="Arial"/>
          <w:szCs w:val="20"/>
        </w:rPr>
      </w:pPr>
      <w:r w:rsidRPr="008642D1">
        <w:t>Equality and autonomy are closely connected. According to the scholar John Gardner, anti-discrimination laws support autonomy by “open[ing] up valuable options to people who have previously had few”.</w:t>
      </w:r>
      <w:r w:rsidRPr="008642D1">
        <w:rPr>
          <w:rStyle w:val="FootnoteReference"/>
        </w:rPr>
        <w:footnoteReference w:id="239"/>
      </w:r>
      <w:r w:rsidRPr="008642D1">
        <w:t xml:space="preserve"> He suggested: “Access to a reasonable range of goods, facilities and services, like access to a reasonable range of employment opportunities, is essential for those who are to lead autonomous lives.”</w:t>
      </w:r>
      <w:r w:rsidRPr="008642D1">
        <w:rPr>
          <w:rStyle w:val="FootnoteReference"/>
        </w:rPr>
        <w:footnoteReference w:id="240"/>
      </w:r>
      <w:r w:rsidRPr="008642D1">
        <w:t xml:space="preserve"> The Canadian Supreme Court has </w:t>
      </w:r>
      <w:r w:rsidRPr="008642D1">
        <w:lastRenderedPageBreak/>
        <w:t>said the equality guarantee in the Canadian Charter “is concerned with the realization of personal autonomy and self-determination”</w:t>
      </w:r>
      <w:r w:rsidR="009862D8">
        <w:t>.</w:t>
      </w:r>
      <w:r w:rsidRPr="008642D1">
        <w:rPr>
          <w:rStyle w:val="FootnoteReference"/>
        </w:rPr>
        <w:footnoteReference w:id="241"/>
      </w:r>
    </w:p>
    <w:p w14:paraId="5B552A53" w14:textId="54651EE9" w:rsidR="00D82B85" w:rsidRPr="008642D1" w:rsidRDefault="00D82B85" w:rsidP="00D82B85">
      <w:pPr>
        <w:pStyle w:val="BodyText"/>
      </w:pPr>
      <w:r w:rsidRPr="008642D1">
        <w:t>Conversely, ideas about freedom or autonomy also underlie some of the limits the Human Rights Act places around the reach of anti-discrimination laws. L</w:t>
      </w:r>
      <w:r w:rsidRPr="008642D1">
        <w:rPr>
          <w:rFonts w:eastAsia="Calibri" w:cs="Arial"/>
        </w:rPr>
        <w:t>iberal democracies recognise an area of liberty within which people are entitled to act on their individual preferences in relation to matters of concern to them (even including “a moral right to do what is morally wrong”).</w:t>
      </w:r>
      <w:r w:rsidRPr="008642D1">
        <w:rPr>
          <w:rStyle w:val="FootnoteReference"/>
          <w:rFonts w:eastAsia="Calibri"/>
        </w:rPr>
        <w:footnoteReference w:id="242"/>
      </w:r>
      <w:r w:rsidRPr="008642D1">
        <w:rPr>
          <w:rFonts w:eastAsia="Calibri" w:cs="Arial"/>
        </w:rPr>
        <w:t xml:space="preserve"> This explains why</w:t>
      </w:r>
      <w:r w:rsidRPr="008642D1">
        <w:t xml:space="preserve"> Part 2 of the Human Rights Act (regulating private </w:t>
      </w:r>
      <w:r w:rsidR="0070566C">
        <w:t>individuals</w:t>
      </w:r>
      <w:r w:rsidR="0070566C" w:rsidRPr="008642D1">
        <w:t xml:space="preserve"> </w:t>
      </w:r>
      <w:r w:rsidRPr="008642D1">
        <w:t xml:space="preserve">and bodies) only applies if the </w:t>
      </w:r>
      <w:r w:rsidR="009862D8">
        <w:t>individual</w:t>
      </w:r>
      <w:r w:rsidR="009862D8" w:rsidRPr="008642D1">
        <w:t xml:space="preserve"> </w:t>
      </w:r>
      <w:r w:rsidRPr="008642D1">
        <w:t xml:space="preserve">or body has chosen to engage in certain public-facing activities and, even then, carves out many exceptions. </w:t>
      </w:r>
    </w:p>
    <w:p w14:paraId="6D458F83" w14:textId="77777777" w:rsidR="00D82B85" w:rsidRPr="008642D1" w:rsidRDefault="00D82B85" w:rsidP="00D82B85">
      <w:pPr>
        <w:pStyle w:val="BodyText"/>
        <w:rPr>
          <w:rFonts w:eastAsia="Calibri" w:cs="Arial"/>
          <w:szCs w:val="20"/>
        </w:rPr>
      </w:pPr>
      <w:r w:rsidRPr="008642D1">
        <w:t>As this suggests, there is a close connection between autonomy and privacy. In international human rights law, rights to privacy or private life are often said to encapsulate ideas of personal autonomy. For example, the European Court of Human Rights has said of the right to private life in the European Convention on Human Rights that it protects “aspects of an individual’s physical and social identity, including the right to personal autonomy, personal development and to establish and develop relationships with other human beings and the outside world”.</w:t>
      </w:r>
      <w:r w:rsidRPr="008642D1">
        <w:rPr>
          <w:rStyle w:val="FootnoteReference"/>
        </w:rPr>
        <w:footnoteReference w:id="243"/>
      </w:r>
    </w:p>
    <w:p w14:paraId="209F7ADF" w14:textId="77777777" w:rsidR="00D82B85" w:rsidRPr="008642D1" w:rsidRDefault="00D82B85" w:rsidP="00D82B85">
      <w:pPr>
        <w:pStyle w:val="BodyText"/>
      </w:pPr>
      <w:r w:rsidRPr="008642D1">
        <w:t>The right to privacy has other dimensions, for example, relating to concealment of naked bodies and intimate activities.</w:t>
      </w:r>
      <w:r w:rsidRPr="008642D1">
        <w:rPr>
          <w:rStyle w:val="FootnoteReference"/>
        </w:rPr>
        <w:footnoteReference w:id="244"/>
      </w:r>
      <w:r w:rsidRPr="008642D1">
        <w:t xml:space="preserve"> As we will explore in later chapters, this dimension of the right to privacy also underlies some provisions in the Human Rights Act.</w:t>
      </w:r>
    </w:p>
    <w:p w14:paraId="21396E3E" w14:textId="77777777" w:rsidR="00D82B85" w:rsidRPr="008642D1" w:rsidRDefault="00D82B85" w:rsidP="00D82B85">
      <w:pPr>
        <w:pStyle w:val="Heading3"/>
      </w:pPr>
      <w:r w:rsidRPr="008642D1">
        <w:t>Limits/proportionality</w:t>
      </w:r>
    </w:p>
    <w:p w14:paraId="334700F6" w14:textId="77777777" w:rsidR="00D82B85" w:rsidRPr="008642D1" w:rsidRDefault="00D82B85" w:rsidP="00D82B85">
      <w:pPr>
        <w:pStyle w:val="BodyText"/>
        <w:rPr>
          <w:rFonts w:eastAsia="Calibri"/>
        </w:rPr>
      </w:pPr>
      <w:r w:rsidRPr="008642D1">
        <w:rPr>
          <w:rFonts w:eastAsia="Calibri"/>
        </w:rPr>
        <w:t xml:space="preserve">The right to freedom from discrimination is not absolute. It must sometimes give way to the rights of others or to other important interests of society or of the government. As we explained in Chapter 1, the Human Rights Act contains rules designed to </w:t>
      </w:r>
      <w:r w:rsidRPr="008642D1">
        <w:t xml:space="preserve">balance the equality rights of particular groups against other rights, interests and concerns that Parliament deemed to be important. One reason why we need to explore the policy rationale underlying particular provisions is so we can understand the reasons that Parliament thought were sufficient to justify limiting the right to freedom from discrimination in specific contexts. </w:t>
      </w:r>
    </w:p>
    <w:p w14:paraId="45FCBF4C" w14:textId="606C5FB1" w:rsidR="00D82B85" w:rsidRPr="008642D1" w:rsidRDefault="00D82B85" w:rsidP="00D82B85">
      <w:pPr>
        <w:pStyle w:val="BodyText"/>
        <w:rPr>
          <w:rFonts w:eastAsia="Calibri"/>
        </w:rPr>
      </w:pPr>
      <w:r w:rsidRPr="008642D1">
        <w:rPr>
          <w:rFonts w:eastAsia="Calibri"/>
        </w:rPr>
        <w:t xml:space="preserve">To be considered legitimate in contemporary human rights law, limits on rights should be </w:t>
      </w:r>
      <w:r w:rsidRPr="008642D1" w:rsidDel="00B321F6">
        <w:rPr>
          <w:rFonts w:eastAsia="Calibri"/>
        </w:rPr>
        <w:t>‘</w:t>
      </w:r>
      <w:r w:rsidRPr="008642D1">
        <w:rPr>
          <w:rFonts w:eastAsia="Calibri"/>
        </w:rPr>
        <w:t>proportionate</w:t>
      </w:r>
      <w:r w:rsidRPr="008642D1" w:rsidDel="00B321F6">
        <w:rPr>
          <w:rFonts w:eastAsia="Calibri"/>
        </w:rPr>
        <w:t>’</w:t>
      </w:r>
      <w:r w:rsidRPr="008642D1">
        <w:rPr>
          <w:rFonts w:eastAsia="Calibri"/>
        </w:rPr>
        <w:t xml:space="preserve">. This means they should create a benefit to society sufficient to justify the intrusion on people’s rights and freedoms. This idea is reflected in section 5 of the </w:t>
      </w:r>
      <w:r w:rsidRPr="008642D1">
        <w:t>New Zealand Bill of Rights Act 1990 (</w:t>
      </w:r>
      <w:r w:rsidRPr="008642D1">
        <w:rPr>
          <w:rFonts w:eastAsia="Calibri"/>
        </w:rPr>
        <w:t>NZ Bill of Rights). It says the rights and freedoms in the NZ Bill of Rights may be subject to reasonable limits that are authorised by law and that are “demonstrably justified in a free and democratic society”. This second requirement of demonstrable justification is often said to require proportionality. We explain the tests courts use to determine whether a limit is proportionate in Chapter 16.</w:t>
      </w:r>
    </w:p>
    <w:p w14:paraId="0C43AFF6" w14:textId="77777777" w:rsidR="00D82B85" w:rsidRPr="008642D1" w:rsidRDefault="00D82B85" w:rsidP="00D82B85">
      <w:pPr>
        <w:pStyle w:val="BodyText"/>
      </w:pPr>
      <w:r w:rsidRPr="008642D1">
        <w:rPr>
          <w:rFonts w:eastAsia="Calibri"/>
        </w:rPr>
        <w:lastRenderedPageBreak/>
        <w:t>Section 5 of the NZ Bill of Rights is directly relevant to this review because, as we explained in Chapter 1, Part 1A of the Human Rights Act replicates rules in the NZ Bill of Rights to determine when government (or agencies exercising government functions) have engaged in unlawful discrimination. Those rules include section 5.</w:t>
      </w:r>
    </w:p>
    <w:p w14:paraId="1BC232AE" w14:textId="48045400" w:rsidR="00D82B85" w:rsidRPr="008642D1" w:rsidRDefault="00D82B85" w:rsidP="00D82B85">
      <w:pPr>
        <w:pStyle w:val="BodyText"/>
      </w:pPr>
      <w:r w:rsidRPr="008642D1">
        <w:rPr>
          <w:rFonts w:eastAsia="Calibri"/>
        </w:rPr>
        <w:t xml:space="preserve">By contrast, there is no overarching proportionality requirement in Part 2 of the Human Rights Act (which regulates private </w:t>
      </w:r>
      <w:r w:rsidR="0070566C">
        <w:t>individuals</w:t>
      </w:r>
      <w:r w:rsidR="0070566C" w:rsidRPr="008642D1">
        <w:t xml:space="preserve"> </w:t>
      </w:r>
      <w:r w:rsidRPr="008642D1">
        <w:rPr>
          <w:rFonts w:eastAsia="Calibri"/>
        </w:rPr>
        <w:t xml:space="preserve">and organisations). Instead, Part 2 sets out in detail the circumstances in which Parliament decided it was unacceptable for private </w:t>
      </w:r>
      <w:r w:rsidR="0070566C">
        <w:t>individuals</w:t>
      </w:r>
      <w:r w:rsidR="0070566C" w:rsidRPr="008642D1">
        <w:t xml:space="preserve"> </w:t>
      </w:r>
      <w:r w:rsidRPr="008642D1">
        <w:rPr>
          <w:rFonts w:eastAsia="Calibri"/>
        </w:rPr>
        <w:t>or bodies to discriminate. In a loose sense, this regime of prohibitions and exceptions reflects what Parliament determined was reasonable and justified. However, not all the Act’s provisions would necessarily be considered proportionate in the sense that term is now understood in human rights law. For example, Part 2 incorporates ideas such as custom, compromise and common sense that would have little place in a proportionality inquiry.</w:t>
      </w:r>
      <w:r w:rsidRPr="008642D1">
        <w:rPr>
          <w:rStyle w:val="FootnoteReference"/>
          <w:rFonts w:eastAsia="Calibri"/>
        </w:rPr>
        <w:footnoteReference w:id="245"/>
      </w:r>
      <w:r w:rsidRPr="008642D1">
        <w:rPr>
          <w:rFonts w:eastAsia="Calibri"/>
        </w:rPr>
        <w:t xml:space="preserve"> Further, as we explained in Chapter 1, some of the understandings of custom and common sense reflected in the Human Rights Act date back to the 1970s.</w:t>
      </w:r>
    </w:p>
    <w:p w14:paraId="041F0D8A" w14:textId="77777777" w:rsidR="00D82B85" w:rsidRPr="008642D1" w:rsidRDefault="00D82B85" w:rsidP="00D82B85">
      <w:pPr>
        <w:pStyle w:val="BodyText"/>
      </w:pPr>
      <w:r w:rsidRPr="008642D1">
        <w:rPr>
          <w:rFonts w:eastAsia="Calibri"/>
        </w:rPr>
        <w:t xml:space="preserve">In a general review of the Human Rights Act, it might well be desirable to review all the Part 2 exceptions to ensure they achieve a proportionate balance between relevant rights and interests. Within the limited scope of this review, we are more constrained. As we explained earlier, the desirability of maintaining the coherence of the Human Rights Act means making law reform recommendations that are generally consistent with the existing logic underlying particular provisions. </w:t>
      </w:r>
    </w:p>
    <w:p w14:paraId="36570FD2" w14:textId="77777777" w:rsidR="00D82B85" w:rsidRPr="008642D1" w:rsidRDefault="00D82B85" w:rsidP="00D82B85">
      <w:pPr>
        <w:pStyle w:val="BodyText"/>
      </w:pPr>
      <w:r w:rsidRPr="008642D1">
        <w:rPr>
          <w:rFonts w:eastAsia="Calibri"/>
        </w:rPr>
        <w:t>Where possible within these constraints, we think it is important for us to consider how the Act can achieve a proportionate balance between relevant rights and interests.</w:t>
      </w:r>
    </w:p>
    <w:p w14:paraId="4506B6F7" w14:textId="77777777" w:rsidR="00D82B85" w:rsidRPr="008642D1" w:rsidRDefault="00D82B85" w:rsidP="00D82B85">
      <w:pPr>
        <w:pStyle w:val="Heading2"/>
      </w:pPr>
      <w:bookmarkStart w:id="67" w:name="_Toc170302135"/>
      <w:r w:rsidRPr="008642D1">
        <w:t>Constitutional fundamentals</w:t>
      </w:r>
      <w:bookmarkEnd w:id="67"/>
      <w:r w:rsidRPr="008642D1">
        <w:t xml:space="preserve"> </w:t>
      </w:r>
    </w:p>
    <w:p w14:paraId="2DA60D1B" w14:textId="2A3FFE5B" w:rsidR="00D82B85" w:rsidRPr="008642D1" w:rsidRDefault="00D82B85" w:rsidP="00DF306B">
      <w:pPr>
        <w:pStyle w:val="BodyText"/>
        <w:numPr>
          <w:ilvl w:val="1"/>
          <w:numId w:val="31"/>
        </w:numPr>
        <w:ind w:hanging="709"/>
      </w:pPr>
      <w:r w:rsidRPr="008642D1">
        <w:t>Law reform in Aotearoa New Zealand should be consistent with fundamental constitutional principles and values that underpin New Zealand’s legal system.</w:t>
      </w:r>
      <w:r w:rsidRPr="008642D1">
        <w:rPr>
          <w:rStyle w:val="FootnoteReference"/>
        </w:rPr>
        <w:footnoteReference w:id="246"/>
      </w:r>
      <w:r w:rsidRPr="008642D1">
        <w:t xml:space="preserve"> Those that are particularly relevant to this review are te Tiriti o Waitangi | Treaty of Waitangi (the Treaty), ngā tikanga, and human rights in domestic and international law.</w:t>
      </w:r>
    </w:p>
    <w:p w14:paraId="56518373" w14:textId="77777777" w:rsidR="00D82B85" w:rsidRPr="008642D1" w:rsidRDefault="00D82B85" w:rsidP="00D82B85">
      <w:pPr>
        <w:pStyle w:val="Heading3"/>
      </w:pPr>
      <w:r w:rsidRPr="008642D1">
        <w:t>Te Tiriti o Waitangi | Treaty of Waitangi</w:t>
      </w:r>
    </w:p>
    <w:p w14:paraId="102CA6ED" w14:textId="77777777" w:rsidR="00D82B85" w:rsidRPr="008642D1" w:rsidRDefault="00D82B85" w:rsidP="00D82B85">
      <w:pPr>
        <w:pStyle w:val="BodyText"/>
      </w:pPr>
      <w:r w:rsidRPr="008642D1">
        <w:t>The Treaty is an integral part of the constitutional framework of Aotearoa New Zealand.</w:t>
      </w:r>
      <w:r w:rsidRPr="008642D1">
        <w:rPr>
          <w:rStyle w:val="FootnoteReference"/>
        </w:rPr>
        <w:footnoteReference w:id="247"/>
      </w:r>
      <w:r w:rsidRPr="008642D1">
        <w:t xml:space="preserve"> The Legislation Design and Advisory Committee’s </w:t>
      </w:r>
      <w:r w:rsidRPr="008642D1">
        <w:rPr>
          <w:i/>
          <w:iCs/>
        </w:rPr>
        <w:t xml:space="preserve">Legislation Guidelines </w:t>
      </w:r>
      <w:r w:rsidRPr="008642D1">
        <w:t>(LDAC Guidelines) describe it as of “vital constitutional importance” and “part of the fabric of New Zealand society”.</w:t>
      </w:r>
      <w:r w:rsidRPr="008642D1">
        <w:rPr>
          <w:rStyle w:val="FootnoteReference"/>
        </w:rPr>
        <w:footnoteReference w:id="248"/>
      </w:r>
      <w:r w:rsidRPr="008642D1">
        <w:t xml:space="preserve"> Analysis of Treaty implications has been an expectation of good </w:t>
      </w:r>
      <w:r w:rsidRPr="008642D1">
        <w:lastRenderedPageBreak/>
        <w:t>policy design in Aotearoa New Zealand for nearly four decades.</w:t>
      </w:r>
      <w:r w:rsidRPr="008642D1">
        <w:rPr>
          <w:rStyle w:val="FootnoteReference"/>
        </w:rPr>
        <w:footnoteReference w:id="249"/>
      </w:r>
      <w:r w:rsidRPr="008642D1">
        <w:t xml:space="preserve"> We aim to give practical effect to the Treaty in our work within the limits of our statutory function. </w:t>
      </w:r>
    </w:p>
    <w:p w14:paraId="1C0C84E7" w14:textId="77777777" w:rsidR="00D82B85" w:rsidRPr="008642D1" w:rsidRDefault="00D82B85" w:rsidP="00D82B85">
      <w:pPr>
        <w:pStyle w:val="BodyText"/>
        <w:tabs>
          <w:tab w:val="clear" w:pos="709"/>
          <w:tab w:val="left" w:pos="720"/>
        </w:tabs>
        <w:ind w:hanging="596"/>
      </w:pPr>
      <w:r w:rsidRPr="008642D1">
        <w:t>The Law Commission has set out its approach to the Treaty in several recent reports.</w:t>
      </w:r>
      <w:r w:rsidRPr="008642D1">
        <w:rPr>
          <w:rStyle w:val="FootnoteReference"/>
        </w:rPr>
        <w:footnoteReference w:id="250"/>
      </w:r>
      <w:r w:rsidRPr="008642D1">
        <w:t xml:space="preserve"> Two brief points are worth restating here. </w:t>
      </w:r>
    </w:p>
    <w:p w14:paraId="27534B3D" w14:textId="77777777" w:rsidR="00D82B85" w:rsidRPr="008642D1" w:rsidRDefault="00D82B85" w:rsidP="00D82B85">
      <w:pPr>
        <w:pStyle w:val="BodyText"/>
        <w:tabs>
          <w:tab w:val="clear" w:pos="709"/>
          <w:tab w:val="left" w:pos="720"/>
        </w:tabs>
        <w:ind w:hanging="596"/>
      </w:pPr>
      <w:r w:rsidRPr="008642D1">
        <w:t>First, as is well known, there are both Māori and English language versions of the Treaty and significant differences between them. The Law Commission takes the view that, where there are differences, the Māori version is more authoritative.</w:t>
      </w:r>
      <w:r w:rsidRPr="008642D1">
        <w:rPr>
          <w:rStyle w:val="FootnoteReference"/>
        </w:rPr>
        <w:footnoteReference w:id="251"/>
      </w:r>
      <w:r w:rsidRPr="008642D1">
        <w:t xml:space="preserve"> This is because it was the version signed by the overwhelming majority of Māori signatories (following debate in te reo Māori) as well as by Lieutenant-Governor Hobson himself. We rely in this review on Sir Hugh Kawharu’s authoritative English translation of the Māori text as reproduced in the Cabinet Manual.</w:t>
      </w:r>
      <w:r w:rsidRPr="008642D1">
        <w:rPr>
          <w:rStyle w:val="FootnoteReference"/>
        </w:rPr>
        <w:footnoteReference w:id="252"/>
      </w:r>
    </w:p>
    <w:p w14:paraId="417A3B47" w14:textId="62B9B3BB" w:rsidR="00D82B85" w:rsidRPr="008642D1" w:rsidRDefault="00D82B85" w:rsidP="00D82B85">
      <w:pPr>
        <w:pStyle w:val="BodyText"/>
        <w:tabs>
          <w:tab w:val="num" w:pos="709"/>
        </w:tabs>
        <w:ind w:hanging="596"/>
      </w:pPr>
      <w:r w:rsidRPr="008642D1">
        <w:t xml:space="preserve">Second, the Law Commission treats the text rather than Treaty </w:t>
      </w:r>
      <w:r w:rsidRPr="008642D1" w:rsidDel="00B321F6">
        <w:t>‘</w:t>
      </w:r>
      <w:r w:rsidRPr="008642D1">
        <w:t>principles</w:t>
      </w:r>
      <w:r w:rsidRPr="008642D1" w:rsidDel="00B321F6">
        <w:t>’</w:t>
      </w:r>
      <w:r w:rsidRPr="008642D1">
        <w:t xml:space="preserve"> as its primary point of reference. Treaty principles have emerged in recent decades from the work of various agencies, especially </w:t>
      </w:r>
      <w:r w:rsidR="001F305A" w:rsidRPr="008642D1">
        <w:t>Te Rōpū Whakamana i te Tiriti o Waitangi</w:t>
      </w:r>
      <w:r w:rsidR="001F305A" w:rsidRPr="008642D1" w:rsidDel="005E5B22">
        <w:t xml:space="preserve"> </w:t>
      </w:r>
      <w:r w:rsidR="001F305A" w:rsidRPr="008642D1">
        <w:t>|</w:t>
      </w:r>
      <w:r w:rsidR="001F305A">
        <w:t xml:space="preserve"> </w:t>
      </w:r>
      <w:r w:rsidRPr="008642D1">
        <w:t>Waitangi Tribunal.</w:t>
      </w:r>
      <w:r w:rsidRPr="008642D1">
        <w:rPr>
          <w:rStyle w:val="FootnoteReference"/>
        </w:rPr>
        <w:footnoteReference w:id="253"/>
      </w:r>
      <w:r w:rsidRPr="008642D1">
        <w:t xml:space="preserve"> They can sometimes be helpful in “enabling the Treaty to be applied in situations that were not foreseen or discussed at the time”.</w:t>
      </w:r>
      <w:r w:rsidRPr="008642D1">
        <w:rPr>
          <w:rStyle w:val="FootnoteReference"/>
        </w:rPr>
        <w:footnoteReference w:id="254"/>
      </w:r>
      <w:r w:rsidRPr="008642D1">
        <w:t xml:space="preserve"> Ultimately, however, the Crown’s obligations under the Treaty are contained in the text.</w:t>
      </w:r>
      <w:r w:rsidRPr="008642D1">
        <w:rPr>
          <w:rStyle w:val="FootnoteReference"/>
        </w:rPr>
        <w:footnoteReference w:id="255"/>
      </w:r>
    </w:p>
    <w:p w14:paraId="0940DDA6" w14:textId="15A10266" w:rsidR="00D82B85" w:rsidRPr="008642D1" w:rsidRDefault="00D82B85" w:rsidP="00D82B85">
      <w:pPr>
        <w:pStyle w:val="BodyText"/>
        <w:tabs>
          <w:tab w:val="num" w:pos="709"/>
        </w:tabs>
        <w:ind w:hanging="596"/>
      </w:pPr>
      <w:r w:rsidRPr="008642D1">
        <w:t>The Treaty records an exchange of undertakings between the Crown and Māori rangatira (chiefs). For the purposes of this review, we think two undertakings may be relevant: the Crown’s article 2 obligation to protect the exercise by Māori of tino rangatiratanga</w:t>
      </w:r>
      <w:r w:rsidR="00950E3C">
        <w:t>;</w:t>
      </w:r>
      <w:r w:rsidRPr="008642D1">
        <w:rPr>
          <w:rStyle w:val="FootnoteReference"/>
        </w:rPr>
        <w:footnoteReference w:id="256"/>
      </w:r>
      <w:r w:rsidRPr="008642D1">
        <w:t xml:space="preserve"> and the Crown’s article 3 obligation to care for Māori and extend the rights and duties of citizenship. We explore the content of these obligations at relevant points in the project </w:t>
      </w:r>
      <w:r w:rsidR="00BF7A1A">
        <w:t xml:space="preserve">— </w:t>
      </w:r>
      <w:r w:rsidRPr="008642D1">
        <w:t>primarily, Chapters 6 and 17.</w:t>
      </w:r>
    </w:p>
    <w:p w14:paraId="1883EE64" w14:textId="77777777" w:rsidR="00D82B85" w:rsidRPr="008642D1" w:rsidRDefault="00D82B85" w:rsidP="00D82B85">
      <w:pPr>
        <w:pStyle w:val="Heading3"/>
      </w:pPr>
      <w:r w:rsidRPr="008642D1">
        <w:t xml:space="preserve">Ngā tikanga </w:t>
      </w:r>
    </w:p>
    <w:p w14:paraId="185D37F0" w14:textId="28276723" w:rsidR="00D82B85" w:rsidRPr="008642D1" w:rsidRDefault="00D82B85" w:rsidP="00DF306B">
      <w:pPr>
        <w:pStyle w:val="BodyText"/>
        <w:numPr>
          <w:ilvl w:val="1"/>
          <w:numId w:val="32"/>
        </w:numPr>
        <w:ind w:hanging="709"/>
      </w:pPr>
      <w:r w:rsidRPr="008642D1">
        <w:t>Tikanga derives from the word tika, which means right or correct</w:t>
      </w:r>
      <w:r w:rsidR="00950E3C">
        <w:t>.</w:t>
      </w:r>
      <w:r w:rsidRPr="008642D1">
        <w:rPr>
          <w:rStyle w:val="FootnoteReference"/>
        </w:rPr>
        <w:footnoteReference w:id="257"/>
      </w:r>
      <w:r w:rsidRPr="008642D1">
        <w:t xml:space="preserve"> </w:t>
      </w:r>
      <w:r w:rsidR="00950E3C">
        <w:t>T</w:t>
      </w:r>
      <w:r w:rsidRPr="008642D1">
        <w:t xml:space="preserve">ikanga means the right way of doing things. Tikanga includes a system of values and principles that guide and direct rights and obligations in a Māori way of living. It governs relationships by providing a shared basis for “doing things right, doing things the right way, and doing </w:t>
      </w:r>
      <w:r w:rsidRPr="008642D1">
        <w:lastRenderedPageBreak/>
        <w:t>things for the right reasons”.</w:t>
      </w:r>
      <w:r w:rsidRPr="008642D1">
        <w:rPr>
          <w:rStyle w:val="FootnoteReference"/>
        </w:rPr>
        <w:footnoteReference w:id="258"/>
      </w:r>
      <w:r w:rsidRPr="008642D1">
        <w:t xml:space="preserve"> In te ao Māori (the Māori world), tikanga is a source of rights, obligations and authority that governs relationships. It is lived and practised today by whānau, hapū, iwi and other Māori communities and collectives.</w:t>
      </w:r>
      <w:r w:rsidRPr="008642D1">
        <w:rPr>
          <w:rStyle w:val="FootnoteReference"/>
        </w:rPr>
        <w:footnoteReference w:id="259"/>
      </w:r>
    </w:p>
    <w:p w14:paraId="4B37C236" w14:textId="77777777" w:rsidR="00D82B85" w:rsidRPr="008642D1" w:rsidRDefault="00D82B85" w:rsidP="00DF306B">
      <w:pPr>
        <w:pStyle w:val="BodyText"/>
        <w:numPr>
          <w:ilvl w:val="1"/>
          <w:numId w:val="32"/>
        </w:numPr>
        <w:ind w:hanging="709"/>
      </w:pPr>
      <w:r w:rsidRPr="008642D1">
        <w:t>Tikanga may involve both:</w:t>
      </w:r>
      <w:r w:rsidRPr="008642D1">
        <w:rPr>
          <w:rStyle w:val="FootnoteReference"/>
        </w:rPr>
        <w:footnoteReference w:id="260"/>
      </w:r>
      <w:r w:rsidRPr="008642D1">
        <w:t xml:space="preserve"> </w:t>
      </w:r>
    </w:p>
    <w:p w14:paraId="35226B28" w14:textId="77777777" w:rsidR="00D82B85" w:rsidRPr="008642D1" w:rsidRDefault="00D82B85" w:rsidP="00DF306B">
      <w:pPr>
        <w:pStyle w:val="BodyTextnonum"/>
        <w:numPr>
          <w:ilvl w:val="3"/>
          <w:numId w:val="32"/>
        </w:numPr>
      </w:pPr>
      <w:r w:rsidRPr="008642D1">
        <w:t xml:space="preserve">tikanga Māori, being values and principles that are broadly shared and accepted generally by Māori; and </w:t>
      </w:r>
    </w:p>
    <w:p w14:paraId="0475B9B2" w14:textId="77777777" w:rsidR="00D82B85" w:rsidRPr="008642D1" w:rsidRDefault="00D82B85" w:rsidP="00DF306B">
      <w:pPr>
        <w:pStyle w:val="BodyTextnonum"/>
        <w:numPr>
          <w:ilvl w:val="3"/>
          <w:numId w:val="32"/>
        </w:numPr>
      </w:pPr>
      <w:r w:rsidRPr="008642D1">
        <w:t>localised tikanga that are shaped by the unique knowledge, experiences and circumstances of individual Māori groups (such as waka, iwi, hapū, marae or whānau).</w:t>
      </w:r>
    </w:p>
    <w:p w14:paraId="3361A52D" w14:textId="77777777" w:rsidR="00D82B85" w:rsidRPr="008642D1" w:rsidRDefault="00D82B85" w:rsidP="00DF306B">
      <w:pPr>
        <w:pStyle w:val="BodyText"/>
        <w:numPr>
          <w:ilvl w:val="1"/>
          <w:numId w:val="32"/>
        </w:numPr>
        <w:ind w:hanging="709"/>
      </w:pPr>
      <w:r w:rsidRPr="008642D1">
        <w:t>Analysis of the impact of policy proposals on tikanga is another established tenet of good law making in Aotearoa New Zealand. For example, the LDAC Guidelines advise those designing legislation to identify the potential effect of the reform on any practices governed by tikanga and to ensure new legislation is, as far as practicable, consistent with tikanga.</w:t>
      </w:r>
      <w:r w:rsidRPr="008642D1">
        <w:rPr>
          <w:rStyle w:val="FootnoteReference"/>
        </w:rPr>
        <w:footnoteReference w:id="261"/>
      </w:r>
      <w:r w:rsidRPr="008642D1">
        <w:t xml:space="preserve"> Other public service guidance invites policy makers to demonstrate how their proposals have approached an issue from the perspective of tikanga values.</w:t>
      </w:r>
      <w:r w:rsidRPr="008642D1">
        <w:rPr>
          <w:rStyle w:val="FootnoteReference"/>
        </w:rPr>
        <w:footnoteReference w:id="262"/>
      </w:r>
      <w:r w:rsidRPr="008642D1">
        <w:t xml:space="preserve"> The Law Commission Act 1985 directs the Law Commission, when making its recommendations, to have regard to te ao Māori (which includes tikanga).</w:t>
      </w:r>
      <w:r w:rsidRPr="008642D1">
        <w:rPr>
          <w:rStyle w:val="FootnoteReference"/>
        </w:rPr>
        <w:footnoteReference w:id="263"/>
      </w:r>
    </w:p>
    <w:p w14:paraId="440A7C13" w14:textId="77777777" w:rsidR="00D82B85" w:rsidRPr="008642D1" w:rsidRDefault="00D82B85" w:rsidP="00AB0C66">
      <w:pPr>
        <w:pStyle w:val="BodyText"/>
      </w:pPr>
      <w:r w:rsidRPr="008642D1">
        <w:t>The kind of recommendations the Law Commission makes in respect of tikanga can differ substantially depending on the scope and nature of a particular review.</w:t>
      </w:r>
      <w:r w:rsidRPr="008642D1">
        <w:rPr>
          <w:rStyle w:val="FootnoteReference"/>
        </w:rPr>
        <w:footnoteReference w:id="264"/>
      </w:r>
      <w:r w:rsidRPr="008642D1">
        <w:t xml:space="preserve"> Within the limited scope of this review, we are primarily concerned to consider and address the potential impacts of any law reform recommendations we might make on the ability of Māori to live in accordance with tikanga. We address this issue in Chapter 17. </w:t>
      </w:r>
    </w:p>
    <w:p w14:paraId="6146BEBD" w14:textId="77777777" w:rsidR="00D82B85" w:rsidRPr="008642D1" w:rsidRDefault="00D82B85" w:rsidP="00D82B85">
      <w:pPr>
        <w:pStyle w:val="Heading3"/>
      </w:pPr>
      <w:r w:rsidRPr="008642D1">
        <w:t>Human rights and international law</w:t>
      </w:r>
    </w:p>
    <w:p w14:paraId="721050B1" w14:textId="77777777" w:rsidR="00D82B85" w:rsidRPr="008642D1" w:rsidRDefault="00D82B85" w:rsidP="00D82B85">
      <w:pPr>
        <w:pStyle w:val="BodyText"/>
      </w:pPr>
      <w:r w:rsidRPr="008642D1">
        <w:t>We also need to consider the significance of the government’s human rights obligations found in international and domestic law.</w:t>
      </w:r>
      <w:r w:rsidRPr="008642D1">
        <w:rPr>
          <w:rStyle w:val="FootnoteReference"/>
        </w:rPr>
        <w:footnoteReference w:id="265"/>
      </w:r>
    </w:p>
    <w:p w14:paraId="76F4960D" w14:textId="77777777" w:rsidR="00D82B85" w:rsidRPr="008642D1" w:rsidRDefault="00D82B85" w:rsidP="00D82B85">
      <w:pPr>
        <w:pStyle w:val="BodyText"/>
      </w:pPr>
      <w:r w:rsidRPr="008642D1">
        <w:t>A central issue in this review is whether more explicit protection from discrimination for people who are transgender or non-binary or who have an innate variation of sex characteristics is supported or demanded by human rights obligations found in international law. We address this in Chapter 6.</w:t>
      </w:r>
    </w:p>
    <w:p w14:paraId="202D6563" w14:textId="77777777" w:rsidR="00D82B85" w:rsidRPr="008642D1" w:rsidRDefault="00D82B85" w:rsidP="00D82B85">
      <w:pPr>
        <w:pStyle w:val="BodyText"/>
      </w:pPr>
      <w:r w:rsidRPr="008642D1">
        <w:lastRenderedPageBreak/>
        <w:t>We also need to ensure that any amendments we propose do not violate other human rights protected by the NZ Bill of Rights</w:t>
      </w:r>
      <w:r w:rsidRPr="008642D1" w:rsidDel="00F1732C">
        <w:t xml:space="preserve"> </w:t>
      </w:r>
      <w:r w:rsidRPr="008642D1">
        <w:t>and at common law (for example, the freedoms of conscience, religion, expression and association). These rights can be limited so long as the limits are proportionate in the sense described earlier in this chapter (and explained in more detail in Chapter 16).</w:t>
      </w:r>
    </w:p>
    <w:p w14:paraId="089759C4" w14:textId="77777777" w:rsidR="00D82B85" w:rsidRPr="008642D1" w:rsidRDefault="00D82B85" w:rsidP="00D82B85">
      <w:pPr>
        <w:pStyle w:val="Heading2"/>
      </w:pPr>
      <w:bookmarkStart w:id="68" w:name="_Toc170302136"/>
      <w:r w:rsidRPr="008642D1">
        <w:t>Needs, perspectives and concerns of New Zealanders</w:t>
      </w:r>
      <w:bookmarkEnd w:id="68"/>
    </w:p>
    <w:p w14:paraId="315B5CAA" w14:textId="6642012B" w:rsidR="00D82B85" w:rsidRPr="008642D1" w:rsidRDefault="00D82B85" w:rsidP="00D82B85">
      <w:pPr>
        <w:pStyle w:val="BodyText"/>
      </w:pPr>
      <w:r w:rsidRPr="008642D1">
        <w:t>Our aim is good law for all New Zealanders. For that, we need to understand as best we can the needs, perspectives and concerns of all those interested in or affected by the review. This includes people who are transgender or non-binary or who have an innate variation of sex characteristics. It also includes all others in the community whose rights, interests and obligations would be affected by law reform in this area or who have relevant expertise or experience. It includes, for example, Māori, women’s groups, rangatahi/young people, businesses and service providers, experts and officials, and people from New Zealand’s ethnic minority communities.</w:t>
      </w:r>
    </w:p>
    <w:p w14:paraId="18FEC2E5" w14:textId="33C2FAD1" w:rsidR="00D82B85" w:rsidRPr="008642D1" w:rsidRDefault="00D82B85" w:rsidP="00D82B85">
      <w:pPr>
        <w:pStyle w:val="BodyText"/>
      </w:pPr>
      <w:r w:rsidRPr="008642D1">
        <w:t>This is not about searching for a reform option with which everyone agrees nor even for the reform option supported by the greatest number of people. Rather, our understanding of the perspectives and concerns of New Zealanders will inform our recommendations for law reform along with other relevant evidence and analysis.</w:t>
      </w:r>
    </w:p>
    <w:p w14:paraId="00879C91" w14:textId="77777777" w:rsidR="00D82B85" w:rsidRPr="008642D1" w:rsidRDefault="00D82B85" w:rsidP="00D82B85">
      <w:pPr>
        <w:pStyle w:val="Heading2"/>
      </w:pPr>
      <w:bookmarkStart w:id="69" w:name="_Toc170302137"/>
      <w:r w:rsidRPr="008642D1">
        <w:t>Evidence-led law reform</w:t>
      </w:r>
      <w:bookmarkEnd w:id="69"/>
    </w:p>
    <w:p w14:paraId="6D8E2431" w14:textId="11F92861" w:rsidR="00D82B85" w:rsidRPr="008642D1" w:rsidRDefault="00D82B85" w:rsidP="00D82B85">
      <w:pPr>
        <w:pStyle w:val="BodyText"/>
      </w:pPr>
      <w:r w:rsidRPr="008642D1">
        <w:t xml:space="preserve">Good law reform is evidence based. In this review, the need to act on evidence is also underscored by the proportionality principle discussed earlier. To be proportionate, limits on rights must be </w:t>
      </w:r>
      <w:r w:rsidRPr="00095B04">
        <w:rPr>
          <w:i/>
          <w:iCs/>
        </w:rPr>
        <w:t>demonstrably</w:t>
      </w:r>
      <w:r w:rsidRPr="008642D1">
        <w:t xml:space="preserve"> justified.</w:t>
      </w:r>
    </w:p>
    <w:p w14:paraId="010F4A84" w14:textId="408D4EB9" w:rsidR="00D82B85" w:rsidRPr="008642D1" w:rsidRDefault="00D82B85" w:rsidP="00D82B85">
      <w:pPr>
        <w:pStyle w:val="BodyText"/>
      </w:pPr>
      <w:r w:rsidRPr="008642D1">
        <w:t xml:space="preserve">One type of evidence that is relevant in this review is evidence of people’s needs, perspectives and concerns (as discussed above). Other types of evidence are also relevant. For example, the Department of </w:t>
      </w:r>
      <w:r w:rsidR="001D7416">
        <w:t xml:space="preserve">the </w:t>
      </w:r>
      <w:r w:rsidRPr="008642D1">
        <w:t xml:space="preserve">Prime Minister and Cabinet’s </w:t>
      </w:r>
      <w:r w:rsidRPr="008642D1">
        <w:rPr>
          <w:i/>
          <w:iCs/>
        </w:rPr>
        <w:t>Policy Project</w:t>
      </w:r>
      <w:r w:rsidRPr="008642D1">
        <w:t xml:space="preserve"> suggests that policy advice needs to be “informed by up-to-date data, contextual and other knowledge, people’s experiences and research from New Zealand and overseas”.</w:t>
      </w:r>
      <w:r w:rsidRPr="008642D1">
        <w:rPr>
          <w:rStyle w:val="FootnoteReference"/>
        </w:rPr>
        <w:footnoteReference w:id="266"/>
      </w:r>
    </w:p>
    <w:p w14:paraId="42AA5962" w14:textId="5E860008" w:rsidR="00D82B85" w:rsidRPr="008642D1" w:rsidRDefault="00D82B85" w:rsidP="00D82B85">
      <w:pPr>
        <w:pStyle w:val="BodyText"/>
      </w:pPr>
      <w:r w:rsidRPr="008642D1">
        <w:t>The Law Commission must, however, act within certain institutional and resource constraints. For example, as we explained in Chapter 1, the Law Commission rarely has the resources to generate new data such as by conducting its own surveys. In this</w:t>
      </w:r>
      <w:r w:rsidRPr="008642D1" w:rsidDel="00AD5268">
        <w:t xml:space="preserve"> </w:t>
      </w:r>
      <w:r w:rsidRPr="008642D1">
        <w:t>review</w:t>
      </w:r>
      <w:r w:rsidR="001D7416">
        <w:t>,</w:t>
      </w:r>
      <w:r w:rsidRPr="008642D1">
        <w:t xml:space="preserve"> we are primarily dependent on data that others have generated. </w:t>
      </w:r>
    </w:p>
    <w:p w14:paraId="1C33DD9F" w14:textId="77777777" w:rsidR="00D82B85" w:rsidRPr="008642D1" w:rsidRDefault="00D82B85" w:rsidP="00D82B85">
      <w:pPr>
        <w:pStyle w:val="BodyText"/>
      </w:pPr>
      <w:r w:rsidRPr="008642D1">
        <w:t>Further, our preliminary research suggests that, on some relevant issues, definitive data have not yet emerged. For example, the evidence on the extent to which gender-affirming hormone treatment may mitigate the biological advantages of male puberty with respect to sports performance is still emerging. We may therefore need to grapple with</w:t>
      </w:r>
      <w:r w:rsidRPr="008642D1" w:rsidDel="004F2608">
        <w:t xml:space="preserve"> </w:t>
      </w:r>
      <w:r w:rsidRPr="008642D1">
        <w:t>how best to regulate some issues against the background of emerging or contested evidence.</w:t>
      </w:r>
    </w:p>
    <w:p w14:paraId="0CC9D39D" w14:textId="0DDBDAB6" w:rsidR="00D82B85" w:rsidRPr="008642D1" w:rsidRDefault="00D82B85" w:rsidP="00D82B85">
      <w:pPr>
        <w:pStyle w:val="Heading2"/>
      </w:pPr>
      <w:bookmarkStart w:id="70" w:name="_Toc170302138"/>
      <w:r w:rsidRPr="008642D1">
        <w:lastRenderedPageBreak/>
        <w:t>Other principles of good law</w:t>
      </w:r>
      <w:r w:rsidR="001D7416">
        <w:t xml:space="preserve"> </w:t>
      </w:r>
      <w:r w:rsidRPr="008642D1">
        <w:t>making</w:t>
      </w:r>
      <w:bookmarkEnd w:id="70"/>
    </w:p>
    <w:p w14:paraId="35C7E003" w14:textId="42178F2B" w:rsidR="00D82B85" w:rsidRPr="008642D1" w:rsidRDefault="00D82B85" w:rsidP="00D82B85">
      <w:pPr>
        <w:pStyle w:val="BodyText"/>
      </w:pPr>
      <w:r w:rsidRPr="008642D1">
        <w:t>There are other principles of good law</w:t>
      </w:r>
      <w:r w:rsidR="001D7416">
        <w:t xml:space="preserve"> </w:t>
      </w:r>
      <w:r w:rsidRPr="008642D1">
        <w:t>making that we bear in mind in our work. Many of these are highlighted in the LDAC Guidelines</w:t>
      </w:r>
      <w:r w:rsidRPr="008642D1" w:rsidDel="001D7416">
        <w:t>. For example</w:t>
      </w:r>
      <w:r w:rsidRPr="008642D1">
        <w:t>:</w:t>
      </w:r>
    </w:p>
    <w:p w14:paraId="4FE9B2D9" w14:textId="77777777" w:rsidR="00D82B85" w:rsidRPr="008642D1" w:rsidRDefault="00D82B85" w:rsidP="00DF306B">
      <w:pPr>
        <w:pStyle w:val="BodyTextnonum"/>
        <w:numPr>
          <w:ilvl w:val="3"/>
          <w:numId w:val="23"/>
        </w:numPr>
      </w:pPr>
      <w:r w:rsidRPr="008642D1">
        <w:t>Law reform should only be undertaken if it is necessary and if it is the most appropriate way to achieve a policy objective. Before we propose law reform, we should be satisfied the costs of legislating do not outweigh the benefits.</w:t>
      </w:r>
      <w:r w:rsidRPr="008642D1">
        <w:rPr>
          <w:rStyle w:val="FootnoteReference"/>
        </w:rPr>
        <w:footnoteReference w:id="267"/>
      </w:r>
    </w:p>
    <w:p w14:paraId="537F0DEA" w14:textId="77777777" w:rsidR="00D82B85" w:rsidRPr="008642D1" w:rsidRDefault="00D82B85" w:rsidP="00DF306B">
      <w:pPr>
        <w:pStyle w:val="BodyTextnonum"/>
        <w:numPr>
          <w:ilvl w:val="3"/>
          <w:numId w:val="23"/>
        </w:numPr>
      </w:pPr>
      <w:r w:rsidRPr="008642D1">
        <w:t>Laws should be fit for purpose. They should be carefully designed to achieve their goals and to ensure they do not overreach or result in unintended consequences.</w:t>
      </w:r>
      <w:r w:rsidRPr="008642D1">
        <w:rPr>
          <w:rStyle w:val="FootnoteReference"/>
        </w:rPr>
        <w:footnoteReference w:id="268"/>
      </w:r>
      <w:r w:rsidRPr="008642D1">
        <w:t xml:space="preserve"> </w:t>
      </w:r>
    </w:p>
    <w:p w14:paraId="4C45B71A" w14:textId="77777777" w:rsidR="00D82B85" w:rsidRPr="008642D1" w:rsidRDefault="00D82B85" w:rsidP="00DF306B">
      <w:pPr>
        <w:pStyle w:val="BodyText"/>
        <w:numPr>
          <w:ilvl w:val="3"/>
          <w:numId w:val="23"/>
        </w:numPr>
      </w:pPr>
      <w:r w:rsidRPr="008642D1">
        <w:t>Laws need to achieve a balance between certainty and flexibility (although the correct balance is very context dependent).</w:t>
      </w:r>
      <w:r w:rsidRPr="008642D1">
        <w:rPr>
          <w:vertAlign w:val="superscript"/>
        </w:rPr>
        <w:footnoteReference w:id="269"/>
      </w:r>
      <w:r w:rsidRPr="008642D1">
        <w:t xml:space="preserve"> </w:t>
      </w:r>
    </w:p>
    <w:p w14:paraId="298E4C45" w14:textId="30F6D00A" w:rsidR="00D82B85" w:rsidRPr="008642D1" w:rsidRDefault="00D82B85" w:rsidP="00DF306B">
      <w:pPr>
        <w:pStyle w:val="BodyText"/>
        <w:numPr>
          <w:ilvl w:val="3"/>
          <w:numId w:val="23"/>
        </w:numPr>
      </w:pPr>
      <w:r w:rsidRPr="008642D1">
        <w:t>Laws also need to be accessible so that people can find them, navigate them and understand them.</w:t>
      </w:r>
      <w:r w:rsidRPr="008642D1">
        <w:rPr>
          <w:rStyle w:val="FootnoteReference"/>
        </w:rPr>
        <w:footnoteReference w:id="270"/>
      </w:r>
      <w:r w:rsidRPr="008642D1">
        <w:t xml:space="preserve"> One of the Law Commission’s statutory functions is to advise on ways in which New Zealand law can be made as understandable and accessible as is practicable.</w:t>
      </w:r>
      <w:r w:rsidRPr="008642D1">
        <w:rPr>
          <w:rStyle w:val="FootnoteReference"/>
        </w:rPr>
        <w:footnoteReference w:id="271"/>
      </w:r>
      <w:r w:rsidRPr="008642D1">
        <w:t xml:space="preserve"> Accessibility of law is critical to ensuring access to justice.</w:t>
      </w:r>
    </w:p>
    <w:p w14:paraId="1FFEC821" w14:textId="6D8B8D48" w:rsidR="00EB70BA" w:rsidRPr="008642D1" w:rsidRDefault="003959CF" w:rsidP="00EB70BA">
      <w:pPr>
        <w:pStyle w:val="BodyText"/>
        <w:numPr>
          <w:ilvl w:val="0"/>
          <w:numId w:val="0"/>
        </w:numPr>
        <w:ind w:left="709"/>
      </w:pPr>
      <w:r w:rsidRPr="008642D1">
        <w:rPr>
          <w:noProof/>
        </w:rPr>
        <mc:AlternateContent>
          <mc:Choice Requires="wpg">
            <w:drawing>
              <wp:anchor distT="0" distB="0" distL="114300" distR="114300" simplePos="0" relativeHeight="251658307" behindDoc="1" locked="0" layoutInCell="1" allowOverlap="1" wp14:anchorId="1DB7E7B6" wp14:editId="5EB53507">
                <wp:simplePos x="0" y="0"/>
                <wp:positionH relativeFrom="column">
                  <wp:posOffset>-3810</wp:posOffset>
                </wp:positionH>
                <wp:positionV relativeFrom="paragraph">
                  <wp:posOffset>-3810</wp:posOffset>
                </wp:positionV>
                <wp:extent cx="5760085" cy="1114445"/>
                <wp:effectExtent l="0" t="0" r="0" b="9525"/>
                <wp:wrapNone/>
                <wp:docPr id="499" name="Group 499" descr="Question"/>
                <wp:cNvGraphicFramePr/>
                <a:graphic xmlns:a="http://schemas.openxmlformats.org/drawingml/2006/main">
                  <a:graphicData uri="http://schemas.microsoft.com/office/word/2010/wordprocessingGroup">
                    <wpg:wgp>
                      <wpg:cNvGrpSpPr/>
                      <wpg:grpSpPr>
                        <a:xfrm>
                          <a:off x="0" y="0"/>
                          <a:ext cx="5760085" cy="1114445"/>
                          <a:chOff x="0" y="62865"/>
                          <a:chExt cx="5760085" cy="1114558"/>
                        </a:xfrm>
                      </wpg:grpSpPr>
                      <wps:wsp>
                        <wps:cNvPr id="50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51BCCB" w14:textId="218AB103" w:rsidR="0048078F" w:rsidRDefault="0048078F" w:rsidP="0048078F">
                              <w:pPr>
                                <w:pStyle w:val="BoxTitle"/>
                                <w:spacing w:before="0" w:beforeAutospacing="0"/>
                              </w:pPr>
                              <w:r w:rsidRPr="007F6876">
                                <w:t>QUESTION</w:t>
                              </w:r>
                            </w:p>
                          </w:txbxContent>
                        </wps:txbx>
                        <wps:bodyPr rot="0" vert="horz" wrap="square" lIns="91440" tIns="0" rIns="0" bIns="45720" anchor="ctr" anchorCtr="0" upright="1">
                          <a:noAutofit/>
                        </wps:bodyPr>
                      </wps:wsp>
                      <wpg:grpSp>
                        <wpg:cNvPr id="501" name="Group 53"/>
                        <wpg:cNvGrpSpPr>
                          <a:grpSpLocks/>
                        </wpg:cNvGrpSpPr>
                        <wpg:grpSpPr bwMode="auto">
                          <a:xfrm>
                            <a:off x="0" y="316077"/>
                            <a:ext cx="5760085" cy="861346"/>
                            <a:chOff x="1837" y="1790"/>
                            <a:chExt cx="9302" cy="9304"/>
                          </a:xfrm>
                        </wpg:grpSpPr>
                        <wps:wsp>
                          <wps:cNvPr id="502" name="Freeform 54"/>
                          <wps:cNvSpPr>
                            <a:spLocks/>
                          </wps:cNvSpPr>
                          <wps:spPr bwMode="auto">
                            <a:xfrm>
                              <a:off x="1837" y="1790"/>
                              <a:ext cx="9302" cy="930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503"/>
                        <wpg:cNvGrpSpPr/>
                        <wpg:grpSpPr>
                          <a:xfrm>
                            <a:off x="0" y="494036"/>
                            <a:ext cx="1443794" cy="252000"/>
                            <a:chOff x="-15880" y="0"/>
                            <a:chExt cx="1444379" cy="252068"/>
                          </a:xfrm>
                        </wpg:grpSpPr>
                        <wps:wsp>
                          <wps:cNvPr id="50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C47364" w14:textId="18573379" w:rsidR="0048078F" w:rsidRPr="00E90B8A" w:rsidRDefault="0048078F" w:rsidP="0048078F">
                                <w:pPr>
                                  <w:pStyle w:val="BoxTitle"/>
                                  <w:spacing w:before="0" w:beforeAutospacing="0"/>
                                  <w:rPr>
                                    <w:sz w:val="18"/>
                                    <w:szCs w:val="18"/>
                                  </w:rPr>
                                </w:pPr>
                                <w:r w:rsidRPr="00E90B8A">
                                  <w:rPr>
                                    <w:sz w:val="18"/>
                                    <w:szCs w:val="18"/>
                                  </w:rPr>
                                  <w:t>Q</w:t>
                                </w:r>
                                <w:r>
                                  <w:rPr>
                                    <w:sz w:val="18"/>
                                    <w:szCs w:val="18"/>
                                  </w:rPr>
                                  <w:t>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DB7E7B6" id="Group 499" o:spid="_x0000_s1038" alt="Question" style="position:absolute;left:0;text-align:left;margin-left:-.3pt;margin-top:-.3pt;width:453.55pt;height:87.75pt;z-index:-251658173;mso-height-relative:margin" coordorigin=",628" coordsize="57600,1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">
                <v:shape id="Freeform 52" o:spid="_x0000_s103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051BCCB" w14:textId="218AB103" w:rsidR="0048078F" w:rsidRDefault="0048078F" w:rsidP="0048078F">
                        <w:pPr>
                          <w:pStyle w:val="BoxTitle"/>
                          <w:spacing w:before="0" w:beforeAutospacing="0"/>
                        </w:pPr>
                        <w:r w:rsidRPr="007F6876">
                          <w:t>QUESTION</w:t>
                        </w:r>
                      </w:p>
                    </w:txbxContent>
                  </v:textbox>
                </v:shape>
                <v:group id="Group 53" o:spid="_x0000_s1040" style="position:absolute;top:3160;width:57600;height:8614" coordorigin="1837,1790" coordsize="9302,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54" o:spid="_x0000_s1041" style="position:absolute;left:1837;top:1790;width:9302;height:930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" path="m,l9354,r,7809l,7809,,e" fillcolor="#edf2ea" stroked="f">
                    <v:path arrowok="t" o:connecttype="custom" o:connectlocs="0,1191;9302,1191;9302,10495;0,10495;0,1191" o:connectangles="0,0,0,0,0"/>
                  </v:shape>
                </v:group>
                <v:group id="Group 503" o:spid="_x0000_s104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58" o:spid="_x0000_s104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" path="m,l1815,e" filled="f" strokecolor="#72ab6a" strokeweight=".5pt">
                    <v:path arrowok="t" o:connecttype="custom" o:connectlocs="0,0;1073495,0" o:connectangles="0,0"/>
                  </v:shape>
                  <v:shape id="Freeform 66" o:spid="_x0000_s104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AC47364" w14:textId="18573379" w:rsidR="0048078F" w:rsidRPr="00E90B8A" w:rsidRDefault="0048078F" w:rsidP="0048078F">
                          <w:pPr>
                            <w:pStyle w:val="BoxTitle"/>
                            <w:spacing w:before="0" w:beforeAutospacing="0"/>
                            <w:rPr>
                              <w:sz w:val="18"/>
                              <w:szCs w:val="18"/>
                            </w:rPr>
                          </w:pPr>
                          <w:r w:rsidRPr="00E90B8A">
                            <w:rPr>
                              <w:sz w:val="18"/>
                              <w:szCs w:val="18"/>
                            </w:rPr>
                            <w:t>Q</w:t>
                          </w:r>
                          <w:r>
                            <w:rPr>
                              <w:sz w:val="18"/>
                              <w:szCs w:val="18"/>
                            </w:rPr>
                            <w:t>2</w:t>
                          </w:r>
                        </w:p>
                      </w:txbxContent>
                    </v:textbox>
                  </v:shape>
                </v:group>
              </v:group>
            </w:pict>
          </mc:Fallback>
        </mc:AlternateContent>
      </w:r>
    </w:p>
    <w:p w14:paraId="766F068F" w14:textId="56390BD3" w:rsidR="00452444" w:rsidRPr="008642D1" w:rsidRDefault="00452444" w:rsidP="00EB70BA">
      <w:pPr>
        <w:pStyle w:val="BodyText"/>
        <w:numPr>
          <w:ilvl w:val="0"/>
          <w:numId w:val="0"/>
        </w:numPr>
        <w:ind w:left="709"/>
      </w:pPr>
    </w:p>
    <w:p w14:paraId="172C8529" w14:textId="77777777" w:rsidR="003959CF" w:rsidRDefault="003959CF" w:rsidP="00C23309">
      <w:pPr>
        <w:pStyle w:val="QuestionBox"/>
      </w:pPr>
      <w:r w:rsidRPr="003959CF">
        <w:t xml:space="preserve">Do you agree that we should treat the matters we discuss in this chapter as the key reform considerations for this review? </w:t>
      </w:r>
    </w:p>
    <w:p w14:paraId="5E829C63" w14:textId="39F0E5FB" w:rsidR="00C23309" w:rsidRPr="008642D1" w:rsidRDefault="00C23309" w:rsidP="00C23309">
      <w:pPr>
        <w:pStyle w:val="QuestionBox"/>
      </w:pPr>
    </w:p>
    <w:p w14:paraId="16B709CA" w14:textId="77777777" w:rsidR="00FA612E" w:rsidRPr="008642D1" w:rsidRDefault="00FA612E" w:rsidP="00EB70BA">
      <w:pPr>
        <w:pStyle w:val="BodyText"/>
        <w:numPr>
          <w:ilvl w:val="0"/>
          <w:numId w:val="0"/>
        </w:numPr>
        <w:ind w:left="709"/>
      </w:pPr>
    </w:p>
    <w:p w14:paraId="59F18B6C" w14:textId="77777777" w:rsidR="006E2021" w:rsidRPr="008642D1" w:rsidRDefault="006E2021" w:rsidP="00EB70BA">
      <w:pPr>
        <w:pStyle w:val="BodyText"/>
        <w:numPr>
          <w:ilvl w:val="0"/>
          <w:numId w:val="0"/>
        </w:numPr>
        <w:ind w:left="709"/>
      </w:pPr>
    </w:p>
    <w:p w14:paraId="008F6AAC" w14:textId="6415516B" w:rsidR="007E2063" w:rsidRPr="008642D1" w:rsidRDefault="007E2063" w:rsidP="007E2063">
      <w:pPr>
        <w:pStyle w:val="BodyText"/>
        <w:numPr>
          <w:ilvl w:val="0"/>
          <w:numId w:val="0"/>
        </w:numPr>
        <w:ind w:left="709" w:hanging="709"/>
      </w:pPr>
      <w:r w:rsidRPr="008642D1">
        <w:rPr>
          <w:rFonts w:eastAsiaTheme="minorHAnsi"/>
          <w:noProof/>
          <w:lang w:eastAsia="en-NZ"/>
        </w:rPr>
        <mc:AlternateContent>
          <mc:Choice Requires="wpg">
            <w:drawing>
              <wp:anchor distT="0" distB="0" distL="114300" distR="114300" simplePos="0" relativeHeight="251658299" behindDoc="1" locked="0" layoutInCell="1" allowOverlap="1" wp14:anchorId="20E160CC" wp14:editId="014B2D4F">
                <wp:simplePos x="0" y="0"/>
                <wp:positionH relativeFrom="page">
                  <wp:posOffset>1080135</wp:posOffset>
                </wp:positionH>
                <wp:positionV relativeFrom="paragraph">
                  <wp:posOffset>19050</wp:posOffset>
                </wp:positionV>
                <wp:extent cx="1799590" cy="1270"/>
                <wp:effectExtent l="0" t="19050" r="10160" b="17780"/>
                <wp:wrapNone/>
                <wp:docPr id="903860405" name="Group 903860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1087031060"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A8B7C" id="Group 903860405" o:spid="_x0000_s1026" style="position:absolute;margin-left:85.05pt;margin-top:1.5pt;width:141.7pt;height:.1pt;z-index:-251658181;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" path="m,l2097,e" filled="f" strokecolor="#72ab6a" strokeweight="3pt">
                  <v:path arrowok="t" o:connecttype="custom" o:connectlocs="0,0;2097,0" o:connectangles="0,0"/>
                </v:shape>
                <w10:wrap anchorx="page"/>
              </v:group>
            </w:pict>
          </mc:Fallback>
        </mc:AlternateContent>
      </w:r>
    </w:p>
    <w:p w14:paraId="1531C73A" w14:textId="77777777" w:rsidR="007E2063" w:rsidRPr="008642D1" w:rsidRDefault="007E2063" w:rsidP="00EB70BA">
      <w:pPr>
        <w:pStyle w:val="BodyText"/>
        <w:numPr>
          <w:ilvl w:val="0"/>
          <w:numId w:val="0"/>
        </w:numPr>
        <w:ind w:left="709"/>
      </w:pPr>
    </w:p>
    <w:p w14:paraId="7B425527" w14:textId="77777777" w:rsidR="007E2063" w:rsidRPr="008642D1" w:rsidRDefault="007E2063" w:rsidP="00EB70BA">
      <w:pPr>
        <w:pStyle w:val="BodyText"/>
        <w:numPr>
          <w:ilvl w:val="0"/>
          <w:numId w:val="0"/>
        </w:numPr>
        <w:ind w:left="709"/>
      </w:pPr>
    </w:p>
    <w:p w14:paraId="5F25AA7C" w14:textId="7A13AA5A" w:rsidR="00EB70BA" w:rsidRPr="008642D1" w:rsidRDefault="00EB70BA" w:rsidP="00EB70BA">
      <w:pPr>
        <w:pStyle w:val="BodyText"/>
        <w:numPr>
          <w:ilvl w:val="0"/>
          <w:numId w:val="0"/>
        </w:numPr>
        <w:ind w:left="709"/>
        <w:sectPr w:rsidR="00EB70BA" w:rsidRPr="008642D1" w:rsidSect="006B03F1">
          <w:headerReference w:type="default" r:id="rId38"/>
          <w:footerReference w:type="even" r:id="rId39"/>
          <w:footnotePr>
            <w:numRestart w:val="eachSect"/>
          </w:footnotePr>
          <w:pgSz w:w="11920" w:h="16840"/>
          <w:pgMar w:top="1134" w:right="1134" w:bottom="1134" w:left="1701" w:header="499" w:footer="46" w:gutter="0"/>
          <w:cols w:space="720"/>
        </w:sectPr>
      </w:pPr>
    </w:p>
    <w:p w14:paraId="430A531E" w14:textId="2B3A63CE" w:rsidR="00EB70BA" w:rsidRPr="008642D1" w:rsidRDefault="00EB70BA" w:rsidP="00EB70BA">
      <w:pPr>
        <w:pStyle w:val="HEADING2topchapter-notinTOC"/>
      </w:pPr>
      <w:r w:rsidRPr="008642D1">
        <w:lastRenderedPageBreak/>
        <w:t xml:space="preserve">CHAPTER </w:t>
      </w:r>
      <w:r w:rsidR="0059161C" w:rsidRPr="008642D1">
        <w:t>5</w:t>
      </w:r>
    </w:p>
    <w:p w14:paraId="7E238F05" w14:textId="77777777" w:rsidR="00EB70BA" w:rsidRPr="008642D1" w:rsidRDefault="00EB70BA" w:rsidP="00EB70BA">
      <w:pPr>
        <w:spacing w:line="200" w:lineRule="exact"/>
        <w:rPr>
          <w:szCs w:val="20"/>
        </w:rPr>
      </w:pPr>
      <w:r w:rsidRPr="008642D1">
        <w:rPr>
          <w:noProof/>
          <w:lang w:eastAsia="en-NZ"/>
        </w:rPr>
        <mc:AlternateContent>
          <mc:Choice Requires="wpg">
            <w:drawing>
              <wp:anchor distT="0" distB="0" distL="114300" distR="114300" simplePos="0" relativeHeight="251658257" behindDoc="1" locked="0" layoutInCell="1" allowOverlap="1" wp14:anchorId="4E2910E5" wp14:editId="187A05E6">
                <wp:simplePos x="0" y="0"/>
                <wp:positionH relativeFrom="page">
                  <wp:posOffset>1076325</wp:posOffset>
                </wp:positionH>
                <wp:positionV relativeFrom="paragraph">
                  <wp:posOffset>6350</wp:posOffset>
                </wp:positionV>
                <wp:extent cx="1332230" cy="1270"/>
                <wp:effectExtent l="0" t="19050" r="1270" b="17780"/>
                <wp:wrapNone/>
                <wp:docPr id="1440250467" name="Group 1440250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45957360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C5AB0" id="Group 1440250467" o:spid="_x0000_s1026" style="position:absolute;margin-left:84.75pt;margin-top:.5pt;width:104.9pt;height:.1pt;z-index:-251658223;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3532ACF3" w14:textId="5125B830" w:rsidR="00EB70BA" w:rsidRPr="008642D1" w:rsidRDefault="00DF1B93" w:rsidP="00DF306B">
      <w:pPr>
        <w:pStyle w:val="Heading1nonum"/>
        <w:numPr>
          <w:ilvl w:val="0"/>
          <w:numId w:val="24"/>
        </w:numPr>
        <w:spacing w:before="600" w:after="240"/>
      </w:pPr>
      <w:bookmarkStart w:id="71" w:name="_Toc170302139"/>
      <w:r w:rsidRPr="008642D1">
        <w:rPr>
          <w:rFonts w:eastAsia="Metropolis Black"/>
        </w:rPr>
        <w:t>The perspectives and concerns of Māori</w:t>
      </w:r>
      <w:bookmarkEnd w:id="71"/>
    </w:p>
    <w:p w14:paraId="7421C31C" w14:textId="77777777" w:rsidR="00EB70BA" w:rsidRPr="008642D1" w:rsidRDefault="00EB70BA" w:rsidP="00EB70BA">
      <w:pPr>
        <w:spacing w:line="200" w:lineRule="exact"/>
        <w:rPr>
          <w:szCs w:val="20"/>
        </w:rPr>
      </w:pPr>
      <w:r w:rsidRPr="008642D1">
        <w:rPr>
          <w:noProof/>
          <w:lang w:eastAsia="en-NZ"/>
        </w:rPr>
        <mc:AlternateContent>
          <mc:Choice Requires="wpg">
            <w:drawing>
              <wp:anchor distT="0" distB="0" distL="114300" distR="114300" simplePos="0" relativeHeight="251658256" behindDoc="1" locked="0" layoutInCell="1" allowOverlap="1" wp14:anchorId="1C4100D4" wp14:editId="04C9884E">
                <wp:simplePos x="0" y="0"/>
                <wp:positionH relativeFrom="page">
                  <wp:posOffset>1087427</wp:posOffset>
                </wp:positionH>
                <wp:positionV relativeFrom="paragraph">
                  <wp:posOffset>71755</wp:posOffset>
                </wp:positionV>
                <wp:extent cx="1332230" cy="1270"/>
                <wp:effectExtent l="0" t="19050" r="1270" b="17780"/>
                <wp:wrapNone/>
                <wp:docPr id="2026158840" name="Group 2026158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847639782"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24BDA" id="Group 2026158840" o:spid="_x0000_s1026" style="position:absolute;margin-left:85.6pt;margin-top:5.65pt;width:104.9pt;height:.1pt;z-index:-251658224;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4E470B66" w14:textId="77777777" w:rsidR="00EB70BA" w:rsidRPr="008642D1" w:rsidRDefault="00EB70BA" w:rsidP="00EB70BA"/>
    <w:p w14:paraId="675F17B2" w14:textId="77777777" w:rsidR="002E1F2F" w:rsidRPr="008642D1" w:rsidRDefault="002E1F2F" w:rsidP="002E1F2F">
      <w:pPr>
        <w:pStyle w:val="Heading2"/>
      </w:pPr>
      <w:bookmarkStart w:id="72" w:name="_Toc159247986"/>
      <w:bookmarkStart w:id="73" w:name="_Toc170302140"/>
      <w:r w:rsidRPr="008642D1">
        <w:t>Introduction</w:t>
      </w:r>
      <w:bookmarkEnd w:id="72"/>
      <w:bookmarkEnd w:id="73"/>
    </w:p>
    <w:p w14:paraId="6CFE7B13" w14:textId="77777777" w:rsidR="00DB0F9A" w:rsidRPr="008642D1" w:rsidRDefault="00DB0F9A" w:rsidP="00DB0F9A">
      <w:pPr>
        <w:pStyle w:val="BodyText"/>
        <w:tabs>
          <w:tab w:val="clear" w:pos="709"/>
        </w:tabs>
      </w:pPr>
      <w:bookmarkStart w:id="74" w:name="_Hlk169267232"/>
      <w:r w:rsidRPr="008642D1">
        <w:t>We want to understand Māori perspectives on the issues being considered in this review. These include:</w:t>
      </w:r>
    </w:p>
    <w:p w14:paraId="79C478E4" w14:textId="77777777" w:rsidR="00DB0F9A" w:rsidRPr="008642D1" w:rsidRDefault="00DB0F9A" w:rsidP="00DF306B">
      <w:pPr>
        <w:pStyle w:val="BodyText2"/>
        <w:numPr>
          <w:ilvl w:val="3"/>
          <w:numId w:val="33"/>
        </w:numPr>
      </w:pPr>
      <w:r w:rsidRPr="008642D1">
        <w:t>the experiences and perspectives of Māori who are transgender or non-binary or who have an innate variation of sex characteristics; and</w:t>
      </w:r>
    </w:p>
    <w:p w14:paraId="015EBFBD" w14:textId="52155361" w:rsidR="00DB0F9A" w:rsidRPr="008642D1" w:rsidRDefault="00DB0F9A" w:rsidP="00DB0F9A">
      <w:pPr>
        <w:pStyle w:val="BodyText2"/>
      </w:pPr>
      <w:r w:rsidRPr="008642D1">
        <w:t>other Māori perspectives on the issues being considered in this review</w:t>
      </w:r>
      <w:r w:rsidR="00164C01">
        <w:t>,</w:t>
      </w:r>
      <w:r w:rsidRPr="008642D1">
        <w:t xml:space="preserve"> including the implications for this review of any relevant tikanga.</w:t>
      </w:r>
    </w:p>
    <w:p w14:paraId="2AEE6158" w14:textId="77777777" w:rsidR="00DB0F9A" w:rsidRPr="008642D1" w:rsidRDefault="00DB0F9A" w:rsidP="00DB0F9A">
      <w:pPr>
        <w:pStyle w:val="BodyText"/>
        <w:tabs>
          <w:tab w:val="clear" w:pos="709"/>
        </w:tabs>
      </w:pPr>
      <w:r w:rsidRPr="008642D1">
        <w:t>These issues are closely linked so we discuss them together.</w:t>
      </w:r>
    </w:p>
    <w:p w14:paraId="161942D7" w14:textId="77777777" w:rsidR="00DB0F9A" w:rsidRPr="008642D1" w:rsidRDefault="00DB0F9A" w:rsidP="00DB0F9A">
      <w:pPr>
        <w:pStyle w:val="BodyText"/>
        <w:tabs>
          <w:tab w:val="clear" w:pos="709"/>
        </w:tabs>
      </w:pPr>
      <w:r w:rsidRPr="008642D1">
        <w:t>To improve our understanding of Māori perspectives on issues relevant to this review, we convened a wānanga (a gathering to discuss an issue or issues) of Māori pūkenga (experts). Many attendees at the wānanga had specific expertise on the experiences of Māori who are transgender or non-binary or who have an innate variation of sex characteristics. Others were pūkenga in tikanga Māori and mātauranga Māori more generally. We summarise below some key themes that emerged from the wānanga as well as from our preliminary research and other engagement. We acknowledge these views represent just some of the wide-ranging perspectives that Māori people will have on the issues in this review. We hope to hear about others in our consultation.</w:t>
      </w:r>
    </w:p>
    <w:p w14:paraId="6225F73A" w14:textId="3D57B5D3" w:rsidR="00DB0F9A" w:rsidRPr="008642D1" w:rsidRDefault="00DB0F9A" w:rsidP="00DB0F9A">
      <w:pPr>
        <w:pStyle w:val="BodyText"/>
        <w:tabs>
          <w:tab w:val="clear" w:pos="709"/>
        </w:tabs>
      </w:pPr>
      <w:r w:rsidRPr="008642D1">
        <w:t>An understanding of Māori perspectives on relevant issues is necessary to advance several of the key reform considerations we identified in Chapter 4. As we explained in that chapter, to make good</w:t>
      </w:r>
      <w:r w:rsidR="000D4D3A">
        <w:t>-</w:t>
      </w:r>
      <w:r w:rsidRPr="008642D1">
        <w:t>quality law reform recommendations, we need to understand as best we can the needs, perspectives and concerns of all those affected by the review. This includes Māori. As we also explained, we need to ensure our reform proposals are consistent with constitutional fundamentals</w:t>
      </w:r>
      <w:r w:rsidR="00164C01">
        <w:t>,</w:t>
      </w:r>
      <w:r w:rsidRPr="008642D1">
        <w:t xml:space="preserve"> including </w:t>
      </w:r>
      <w:r w:rsidR="00164C01">
        <w:t>t</w:t>
      </w:r>
      <w:r w:rsidRPr="008642D1">
        <w:t>e Tiriti o Waitangi | Treaty of Waitangi</w:t>
      </w:r>
      <w:r w:rsidR="000D4D3A">
        <w:t xml:space="preserve"> (the Treaty)</w:t>
      </w:r>
      <w:r w:rsidRPr="008642D1">
        <w:t xml:space="preserve"> and ngā tikanga. </w:t>
      </w:r>
    </w:p>
    <w:p w14:paraId="658A4858" w14:textId="2A2D47BD" w:rsidR="00DB0F9A" w:rsidRPr="008642D1" w:rsidRDefault="00DB0F9A" w:rsidP="00DB0F9A">
      <w:pPr>
        <w:pStyle w:val="BodyText"/>
        <w:tabs>
          <w:tab w:val="clear" w:pos="709"/>
        </w:tabs>
      </w:pPr>
      <w:r w:rsidRPr="008642D1">
        <w:t>In later chapters (Chapters 6 and 17)</w:t>
      </w:r>
      <w:r w:rsidR="000D4D3A">
        <w:t>,</w:t>
      </w:r>
      <w:r w:rsidRPr="008642D1">
        <w:t xml:space="preserve"> we identify and explore the specific implications of ngā tikanga and the Treaty for this review and seek feedback on them. </w:t>
      </w:r>
    </w:p>
    <w:p w14:paraId="52FC29E4" w14:textId="77777777" w:rsidR="00EF433C" w:rsidRDefault="00EF433C">
      <w:pPr>
        <w:widowControl w:val="0"/>
        <w:spacing w:after="200" w:line="276" w:lineRule="auto"/>
        <w:rPr>
          <w:rFonts w:ascii="Metropolis" w:eastAsia="Times New Roman" w:hAnsi="Metropolis" w:cs="Times New Roman"/>
          <w:b/>
          <w:caps/>
          <w:color w:val="73AB6E"/>
          <w:szCs w:val="24"/>
          <w:lang w:eastAsia="en-AU"/>
        </w:rPr>
      </w:pPr>
      <w:r>
        <w:br w:type="page"/>
      </w:r>
    </w:p>
    <w:p w14:paraId="05063914" w14:textId="514B5B58" w:rsidR="00DB0F9A" w:rsidRPr="008642D1" w:rsidRDefault="00DB0F9A" w:rsidP="00EF433C">
      <w:pPr>
        <w:pStyle w:val="Heading2"/>
      </w:pPr>
      <w:bookmarkStart w:id="75" w:name="_Toc170302141"/>
      <w:r w:rsidRPr="008642D1">
        <w:lastRenderedPageBreak/>
        <w:t>Identity and belonging</w:t>
      </w:r>
      <w:bookmarkEnd w:id="75"/>
    </w:p>
    <w:p w14:paraId="5AC87753" w14:textId="30CA650E" w:rsidR="00DB0F9A" w:rsidRPr="008642D1" w:rsidRDefault="00DB0F9A" w:rsidP="00DB0F9A">
      <w:pPr>
        <w:pStyle w:val="BodyText"/>
        <w:tabs>
          <w:tab w:val="clear" w:pos="709"/>
        </w:tabs>
      </w:pPr>
      <w:r w:rsidRPr="008642D1">
        <w:t>We understand that many Māori who are transgender or non-binary or who have an innate variation of sex characteristics do not see these features as centrally defining of their identity. We heard repeatedly during preliminary engagement</w:t>
      </w:r>
      <w:r w:rsidR="00164C01">
        <w:t>,</w:t>
      </w:r>
      <w:r w:rsidRPr="008642D1">
        <w:t xml:space="preserve"> including at the wānanga</w:t>
      </w:r>
      <w:r w:rsidR="00B77F22">
        <w:t>,</w:t>
      </w:r>
      <w:r w:rsidRPr="008642D1">
        <w:t xml:space="preserve"> that, for many Māori, their identity as Māori is far more important. This idea is captured in Dr Elizabeth Kerekere’s explanation for her expansive use of the kupu takatāpui to embrace all Māori with diverse gender identities, sexualities and sex characteristics. According to Kerekere, the term:</w:t>
      </w:r>
      <w:r w:rsidRPr="008642D1">
        <w:rPr>
          <w:rStyle w:val="FootnoteReference"/>
        </w:rPr>
        <w:footnoteReference w:id="272"/>
      </w:r>
      <w:r w:rsidRPr="008642D1">
        <w:t xml:space="preserve"> </w:t>
      </w:r>
    </w:p>
    <w:p w14:paraId="57969ACB" w14:textId="36A686AF" w:rsidR="00DB0F9A" w:rsidRPr="008642D1" w:rsidRDefault="00DB0F9A" w:rsidP="00DB0F9A">
      <w:pPr>
        <w:pStyle w:val="Quote"/>
      </w:pPr>
      <w:r w:rsidRPr="008642D1">
        <w:t xml:space="preserve">… emphasises Māori cultural and spiritual identity as equal to </w:t>
      </w:r>
      <w:r w:rsidR="00BF7A1A">
        <w:t xml:space="preserve">— </w:t>
      </w:r>
      <w:r w:rsidRPr="008642D1">
        <w:t xml:space="preserve">or more important than </w:t>
      </w:r>
      <w:r w:rsidR="00BF7A1A">
        <w:t xml:space="preserve">— </w:t>
      </w:r>
      <w:r w:rsidRPr="008642D1">
        <w:t>gender identity, sexuality or having diverse sex characteristics. Being takatāpui offers membership of a culturally-based national movement that honours our ancestors, respects our elders, works closely with our peers and looks after our young people.</w:t>
      </w:r>
    </w:p>
    <w:p w14:paraId="47BD5050" w14:textId="409158AB" w:rsidR="00DB0F9A" w:rsidRPr="008642D1" w:rsidRDefault="00DB0F9A" w:rsidP="00DB0F9A">
      <w:pPr>
        <w:pStyle w:val="BodyText"/>
        <w:tabs>
          <w:tab w:val="clear" w:pos="709"/>
        </w:tabs>
      </w:pPr>
      <w:r w:rsidRPr="008642D1">
        <w:t>We understand that gender is less present in te reo Māori than the English language.</w:t>
      </w:r>
      <w:r w:rsidRPr="008642D1">
        <w:rPr>
          <w:rStyle w:val="FootnoteReference"/>
        </w:rPr>
        <w:footnoteReference w:id="273"/>
      </w:r>
      <w:r w:rsidR="0053776E">
        <w:t xml:space="preserve"> </w:t>
      </w:r>
      <w:r w:rsidRPr="008642D1">
        <w:t>Unlike English, te reo Māori does not use third person pronouns that imply a person</w:t>
      </w:r>
      <w:r w:rsidR="0053776E">
        <w:t>’</w:t>
      </w:r>
      <w:r w:rsidRPr="008642D1">
        <w:t xml:space="preserve">s gender, with ia meaning both he and she. </w:t>
      </w:r>
    </w:p>
    <w:p w14:paraId="44BEDC7D" w14:textId="7CCE4657" w:rsidR="00DB0F9A" w:rsidRPr="008642D1" w:rsidRDefault="00DB0F9A" w:rsidP="00DB0F9A">
      <w:pPr>
        <w:pStyle w:val="BodyText"/>
        <w:tabs>
          <w:tab w:val="clear" w:pos="709"/>
        </w:tabs>
      </w:pPr>
      <w:r w:rsidRPr="008642D1">
        <w:t xml:space="preserve">We also heard in preliminary engagement that many Māori who are transgender or non-binary or who have an innate variation of sex characteristics feel more acceptance and belonging within te ao Māori </w:t>
      </w:r>
      <w:r w:rsidRPr="008642D1" w:rsidDel="00B77F22">
        <w:t xml:space="preserve">(the Māori world) </w:t>
      </w:r>
      <w:r w:rsidRPr="008642D1">
        <w:t xml:space="preserve">than in other settings. This is consistent with the results of the </w:t>
      </w:r>
      <w:r w:rsidRPr="008642D1">
        <w:rPr>
          <w:i/>
          <w:iCs/>
        </w:rPr>
        <w:t xml:space="preserve">Counting Ourselves </w:t>
      </w:r>
      <w:r w:rsidRPr="008642D1">
        <w:t>survey (of people who are transgender or non-binary). Half of the Māori participants in that survey said they strongly agreed or somewhat agreed that they had a strong sense of belonging to their ethnic group or groups.</w:t>
      </w:r>
      <w:r w:rsidRPr="008642D1">
        <w:rPr>
          <w:rStyle w:val="FootnoteReference"/>
        </w:rPr>
        <w:footnoteReference w:id="274"/>
      </w:r>
      <w:r w:rsidRPr="008642D1">
        <w:t xml:space="preserve"> For example, one participant said:</w:t>
      </w:r>
      <w:r w:rsidRPr="008642D1">
        <w:rPr>
          <w:rStyle w:val="FootnoteReference"/>
        </w:rPr>
        <w:footnoteReference w:id="275"/>
      </w:r>
      <w:r w:rsidRPr="008642D1">
        <w:t xml:space="preserve"> </w:t>
      </w:r>
    </w:p>
    <w:p w14:paraId="691D6F90" w14:textId="77777777" w:rsidR="00DB0F9A" w:rsidRPr="008642D1" w:rsidRDefault="00DB0F9A" w:rsidP="00DB0F9A">
      <w:pPr>
        <w:pStyle w:val="Quote"/>
      </w:pPr>
      <w:r w:rsidRPr="008642D1">
        <w:t>There is plenty of space in a traditional Māori context for gender diversity, and I have always felt seen, understood and more comfortable in a Māori setting, at least so far as gender is concerned.</w:t>
      </w:r>
    </w:p>
    <w:p w14:paraId="294DE472" w14:textId="77777777" w:rsidR="00DB0F9A" w:rsidRPr="008642D1" w:rsidRDefault="00DB0F9A" w:rsidP="00DB0F9A">
      <w:pPr>
        <w:pStyle w:val="BodyText"/>
        <w:tabs>
          <w:tab w:val="clear" w:pos="709"/>
        </w:tabs>
      </w:pPr>
      <w:r w:rsidRPr="008642D1">
        <w:t>At the wānanga and in our preliminary research and engagement, we heard about some tikanga that help explain these experiences and perspectives. Tikanga functions as an integrated system of norms.</w:t>
      </w:r>
      <w:r w:rsidRPr="008642D1">
        <w:rPr>
          <w:rStyle w:val="FootnoteReference"/>
        </w:rPr>
        <w:footnoteReference w:id="276"/>
      </w:r>
      <w:r w:rsidRPr="008642D1">
        <w:t xml:space="preserve"> The tikanga we discuss in this chapter are interdependent and are also closely entwined with other tikanga that we do not discuss. We have focused in this Issues Paper on those tikanga that participants at the wānanga identified for us as particularly relevant. We are interested to receive feedback about other tikanga that are also relevant.</w:t>
      </w:r>
      <w:r w:rsidRPr="008642D1">
        <w:rPr>
          <w:rStyle w:val="FootnoteReference"/>
        </w:rPr>
        <w:footnoteReference w:id="277"/>
      </w:r>
    </w:p>
    <w:p w14:paraId="2C41A9EE" w14:textId="561513DC" w:rsidR="00DB0F9A" w:rsidRPr="008642D1" w:rsidRDefault="00DB0F9A" w:rsidP="00DB0F9A">
      <w:pPr>
        <w:pStyle w:val="BodyText"/>
        <w:tabs>
          <w:tab w:val="clear" w:pos="709"/>
        </w:tabs>
      </w:pPr>
      <w:r w:rsidRPr="008642D1">
        <w:lastRenderedPageBreak/>
        <w:t>The first tikanga that we heard is particularly relevant is whakapapa. This is commonly translated as genealogy</w:t>
      </w:r>
      <w:r w:rsidR="00C652CF">
        <w:t>,</w:t>
      </w:r>
      <w:r w:rsidRPr="008642D1">
        <w:t xml:space="preserve"> although there are other meanings.</w:t>
      </w:r>
      <w:r w:rsidRPr="008642D1">
        <w:rPr>
          <w:rStyle w:val="FootnoteReference"/>
        </w:rPr>
        <w:footnoteReference w:id="278"/>
      </w:r>
      <w:r w:rsidRPr="008642D1">
        <w:t xml:space="preserve"> The recent study paper</w:t>
      </w:r>
      <w:r w:rsidR="0053776E">
        <w:t xml:space="preserve"> </w:t>
      </w:r>
      <w:r w:rsidRPr="008642D1">
        <w:t xml:space="preserve">on tikanga by Te Aka Matua o te Ture | Law Commission, </w:t>
      </w:r>
      <w:r w:rsidRPr="008642D1">
        <w:rPr>
          <w:i/>
          <w:iCs/>
        </w:rPr>
        <w:t>He Poutama</w:t>
      </w:r>
      <w:r w:rsidRPr="008642D1">
        <w:t xml:space="preserve">, explained that whakapapa </w:t>
      </w:r>
      <w:r w:rsidRPr="008642D1" w:rsidDel="00B77F22">
        <w:t>(</w:t>
      </w:r>
      <w:r w:rsidRPr="008642D1">
        <w:t>alongside the closely related concept of whanaungatanga</w:t>
      </w:r>
      <w:r w:rsidRPr="008642D1" w:rsidDel="00B77F22">
        <w:t>)</w:t>
      </w:r>
      <w:r w:rsidRPr="008642D1">
        <w:t xml:space="preserve"> “frame Māori existence” and reflect “the importance in te ao Māori of all things being connected”.</w:t>
      </w:r>
      <w:r w:rsidRPr="008642D1">
        <w:rPr>
          <w:rStyle w:val="FootnoteReference"/>
        </w:rPr>
        <w:footnoteReference w:id="279"/>
      </w:r>
      <w:r w:rsidRPr="008642D1">
        <w:t xml:space="preserve"> Through whakapapa, individuals are connected to all things past, present and future</w:t>
      </w:r>
      <w:r w:rsidR="00164C01">
        <w:t>,</w:t>
      </w:r>
      <w:r w:rsidRPr="008642D1">
        <w:t xml:space="preserve"> including</w:t>
      </w:r>
      <w:r w:rsidRPr="008642D1" w:rsidDel="0033284B">
        <w:t xml:space="preserve"> </w:t>
      </w:r>
      <w:r w:rsidRPr="008642D1">
        <w:t>to whānau, hapū and iwi</w:t>
      </w:r>
      <w:r w:rsidRPr="008642D1" w:rsidDel="00376987">
        <w:t>,</w:t>
      </w:r>
      <w:r w:rsidRPr="008642D1">
        <w:t xml:space="preserve"> and to atua Māori (Māori gods).</w:t>
      </w:r>
      <w:r w:rsidRPr="008642D1" w:rsidDel="00A35A41">
        <w:t xml:space="preserve"> </w:t>
      </w:r>
      <w:r w:rsidRPr="008642D1">
        <w:t>Whakapapa therefore frames an individual’s identity, confirms their membership in Māori society and</w:t>
      </w:r>
      <w:r w:rsidRPr="008642D1" w:rsidDel="0033284B">
        <w:t xml:space="preserve"> </w:t>
      </w:r>
      <w:r w:rsidRPr="008642D1">
        <w:t>governs their relationships and obligations.</w:t>
      </w:r>
      <w:r w:rsidRPr="008642D1">
        <w:rPr>
          <w:rStyle w:val="FootnoteReference"/>
        </w:rPr>
        <w:footnoteReference w:id="280"/>
      </w:r>
      <w:r w:rsidRPr="008642D1">
        <w:t xml:space="preserve">  </w:t>
      </w:r>
    </w:p>
    <w:p w14:paraId="6E20D1FF" w14:textId="77777777" w:rsidR="00DB0F9A" w:rsidRPr="008642D1" w:rsidRDefault="00DB0F9A" w:rsidP="00DB0F9A">
      <w:pPr>
        <w:pStyle w:val="BodyText"/>
        <w:tabs>
          <w:tab w:val="clear" w:pos="709"/>
        </w:tabs>
      </w:pPr>
      <w:r w:rsidRPr="008642D1">
        <w:t>The importance of whakapapa for establishing an individual’s identity and their rights and obligations with respect to other individuals and to the collective helps to explain why some Māori who are transgender or non-binary or who have an innate variation of sex characteristics see their identity as Māori as far more important than their gender or sex characteristics.</w:t>
      </w:r>
      <w:r w:rsidRPr="008642D1">
        <w:rPr>
          <w:rStyle w:val="FootnoteReference"/>
        </w:rPr>
        <w:footnoteReference w:id="281"/>
      </w:r>
      <w:r w:rsidRPr="008642D1">
        <w:t xml:space="preserve"> It may also help to explain why some people in these groups feel a strong sense of belonging and acceptance within te ao Māori. Their whakapapa defines their identity and establishes an unbreakable connection with the collective to which they belong. </w:t>
      </w:r>
    </w:p>
    <w:p w14:paraId="7C2508DD" w14:textId="15D6F2AC" w:rsidR="00DB0F9A" w:rsidRPr="008642D1" w:rsidRDefault="00DB0F9A" w:rsidP="00DB0F9A">
      <w:pPr>
        <w:pStyle w:val="BodyText"/>
        <w:tabs>
          <w:tab w:val="clear" w:pos="709"/>
        </w:tabs>
      </w:pPr>
      <w:r w:rsidRPr="008642D1">
        <w:t xml:space="preserve">Participants at the wānanga particularly emphasised three other tikanga that they considered relevant to this review: mauri, tapu and mana. We understand these to be relevant because they help to explain the inherent value of each individual within te ao Māori, the considerations that are most determinative of status in te ao Māori and the responsibilities of individuals to the collective and to each other. </w:t>
      </w:r>
    </w:p>
    <w:p w14:paraId="33D1EF69" w14:textId="74BC0B71" w:rsidR="00DB0F9A" w:rsidRPr="008642D1" w:rsidRDefault="00DB0F9A" w:rsidP="00DB0F9A">
      <w:pPr>
        <w:pStyle w:val="BodyText"/>
        <w:tabs>
          <w:tab w:val="clear" w:pos="709"/>
        </w:tabs>
      </w:pPr>
      <w:r w:rsidRPr="008642D1">
        <w:t>Mauri has been translated as the “spark of life”.</w:t>
      </w:r>
      <w:r w:rsidRPr="008642D1">
        <w:rPr>
          <w:rStyle w:val="FootnoteReference"/>
        </w:rPr>
        <w:footnoteReference w:id="282"/>
      </w:r>
      <w:r w:rsidRPr="008642D1">
        <w:t xml:space="preserve"> All things animate and inanimate have a unique mauri,</w:t>
      </w:r>
      <w:r w:rsidRPr="008642D1">
        <w:rPr>
          <w:rStyle w:val="FootnoteReference"/>
        </w:rPr>
        <w:footnoteReference w:id="283"/>
      </w:r>
      <w:r w:rsidRPr="008642D1">
        <w:t xml:space="preserve"> and this includes humans. Kerekere describes mauri as encompassing how you present and express yourself to the world.</w:t>
      </w:r>
      <w:r w:rsidRPr="008642D1">
        <w:rPr>
          <w:rStyle w:val="FootnoteReference"/>
        </w:rPr>
        <w:footnoteReference w:id="284"/>
      </w:r>
      <w:r w:rsidRPr="008642D1">
        <w:t xml:space="preserve"> It is important in a Māori world</w:t>
      </w:r>
      <w:r w:rsidR="00376987">
        <w:t xml:space="preserve"> </w:t>
      </w:r>
      <w:r w:rsidRPr="008642D1">
        <w:t>view that each person’s mauri is acknowledged and respected. As</w:t>
      </w:r>
      <w:r w:rsidRPr="008642D1" w:rsidDel="00B23549">
        <w:t xml:space="preserve"> </w:t>
      </w:r>
      <w:r w:rsidRPr="008642D1">
        <w:t>the late Rangimarie Rose Pere explained:</w:t>
      </w:r>
      <w:r w:rsidRPr="008642D1">
        <w:rPr>
          <w:rStyle w:val="FootnoteReference"/>
        </w:rPr>
        <w:footnoteReference w:id="285"/>
      </w:r>
    </w:p>
    <w:p w14:paraId="17DA62FE" w14:textId="77777777" w:rsidR="00DB0F9A" w:rsidRPr="008642D1" w:rsidRDefault="00DB0F9A" w:rsidP="00DB0F9A">
      <w:pPr>
        <w:pStyle w:val="Quote"/>
      </w:pPr>
      <w:r w:rsidRPr="008642D1">
        <w:lastRenderedPageBreak/>
        <w:t>If a person feels that she is respected and accepted for what she herself represents and believes in, particularly by people who relate or interact with her, then her mauri waxes; but should she feel that people are not accepting her in her totality, so that she is unable to make a positive contribution from her own makeup as a person, then her mauri wanes.</w:t>
      </w:r>
    </w:p>
    <w:p w14:paraId="30146791" w14:textId="7DC5404D" w:rsidR="00DB0F9A" w:rsidRPr="008642D1" w:rsidRDefault="00DB0F9A" w:rsidP="00DB0F9A">
      <w:pPr>
        <w:pStyle w:val="BodyText"/>
        <w:tabs>
          <w:tab w:val="clear" w:pos="709"/>
        </w:tabs>
      </w:pPr>
      <w:r w:rsidRPr="008642D1">
        <w:t>According to a Māori world</w:t>
      </w:r>
      <w:r w:rsidR="00376987">
        <w:t xml:space="preserve"> </w:t>
      </w:r>
      <w:r w:rsidRPr="008642D1">
        <w:t>view, every Māori person is also born with an inherent tapu by virtue of their connection to an atua.</w:t>
      </w:r>
      <w:r w:rsidRPr="008642D1">
        <w:rPr>
          <w:rStyle w:val="FootnoteReference"/>
        </w:rPr>
        <w:footnoteReference w:id="286"/>
      </w:r>
      <w:r w:rsidRPr="008642D1">
        <w:t xml:space="preserve"> Tā Hirini Moko Mead describes tapu as “the sacred life force which supports the mauri” and explains:</w:t>
      </w:r>
      <w:r w:rsidRPr="008642D1">
        <w:rPr>
          <w:rStyle w:val="FootnoteReference"/>
        </w:rPr>
        <w:footnoteReference w:id="287"/>
      </w:r>
      <w:r w:rsidRPr="008642D1">
        <w:t xml:space="preserve"> </w:t>
      </w:r>
    </w:p>
    <w:p w14:paraId="19D5EF7C" w14:textId="77777777" w:rsidR="00DB0F9A" w:rsidRPr="008642D1" w:rsidRDefault="00DB0F9A" w:rsidP="00DB0F9A">
      <w:pPr>
        <w:pStyle w:val="Quote"/>
      </w:pPr>
      <w:r w:rsidRPr="008642D1">
        <w:t>The idea of tapu works best when this personal attribute is recognised, known and accepted by the community at large. To be somebody is to know one’s identity, be aware of one’s personal tapu and be known to many others in the community.</w:t>
      </w:r>
    </w:p>
    <w:p w14:paraId="3F51184D" w14:textId="44354D73" w:rsidR="00DB0F9A" w:rsidRPr="008642D1" w:rsidRDefault="00DB0F9A" w:rsidP="00DB0F9A">
      <w:pPr>
        <w:pStyle w:val="BodyText"/>
        <w:tabs>
          <w:tab w:val="clear" w:pos="709"/>
        </w:tabs>
      </w:pPr>
      <w:r w:rsidRPr="008642D1">
        <w:t>Tapu is inseparable from mana, which is a broad concept representing a person’s authority and associated responsibilities, reputation and influence.</w:t>
      </w:r>
      <w:r w:rsidRPr="008642D1">
        <w:rPr>
          <w:rStyle w:val="FootnoteReference"/>
        </w:rPr>
        <w:footnoteReference w:id="288"/>
      </w:r>
      <w:r w:rsidRPr="008642D1">
        <w:t xml:space="preserve"> We understand that a person’s mana may be derived from</w:t>
      </w:r>
      <w:r w:rsidR="00FE1D15">
        <w:t>,</w:t>
      </w:r>
      <w:r w:rsidRPr="008642D1">
        <w:t xml:space="preserve"> or influenced by</w:t>
      </w:r>
      <w:r w:rsidR="00FE1D15">
        <w:t>,</w:t>
      </w:r>
      <w:r w:rsidRPr="008642D1">
        <w:t xml:space="preserve"> multiple sources.</w:t>
      </w:r>
      <w:r w:rsidRPr="008642D1">
        <w:rPr>
          <w:rStyle w:val="FootnoteReference"/>
        </w:rPr>
        <w:footnoteReference w:id="289"/>
      </w:r>
      <w:r w:rsidRPr="008642D1">
        <w:t xml:space="preserve"> For example, an aspect of a person’s mana is inherited from their tūpuna (ancestors), so mana is closely linked to whakapapa. A person can also acquire or lose mana through their actions and the responsibilities they discharge in relation to the collective. We have read that people of mana are often able to harmonise (bring together) the community and </w:t>
      </w:r>
      <w:r w:rsidR="00B32372">
        <w:t xml:space="preserve">that </w:t>
      </w:r>
      <w:r w:rsidRPr="008642D1">
        <w:t>they have insight to see possibilities and understandings that others might not.</w:t>
      </w:r>
      <w:r w:rsidRPr="008642D1">
        <w:rPr>
          <w:rStyle w:val="FootnoteReference"/>
        </w:rPr>
        <w:footnoteReference w:id="290"/>
      </w:r>
      <w:r w:rsidRPr="008642D1">
        <w:t xml:space="preserve"> </w:t>
      </w:r>
    </w:p>
    <w:p w14:paraId="251E1AEA" w14:textId="3CA236AA" w:rsidR="00DB0F9A" w:rsidRPr="00F536E1" w:rsidRDefault="00DB0F9A" w:rsidP="00DB0F9A">
      <w:pPr>
        <w:pStyle w:val="BodyText"/>
        <w:tabs>
          <w:tab w:val="clear" w:pos="709"/>
        </w:tabs>
      </w:pPr>
      <w:r w:rsidRPr="008642D1">
        <w:t>At the wānanga, participants suggested that one reason people who are transgender or non-binary can sometimes be more accepted in Māori spaces is because their mana is determined by factors other than their gender identity. As one pūkenga put it: “</w:t>
      </w:r>
      <w:r w:rsidRPr="008642D1" w:rsidDel="00B32372">
        <w:t>p</w:t>
      </w:r>
      <w:r w:rsidRPr="008642D1">
        <w:t>eople with mana have mana</w:t>
      </w:r>
      <w:r w:rsidR="00B32372">
        <w:t>.</w:t>
      </w:r>
      <w:r w:rsidRPr="008642D1">
        <w:t>”</w:t>
      </w:r>
      <w:r w:rsidRPr="008642D1">
        <w:rPr>
          <w:rStyle w:val="FootnoteReference"/>
        </w:rPr>
        <w:footnoteReference w:id="291"/>
      </w:r>
      <w:r w:rsidRPr="008642D1">
        <w:t xml:space="preserve"> Another pūkenga emphasised the importance of leaders in te </w:t>
      </w:r>
      <w:r w:rsidRPr="00F536E1">
        <w:t xml:space="preserve">ao Māori having the humility to recognise the mauri and mana of all individuals. </w:t>
      </w:r>
    </w:p>
    <w:p w14:paraId="0EFB4DCA" w14:textId="175ADC5F" w:rsidR="00DB0F9A" w:rsidRPr="008642D1" w:rsidRDefault="00DB0F9A" w:rsidP="00DB0F9A">
      <w:pPr>
        <w:pStyle w:val="BodyText"/>
        <w:tabs>
          <w:tab w:val="clear" w:pos="709"/>
        </w:tabs>
      </w:pPr>
      <w:r w:rsidRPr="008642D1">
        <w:t>We understand that the mauri, tapu and mana of a person can be affected by external forces</w:t>
      </w:r>
      <w:r w:rsidR="00164C01">
        <w:t>,</w:t>
      </w:r>
      <w:r w:rsidRPr="008642D1">
        <w:t xml:space="preserve"> including insults, injuries and abuse inflicted by others.</w:t>
      </w:r>
      <w:r w:rsidRPr="008642D1">
        <w:rPr>
          <w:rStyle w:val="FootnoteReference"/>
        </w:rPr>
        <w:footnoteReference w:id="292"/>
      </w:r>
      <w:r w:rsidRPr="008642D1">
        <w:t xml:space="preserve"> </w:t>
      </w:r>
    </w:p>
    <w:p w14:paraId="59E3FC7F" w14:textId="77777777" w:rsidR="00DB0F9A" w:rsidRPr="008642D1" w:rsidRDefault="00DB0F9A" w:rsidP="00DB0F9A">
      <w:pPr>
        <w:pStyle w:val="BodyText"/>
        <w:tabs>
          <w:tab w:val="clear" w:pos="709"/>
        </w:tabs>
      </w:pPr>
      <w:r w:rsidRPr="008642D1">
        <w:lastRenderedPageBreak/>
        <w:t>Finally, we heard at the wānanga about another feature of te ao Māori that participants considered relevant to the flexibility of te ao Māori to accommodate gender diversity. It is that te ao Māori recognises that each person has multiple taha (sides) and these include, in each person, a taha wahine (feminine side) and a taha tāne (male side).</w:t>
      </w:r>
      <w:r w:rsidRPr="008642D1">
        <w:rPr>
          <w:rStyle w:val="FootnoteReference"/>
        </w:rPr>
        <w:footnoteReference w:id="293"/>
      </w:r>
      <w:r w:rsidRPr="008642D1">
        <w:t xml:space="preserve"> </w:t>
      </w:r>
    </w:p>
    <w:p w14:paraId="1A5A843B" w14:textId="77777777" w:rsidR="00DB0F9A" w:rsidRPr="008642D1" w:rsidRDefault="00DB0F9A" w:rsidP="00EF433C">
      <w:pPr>
        <w:pStyle w:val="Heading2"/>
      </w:pPr>
      <w:bookmarkStart w:id="76" w:name="_Toc170302142"/>
      <w:r w:rsidRPr="008642D1">
        <w:t>Experiences of discrimination</w:t>
      </w:r>
      <w:bookmarkEnd w:id="76"/>
    </w:p>
    <w:p w14:paraId="1D8F9B16" w14:textId="77777777" w:rsidR="00DB0F9A" w:rsidRPr="008642D1" w:rsidRDefault="00DB0F9A" w:rsidP="00DB0F9A">
      <w:pPr>
        <w:pStyle w:val="BodyText"/>
        <w:tabs>
          <w:tab w:val="clear" w:pos="709"/>
        </w:tabs>
      </w:pPr>
      <w:r w:rsidRPr="008642D1">
        <w:t xml:space="preserve">As we explained in Chapter 3, people in Aotearoa New Zealand who are transgender or non-binary or who have an innate variation of sex characteristics experience high levels of discrimination. Māori people in these groups also experience discrimination on these grounds. They may also experience discrimination because they are Māori. </w:t>
      </w:r>
    </w:p>
    <w:p w14:paraId="293D51B1" w14:textId="5382DAD0" w:rsidR="00DB0F9A" w:rsidRPr="008642D1" w:rsidRDefault="00DB0F9A" w:rsidP="00DB0F9A">
      <w:pPr>
        <w:pStyle w:val="BodyText"/>
        <w:tabs>
          <w:tab w:val="clear" w:pos="709"/>
        </w:tabs>
      </w:pPr>
      <w:r w:rsidRPr="008642D1">
        <w:t>In a 2020 survey of takatāpui and Māori LGBTQI+ generally, more than half of participants said they had experienced discrimination for being Māori.</w:t>
      </w:r>
      <w:r w:rsidRPr="008642D1">
        <w:rPr>
          <w:rStyle w:val="FootnoteReference"/>
        </w:rPr>
        <w:footnoteReference w:id="294"/>
      </w:r>
      <w:r w:rsidRPr="008642D1">
        <w:t xml:space="preserve"> Forty-five per cent of participants reported they were not open or only sometimes open in their day-to-day lives about being takatāpui and Māori LGBTQI+. Fear of discrimination was the main reason given. Further, 78 per cent reported they felt they had to be “on guard” for all, most or some of the time, and 71 per cent reported experiencing fear of being bullied or attacked all, most or some of the time.</w:t>
      </w:r>
      <w:r w:rsidRPr="008642D1">
        <w:rPr>
          <w:rStyle w:val="FootnoteReference"/>
        </w:rPr>
        <w:footnoteReference w:id="295"/>
      </w:r>
      <w:r w:rsidRPr="008642D1">
        <w:t xml:space="preserve"> </w:t>
      </w:r>
    </w:p>
    <w:p w14:paraId="3073BDB5" w14:textId="77777777" w:rsidR="00DB0F9A" w:rsidRPr="008642D1" w:rsidRDefault="00DB0F9A" w:rsidP="00DB0F9A">
      <w:pPr>
        <w:pStyle w:val="BodyText"/>
        <w:tabs>
          <w:tab w:val="clear" w:pos="709"/>
        </w:tabs>
      </w:pPr>
      <w:r w:rsidRPr="008642D1">
        <w:t>One survey found that Māori rainbow young people are less likely than both Pākehā rainbow young people and Māori non-rainbow young people to feel safe at school. They also have lower rates of wellbeing and higher rates of depressive and suicidal symptoms.</w:t>
      </w:r>
      <w:r w:rsidRPr="008642D1">
        <w:rPr>
          <w:rStyle w:val="FootnoteReference"/>
        </w:rPr>
        <w:footnoteReference w:id="296"/>
      </w:r>
      <w:r w:rsidRPr="008642D1">
        <w:t xml:space="preserve"> </w:t>
      </w:r>
    </w:p>
    <w:p w14:paraId="63418A64" w14:textId="2636C2CC" w:rsidR="00DB0F9A" w:rsidRPr="008642D1" w:rsidRDefault="00DB0F9A" w:rsidP="00DB0F9A">
      <w:pPr>
        <w:pStyle w:val="BodyText"/>
        <w:tabs>
          <w:tab w:val="clear" w:pos="709"/>
        </w:tabs>
      </w:pPr>
      <w:r w:rsidRPr="008642D1">
        <w:rPr>
          <w:lang w:eastAsia="zh-CN"/>
        </w:rPr>
        <w:t xml:space="preserve">Participants at the wānanga emphasised that, as well as experiencing discrimination and unfair treatment from non-Māori, </w:t>
      </w:r>
      <w:r w:rsidRPr="008642D1">
        <w:t xml:space="preserve">Māori who are transgender or non-binary or who have an innate variation of sex characteristics sometimes also experience discrimination </w:t>
      </w:r>
      <w:r w:rsidRPr="008642D1">
        <w:rPr>
          <w:lang w:eastAsia="zh-CN"/>
        </w:rPr>
        <w:t>within te ao Māori</w:t>
      </w:r>
      <w:r w:rsidRPr="008642D1">
        <w:t>. One example we were given stemmed from ignorance in te ao Māori (as in te ao Pākehā) about innate variations of sex characteristics</w:t>
      </w:r>
      <w:r w:rsidRPr="008642D1" w:rsidDel="00D11299">
        <w:t>,</w:t>
      </w:r>
      <w:r w:rsidRPr="008642D1">
        <w:t xml:space="preserve"> and how this resulted (on the occasion we heard about) in a diminishment of mana for the affected individual. </w:t>
      </w:r>
    </w:p>
    <w:p w14:paraId="6466FCA9" w14:textId="5EE4DDE8" w:rsidR="00DB0F9A" w:rsidRPr="008642D1" w:rsidRDefault="00DB0F9A" w:rsidP="00DB0F9A">
      <w:pPr>
        <w:pStyle w:val="BodyText"/>
        <w:tabs>
          <w:tab w:val="clear" w:pos="709"/>
        </w:tabs>
      </w:pPr>
      <w:r w:rsidRPr="008642D1">
        <w:t xml:space="preserve">Wānanga participants linked experiences of this kind to the effects of colonisation. This is consistent with the work of several scholars who have suggested that pre-colonial understandings of </w:t>
      </w:r>
      <w:r w:rsidRPr="008642D1">
        <w:rPr>
          <w:lang w:val="mi-NZ"/>
        </w:rPr>
        <w:t xml:space="preserve">sexual fluidity and gender fluidity in te ao Māori have likely morphed or been erased as a result of colonisation and the introduction of </w:t>
      </w:r>
      <w:r w:rsidR="00D616EC">
        <w:rPr>
          <w:lang w:val="mi-NZ"/>
        </w:rPr>
        <w:t>C</w:t>
      </w:r>
      <w:r w:rsidRPr="008642D1">
        <w:rPr>
          <w:lang w:val="mi-NZ"/>
        </w:rPr>
        <w:t>hristianity.</w:t>
      </w:r>
      <w:r w:rsidRPr="008642D1">
        <w:rPr>
          <w:rStyle w:val="FootnoteReference"/>
          <w:lang w:val="mi-NZ"/>
        </w:rPr>
        <w:footnoteReference w:id="297"/>
      </w:r>
      <w:r w:rsidRPr="008642D1">
        <w:t xml:space="preserve"> It is impossible to fully reconstruct precolonial Māori understandings of gender diversity or of variations </w:t>
      </w:r>
      <w:r w:rsidR="00EB0008">
        <w:t>of</w:t>
      </w:r>
      <w:r w:rsidRPr="008642D1">
        <w:t xml:space="preserve"> sex characteristics. </w:t>
      </w:r>
      <w:r w:rsidRPr="008642D1">
        <w:rPr>
          <w:lang w:val="mi-NZ"/>
        </w:rPr>
        <w:t xml:space="preserve">Some scholars point to fragments from traditional stories </w:t>
      </w:r>
      <w:r w:rsidRPr="008642D1">
        <w:rPr>
          <w:lang w:val="mi-NZ"/>
        </w:rPr>
        <w:lastRenderedPageBreak/>
        <w:t>or carvings that might suggest evidence of gender fluidity or variations of sex characteristics.</w:t>
      </w:r>
      <w:r w:rsidRPr="008642D1">
        <w:rPr>
          <w:rStyle w:val="FootnoteReference"/>
        </w:rPr>
        <w:footnoteReference w:id="298"/>
      </w:r>
      <w:r w:rsidRPr="008642D1">
        <w:t xml:space="preserve"> However, these are very few and their meanings are</w:t>
      </w:r>
      <w:r w:rsidRPr="008642D1" w:rsidDel="003B1C38">
        <w:t xml:space="preserve"> </w:t>
      </w:r>
      <w:r w:rsidRPr="008642D1">
        <w:t>not always clear.</w:t>
      </w:r>
    </w:p>
    <w:p w14:paraId="5DF7D388" w14:textId="5D1D60A4" w:rsidR="00DB0F9A" w:rsidRPr="008642D1" w:rsidRDefault="00DB0F9A" w:rsidP="00DB0F9A">
      <w:pPr>
        <w:pStyle w:val="BodyText"/>
        <w:tabs>
          <w:tab w:val="clear" w:pos="709"/>
        </w:tabs>
      </w:pPr>
      <w:r w:rsidRPr="008642D1">
        <w:t xml:space="preserve">Participants at the wānanga also emphasised that the experiences of people who are transgender </w:t>
      </w:r>
      <w:r w:rsidR="007B2870">
        <w:t>or</w:t>
      </w:r>
      <w:r w:rsidR="007B2870" w:rsidRPr="008642D1">
        <w:t xml:space="preserve"> </w:t>
      </w:r>
      <w:r w:rsidRPr="008642D1">
        <w:t xml:space="preserve">non-binary (especially young people) can sometimes vary depending on whether they have a person of mana to advocate for them in Māori settings. </w:t>
      </w:r>
    </w:p>
    <w:p w14:paraId="077AF714" w14:textId="77777777" w:rsidR="00DB0F9A" w:rsidRPr="008642D1" w:rsidRDefault="00DB0F9A" w:rsidP="00EF433C">
      <w:pPr>
        <w:pStyle w:val="Heading2"/>
      </w:pPr>
      <w:bookmarkStart w:id="77" w:name="_Toc170302143"/>
      <w:r w:rsidRPr="008642D1">
        <w:t>Tikanga and sex-differentiated activities</w:t>
      </w:r>
      <w:bookmarkEnd w:id="77"/>
    </w:p>
    <w:p w14:paraId="1365789C" w14:textId="77777777" w:rsidR="00DB0F9A" w:rsidRPr="008642D1" w:rsidRDefault="00DB0F9A" w:rsidP="00DB0F9A">
      <w:pPr>
        <w:pStyle w:val="BodyText"/>
        <w:tabs>
          <w:tab w:val="clear" w:pos="709"/>
        </w:tabs>
      </w:pPr>
      <w:r w:rsidRPr="008642D1">
        <w:t>There are some situations in te ao Māori where wāhine and tāne have different roles or where sex is significant to differences in particular cultural practices. We understand these are usually tapu (spiritually restricted) practices that may require appropriate kawa (protocols). They include:</w:t>
      </w:r>
    </w:p>
    <w:p w14:paraId="36D0B0F2" w14:textId="77777777" w:rsidR="00DB0F9A" w:rsidRPr="008642D1" w:rsidRDefault="00DB0F9A" w:rsidP="00DF306B">
      <w:pPr>
        <w:pStyle w:val="BodyTextnonum"/>
        <w:numPr>
          <w:ilvl w:val="3"/>
          <w:numId w:val="23"/>
        </w:numPr>
        <w:tabs>
          <w:tab w:val="clear" w:pos="709"/>
        </w:tabs>
      </w:pPr>
      <w:r w:rsidRPr="008642D1">
        <w:t>practices associated with pōwhiri (a formal welcoming ceremony) such as karanga (a welcome call) and whaikōrero (a formal speech);</w:t>
      </w:r>
    </w:p>
    <w:p w14:paraId="7F20F732" w14:textId="77777777" w:rsidR="00DB0F9A" w:rsidRPr="008642D1" w:rsidRDefault="00DB0F9A" w:rsidP="00DF306B">
      <w:pPr>
        <w:pStyle w:val="BodyTextnonum"/>
        <w:numPr>
          <w:ilvl w:val="3"/>
          <w:numId w:val="23"/>
        </w:numPr>
        <w:tabs>
          <w:tab w:val="clear" w:pos="709"/>
        </w:tabs>
      </w:pPr>
      <w:r w:rsidRPr="008642D1">
        <w:t>the practice of kawanga whare (the ceremony to open a new building);</w:t>
      </w:r>
    </w:p>
    <w:p w14:paraId="2EB83DB7" w14:textId="77777777" w:rsidR="00DB0F9A" w:rsidRPr="008642D1" w:rsidRDefault="00DB0F9A" w:rsidP="00DF306B">
      <w:pPr>
        <w:pStyle w:val="BodyTextnonum"/>
        <w:numPr>
          <w:ilvl w:val="3"/>
          <w:numId w:val="23"/>
        </w:numPr>
        <w:tabs>
          <w:tab w:val="clear" w:pos="709"/>
        </w:tabs>
      </w:pPr>
      <w:r w:rsidRPr="008642D1">
        <w:t>tā moko (traditional Māori tattooing); and</w:t>
      </w:r>
    </w:p>
    <w:p w14:paraId="6D245564" w14:textId="542C5E9B" w:rsidR="00DB0F9A" w:rsidRPr="008642D1" w:rsidRDefault="00DB0F9A" w:rsidP="00DF306B">
      <w:pPr>
        <w:pStyle w:val="BodyTextnonum"/>
        <w:numPr>
          <w:ilvl w:val="3"/>
          <w:numId w:val="23"/>
        </w:numPr>
        <w:tabs>
          <w:tab w:val="clear" w:pos="709"/>
        </w:tabs>
      </w:pPr>
      <w:r w:rsidRPr="008642D1">
        <w:t xml:space="preserve">kapa haka and poi (types of Māori performing arts). </w:t>
      </w:r>
    </w:p>
    <w:p w14:paraId="25ECDB36" w14:textId="77777777" w:rsidR="00DB0F9A" w:rsidRPr="008642D1" w:rsidRDefault="00DB0F9A" w:rsidP="00DB0F9A">
      <w:pPr>
        <w:pStyle w:val="BodyText"/>
        <w:tabs>
          <w:tab w:val="clear" w:pos="709"/>
        </w:tabs>
      </w:pPr>
      <w:r w:rsidRPr="008642D1">
        <w:t>Practices vary between different hapū, iwi or other Māori groups so a person’s sex may not always be an important factor.</w:t>
      </w:r>
      <w:r w:rsidRPr="008642D1">
        <w:rPr>
          <w:rStyle w:val="FootnoteReference"/>
          <w:lang w:val="mi-NZ"/>
        </w:rPr>
        <w:footnoteReference w:id="299"/>
      </w:r>
      <w:r w:rsidRPr="008642D1">
        <w:rPr>
          <w:lang w:val="mi-NZ"/>
        </w:rPr>
        <w:t xml:space="preserve"> </w:t>
      </w:r>
    </w:p>
    <w:p w14:paraId="0AA26017" w14:textId="77777777" w:rsidR="00DB0F9A" w:rsidRPr="008642D1" w:rsidDel="009571FE" w:rsidRDefault="00DB0F9A" w:rsidP="00DB0F9A">
      <w:pPr>
        <w:pStyle w:val="BodyText"/>
        <w:tabs>
          <w:tab w:val="clear" w:pos="709"/>
        </w:tabs>
      </w:pPr>
      <w:r w:rsidRPr="008642D1">
        <w:rPr>
          <w:lang w:val="mi-NZ"/>
        </w:rPr>
        <w:t>We have heard that it is important to understand the intention behind the different roles played by men and women, which is itself dicated by tikanga. Participants at the wānanga emphasised the importance of tiaki (protection) as a frequent rationale for sex-differentiated activities. For example, the desire to protect women from the possibility of abuse is one reason that women often stand in the middle of the ope (group) during the karanga and sit behind men during whaikōrero. It is also a reason we have seen given for the prohibition of women delivering whaikōrero.</w:t>
      </w:r>
      <w:r w:rsidRPr="008642D1">
        <w:rPr>
          <w:rStyle w:val="FootnoteReference"/>
          <w:lang w:val="mi-NZ"/>
        </w:rPr>
        <w:footnoteReference w:id="300"/>
      </w:r>
      <w:r w:rsidRPr="008642D1">
        <w:rPr>
          <w:lang w:val="mi-NZ"/>
        </w:rPr>
        <w:t xml:space="preserve"> For some hapū and iwi, it is the tapu of all women that requires such protection as spiritual attacks could affect not only the </w:t>
      </w:r>
      <w:r w:rsidRPr="008642D1">
        <w:rPr>
          <w:lang w:val="mi-NZ"/>
        </w:rPr>
        <w:lastRenderedPageBreak/>
        <w:t>woman but also her progeny for all time to come.</w:t>
      </w:r>
      <w:r w:rsidRPr="008642D1">
        <w:rPr>
          <w:rStyle w:val="FootnoteReference"/>
          <w:lang w:val="mi-NZ"/>
        </w:rPr>
        <w:footnoteReference w:id="301"/>
      </w:r>
      <w:r w:rsidRPr="008642D1">
        <w:rPr>
          <w:lang w:val="mi-NZ"/>
        </w:rPr>
        <w:t xml:space="preserve"> Other hapū and iwi consider that a post-menstrual woman who can no longer bear children is exempt from this vulnerability.</w:t>
      </w:r>
      <w:r w:rsidRPr="008642D1">
        <w:rPr>
          <w:rStyle w:val="FootnoteReference"/>
          <w:lang w:val="mi-NZ"/>
        </w:rPr>
        <w:footnoteReference w:id="302"/>
      </w:r>
      <w:r w:rsidRPr="008642D1">
        <w:rPr>
          <w:lang w:val="mi-NZ"/>
        </w:rPr>
        <w:t xml:space="preserve"> </w:t>
      </w:r>
    </w:p>
    <w:p w14:paraId="124D120C" w14:textId="5D4B76B2" w:rsidR="00DB0F9A" w:rsidRPr="008642D1" w:rsidRDefault="00DB0F9A" w:rsidP="00DB0F9A">
      <w:pPr>
        <w:pStyle w:val="BodyText"/>
        <w:tabs>
          <w:tab w:val="clear" w:pos="709"/>
        </w:tabs>
      </w:pPr>
      <w:r w:rsidRPr="008642D1">
        <w:t xml:space="preserve">An issue with which Māori groups are grappling is what roles Māori who are transgender or non-binary or who have an innate variation of sex characteristics can fulfil in relation to sex-differentiated </w:t>
      </w:r>
      <w:r w:rsidRPr="008642D1">
        <w:rPr>
          <w:rFonts w:eastAsia="Calibri"/>
          <w:lang w:val="mi-NZ"/>
        </w:rPr>
        <w:t xml:space="preserve">activities — for example, whether a person who is transgender can </w:t>
      </w:r>
      <w:r w:rsidR="0043408B">
        <w:rPr>
          <w:rFonts w:eastAsia="Calibri"/>
          <w:lang w:val="mi-NZ"/>
        </w:rPr>
        <w:t>fulfil</w:t>
      </w:r>
      <w:r w:rsidRPr="008642D1">
        <w:rPr>
          <w:rFonts w:eastAsia="Calibri"/>
          <w:lang w:val="mi-NZ"/>
        </w:rPr>
        <w:t xml:space="preserve"> a role that aligns with their gender identity and whether a person who identifies outside the gender binary can move between male and female roles. We understand that different accommodations are being reached on these issues by hapū, marae and whānau around the </w:t>
      </w:r>
      <w:r w:rsidR="0043408B">
        <w:rPr>
          <w:rFonts w:eastAsia="Calibri"/>
          <w:lang w:val="mi-NZ"/>
        </w:rPr>
        <w:t>motu</w:t>
      </w:r>
      <w:r w:rsidRPr="008642D1">
        <w:rPr>
          <w:rFonts w:eastAsia="Calibri"/>
          <w:lang w:val="mi-NZ"/>
        </w:rPr>
        <w:t xml:space="preserve"> and that there is no uniform response. We are interested to understand more about existing practice.</w:t>
      </w:r>
    </w:p>
    <w:p w14:paraId="31BA18F9" w14:textId="77777777" w:rsidR="00DB0F9A" w:rsidRPr="008642D1" w:rsidRDefault="00DB0F9A" w:rsidP="00C04F1C">
      <w:pPr>
        <w:pStyle w:val="BodyText"/>
      </w:pPr>
      <w:r w:rsidRPr="008642D1">
        <w:t>We are aware of several examples of transgender Māori women performing karanga both on marae and in community settings.</w:t>
      </w:r>
      <w:r w:rsidRPr="008642D1">
        <w:rPr>
          <w:rStyle w:val="FootnoteReference"/>
        </w:rPr>
        <w:footnoteReference w:id="303"/>
      </w:r>
      <w:r w:rsidRPr="008642D1">
        <w:t xml:space="preserve"> We have also been told of examples of transgender women who want to karanga being turned down by their community. However, we were told this may sometimes be due to the person lacking the skills and seniority to perform the role rather than necessarily because they are transgender. We are not aware of any transgender Māori men or non-binary Māori who have taken the role of kaikōrero in their Māori group (although that does not mean it does not happen). We have heard of people who identify outside the gender binary and who were assigned male at birth performing whaikōrero in educational settings. We have not heard about the experiences of people with an innate variation of sex characteristics in relation to karanga and whaikōrero. </w:t>
      </w:r>
    </w:p>
    <w:p w14:paraId="4B5CCE4A" w14:textId="77777777" w:rsidR="00DB0F9A" w:rsidRPr="008642D1" w:rsidRDefault="00DB0F9A" w:rsidP="00DB0F9A">
      <w:pPr>
        <w:pStyle w:val="BodyText"/>
        <w:tabs>
          <w:tab w:val="clear" w:pos="709"/>
        </w:tabs>
      </w:pPr>
      <w:r w:rsidRPr="008642D1">
        <w:t>We have heard there can be particular challenges for people who do not identify as male or female to find their place in sex-differentiated tikanga activities. One transgender Māori woman, Stacey Kerapa, describes her drag-mother, Witōria Drake, saying to her:</w:t>
      </w:r>
      <w:r w:rsidRPr="008642D1">
        <w:rPr>
          <w:rStyle w:val="FootnoteReference"/>
        </w:rPr>
        <w:footnoteReference w:id="304"/>
      </w:r>
    </w:p>
    <w:p w14:paraId="4262D1D0" w14:textId="77777777" w:rsidR="00DB0F9A" w:rsidRPr="008642D1" w:rsidRDefault="00DB0F9A" w:rsidP="00DB0F9A">
      <w:pPr>
        <w:pStyle w:val="Quote"/>
      </w:pPr>
      <w:r w:rsidRPr="008642D1">
        <w:t xml:space="preserve">Girl, there are no grey areas and you’re either going to be one or the other. You can’t have it both ways. So choose a role and stick to it because it’ll be on you if you get it wrong. </w:t>
      </w:r>
    </w:p>
    <w:p w14:paraId="6417E5BD" w14:textId="0DF56359" w:rsidR="00DB0F9A" w:rsidRPr="008642D1" w:rsidDel="00B87722" w:rsidRDefault="00DB0F9A" w:rsidP="00DB0F9A">
      <w:pPr>
        <w:pStyle w:val="BodyText"/>
        <w:tabs>
          <w:tab w:val="clear" w:pos="709"/>
        </w:tabs>
      </w:pPr>
      <w:r w:rsidRPr="008642D1">
        <w:t>We understand that</w:t>
      </w:r>
      <w:r w:rsidR="00C24528">
        <w:t>,</w:t>
      </w:r>
      <w:r w:rsidRPr="008642D1">
        <w:t xml:space="preserve"> in kapa haka</w:t>
      </w:r>
      <w:r w:rsidR="00C24528">
        <w:t>,</w:t>
      </w:r>
      <w:r w:rsidRPr="008642D1">
        <w:t xml:space="preserve"> groups are taking different approaches when deciding where to place members who are transgender or non-binary. For example, we have heard of one group that agreed to maintain traditional sex-differentiated roles in a particular waiata but to permit transgender wāhine to perform the roles assigned to wāhine. By contrast, the kapa haka group Angitū had two members performing both male and female roles at Te Matatini in 2023.</w:t>
      </w:r>
      <w:r w:rsidRPr="008642D1">
        <w:rPr>
          <w:rStyle w:val="FootnoteReference"/>
        </w:rPr>
        <w:footnoteReference w:id="305"/>
      </w:r>
    </w:p>
    <w:p w14:paraId="03D560F3" w14:textId="2FF8BD56" w:rsidR="00DB0F9A" w:rsidRPr="008642D1" w:rsidRDefault="00DB0F9A" w:rsidP="00DB0F9A">
      <w:pPr>
        <w:pStyle w:val="BodyText"/>
        <w:tabs>
          <w:tab w:val="clear" w:pos="709"/>
        </w:tabs>
      </w:pPr>
      <w:r w:rsidRPr="008642D1">
        <w:rPr>
          <w:lang w:val="mi-NZ"/>
        </w:rPr>
        <w:t xml:space="preserve">These practices are emerging and evolving. Pūkenga at the wānanga stressed two things about this process of evolution. The first is that, while expressions of tikanga can and do evolve, a </w:t>
      </w:r>
      <w:r w:rsidRPr="008642D1">
        <w:t xml:space="preserve">change to tikanga relies on collective consciousness. Tikanga should not be </w:t>
      </w:r>
      <w:r w:rsidRPr="008642D1">
        <w:lastRenderedPageBreak/>
        <w:t>changed to fit one person’s agenda, kōrero or way of living.</w:t>
      </w:r>
      <w:r w:rsidRPr="008642D1">
        <w:rPr>
          <w:rStyle w:val="FootnoteReference"/>
          <w:lang w:val="mi-NZ"/>
        </w:rPr>
        <w:footnoteReference w:id="306"/>
      </w:r>
      <w:r w:rsidRPr="008642D1">
        <w:t xml:space="preserve"> One pūkenga said “ki te panoni te tikanga, ka ngaro te tapu i te tikanga” (if we keep changing tikanga, it loses its tapu).</w:t>
      </w:r>
      <w:r w:rsidRPr="008642D1">
        <w:rPr>
          <w:rStyle w:val="FootnoteReference"/>
          <w:lang w:val="mi-NZ"/>
        </w:rPr>
        <w:footnoteReference w:id="307"/>
      </w:r>
    </w:p>
    <w:p w14:paraId="2BF50339" w14:textId="77777777" w:rsidR="00DB0F9A" w:rsidRPr="008642D1" w:rsidRDefault="00DB0F9A" w:rsidP="00DB0F9A">
      <w:pPr>
        <w:pStyle w:val="BodyText"/>
        <w:tabs>
          <w:tab w:val="clear" w:pos="709"/>
        </w:tabs>
      </w:pPr>
      <w:r w:rsidRPr="008642D1">
        <w:t>The second is that tikanga is less rules-based and more solutions-focused than Western law. We were told tikanga solutions emerge out of consultation and wānanga. Some participants at our wānanga told us they were engaged in these conversations with their own Māori groups.</w:t>
      </w:r>
      <w:r w:rsidRPr="008642D1" w:rsidDel="00647524">
        <w:t xml:space="preserve"> </w:t>
      </w:r>
      <w:r w:rsidRPr="008642D1">
        <w:t>The solutions that emerge from these conversations do not always favour the position being advocated for by gender diverse Māori. However,</w:t>
      </w:r>
      <w:r w:rsidRPr="008642D1" w:rsidDel="0017225F">
        <w:t xml:space="preserve"> </w:t>
      </w:r>
      <w:r w:rsidRPr="008642D1">
        <w:t>wānanga participants explained that the people involved tend to accept the outcome</w:t>
      </w:r>
      <w:r w:rsidRPr="008642D1" w:rsidDel="00C14079">
        <w:t xml:space="preserve"> </w:t>
      </w:r>
      <w:r w:rsidRPr="008642D1">
        <w:t>because it is tikanga-based and enables all those involved to deepen their relationship with tikanga. Wānanga participants were clear that they did not see any role for state law to intervene on such questions of tikanga.</w:t>
      </w:r>
    </w:p>
    <w:bookmarkEnd w:id="74"/>
    <w:p w14:paraId="5F67CB67" w14:textId="78E86D78" w:rsidR="00EB70BA" w:rsidRPr="008642D1" w:rsidRDefault="0048624C" w:rsidP="00187E7E">
      <w:pPr>
        <w:pStyle w:val="BodyText"/>
        <w:numPr>
          <w:ilvl w:val="0"/>
          <w:numId w:val="0"/>
        </w:numPr>
        <w:ind w:left="709" w:hanging="709"/>
      </w:pPr>
      <w:r w:rsidRPr="008642D1">
        <w:rPr>
          <w:noProof/>
        </w:rPr>
        <mc:AlternateContent>
          <mc:Choice Requires="wpg">
            <w:drawing>
              <wp:anchor distT="0" distB="0" distL="114300" distR="114300" simplePos="0" relativeHeight="251658311" behindDoc="1" locked="0" layoutInCell="1" allowOverlap="1" wp14:anchorId="07BC9519" wp14:editId="578ED2B4">
                <wp:simplePos x="0" y="0"/>
                <wp:positionH relativeFrom="column">
                  <wp:posOffset>-3810</wp:posOffset>
                </wp:positionH>
                <wp:positionV relativeFrom="paragraph">
                  <wp:posOffset>5715</wp:posOffset>
                </wp:positionV>
                <wp:extent cx="5760085" cy="2428856"/>
                <wp:effectExtent l="0" t="0" r="0" b="0"/>
                <wp:wrapNone/>
                <wp:docPr id="519" name="Group 519" descr="Questi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760085" cy="2428856"/>
                          <a:chOff x="0" y="62865"/>
                          <a:chExt cx="5760085" cy="2430275"/>
                        </a:xfrm>
                      </wpg:grpSpPr>
                      <wps:wsp>
                        <wps:cNvPr id="52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D110C0" w14:textId="77777777" w:rsidR="0048624C" w:rsidRDefault="0048624C" w:rsidP="0048624C">
                              <w:pPr>
                                <w:pStyle w:val="BoxTitle"/>
                                <w:spacing w:before="0" w:beforeAutospacing="0"/>
                              </w:pPr>
                              <w:r w:rsidRPr="007F6876">
                                <w:t>QUESTION</w:t>
                              </w:r>
                              <w:r>
                                <w:t>S</w:t>
                              </w:r>
                            </w:p>
                          </w:txbxContent>
                        </wps:txbx>
                        <wps:bodyPr rot="0" vert="horz" wrap="square" lIns="91440" tIns="0" rIns="0" bIns="45720" anchor="ctr" anchorCtr="0" upright="1">
                          <a:noAutofit/>
                        </wps:bodyPr>
                      </wps:wsp>
                      <wpg:grpSp>
                        <wpg:cNvPr id="521" name="Group 53"/>
                        <wpg:cNvGrpSpPr>
                          <a:grpSpLocks/>
                        </wpg:cNvGrpSpPr>
                        <wpg:grpSpPr bwMode="auto">
                          <a:xfrm>
                            <a:off x="0" y="316077"/>
                            <a:ext cx="5760085" cy="2177063"/>
                            <a:chOff x="1837" y="1790"/>
                            <a:chExt cx="9302" cy="23516"/>
                          </a:xfrm>
                        </wpg:grpSpPr>
                        <wps:wsp>
                          <wps:cNvPr id="522" name="Freeform 54"/>
                          <wps:cNvSpPr>
                            <a:spLocks/>
                          </wps:cNvSpPr>
                          <wps:spPr bwMode="auto">
                            <a:xfrm>
                              <a:off x="1837" y="1790"/>
                              <a:ext cx="9302" cy="2351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 name="Group 523"/>
                        <wpg:cNvGrpSpPr/>
                        <wpg:grpSpPr>
                          <a:xfrm>
                            <a:off x="0" y="494036"/>
                            <a:ext cx="1443794" cy="252000"/>
                            <a:chOff x="-15880" y="0"/>
                            <a:chExt cx="1444379" cy="252068"/>
                          </a:xfrm>
                        </wpg:grpSpPr>
                        <wps:wsp>
                          <wps:cNvPr id="52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7C7D87" w14:textId="170EFD74" w:rsidR="0048624C" w:rsidRPr="00E90B8A" w:rsidRDefault="0048624C" w:rsidP="0048624C">
                                <w:pPr>
                                  <w:pStyle w:val="BoxTitle"/>
                                  <w:spacing w:before="0" w:beforeAutospacing="0"/>
                                  <w:rPr>
                                    <w:sz w:val="18"/>
                                    <w:szCs w:val="18"/>
                                  </w:rPr>
                                </w:pPr>
                                <w:r w:rsidRPr="00E90B8A">
                                  <w:rPr>
                                    <w:sz w:val="18"/>
                                    <w:szCs w:val="18"/>
                                  </w:rPr>
                                  <w:t>Q</w:t>
                                </w:r>
                                <w:r w:rsidR="00C22879">
                                  <w:rPr>
                                    <w:sz w:val="18"/>
                                    <w:szCs w:val="18"/>
                                  </w:rPr>
                                  <w:t>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7BC9519" id="Group 519" o:spid="_x0000_s1045" alt="Question" style="position:absolute;left:0;text-align:left;margin-left:-.3pt;margin-top:.45pt;width:453.55pt;height:191.25pt;z-index:-251658169;mso-height-relative:margin" coordorigin=",628" coordsize="57600,2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">
                <v:shape id="Freeform 52" o:spid="_x0000_s104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BD110C0" w14:textId="77777777" w:rsidR="0048624C" w:rsidRDefault="0048624C" w:rsidP="0048624C">
                        <w:pPr>
                          <w:pStyle w:val="BoxTitle"/>
                          <w:spacing w:before="0" w:beforeAutospacing="0"/>
                        </w:pPr>
                        <w:r w:rsidRPr="007F6876">
                          <w:t>QUESTION</w:t>
                        </w:r>
                        <w:r>
                          <w:t>S</w:t>
                        </w:r>
                      </w:p>
                    </w:txbxContent>
                  </v:textbox>
                </v:shape>
                <v:group id="Group 53" o:spid="_x0000_s1047" style="position:absolute;top:3160;width:57600;height:21771" coordorigin="1837,1790" coordsize="9302,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54" o:spid="_x0000_s1048" style="position:absolute;left:1837;top:1790;width:9302;height:2351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" path="m,l9354,r,7809l,7809,,e" fillcolor="#edf2ea" stroked="f">
                    <v:path arrowok="t" o:connecttype="custom" o:connectlocs="0,3011;9302,3011;9302,26527;0,26527;0,3011" o:connectangles="0,0,0,0,0"/>
                  </v:shape>
                </v:group>
                <v:group id="Group 523" o:spid="_x0000_s104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58" o:spid="_x0000_s105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" path="m,l1815,e" filled="f" strokecolor="#72ab6a" strokeweight=".5pt">
                    <v:path arrowok="t" o:connecttype="custom" o:connectlocs="0,0;1073495,0" o:connectangles="0,0"/>
                  </v:shape>
                  <v:shape id="Freeform 66" o:spid="_x0000_s105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E7C7D87" w14:textId="170EFD74" w:rsidR="0048624C" w:rsidRPr="00E90B8A" w:rsidRDefault="0048624C" w:rsidP="0048624C">
                          <w:pPr>
                            <w:pStyle w:val="BoxTitle"/>
                            <w:spacing w:before="0" w:beforeAutospacing="0"/>
                            <w:rPr>
                              <w:sz w:val="18"/>
                              <w:szCs w:val="18"/>
                            </w:rPr>
                          </w:pPr>
                          <w:r w:rsidRPr="00E90B8A">
                            <w:rPr>
                              <w:sz w:val="18"/>
                              <w:szCs w:val="18"/>
                            </w:rPr>
                            <w:t>Q</w:t>
                          </w:r>
                          <w:r w:rsidR="00C22879">
                            <w:rPr>
                              <w:sz w:val="18"/>
                              <w:szCs w:val="18"/>
                            </w:rPr>
                            <w:t>3</w:t>
                          </w:r>
                        </w:p>
                      </w:txbxContent>
                    </v:textbox>
                  </v:shape>
                </v:group>
              </v:group>
            </w:pict>
          </mc:Fallback>
        </mc:AlternateContent>
      </w:r>
    </w:p>
    <w:p w14:paraId="4CA6A6BE" w14:textId="63ECD22F" w:rsidR="00CA09E6" w:rsidRPr="008642D1" w:rsidRDefault="00CA09E6" w:rsidP="00187E7E">
      <w:pPr>
        <w:pStyle w:val="BodyText"/>
        <w:numPr>
          <w:ilvl w:val="0"/>
          <w:numId w:val="0"/>
        </w:numPr>
        <w:ind w:left="709" w:hanging="709"/>
      </w:pPr>
    </w:p>
    <w:p w14:paraId="156697BF" w14:textId="45727E6E" w:rsidR="009C07D2" w:rsidRDefault="009C07D2" w:rsidP="00CA09E6">
      <w:pPr>
        <w:pStyle w:val="QuestionBox"/>
      </w:pPr>
      <w:r w:rsidRPr="009C07D2">
        <w:t>Are there Māori perspectives on the issues in this review you would like to share with us?</w:t>
      </w:r>
    </w:p>
    <w:p w14:paraId="2FB14E34" w14:textId="783E9EFF" w:rsidR="00CA09E6" w:rsidRPr="008642D1" w:rsidRDefault="00FA7DC4" w:rsidP="00CA09E6">
      <w:pPr>
        <w:pStyle w:val="QuestionBox"/>
      </w:pPr>
      <w:r w:rsidRPr="008642D1">
        <w:rPr>
          <w:noProof/>
        </w:rPr>
        <mc:AlternateContent>
          <mc:Choice Requires="wpg">
            <w:drawing>
              <wp:anchor distT="0" distB="0" distL="114300" distR="114300" simplePos="0" relativeHeight="251658312" behindDoc="1" locked="0" layoutInCell="1" allowOverlap="1" wp14:anchorId="5068582F" wp14:editId="670ECF51">
                <wp:simplePos x="0" y="0"/>
                <wp:positionH relativeFrom="column">
                  <wp:posOffset>0</wp:posOffset>
                </wp:positionH>
                <wp:positionV relativeFrom="paragraph">
                  <wp:posOffset>182435</wp:posOffset>
                </wp:positionV>
                <wp:extent cx="1443355" cy="251460"/>
                <wp:effectExtent l="0" t="0" r="42545" b="0"/>
                <wp:wrapNone/>
                <wp:docPr id="307133654"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75083092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64043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4D03AB" w14:textId="7836B13F" w:rsidR="00FA7DC4" w:rsidRPr="00E90B8A" w:rsidRDefault="00FA7DC4" w:rsidP="00FA7DC4">
                              <w:pPr>
                                <w:pStyle w:val="BoxTitle"/>
                                <w:spacing w:before="0" w:beforeAutospacing="0"/>
                                <w:rPr>
                                  <w:sz w:val="18"/>
                                  <w:szCs w:val="18"/>
                                </w:rPr>
                              </w:pPr>
                              <w:r w:rsidRPr="00E90B8A">
                                <w:rPr>
                                  <w:sz w:val="18"/>
                                  <w:szCs w:val="18"/>
                                </w:rPr>
                                <w:t>Q</w:t>
                              </w:r>
                              <w:r w:rsidR="00C22879">
                                <w:rPr>
                                  <w:sz w:val="18"/>
                                  <w:szCs w:val="18"/>
                                </w:rPr>
                                <w:t>4</w:t>
                              </w:r>
                            </w:p>
                          </w:txbxContent>
                        </wps:txbx>
                        <wps:bodyPr rot="0" vert="horz" wrap="square" lIns="54000" tIns="82800" rIns="91440" bIns="45720" anchor="ctr" anchorCtr="0" upright="1">
                          <a:noAutofit/>
                        </wps:bodyPr>
                      </wps:wsp>
                    </wpg:wgp>
                  </a:graphicData>
                </a:graphic>
              </wp:anchor>
            </w:drawing>
          </mc:Choice>
          <mc:Fallback>
            <w:pict>
              <v:group w14:anchorId="5068582F" id="Group 335" o:spid="_x0000_s1052" style="position:absolute;left:0;text-align:left;margin-left:0;margin-top:14.35pt;width:113.65pt;height:19.8pt;z-index:-251658168"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">
                <v:shape id="Freeform 58" o:spid="_x0000_s105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" path="m,l1815,e" filled="f" strokecolor="#72ab6a" strokeweight=".5pt">
                  <v:path arrowok="t" o:connecttype="custom" o:connectlocs="0,0;1073495,0" o:connectangles="0,0"/>
                </v:shape>
                <v:shape id="Freeform 66" o:spid="_x0000_s105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54D03AB" w14:textId="7836B13F" w:rsidR="00FA7DC4" w:rsidRPr="00E90B8A" w:rsidRDefault="00FA7DC4" w:rsidP="00FA7DC4">
                        <w:pPr>
                          <w:pStyle w:val="BoxTitle"/>
                          <w:spacing w:before="0" w:beforeAutospacing="0"/>
                          <w:rPr>
                            <w:sz w:val="18"/>
                            <w:szCs w:val="18"/>
                          </w:rPr>
                        </w:pPr>
                        <w:r w:rsidRPr="00E90B8A">
                          <w:rPr>
                            <w:sz w:val="18"/>
                            <w:szCs w:val="18"/>
                          </w:rPr>
                          <w:t>Q</w:t>
                        </w:r>
                        <w:r w:rsidR="00C22879">
                          <w:rPr>
                            <w:sz w:val="18"/>
                            <w:szCs w:val="18"/>
                          </w:rPr>
                          <w:t>4</w:t>
                        </w:r>
                      </w:p>
                    </w:txbxContent>
                  </v:textbox>
                </v:shape>
              </v:group>
            </w:pict>
          </mc:Fallback>
        </mc:AlternateContent>
      </w:r>
    </w:p>
    <w:p w14:paraId="53C2259B" w14:textId="77777777" w:rsidR="00171F17" w:rsidRDefault="00171F17" w:rsidP="00CA09E6">
      <w:pPr>
        <w:pStyle w:val="QuestionBox"/>
      </w:pPr>
      <w:r w:rsidRPr="00171F17">
        <w:rPr>
          <w:lang w:val="en-US"/>
        </w:rPr>
        <w:t>Do you have any feedback on the tikanga we have identified and how we have described them?</w:t>
      </w:r>
      <w:r w:rsidRPr="00171F17">
        <w:rPr>
          <w:rFonts w:ascii="Calibri" w:hAnsi="Calibri" w:cs="Calibri"/>
          <w:lang w:val="en-US"/>
        </w:rPr>
        <w:t> </w:t>
      </w:r>
      <w:r w:rsidRPr="00171F17">
        <w:rPr>
          <w:rFonts w:ascii="Calibri" w:hAnsi="Calibri" w:cs="Calibri"/>
        </w:rPr>
        <w:t> </w:t>
      </w:r>
    </w:p>
    <w:p w14:paraId="0C84CCD8" w14:textId="7AA2D494" w:rsidR="00CA09E6" w:rsidRPr="008642D1" w:rsidRDefault="00FA7DC4" w:rsidP="00CA09E6">
      <w:pPr>
        <w:pStyle w:val="QuestionBox"/>
      </w:pPr>
      <w:r w:rsidRPr="008642D1">
        <w:rPr>
          <w:noProof/>
        </w:rPr>
        <mc:AlternateContent>
          <mc:Choice Requires="wpg">
            <w:drawing>
              <wp:anchor distT="0" distB="0" distL="114300" distR="114300" simplePos="0" relativeHeight="251658313" behindDoc="1" locked="0" layoutInCell="1" allowOverlap="1" wp14:anchorId="51291CA8" wp14:editId="1D5D39BB">
                <wp:simplePos x="0" y="0"/>
                <wp:positionH relativeFrom="column">
                  <wp:posOffset>0</wp:posOffset>
                </wp:positionH>
                <wp:positionV relativeFrom="paragraph">
                  <wp:posOffset>194500</wp:posOffset>
                </wp:positionV>
                <wp:extent cx="1443355" cy="251460"/>
                <wp:effectExtent l="0" t="0" r="42545" b="0"/>
                <wp:wrapNone/>
                <wp:docPr id="1997287703"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31500248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2344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C41FA3" w14:textId="522439B2" w:rsidR="00FA7DC4" w:rsidRPr="00E90B8A" w:rsidRDefault="00FA7DC4" w:rsidP="00FA7DC4">
                              <w:pPr>
                                <w:pStyle w:val="BoxTitle"/>
                                <w:spacing w:before="0" w:beforeAutospacing="0"/>
                                <w:rPr>
                                  <w:sz w:val="18"/>
                                  <w:szCs w:val="18"/>
                                </w:rPr>
                              </w:pPr>
                              <w:r w:rsidRPr="00E90B8A">
                                <w:rPr>
                                  <w:sz w:val="18"/>
                                  <w:szCs w:val="18"/>
                                </w:rPr>
                                <w:t>Q</w:t>
                              </w:r>
                              <w:r w:rsidR="00C22879">
                                <w:rPr>
                                  <w:sz w:val="18"/>
                                  <w:szCs w:val="18"/>
                                </w:rPr>
                                <w:t>5</w:t>
                              </w:r>
                            </w:p>
                          </w:txbxContent>
                        </wps:txbx>
                        <wps:bodyPr rot="0" vert="horz" wrap="square" lIns="54000" tIns="82800" rIns="91440" bIns="45720" anchor="ctr" anchorCtr="0" upright="1">
                          <a:noAutofit/>
                        </wps:bodyPr>
                      </wps:wsp>
                    </wpg:wgp>
                  </a:graphicData>
                </a:graphic>
              </wp:anchor>
            </w:drawing>
          </mc:Choice>
          <mc:Fallback>
            <w:pict>
              <v:group w14:anchorId="51291CA8" id="_x0000_s1055" style="position:absolute;left:0;text-align:left;margin-left:0;margin-top:15.3pt;width:113.65pt;height:19.8pt;z-index:-25165816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">
                <v:shape id="Freeform 58" o:spid="_x0000_s105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" path="m,l1815,e" filled="f" strokecolor="#72ab6a" strokeweight=".5pt">
                  <v:path arrowok="t" o:connecttype="custom" o:connectlocs="0,0;1073495,0" o:connectangles="0,0"/>
                </v:shape>
                <v:shape id="Freeform 66" o:spid="_x0000_s105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BC41FA3" w14:textId="522439B2" w:rsidR="00FA7DC4" w:rsidRPr="00E90B8A" w:rsidRDefault="00FA7DC4" w:rsidP="00FA7DC4">
                        <w:pPr>
                          <w:pStyle w:val="BoxTitle"/>
                          <w:spacing w:before="0" w:beforeAutospacing="0"/>
                          <w:rPr>
                            <w:sz w:val="18"/>
                            <w:szCs w:val="18"/>
                          </w:rPr>
                        </w:pPr>
                        <w:r w:rsidRPr="00E90B8A">
                          <w:rPr>
                            <w:sz w:val="18"/>
                            <w:szCs w:val="18"/>
                          </w:rPr>
                          <w:t>Q</w:t>
                        </w:r>
                        <w:r w:rsidR="00C22879">
                          <w:rPr>
                            <w:sz w:val="18"/>
                            <w:szCs w:val="18"/>
                          </w:rPr>
                          <w:t>5</w:t>
                        </w:r>
                      </w:p>
                    </w:txbxContent>
                  </v:textbox>
                </v:shape>
              </v:group>
            </w:pict>
          </mc:Fallback>
        </mc:AlternateContent>
      </w:r>
    </w:p>
    <w:p w14:paraId="20DAADE4" w14:textId="77777777" w:rsidR="00511164" w:rsidRDefault="00511164" w:rsidP="00CA09E6">
      <w:pPr>
        <w:pStyle w:val="QuestionBox"/>
        <w:rPr>
          <w:lang w:val="en-US"/>
        </w:rPr>
      </w:pPr>
      <w:r w:rsidRPr="00511164">
        <w:rPr>
          <w:lang w:val="en-US"/>
        </w:rPr>
        <w:t xml:space="preserve">Are there other tikanga that are relevant to this review? </w:t>
      </w:r>
    </w:p>
    <w:p w14:paraId="4E368460" w14:textId="77777777" w:rsidR="00C04F1C" w:rsidRPr="00511164" w:rsidRDefault="00C04F1C" w:rsidP="00CA09E6">
      <w:pPr>
        <w:pStyle w:val="QuestionBox"/>
      </w:pPr>
    </w:p>
    <w:p w14:paraId="77487FE9" w14:textId="77777777" w:rsidR="00DB0F9A" w:rsidRPr="008642D1" w:rsidRDefault="00DB0F9A" w:rsidP="00187E7E">
      <w:pPr>
        <w:pStyle w:val="BodyText"/>
        <w:numPr>
          <w:ilvl w:val="0"/>
          <w:numId w:val="0"/>
        </w:numPr>
        <w:ind w:left="709" w:hanging="709"/>
      </w:pPr>
    </w:p>
    <w:p w14:paraId="1A150DB1" w14:textId="34BAFE2B" w:rsidR="00187E7E" w:rsidRPr="008642D1" w:rsidRDefault="00187E7E" w:rsidP="00187E7E">
      <w:pPr>
        <w:pStyle w:val="BodyText"/>
        <w:numPr>
          <w:ilvl w:val="0"/>
          <w:numId w:val="0"/>
        </w:numPr>
        <w:ind w:left="709" w:hanging="709"/>
      </w:pPr>
      <w:r w:rsidRPr="008642D1">
        <w:rPr>
          <w:rFonts w:eastAsiaTheme="minorHAnsi"/>
          <w:noProof/>
          <w:lang w:eastAsia="en-NZ"/>
        </w:rPr>
        <mc:AlternateContent>
          <mc:Choice Requires="wpg">
            <w:drawing>
              <wp:anchor distT="0" distB="0" distL="114300" distR="114300" simplePos="0" relativeHeight="251658268" behindDoc="1" locked="0" layoutInCell="1" allowOverlap="1" wp14:anchorId="04B57A50" wp14:editId="5CEF513F">
                <wp:simplePos x="0" y="0"/>
                <wp:positionH relativeFrom="page">
                  <wp:posOffset>1080135</wp:posOffset>
                </wp:positionH>
                <wp:positionV relativeFrom="paragraph">
                  <wp:posOffset>61951</wp:posOffset>
                </wp:positionV>
                <wp:extent cx="1800000" cy="1270"/>
                <wp:effectExtent l="0" t="19050" r="10160" b="17780"/>
                <wp:wrapNone/>
                <wp:docPr id="1366448083" name="Group 1366448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134" y="-469"/>
                          <a:chExt cx="2098" cy="2"/>
                        </a:xfrm>
                      </wpg:grpSpPr>
                      <wps:wsp>
                        <wps:cNvPr id="1861902377"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69675" id="Group 1366448083" o:spid="_x0000_s1026" style="position:absolute;margin-left:85.05pt;margin-top:4.9pt;width:141.75pt;height:.1pt;z-index:-251658212;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" path="m,l2097,e" filled="f" strokecolor="#72ab6a" strokeweight="3pt">
                  <v:path arrowok="t" o:connecttype="custom" o:connectlocs="0,0;2097,0" o:connectangles="0,0"/>
                </v:shape>
                <w10:wrap anchorx="page"/>
              </v:group>
            </w:pict>
          </mc:Fallback>
        </mc:AlternateContent>
      </w:r>
    </w:p>
    <w:p w14:paraId="35DB4644" w14:textId="77777777" w:rsidR="00EB70BA" w:rsidRPr="008642D1" w:rsidRDefault="00EB70BA" w:rsidP="00C756A2">
      <w:pPr>
        <w:pStyle w:val="BodyText"/>
        <w:numPr>
          <w:ilvl w:val="0"/>
          <w:numId w:val="0"/>
        </w:numPr>
        <w:sectPr w:rsidR="00EB70BA" w:rsidRPr="008642D1" w:rsidSect="006B03F1">
          <w:headerReference w:type="default" r:id="rId40"/>
          <w:footerReference w:type="even" r:id="rId41"/>
          <w:footnotePr>
            <w:numRestart w:val="eachSect"/>
          </w:footnotePr>
          <w:pgSz w:w="11920" w:h="16840"/>
          <w:pgMar w:top="1134" w:right="1134" w:bottom="1134" w:left="1701" w:header="499" w:footer="46" w:gutter="0"/>
          <w:cols w:space="720"/>
          <w:docGrid w:linePitch="272"/>
        </w:sectPr>
      </w:pPr>
    </w:p>
    <w:p w14:paraId="38235F11" w14:textId="77FCD92C" w:rsidR="00EB70BA" w:rsidRPr="008642D1" w:rsidRDefault="00EB70BA" w:rsidP="00EB70BA">
      <w:pPr>
        <w:pStyle w:val="HEADING2topchapter-notinTOC"/>
      </w:pPr>
      <w:r w:rsidRPr="008642D1">
        <w:lastRenderedPageBreak/>
        <w:t xml:space="preserve">CHAPTER </w:t>
      </w:r>
      <w:r w:rsidR="006C6463" w:rsidRPr="008642D1">
        <w:t>6</w:t>
      </w:r>
    </w:p>
    <w:p w14:paraId="4002EA24" w14:textId="77777777" w:rsidR="00EB70BA" w:rsidRPr="008642D1" w:rsidRDefault="00EB70BA" w:rsidP="00EB70BA">
      <w:pPr>
        <w:spacing w:line="200" w:lineRule="exact"/>
        <w:rPr>
          <w:szCs w:val="20"/>
        </w:rPr>
      </w:pPr>
      <w:r w:rsidRPr="008642D1">
        <w:rPr>
          <w:noProof/>
          <w:lang w:eastAsia="en-NZ"/>
        </w:rPr>
        <mc:AlternateContent>
          <mc:Choice Requires="wpg">
            <w:drawing>
              <wp:anchor distT="0" distB="0" distL="114300" distR="114300" simplePos="0" relativeHeight="251658259" behindDoc="1" locked="0" layoutInCell="1" allowOverlap="1" wp14:anchorId="35917884" wp14:editId="28C94303">
                <wp:simplePos x="0" y="0"/>
                <wp:positionH relativeFrom="page">
                  <wp:posOffset>1076325</wp:posOffset>
                </wp:positionH>
                <wp:positionV relativeFrom="paragraph">
                  <wp:posOffset>6350</wp:posOffset>
                </wp:positionV>
                <wp:extent cx="1332230" cy="1270"/>
                <wp:effectExtent l="0" t="19050" r="1270" b="17780"/>
                <wp:wrapNone/>
                <wp:docPr id="751296732" name="Group 751296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032093001"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822DA" id="Group 751296732" o:spid="_x0000_s1026" style="position:absolute;margin-left:84.75pt;margin-top:.5pt;width:104.9pt;height:.1pt;z-index:-251658221;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IcX/AIAAOA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&#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4ADD2E2F" w14:textId="70F64AF5" w:rsidR="00EB70BA" w:rsidRPr="008642D1" w:rsidRDefault="007A2996" w:rsidP="00DF306B">
      <w:pPr>
        <w:pStyle w:val="Heading1nonum"/>
        <w:numPr>
          <w:ilvl w:val="0"/>
          <w:numId w:val="24"/>
        </w:numPr>
        <w:spacing w:before="600" w:after="240"/>
        <w:rPr>
          <w:rFonts w:eastAsia="Metropolis Black"/>
        </w:rPr>
      </w:pPr>
      <w:bookmarkStart w:id="78" w:name="_Toc170302144"/>
      <w:r w:rsidRPr="008642D1">
        <w:rPr>
          <w:rFonts w:eastAsia="Metropolis Black"/>
        </w:rPr>
        <w:t>Should section 21 be amended?</w:t>
      </w:r>
      <w:bookmarkEnd w:id="78"/>
    </w:p>
    <w:p w14:paraId="2241A960" w14:textId="77777777" w:rsidR="00EB70BA" w:rsidRPr="008642D1" w:rsidRDefault="00EB70BA" w:rsidP="00EB70BA">
      <w:pPr>
        <w:spacing w:line="200" w:lineRule="exact"/>
        <w:rPr>
          <w:szCs w:val="20"/>
        </w:rPr>
      </w:pPr>
      <w:r w:rsidRPr="008642D1">
        <w:rPr>
          <w:noProof/>
          <w:lang w:eastAsia="en-NZ"/>
        </w:rPr>
        <mc:AlternateContent>
          <mc:Choice Requires="wpg">
            <w:drawing>
              <wp:anchor distT="0" distB="0" distL="114300" distR="114300" simplePos="0" relativeHeight="251658258" behindDoc="1" locked="0" layoutInCell="1" allowOverlap="1" wp14:anchorId="4C1C8283" wp14:editId="7CC7ACCF">
                <wp:simplePos x="0" y="0"/>
                <wp:positionH relativeFrom="page">
                  <wp:posOffset>1087427</wp:posOffset>
                </wp:positionH>
                <wp:positionV relativeFrom="paragraph">
                  <wp:posOffset>71755</wp:posOffset>
                </wp:positionV>
                <wp:extent cx="1332230" cy="1270"/>
                <wp:effectExtent l="0" t="19050" r="1270" b="17780"/>
                <wp:wrapNone/>
                <wp:docPr id="2042881706" name="Group 204288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36310280"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A69C79" id="Group 2042881706" o:spid="_x0000_s1026" style="position:absolute;margin-left:85.6pt;margin-top:5.65pt;width:104.9pt;height:.1pt;z-index:-251658222;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bY1/AIAAN8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" path="m,l2098,e" filled="f" strokecolor="#73ab6e" strokeweight="3pt">
                  <v:path arrowok="t" o:connecttype="custom" o:connectlocs="0,0;2098,0" o:connectangles="0,0"/>
                </v:shape>
                <w10:wrap anchorx="page"/>
              </v:group>
            </w:pict>
          </mc:Fallback>
        </mc:AlternateContent>
      </w:r>
    </w:p>
    <w:p w14:paraId="4C0B9BB8" w14:textId="77777777" w:rsidR="00EB70BA" w:rsidRPr="008642D1" w:rsidRDefault="00EB70BA" w:rsidP="00EB70BA"/>
    <w:p w14:paraId="65E2894D" w14:textId="77777777" w:rsidR="00EB70BA" w:rsidRPr="008642D1" w:rsidRDefault="00EB70BA" w:rsidP="002E1F2F">
      <w:pPr>
        <w:pStyle w:val="Heading2"/>
      </w:pPr>
      <w:bookmarkStart w:id="79" w:name="_Toc158742515"/>
      <w:bookmarkStart w:id="80" w:name="_Toc159247991"/>
      <w:bookmarkStart w:id="81" w:name="_Toc170302145"/>
      <w:r w:rsidRPr="008642D1">
        <w:t>Introduction</w:t>
      </w:r>
      <w:bookmarkEnd w:id="79"/>
      <w:bookmarkEnd w:id="80"/>
      <w:bookmarkEnd w:id="81"/>
    </w:p>
    <w:p w14:paraId="7853FA6C" w14:textId="3E5B3FFC" w:rsidR="00FB34B7" w:rsidRPr="008642D1" w:rsidRDefault="00FB34B7" w:rsidP="00FB34B7">
      <w:pPr>
        <w:pStyle w:val="BodyText"/>
      </w:pPr>
      <w:r w:rsidRPr="008642D1">
        <w:t>In Chapter 1</w:t>
      </w:r>
      <w:r w:rsidR="00572F5C">
        <w:t>,</w:t>
      </w:r>
      <w:r w:rsidRPr="008642D1">
        <w:t xml:space="preserve"> we explained that section 21 of the Human Rights Act 1993 sets out 13 prohibited grounds of discrimination. </w:t>
      </w:r>
      <w:r w:rsidRPr="008642D1">
        <w:rPr>
          <w:rFonts w:eastAsiaTheme="minorEastAsia" w:cstheme="minorBidi"/>
          <w:color w:val="000000"/>
          <w:shd w:val="clear" w:color="auto" w:fill="FFFFFF"/>
          <w:lang w:eastAsia="en-US"/>
        </w:rPr>
        <w:t>T</w:t>
      </w:r>
      <w:r w:rsidRPr="008642D1">
        <w:t xml:space="preserve">he current grounds are: sex; marital status; religious belief; ethical belief (which is defined as the lack of a religious belief); colour; race; ethnic or national origins; disability; age (but only if you are 16 or over); political opinion; employment status; family status; and sexual orientation. You </w:t>
      </w:r>
      <w:r w:rsidRPr="008642D1">
        <w:rPr>
          <w:rFonts w:eastAsiaTheme="minorEastAsia" w:cstheme="minorBidi"/>
          <w:color w:val="000000"/>
          <w:shd w:val="clear" w:color="auto" w:fill="FFFFFF"/>
          <w:lang w:eastAsia="en-US"/>
        </w:rPr>
        <w:t>cannot complain about discrimination under the Human Rights Act unless the difference in treatment was linked to one or more of these prohibited grounds.</w:t>
      </w:r>
    </w:p>
    <w:p w14:paraId="48BB021C" w14:textId="17B03D65" w:rsidR="00FB34B7" w:rsidRPr="008642D1" w:rsidRDefault="00FB34B7" w:rsidP="00FB34B7">
      <w:pPr>
        <w:pStyle w:val="BodyText"/>
        <w:tabs>
          <w:tab w:val="num" w:pos="1425"/>
        </w:tabs>
      </w:pPr>
      <w:r w:rsidRPr="008642D1">
        <w:t>Section 21 does not refer expressly to people who are transgender or non-binary or who have an innate variation of sex characteristics</w:t>
      </w:r>
      <w:r w:rsidR="00C32D61">
        <w:t xml:space="preserve"> and</w:t>
      </w:r>
      <w:r w:rsidRPr="008642D1">
        <w:t xml:space="preserve"> does </w:t>
      </w:r>
      <w:r w:rsidR="00C32D61">
        <w:t>not</w:t>
      </w:r>
      <w:r w:rsidRPr="008642D1">
        <w:t xml:space="preserve"> use related terms such as gender, gender identity, gender expression or intersex status. </w:t>
      </w:r>
    </w:p>
    <w:p w14:paraId="494CD632" w14:textId="15596060" w:rsidR="00FB34B7" w:rsidRPr="008642D1" w:rsidRDefault="00FB34B7" w:rsidP="00FB34B7">
      <w:pPr>
        <w:pStyle w:val="BodyText"/>
        <w:tabs>
          <w:tab w:val="num" w:pos="1425"/>
        </w:tabs>
      </w:pPr>
      <w:r w:rsidRPr="008642D1">
        <w:t>In this chapter</w:t>
      </w:r>
      <w:r w:rsidR="00F73235">
        <w:t>,</w:t>
      </w:r>
      <w:r w:rsidRPr="008642D1">
        <w:t xml:space="preserve"> we examine whether it is necessary and desirable to amend the prohibited grounds of discrimination in section 21. We address two questions:</w:t>
      </w:r>
    </w:p>
    <w:p w14:paraId="23C216D4" w14:textId="1642188F" w:rsidR="00FB34B7" w:rsidRPr="008642D1" w:rsidRDefault="00FB34B7" w:rsidP="00DF306B">
      <w:pPr>
        <w:pStyle w:val="BodyTextnonum"/>
        <w:numPr>
          <w:ilvl w:val="3"/>
          <w:numId w:val="37"/>
        </w:numPr>
        <w:tabs>
          <w:tab w:val="num" w:pos="1425"/>
        </w:tabs>
      </w:pPr>
      <w:r w:rsidRPr="008642D1">
        <w:rPr>
          <w:rFonts w:eastAsia="Calibri" w:cs="Arial"/>
        </w:rPr>
        <w:t xml:space="preserve">Should the law protect people from discrimination that is linked to the fact (or the discriminator’s belief) they are transgender or non-binary or </w:t>
      </w:r>
      <w:r w:rsidR="00865DBF" w:rsidRPr="00B00869">
        <w:rPr>
          <w:rFonts w:eastAsia="Calibri" w:cs="Arial"/>
        </w:rPr>
        <w:t>they</w:t>
      </w:r>
      <w:r w:rsidR="00865DBF">
        <w:rPr>
          <w:rFonts w:eastAsia="Calibri" w:cs="Arial"/>
          <w:b/>
          <w:bCs/>
        </w:rPr>
        <w:t xml:space="preserve"> </w:t>
      </w:r>
      <w:r w:rsidRPr="008642D1">
        <w:rPr>
          <w:rFonts w:eastAsia="Calibri" w:cs="Arial"/>
        </w:rPr>
        <w:t>have an innate variation of sex characteristics?</w:t>
      </w:r>
    </w:p>
    <w:p w14:paraId="67F2949C" w14:textId="77777777" w:rsidR="00FB34B7" w:rsidRPr="008642D1" w:rsidRDefault="00FB34B7" w:rsidP="00DF306B">
      <w:pPr>
        <w:pStyle w:val="BodyTextnonum"/>
        <w:numPr>
          <w:ilvl w:val="3"/>
          <w:numId w:val="23"/>
        </w:numPr>
        <w:tabs>
          <w:tab w:val="num" w:pos="1425"/>
        </w:tabs>
      </w:pPr>
      <w:r w:rsidRPr="008642D1">
        <w:rPr>
          <w:rFonts w:eastAsia="Calibri" w:cs="Arial"/>
        </w:rPr>
        <w:t xml:space="preserve">If so, is an amendment to section 21 necessary and desirable to ensure adequate protection? </w:t>
      </w:r>
      <w:r w:rsidRPr="008642D1">
        <w:rPr>
          <w:rFonts w:eastAsia="Calibri"/>
        </w:rPr>
        <w:t>This second question arises because, as we explain further below, it is arguable that discrimination based on gender identity or sex characteristics is already covered by the prohibited grounds of sex or disability.</w:t>
      </w:r>
    </w:p>
    <w:p w14:paraId="603C1D74" w14:textId="77777777" w:rsidR="00FB34B7" w:rsidRPr="008642D1" w:rsidRDefault="00FB34B7" w:rsidP="00FB34B7">
      <w:pPr>
        <w:pStyle w:val="BodyText"/>
        <w:tabs>
          <w:tab w:val="num" w:pos="709"/>
        </w:tabs>
      </w:pPr>
      <w:r w:rsidRPr="008642D1">
        <w:t>We reach the preliminary conclusion in this chapter that an amendment to section 21 is necessary and desirable, and we seek feedback on that preliminary conclusion. The further question of how, precisely, to amend section 21 is addressed in Chapter 7.</w:t>
      </w:r>
    </w:p>
    <w:p w14:paraId="7D42E3D9" w14:textId="679315AA" w:rsidR="00FB34B7" w:rsidRPr="008642D1" w:rsidRDefault="00FB34B7" w:rsidP="00FB34B7">
      <w:pPr>
        <w:pStyle w:val="BodyText"/>
      </w:pPr>
      <w:r w:rsidRPr="008642D1">
        <w:t xml:space="preserve">Whatever the precise wording, an amendment to section 21 will not mean that all differences in treatment based on a person’s gender identity or sex characteristics are unlawful. As we explained in Chapter 1, the Human Rights Act does not prohibit all differences in treatment based on the prohibited grounds. For example, Part 2 of the Human Rights Act (which regulates private </w:t>
      </w:r>
      <w:r w:rsidR="0070566C">
        <w:t>individuals</w:t>
      </w:r>
      <w:r w:rsidR="0070566C" w:rsidRPr="008642D1">
        <w:t xml:space="preserve"> </w:t>
      </w:r>
      <w:r w:rsidRPr="008642D1">
        <w:t>and organisations) only applies when people engage in certain public-facing activities and, even then, there are many exceptions. In later chapters, we seek feedback on whether any amendments to Part 2 are desirable to ensure the Act appropriately balances relevant rights and interests.</w:t>
      </w:r>
    </w:p>
    <w:p w14:paraId="0A2BED94" w14:textId="77777777" w:rsidR="00FB34B7" w:rsidRPr="008642D1" w:rsidRDefault="00FB34B7" w:rsidP="00FB34B7">
      <w:pPr>
        <w:pStyle w:val="Heading2"/>
        <w:rPr>
          <w:rFonts w:eastAsia="Calibri"/>
        </w:rPr>
      </w:pPr>
      <w:bookmarkStart w:id="82" w:name="_Toc170302146"/>
      <w:r w:rsidRPr="008642D1">
        <w:rPr>
          <w:rFonts w:eastAsia="Calibri"/>
        </w:rPr>
        <w:lastRenderedPageBreak/>
        <w:t>Should New Zealand law protect people from discrimination linked to being transgender or non-binary or having an innate variation of sex characteristics?</w:t>
      </w:r>
      <w:bookmarkEnd w:id="82"/>
      <w:r w:rsidRPr="008642D1">
        <w:rPr>
          <w:rFonts w:eastAsia="Calibri"/>
        </w:rPr>
        <w:t xml:space="preserve"> </w:t>
      </w:r>
    </w:p>
    <w:p w14:paraId="5245F00D" w14:textId="7E081970" w:rsidR="00FB34B7" w:rsidRPr="008642D1" w:rsidRDefault="00FB34B7" w:rsidP="00FB34B7">
      <w:pPr>
        <w:pStyle w:val="BodyText"/>
      </w:pPr>
      <w:r w:rsidRPr="008642D1">
        <w:t xml:space="preserve">A key question for this review is whether New Zealand law should protect people from discrimination based on the fact (or the discriminator’s belief) they are transgender or non-binary or </w:t>
      </w:r>
      <w:r w:rsidR="00865DBF" w:rsidRPr="005F72A9">
        <w:rPr>
          <w:rFonts w:eastAsia="Calibri" w:cs="Arial"/>
        </w:rPr>
        <w:t>they</w:t>
      </w:r>
      <w:r w:rsidR="00865DBF">
        <w:rPr>
          <w:rFonts w:eastAsia="Calibri" w:cs="Arial"/>
          <w:b/>
          <w:bCs/>
        </w:rPr>
        <w:t xml:space="preserve"> </w:t>
      </w:r>
      <w:r w:rsidRPr="008642D1">
        <w:t>have an innate variation of sex characteristics. To help answer that question, we have identified the rationales that have been used on past occasions (both in</w:t>
      </w:r>
      <w:r w:rsidR="00E731DE" w:rsidRPr="00E731DE">
        <w:t xml:space="preserve"> </w:t>
      </w:r>
      <w:r w:rsidR="00E731DE">
        <w:t>Aotearoa</w:t>
      </w:r>
      <w:r w:rsidRPr="008642D1">
        <w:t xml:space="preserve"> New Zealand and overseas) to justify bringing new grounds within the protection of anti-discrimination laws. We focused our research on:</w:t>
      </w:r>
    </w:p>
    <w:p w14:paraId="6016FFC8" w14:textId="499CDBD9" w:rsidR="00FB34B7" w:rsidRPr="008642D1" w:rsidRDefault="00FB34B7" w:rsidP="00DF306B">
      <w:pPr>
        <w:pStyle w:val="BodyTextnonum"/>
        <w:numPr>
          <w:ilvl w:val="3"/>
          <w:numId w:val="36"/>
        </w:numPr>
      </w:pPr>
      <w:r w:rsidRPr="008642D1">
        <w:t>overseas case law from countries where the courts have a role in identifying new prohibited grounds of discrimination</w:t>
      </w:r>
      <w:r w:rsidRPr="008642D1" w:rsidDel="00EF5ADB">
        <w:t>,</w:t>
      </w:r>
      <w:r w:rsidRPr="008642D1">
        <w:t xml:space="preserve"> and related academic commentary;  </w:t>
      </w:r>
    </w:p>
    <w:p w14:paraId="6D5F8C6C" w14:textId="77777777" w:rsidR="00FB34B7" w:rsidRPr="008642D1" w:rsidRDefault="00FB34B7" w:rsidP="00DF306B">
      <w:pPr>
        <w:pStyle w:val="BodyTextnonum"/>
        <w:numPr>
          <w:ilvl w:val="3"/>
          <w:numId w:val="36"/>
        </w:numPr>
      </w:pPr>
      <w:r w:rsidRPr="008642D1">
        <w:t>international treaties, interpretive statements from the bodies that monitor them and related academic commentary; and</w:t>
      </w:r>
    </w:p>
    <w:p w14:paraId="059AF33D" w14:textId="77777777" w:rsidR="00FB34B7" w:rsidRPr="008642D1" w:rsidRDefault="00FB34B7" w:rsidP="00DF306B">
      <w:pPr>
        <w:pStyle w:val="BodyTextnonum"/>
        <w:numPr>
          <w:ilvl w:val="3"/>
          <w:numId w:val="36"/>
        </w:numPr>
      </w:pPr>
      <w:r w:rsidRPr="008642D1">
        <w:t>the parliamentary debates on the Human Rights Act and earlier anti-discrimination statutes from the 1970s (although we only found occasional discussion in these debates of principles that might underlie an extension of protection to new grounds).</w:t>
      </w:r>
    </w:p>
    <w:p w14:paraId="24722322" w14:textId="77777777" w:rsidR="00FB34B7" w:rsidRPr="008642D1" w:rsidRDefault="00FB34B7" w:rsidP="00FB34B7">
      <w:pPr>
        <w:pStyle w:val="BodyText"/>
        <w:tabs>
          <w:tab w:val="clear" w:pos="709"/>
        </w:tabs>
      </w:pPr>
      <w:r w:rsidRPr="008642D1">
        <w:t xml:space="preserve">From this research, we have identified six rationales that have been relied on at various times to extend protection (often in combination with each other). As well as these, we also need to consider the implications of te Tiriti o Waitangi | Treaty of Waitangi (the Treaty) for this reform (and vice versa). As we explained in Chapter 4, consideration of Treaty obligations has been an expectation of good policy design in Aotearoa New Zealand for nearly four decades. </w:t>
      </w:r>
    </w:p>
    <w:p w14:paraId="49BA9D20" w14:textId="77777777" w:rsidR="00FB34B7" w:rsidRPr="008642D1" w:rsidRDefault="00FB34B7" w:rsidP="00FB34B7">
      <w:pPr>
        <w:pStyle w:val="BodyText"/>
        <w:tabs>
          <w:tab w:val="clear" w:pos="709"/>
        </w:tabs>
      </w:pPr>
      <w:bookmarkStart w:id="83" w:name="_Hlk166132819"/>
      <w:r w:rsidRPr="008642D1">
        <w:t>No single rationale explains all the protected characteristics in section 21 or provides a unified justification for extending protection to new grounds. Therefore, our approach in this chapter is to assess the extent to which each of the rationales supports the conclusion that people who are transgender or non-binary or who have an innate variation of sex characteristics should be protected by anti-discrimination laws.</w:t>
      </w:r>
    </w:p>
    <w:bookmarkEnd w:id="83"/>
    <w:p w14:paraId="172AC34C" w14:textId="77777777" w:rsidR="00FB34B7" w:rsidRPr="008642D1" w:rsidRDefault="00FB34B7" w:rsidP="00FB34B7">
      <w:pPr>
        <w:pStyle w:val="Heading3"/>
      </w:pPr>
      <w:r w:rsidRPr="008642D1">
        <w:t>History of disadvantage</w:t>
      </w:r>
    </w:p>
    <w:p w14:paraId="5E92F8F3" w14:textId="77777777" w:rsidR="00FB34B7" w:rsidRPr="008642D1" w:rsidRDefault="00FB34B7" w:rsidP="00FB34B7">
      <w:pPr>
        <w:pStyle w:val="BodyText"/>
      </w:pPr>
      <w:r w:rsidRPr="008642D1">
        <w:t>A common explanation for extending the protection of anti-discrimination laws to a new group is that people in that group have experienced a history of discrimination, disadvantage, prejudice, stigma, vulnerability or stereotyping.</w:t>
      </w:r>
      <w:r w:rsidRPr="008642D1">
        <w:rPr>
          <w:rStyle w:val="FootnoteReference"/>
        </w:rPr>
        <w:footnoteReference w:id="308"/>
      </w:r>
      <w:r w:rsidRPr="008642D1">
        <w:t xml:space="preserve"> This rationale is relied on frequently by overseas judges and international treaty bodies, and we also found hints of it in the New Zealand parliamentary debates.</w:t>
      </w:r>
      <w:r w:rsidRPr="008642D1">
        <w:rPr>
          <w:rStyle w:val="FootnoteReference"/>
        </w:rPr>
        <w:footnoteReference w:id="309"/>
      </w:r>
      <w:r w:rsidRPr="008642D1">
        <w:t xml:space="preserve"> Many, if not all, of the characteristics already listed in section 21 have been bases in the past for prejudice or discrimination.</w:t>
      </w:r>
    </w:p>
    <w:p w14:paraId="476560E9" w14:textId="7FFA2E25" w:rsidR="00FB34B7" w:rsidRPr="008642D1" w:rsidRDefault="00FB34B7" w:rsidP="00FB34B7">
      <w:pPr>
        <w:pStyle w:val="BodyText"/>
      </w:pPr>
      <w:r w:rsidRPr="008642D1">
        <w:t xml:space="preserve">This rationale clearly supports extending protection from discrimination to people who are transgender or non-binary or who have an innate variation of sex characteristics. As </w:t>
      </w:r>
      <w:r w:rsidRPr="008642D1">
        <w:lastRenderedPageBreak/>
        <w:t>we explained in Chapter 3, people with these characteristics have been subject to long histories of violence, stigmatisation and marginalisation. There are considerable contemporary New Zealand data showing people who are transgender or non-binary continue to experience high levels of discrimination in many different areas of life. Research suggests they also have worse wellbeing indicators than others in the population</w:t>
      </w:r>
      <w:r w:rsidR="00164C01">
        <w:t>,</w:t>
      </w:r>
      <w:r w:rsidRPr="008642D1">
        <w:t xml:space="preserve"> including high levels of mental distress and lower household income.</w:t>
      </w:r>
    </w:p>
    <w:p w14:paraId="1743B44C" w14:textId="77777777" w:rsidR="00FB34B7" w:rsidRPr="008642D1" w:rsidRDefault="00FB34B7" w:rsidP="00FB34B7">
      <w:pPr>
        <w:pStyle w:val="BodyText"/>
      </w:pPr>
      <w:r w:rsidRPr="008642D1">
        <w:t xml:space="preserve">While there are less New Zealand data available on the experiences of people with innate variations of sex characteristics, the information available suggests they too experience discrimination in many areas of life. </w:t>
      </w:r>
    </w:p>
    <w:p w14:paraId="1B687F6F" w14:textId="77777777" w:rsidR="00FB34B7" w:rsidRPr="008642D1" w:rsidRDefault="00FB34B7" w:rsidP="00FB34B7">
      <w:pPr>
        <w:pStyle w:val="Heading3"/>
      </w:pPr>
      <w:r w:rsidRPr="008642D1">
        <w:t>Characteristics that are immutable or can only be changed at unacceptable cost</w:t>
      </w:r>
    </w:p>
    <w:p w14:paraId="12ED852B" w14:textId="77777777" w:rsidR="00FB34B7" w:rsidRPr="008642D1" w:rsidRDefault="00FB34B7" w:rsidP="00FB34B7">
      <w:pPr>
        <w:pStyle w:val="BodyText"/>
      </w:pPr>
      <w:r w:rsidRPr="008642D1">
        <w:t xml:space="preserve">Although a history of stigmatisation or marginalisation provides a strong clue that the protection of anti-discrimination laws is warranted, it may not be enough on its own. For example, murderers or rapists might well experience stigmatisation but might not be thought to warrant the protection of anti-discrimination laws on this basis. </w:t>
      </w:r>
    </w:p>
    <w:p w14:paraId="3D1A6CCE" w14:textId="77777777" w:rsidR="00FB34B7" w:rsidRPr="008642D1" w:rsidRDefault="00FB34B7" w:rsidP="00FB34B7">
      <w:pPr>
        <w:pStyle w:val="BodyText"/>
      </w:pPr>
      <w:r w:rsidRPr="008642D1">
        <w:t>Overseas case law identifies a second explanation.</w:t>
      </w:r>
      <w:r w:rsidRPr="008642D1">
        <w:rPr>
          <w:rStyle w:val="FootnoteReference"/>
        </w:rPr>
        <w:footnoteReference w:id="310"/>
      </w:r>
      <w:r w:rsidRPr="008642D1">
        <w:t xml:space="preserve"> Several courts have suggested the protection of anti-discrimination laws should be extended to characteristics that are either:</w:t>
      </w:r>
      <w:r w:rsidRPr="008642D1">
        <w:rPr>
          <w:rStyle w:val="FootnoteReference"/>
        </w:rPr>
        <w:footnoteReference w:id="311"/>
      </w:r>
    </w:p>
    <w:p w14:paraId="39CCFECA" w14:textId="0501E3F6" w:rsidR="00FB34B7" w:rsidRPr="008642D1" w:rsidRDefault="00FB34B7" w:rsidP="00845EC8">
      <w:pPr>
        <w:pStyle w:val="BodyText2"/>
        <w:numPr>
          <w:ilvl w:val="3"/>
          <w:numId w:val="72"/>
        </w:numPr>
      </w:pPr>
      <w:r w:rsidRPr="008642D1">
        <w:t xml:space="preserve">immutable (that is, the individual has no power to change them); or </w:t>
      </w:r>
    </w:p>
    <w:p w14:paraId="08577110" w14:textId="77777777" w:rsidR="00FB34B7" w:rsidRPr="008642D1" w:rsidRDefault="00FB34B7" w:rsidP="00DF306B">
      <w:pPr>
        <w:pStyle w:val="BodyText2"/>
        <w:numPr>
          <w:ilvl w:val="3"/>
          <w:numId w:val="34"/>
        </w:numPr>
      </w:pPr>
      <w:r w:rsidRPr="008642D1">
        <w:t xml:space="preserve">so closely tied to a person’s sense of identity that they should not be expected to hide or change the characteristic to avoid stigmatisation or discrimination. </w:t>
      </w:r>
    </w:p>
    <w:p w14:paraId="1D9938F3" w14:textId="73777CCB" w:rsidR="00FB34B7" w:rsidRPr="008642D1" w:rsidRDefault="00FB34B7" w:rsidP="00FB34B7">
      <w:pPr>
        <w:pStyle w:val="BodyText"/>
        <w:tabs>
          <w:tab w:val="clear" w:pos="709"/>
        </w:tabs>
      </w:pPr>
      <w:r w:rsidRPr="008642D1">
        <w:t>The concept of immutability (in the first limb) can generate arid and unhelpful debate about which traits or characteristics truly cannot be altered. For that reason, we prefer to focus on the second limb. We acknowledge, however, that there is case law accepting that gender identity is immutable</w:t>
      </w:r>
      <w:r w:rsidRPr="008642D1" w:rsidDel="003A5BBD">
        <w:t>.</w:t>
      </w:r>
      <w:r w:rsidRPr="008642D1">
        <w:rPr>
          <w:rStyle w:val="FootnoteReference"/>
        </w:rPr>
        <w:footnoteReference w:id="312"/>
      </w:r>
      <w:r w:rsidRPr="008642D1">
        <w:t xml:space="preserve"> </w:t>
      </w:r>
    </w:p>
    <w:p w14:paraId="1A2A765B" w14:textId="77777777" w:rsidR="00FB34B7" w:rsidRPr="008642D1" w:rsidRDefault="00FB34B7" w:rsidP="00FB34B7">
      <w:pPr>
        <w:pStyle w:val="BodyText"/>
        <w:tabs>
          <w:tab w:val="clear" w:pos="709"/>
        </w:tabs>
      </w:pPr>
      <w:r w:rsidRPr="008642D1">
        <w:t>The second limb is grounded in the concern for autonomy that we identified in Chapter 4 as a core value underlying the Human Rights Act.</w:t>
      </w:r>
      <w:r w:rsidRPr="008642D1">
        <w:rPr>
          <w:rStyle w:val="FootnoteReference"/>
        </w:rPr>
        <w:footnoteReference w:id="313"/>
      </w:r>
      <w:r w:rsidRPr="008642D1">
        <w:t xml:space="preserve"> By prohibiting discrimination based on characteristics that are closely tied to a person’s sense of identity, the law seeks to preserve a zone of freedom within which individuals should not be penalised for exercising deeply personal choices.</w:t>
      </w:r>
    </w:p>
    <w:p w14:paraId="6A0B3DC0" w14:textId="5D692582" w:rsidR="00FB34B7" w:rsidRPr="008642D1" w:rsidRDefault="00FB34B7" w:rsidP="00FB34B7">
      <w:pPr>
        <w:pStyle w:val="BodyText"/>
      </w:pPr>
      <w:r w:rsidRPr="008642D1">
        <w:t>We think it obvious that an individual’s personal experience of gender is so closely tied to their identity that they should not be expected to hide or change it to avoid discrimination. The Superior Court of Québec has reached the same conclusion</w:t>
      </w:r>
      <w:r w:rsidR="00867CDD">
        <w:t>,</w:t>
      </w:r>
      <w:r w:rsidRPr="008642D1">
        <w:t xml:space="preserve"> holding, for this reason, that gender identity is a prohibited ground under the Canadian Charter of Rights and Freedoms.</w:t>
      </w:r>
      <w:r w:rsidRPr="008642D1">
        <w:rPr>
          <w:rStyle w:val="FootnoteReference"/>
        </w:rPr>
        <w:footnoteReference w:id="314"/>
      </w:r>
      <w:r w:rsidRPr="008642D1">
        <w:t xml:space="preserve"> The link between gender identity and autonomy has also been </w:t>
      </w:r>
      <w:r w:rsidRPr="008642D1">
        <w:lastRenderedPageBreak/>
        <w:t xml:space="preserve">relied on by international bodies when exploring the human right to respect for </w:t>
      </w:r>
      <w:r w:rsidRPr="008642D1" w:rsidDel="00867CDD">
        <w:t>“</w:t>
      </w:r>
      <w:r w:rsidRPr="008642D1">
        <w:t>privacy</w:t>
      </w:r>
      <w:r w:rsidRPr="008642D1" w:rsidDel="00867CDD">
        <w:t>”</w:t>
      </w:r>
      <w:r w:rsidRPr="008642D1">
        <w:t xml:space="preserve"> or </w:t>
      </w:r>
      <w:r w:rsidRPr="008642D1" w:rsidDel="00867CDD">
        <w:t>“</w:t>
      </w:r>
      <w:r w:rsidRPr="008642D1">
        <w:t>private life</w:t>
      </w:r>
      <w:r w:rsidRPr="008642D1" w:rsidDel="00867CDD">
        <w:t>”</w:t>
      </w:r>
      <w:r w:rsidRPr="008642D1">
        <w:t>. For example, the European Court of Human Rights has described gender identity as “a most intimate part of an individual’s life”</w:t>
      </w:r>
      <w:r w:rsidRPr="008642D1">
        <w:rPr>
          <w:rStyle w:val="FootnoteReference"/>
        </w:rPr>
        <w:footnoteReference w:id="315"/>
      </w:r>
      <w:r w:rsidRPr="008642D1">
        <w:rPr>
          <w:rStyle w:val="FootnoteReference"/>
        </w:rPr>
        <w:t xml:space="preserve"> </w:t>
      </w:r>
      <w:r w:rsidRPr="008642D1">
        <w:t>and has said the freedom to define one’s own gender identity is “one of the most basic essentials of self-determination”.</w:t>
      </w:r>
      <w:r w:rsidRPr="008642D1">
        <w:rPr>
          <w:rStyle w:val="FootnoteReference"/>
        </w:rPr>
        <w:footnoteReference w:id="316"/>
      </w:r>
      <w:r w:rsidRPr="008642D1">
        <w:rPr>
          <w:rStyle w:val="FootnoteReference"/>
        </w:rPr>
        <w:t xml:space="preserve"> </w:t>
      </w:r>
    </w:p>
    <w:p w14:paraId="4C4CCD89" w14:textId="77777777" w:rsidR="00FB34B7" w:rsidRPr="008642D1" w:rsidRDefault="00FB34B7" w:rsidP="00FB34B7">
      <w:pPr>
        <w:pStyle w:val="BodyText"/>
      </w:pPr>
      <w:r w:rsidRPr="008642D1">
        <w:t>In our view, it is equally obvious individuals should not have to undergo intrusive medical interventions to change the sex characteristics with which they were born to avoid discrimination.</w:t>
      </w:r>
      <w:r w:rsidRPr="008642D1">
        <w:rPr>
          <w:rStyle w:val="FootnoteReference"/>
        </w:rPr>
        <w:footnoteReference w:id="317"/>
      </w:r>
      <w:r w:rsidRPr="008642D1">
        <w:t xml:space="preserve"> Apart from anything else, such an expectation would be inconsistent with the right to refuse to undergo medical treatment in section 11 of the New Zealand Bill of Rights Act 1990.</w:t>
      </w:r>
    </w:p>
    <w:p w14:paraId="3975D1FE" w14:textId="77777777" w:rsidR="00FB34B7" w:rsidRPr="008642D1" w:rsidRDefault="00FB34B7" w:rsidP="00FB34B7">
      <w:pPr>
        <w:pStyle w:val="Heading3"/>
      </w:pPr>
      <w:r w:rsidRPr="008642D1">
        <w:t>Harms to human dignity</w:t>
      </w:r>
    </w:p>
    <w:p w14:paraId="7805D337" w14:textId="77777777" w:rsidR="00FB34B7" w:rsidRPr="008642D1" w:rsidRDefault="00FB34B7" w:rsidP="00FB34B7">
      <w:pPr>
        <w:pStyle w:val="BodyText"/>
      </w:pPr>
      <w:r w:rsidRPr="008642D1">
        <w:t xml:space="preserve">In Chapter 4, we suggested that another core idea underpinning New Zealand’s anti-discrimination laws is advancement of human dignity. Overseas cases about when to recognise a new ground of discrimination often draw on this dignity-enhancing function of anti-discrimination law. For example, in </w:t>
      </w:r>
      <w:r w:rsidRPr="008642D1">
        <w:rPr>
          <w:i/>
          <w:iCs/>
        </w:rPr>
        <w:t>Egan v Canada</w:t>
      </w:r>
      <w:r w:rsidRPr="008642D1">
        <w:t>, Cory J said: “The fundamental consideration underlying the … [decision to recognise a new ground] … is whether the basis of distinction may serve to deny the essential human dignity of the Charter claimant.”</w:t>
      </w:r>
      <w:r w:rsidRPr="008642D1">
        <w:rPr>
          <w:rStyle w:val="FootnoteReference"/>
          <w:rFonts w:eastAsia="Calibri" w:cs="Arial"/>
        </w:rPr>
        <w:footnoteReference w:id="318"/>
      </w:r>
      <w:r w:rsidRPr="008642D1">
        <w:rPr>
          <w:rFonts w:eastAsia="Calibri" w:cs="Arial"/>
        </w:rPr>
        <w:t xml:space="preserve"> In</w:t>
      </w:r>
      <w:r w:rsidRPr="008642D1">
        <w:t xml:space="preserve"> </w:t>
      </w:r>
      <w:r w:rsidRPr="008642D1">
        <w:rPr>
          <w:i/>
          <w:iCs/>
        </w:rPr>
        <w:t>R (Carson) v Secretary of State for Work and Pensions</w:t>
      </w:r>
      <w:r w:rsidRPr="008642D1">
        <w:t>, Lord Walker said it was important to consider whether the particular type of discrimination was “intrinsically demeaning” (therefore requiring a high level of scrutiny).</w:t>
      </w:r>
      <w:r w:rsidRPr="008642D1">
        <w:rPr>
          <w:rStyle w:val="FootnoteReference"/>
        </w:rPr>
        <w:footnoteReference w:id="319"/>
      </w:r>
      <w:r w:rsidRPr="008642D1">
        <w:t xml:space="preserve"> </w:t>
      </w:r>
    </w:p>
    <w:p w14:paraId="1284CBEF" w14:textId="77777777" w:rsidR="00FB34B7" w:rsidRPr="008642D1" w:rsidRDefault="00FB34B7" w:rsidP="00FB34B7">
      <w:pPr>
        <w:pStyle w:val="BodyText"/>
        <w:tabs>
          <w:tab w:val="clear" w:pos="709"/>
        </w:tabs>
      </w:pPr>
      <w:r w:rsidRPr="008642D1">
        <w:t>Some overseas courts go so far as to treat harm to human dignity as the overarching test for when to recognise a new ground.</w:t>
      </w:r>
      <w:r w:rsidRPr="008642D1">
        <w:rPr>
          <w:rStyle w:val="FootnoteReference"/>
        </w:rPr>
        <w:footnoteReference w:id="320"/>
      </w:r>
      <w:r w:rsidRPr="008642D1">
        <w:t xml:space="preserve"> However, we think the dignity rationale primarily serves to reinforce and explain the first two justifications explored above. Differential treatment is more likely to feel demeaning if it unfolds against the background of a history of prejudice.</w:t>
      </w:r>
      <w:r w:rsidRPr="008642D1">
        <w:rPr>
          <w:rStyle w:val="FootnoteReference"/>
        </w:rPr>
        <w:footnoteReference w:id="321"/>
      </w:r>
      <w:r w:rsidRPr="008642D1">
        <w:t xml:space="preserve"> Likewise, differential treatment is more likely to feel demeaning if it penalises a characteristic that is immutable or closely tied to someone’s personal identity.</w:t>
      </w:r>
    </w:p>
    <w:p w14:paraId="0B90597B" w14:textId="77777777" w:rsidR="00FB34B7" w:rsidRPr="008642D1" w:rsidRDefault="00FB34B7" w:rsidP="00FB34B7">
      <w:pPr>
        <w:pStyle w:val="BodyText"/>
      </w:pPr>
      <w:bookmarkStart w:id="87" w:name="_Hlk153287691"/>
      <w:r w:rsidRPr="008642D1">
        <w:t>We think it is clearly demeaning and harmful to human dignity to be denied opportunities to participate in society because of something as deeply personal as your gender identity or your sex characteristics. This is consistent with decisions of overseas courts. For example, the European Court of Justice has said that to tolerate employment discrimination against a transgender person who is intending to undergo gender reassignment would fail to “respect the dignity and freedom to which he or she is entitled”.</w:t>
      </w:r>
      <w:r w:rsidRPr="008642D1">
        <w:rPr>
          <w:rStyle w:val="FootnoteReference"/>
        </w:rPr>
        <w:footnoteReference w:id="322"/>
      </w:r>
    </w:p>
    <w:bookmarkEnd w:id="87"/>
    <w:p w14:paraId="3BC58C5D" w14:textId="77777777" w:rsidR="00FB34B7" w:rsidRPr="008642D1" w:rsidRDefault="00FB34B7" w:rsidP="00FB34B7">
      <w:pPr>
        <w:pStyle w:val="Heading3"/>
      </w:pPr>
      <w:r w:rsidRPr="008642D1">
        <w:lastRenderedPageBreak/>
        <w:t>Consistency with international law</w:t>
      </w:r>
    </w:p>
    <w:p w14:paraId="24A6ACF8" w14:textId="3618AF45" w:rsidR="00FB34B7" w:rsidRPr="008642D1" w:rsidRDefault="00FB34B7" w:rsidP="00FB34B7">
      <w:pPr>
        <w:pStyle w:val="BodyText"/>
      </w:pPr>
      <w:r w:rsidRPr="008642D1">
        <w:t xml:space="preserve">A fourth rationale for extending the protection of anti-discrimination laws to a new ground is that it is either required by or consistent with developments in international human rights law. This has been a key driver of past reform </w:t>
      </w:r>
      <w:r w:rsidR="00061AB7">
        <w:t>of</w:t>
      </w:r>
      <w:r w:rsidRPr="008642D1">
        <w:t xml:space="preserve"> anti-discrimination laws in Aotearoa New Zealand. It is also one of the key reform considerations we identified in Chapter 4. Notably, the long title to the Human Rights Act states one of the Act’s aims as “to provide better protection for human rights in New Zealand in general accordance with United Nations Covenants or Conventions on Human Rights”.</w:t>
      </w:r>
    </w:p>
    <w:p w14:paraId="29467020" w14:textId="2938FD99" w:rsidR="00FB34B7" w:rsidRPr="008642D1" w:rsidRDefault="00FB34B7" w:rsidP="00FB34B7">
      <w:pPr>
        <w:pStyle w:val="BodyText"/>
      </w:pPr>
      <w:r w:rsidRPr="008642D1">
        <w:t>The current state of international law on relevant issues is quite complex.</w:t>
      </w:r>
      <w:r w:rsidRPr="008642D1" w:rsidDel="00C110C6">
        <w:t xml:space="preserve"> </w:t>
      </w:r>
      <w:r w:rsidR="008870DA">
        <w:t>In</w:t>
      </w:r>
      <w:r w:rsidRPr="008642D1" w:rsidDel="00C110C6">
        <w:t xml:space="preserve"> sum</w:t>
      </w:r>
      <w:r w:rsidRPr="008642D1">
        <w:t xml:space="preserve">, there is a large and growing body of international authority that interprets international human rights treaties to which </w:t>
      </w:r>
      <w:r w:rsidR="00E731DE">
        <w:t xml:space="preserve">Aotearoa </w:t>
      </w:r>
      <w:r w:rsidRPr="008642D1">
        <w:t>New Zealand is a party as requiring people to be protected from discrimination based on their gender identity or sex characteristics.</w:t>
      </w:r>
    </w:p>
    <w:p w14:paraId="0E4840CA" w14:textId="6AEA0552" w:rsidR="00FB34B7" w:rsidRPr="008642D1" w:rsidRDefault="00FB34B7" w:rsidP="00FB34B7">
      <w:pPr>
        <w:pStyle w:val="BodyText"/>
      </w:pPr>
      <w:r w:rsidRPr="008642D1">
        <w:t xml:space="preserve">Gender identity, sex characteristics or equivalents are not mentioned explicitly as grounds of discrimination in any human rights treaties to which Aotearoa New Zealand is a party. However, three treaties contain an open-ended ground of </w:t>
      </w:r>
      <w:r w:rsidRPr="008642D1" w:rsidDel="00C110C6">
        <w:t>“</w:t>
      </w:r>
      <w:r w:rsidRPr="008642D1">
        <w:t>other status</w:t>
      </w:r>
      <w:r w:rsidRPr="008642D1" w:rsidDel="00C110C6">
        <w:t>”</w:t>
      </w:r>
      <w:r w:rsidRPr="008642D1">
        <w:t xml:space="preserve"> under which the committees with responsibility for monitoring these treaties (known as treaty bodies) can periodically recognise new grounds.</w:t>
      </w:r>
      <w:r w:rsidRPr="008642D1">
        <w:rPr>
          <w:rStyle w:val="FootnoteReference"/>
        </w:rPr>
        <w:footnoteReference w:id="323"/>
      </w:r>
      <w:r w:rsidRPr="008642D1">
        <w:t xml:space="preserve"> On that basis, these three treaty bodies have stated repeatedly in interpretive statements (called general comments) that discrimination directed at people who are transgender or intersex violates the respective treaty.</w:t>
      </w:r>
      <w:r w:rsidRPr="008642D1">
        <w:rPr>
          <w:rStyle w:val="FootnoteReference"/>
        </w:rPr>
        <w:footnoteReference w:id="324"/>
      </w:r>
      <w:r w:rsidRPr="008642D1">
        <w:t xml:space="preserve"> </w:t>
      </w:r>
    </w:p>
    <w:p w14:paraId="04EA2B9A" w14:textId="071E93FA" w:rsidR="00FB34B7" w:rsidRPr="008642D1" w:rsidRDefault="00FB34B7" w:rsidP="00FB34B7">
      <w:pPr>
        <w:pStyle w:val="BodyText"/>
      </w:pPr>
      <w:r w:rsidRPr="008642D1">
        <w:t>One of these bodies — the United Nations Human Rights Committee — has also upheld individual complaints of discrimination by transgender people.</w:t>
      </w:r>
      <w:r w:rsidRPr="008642D1">
        <w:rPr>
          <w:rStyle w:val="FootnoteReference"/>
        </w:rPr>
        <w:footnoteReference w:id="325"/>
      </w:r>
      <w:r w:rsidRPr="008642D1">
        <w:t xml:space="preserve"> We are not aware of any equivalent complaints being taken to the Human Rights Committee by people with an innate variation of sex characteristics. However, the European Court of Human Rights has upheld such a complaint under the European Convention (which also has an </w:t>
      </w:r>
      <w:r w:rsidR="004C3199">
        <w:t>“</w:t>
      </w:r>
      <w:r w:rsidRPr="008642D1">
        <w:t>other status</w:t>
      </w:r>
      <w:r w:rsidR="004C3199">
        <w:t>”</w:t>
      </w:r>
      <w:r w:rsidRPr="008642D1">
        <w:t xml:space="preserve"> ground).</w:t>
      </w:r>
      <w:r w:rsidRPr="008642D1">
        <w:rPr>
          <w:rStyle w:val="FootnoteReference"/>
        </w:rPr>
        <w:footnoteReference w:id="326"/>
      </w:r>
    </w:p>
    <w:p w14:paraId="2697587C" w14:textId="77777777" w:rsidR="00FB34B7" w:rsidRPr="008642D1" w:rsidRDefault="00FB34B7" w:rsidP="00FB34B7">
      <w:pPr>
        <w:pStyle w:val="BodyText"/>
      </w:pPr>
      <w:r w:rsidRPr="008642D1">
        <w:t xml:space="preserve">More broadly, the treaty bodies associated with six human rights treaties to which Aotearoa New Zealand is a party make frequent mention in their general comments of the histories of violence, discrimination and exclusion suffered by people who are transgender or intersex. The treaty bodies conclude accordingly that people with these </w:t>
      </w:r>
      <w:r w:rsidRPr="008642D1">
        <w:lastRenderedPageBreak/>
        <w:t>characteristics warrant particularly careful protection under international human rights law.</w:t>
      </w:r>
      <w:r w:rsidRPr="008642D1">
        <w:rPr>
          <w:rStyle w:val="FootnoteReference"/>
        </w:rPr>
        <w:footnoteReference w:id="327"/>
      </w:r>
    </w:p>
    <w:p w14:paraId="172A66F7" w14:textId="77777777" w:rsidR="00FB34B7" w:rsidRPr="008642D1" w:rsidRDefault="00FB34B7" w:rsidP="00FB34B7">
      <w:pPr>
        <w:pStyle w:val="BodyText"/>
      </w:pPr>
      <w:r w:rsidRPr="008642D1">
        <w:t>As far as we know, no individual complaint has yet been taken against Aotearoa New Zealand to one of these treaty bodies about discrimination based on gender identity or sex characteristics. However, the absence of express grounds of protection in section 21 of the Human Rights Act has attracted negative attention in various United Nations reporting processes.</w:t>
      </w:r>
      <w:r w:rsidRPr="008642D1">
        <w:rPr>
          <w:rStyle w:val="FootnoteReference"/>
        </w:rPr>
        <w:footnoteReference w:id="328"/>
      </w:r>
      <w:r w:rsidRPr="008642D1">
        <w:t xml:space="preserve"> This is likely to continue unless or until there is legislative reform. </w:t>
      </w:r>
    </w:p>
    <w:p w14:paraId="50BCC402" w14:textId="77777777" w:rsidR="00FB34B7" w:rsidRPr="008642D1" w:rsidRDefault="00FB34B7" w:rsidP="00FB34B7">
      <w:pPr>
        <w:pStyle w:val="Heading3"/>
      </w:pPr>
      <w:r w:rsidRPr="008642D1">
        <w:t>Consistency with other liberal democratic societies</w:t>
      </w:r>
    </w:p>
    <w:p w14:paraId="74B855FE" w14:textId="12F6CE75" w:rsidR="00FB34B7" w:rsidRPr="008642D1" w:rsidRDefault="00FB34B7" w:rsidP="00FB34B7">
      <w:pPr>
        <w:pStyle w:val="BodyText"/>
        <w:rPr>
          <w:bCs/>
          <w:szCs w:val="22"/>
          <w:lang w:val="mi-NZ"/>
        </w:rPr>
      </w:pPr>
      <w:r w:rsidRPr="008642D1">
        <w:t xml:space="preserve">A fifth rationale for extending the grounds of discrimination is consistency with other liberal democratic societies with which Aotearoa New Zealand shares a common heritage. For example, in the second reading debate preceding the enactment of the Human Rights Act, the sponsoring minister noted that </w:t>
      </w:r>
      <w:r w:rsidRPr="008642D1">
        <w:rPr>
          <w:rFonts w:eastAsia="Calibri" w:cs="Arial"/>
        </w:rPr>
        <w:t xml:space="preserve">the Bill “enables us to measure ourselves </w:t>
      </w:r>
      <w:r w:rsidRPr="008642D1">
        <w:rPr>
          <w:rFonts w:eastAsia="Calibri"/>
        </w:rPr>
        <w:t>against</w:t>
      </w:r>
      <w:r w:rsidRPr="008642D1">
        <w:rPr>
          <w:rFonts w:eastAsia="Calibri" w:cs="Arial"/>
        </w:rPr>
        <w:t xml:space="preserve"> other developed nations and to say that we too are a country that places the highest value on the freedom and equality of all our people”</w:t>
      </w:r>
      <w:r w:rsidR="00B32915">
        <w:rPr>
          <w:rFonts w:eastAsia="Calibri" w:cs="Arial"/>
        </w:rPr>
        <w:t>.</w:t>
      </w:r>
      <w:r w:rsidRPr="008642D1">
        <w:rPr>
          <w:rStyle w:val="FootnoteReference"/>
          <w:rFonts w:eastAsia="Calibri" w:cs="Arial"/>
        </w:rPr>
        <w:footnoteReference w:id="329"/>
      </w:r>
      <w:r w:rsidRPr="008642D1">
        <w:rPr>
          <w:rFonts w:eastAsia="Calibri" w:cs="Arial"/>
        </w:rPr>
        <w:t xml:space="preserve"> </w:t>
      </w:r>
    </w:p>
    <w:p w14:paraId="5EC7E63C" w14:textId="77777777" w:rsidR="00FB34B7" w:rsidRPr="008642D1" w:rsidRDefault="00FB34B7" w:rsidP="00FB34B7">
      <w:pPr>
        <w:pStyle w:val="BodyText"/>
      </w:pPr>
      <w:r w:rsidRPr="008642D1">
        <w:t>It is therefore notable that most jurisdictions with which we share close legal and cultural ties have wording in their anti-discrimination statutes that specifically protects against discrimination based on a person’s gender identity.</w:t>
      </w:r>
      <w:r w:rsidRPr="008642D1">
        <w:rPr>
          <w:rStyle w:val="FootnoteReference"/>
        </w:rPr>
        <w:footnoteReference w:id="330"/>
      </w:r>
      <w:r w:rsidRPr="008642D1">
        <w:t xml:space="preserve"> This includes:</w:t>
      </w:r>
    </w:p>
    <w:p w14:paraId="35D87A78" w14:textId="21A057DC" w:rsidR="00FB34B7" w:rsidRPr="008642D1" w:rsidRDefault="00FB34B7" w:rsidP="00EA65DF">
      <w:pPr>
        <w:pStyle w:val="BodyText2"/>
        <w:numPr>
          <w:ilvl w:val="3"/>
          <w:numId w:val="73"/>
        </w:numPr>
      </w:pPr>
      <w:r w:rsidRPr="008642D1">
        <w:t xml:space="preserve">Australia and each of Australia’s eight states and territories; </w:t>
      </w:r>
    </w:p>
    <w:p w14:paraId="4CDF0BEF" w14:textId="77777777" w:rsidR="00FB34B7" w:rsidRPr="008642D1" w:rsidRDefault="00FB34B7" w:rsidP="00DF306B">
      <w:pPr>
        <w:pStyle w:val="BodyText2"/>
        <w:numPr>
          <w:ilvl w:val="3"/>
          <w:numId w:val="35"/>
        </w:numPr>
      </w:pPr>
      <w:r w:rsidRPr="008642D1">
        <w:t>Canada and each of Canada’s 13 provinces and territories; and</w:t>
      </w:r>
    </w:p>
    <w:p w14:paraId="23D9AE76" w14:textId="77777777" w:rsidR="00FB34B7" w:rsidRPr="008642D1" w:rsidRDefault="00FB34B7" w:rsidP="00DF306B">
      <w:pPr>
        <w:pStyle w:val="BodyText2"/>
        <w:numPr>
          <w:ilvl w:val="3"/>
          <w:numId w:val="35"/>
        </w:numPr>
      </w:pPr>
      <w:r w:rsidRPr="008642D1">
        <w:t>the United Kingdom.</w:t>
      </w:r>
    </w:p>
    <w:p w14:paraId="7106A826" w14:textId="77777777" w:rsidR="00FB34B7" w:rsidRPr="008642D1" w:rsidRDefault="00FB34B7" w:rsidP="00FB34B7">
      <w:pPr>
        <w:pStyle w:val="BodyText"/>
      </w:pPr>
      <w:r w:rsidRPr="008642D1">
        <w:t>The position in the United States is more varied. We understand, however, that around half of the 50 states have legislation that explicitly prohibits discrimination in employment based on a person’s gender identity.</w:t>
      </w:r>
      <w:r w:rsidRPr="008642D1">
        <w:rPr>
          <w:rStyle w:val="FootnoteReference"/>
        </w:rPr>
        <w:footnoteReference w:id="331"/>
      </w:r>
    </w:p>
    <w:p w14:paraId="276DBE5B" w14:textId="77777777" w:rsidR="00FB34B7" w:rsidRPr="008642D1" w:rsidRDefault="00FB34B7" w:rsidP="00FB34B7">
      <w:pPr>
        <w:pStyle w:val="BodyText"/>
      </w:pPr>
      <w:r w:rsidRPr="008642D1">
        <w:t xml:space="preserve">Express legislative protection from discrimination based on a person’s sex characteristics or intersex status is common in Australia but not yet in the other jurisdictions mentioned. </w:t>
      </w:r>
    </w:p>
    <w:p w14:paraId="382C68F9" w14:textId="77777777" w:rsidR="00FB34B7" w:rsidRPr="008642D1" w:rsidRDefault="00FB34B7" w:rsidP="00FB34B7">
      <w:pPr>
        <w:pStyle w:val="BodyText"/>
      </w:pPr>
      <w:r w:rsidRPr="008642D1">
        <w:lastRenderedPageBreak/>
        <w:t>Where explicit protection is lacking, the courts, tribunals and human rights bodies in these countries have sometimes filled gaps through interpretation. For example:</w:t>
      </w:r>
    </w:p>
    <w:p w14:paraId="1AC3EFFA" w14:textId="3DEB686B" w:rsidR="00FB34B7" w:rsidRPr="008642D1" w:rsidRDefault="00F536E1" w:rsidP="00DF306B">
      <w:pPr>
        <w:pStyle w:val="BodyTextnonum"/>
        <w:numPr>
          <w:ilvl w:val="3"/>
          <w:numId w:val="38"/>
        </w:numPr>
      </w:pPr>
      <w:r>
        <w:t xml:space="preserve">Ireland’s </w:t>
      </w:r>
      <w:r w:rsidR="00FB34B7" w:rsidRPr="008642D1">
        <w:t>Equality Tribunal (now the Workplace Relations Commission) has held that discrimination against a transgender person is discrimination based on both gender (which, in the Irish legislation, is used synonymously with sex) and disability</w:t>
      </w:r>
      <w:r w:rsidR="00482689">
        <w:t>;</w:t>
      </w:r>
      <w:r w:rsidR="00FB34B7" w:rsidRPr="008642D1">
        <w:rPr>
          <w:rStyle w:val="FootnoteReference"/>
        </w:rPr>
        <w:footnoteReference w:id="332"/>
      </w:r>
      <w:r w:rsidR="00FB34B7" w:rsidRPr="008642D1">
        <w:t xml:space="preserve"> </w:t>
      </w:r>
    </w:p>
    <w:p w14:paraId="69DA034A" w14:textId="1F310063" w:rsidR="00FB34B7" w:rsidRPr="008642D1" w:rsidRDefault="00482689" w:rsidP="00DF306B">
      <w:pPr>
        <w:pStyle w:val="BodyTextnonum"/>
        <w:numPr>
          <w:ilvl w:val="3"/>
          <w:numId w:val="38"/>
        </w:numPr>
      </w:pPr>
      <w:bookmarkStart w:id="89" w:name="_Hlk164859079"/>
      <w:r>
        <w:t>s</w:t>
      </w:r>
      <w:r w:rsidR="00FB34B7" w:rsidRPr="008642D1">
        <w:t>ome human rights commissions in Canada have defined existing grounds (such as sex, gender or gender identity) to protect intersex and two-spirited people</w:t>
      </w:r>
      <w:bookmarkEnd w:id="89"/>
      <w:r>
        <w:t>;</w:t>
      </w:r>
      <w:r w:rsidR="00FB34B7" w:rsidRPr="008642D1">
        <w:rPr>
          <w:rStyle w:val="FootnoteReference"/>
        </w:rPr>
        <w:footnoteReference w:id="333"/>
      </w:r>
      <w:r>
        <w:t xml:space="preserve"> and</w:t>
      </w:r>
      <w:r w:rsidR="00FB34B7" w:rsidRPr="008642D1">
        <w:t xml:space="preserve"> </w:t>
      </w:r>
    </w:p>
    <w:p w14:paraId="6BBD13EF" w14:textId="34BCA7EC" w:rsidR="00FB34B7" w:rsidRPr="008642D1" w:rsidRDefault="00482689" w:rsidP="00DF306B">
      <w:pPr>
        <w:pStyle w:val="BodyTextnonum"/>
        <w:numPr>
          <w:ilvl w:val="3"/>
          <w:numId w:val="38"/>
        </w:numPr>
      </w:pPr>
      <w:r>
        <w:t>t</w:t>
      </w:r>
      <w:r w:rsidR="00FB34B7" w:rsidRPr="008642D1">
        <w:t>he United States Supreme Court (as well as some state enforcement bodies in the United States) has said the ground of sex in employment legislation covers discrimination against transgender employees.</w:t>
      </w:r>
      <w:r w:rsidR="00FB34B7" w:rsidRPr="008642D1">
        <w:rPr>
          <w:rStyle w:val="FootnoteReference"/>
        </w:rPr>
        <w:footnoteReference w:id="334"/>
      </w:r>
    </w:p>
    <w:p w14:paraId="4FB2A0CC" w14:textId="77777777" w:rsidR="00FB34B7" w:rsidRPr="008642D1" w:rsidRDefault="00FB34B7" w:rsidP="00FB34B7">
      <w:pPr>
        <w:pStyle w:val="Heading3"/>
      </w:pPr>
      <w:r w:rsidRPr="008642D1">
        <w:t>Changing social norms</w:t>
      </w:r>
    </w:p>
    <w:p w14:paraId="12CF9E62" w14:textId="06EE9A68" w:rsidR="00FB34B7" w:rsidRPr="008642D1" w:rsidRDefault="00FB34B7" w:rsidP="00FB34B7">
      <w:pPr>
        <w:pStyle w:val="BodyText"/>
        <w:rPr>
          <w:rFonts w:eastAsia="Calibri" w:cs="Arial"/>
          <w:szCs w:val="20"/>
        </w:rPr>
      </w:pPr>
      <w:r w:rsidRPr="008642D1">
        <w:t xml:space="preserve">When expansions to the grounds of discrimination are led by legislatures rather than courts, legislators often rely on changing social norms as a reason for reform. As </w:t>
      </w:r>
      <w:r w:rsidRPr="008642D1">
        <w:rPr>
          <w:rFonts w:eastAsia="Calibri" w:cs="Arial"/>
          <w:szCs w:val="20"/>
        </w:rPr>
        <w:t>Graeme Reeves MP said in the debates leading to the enactment of the Human Rights Act: “Things can happen only as societal attitudes become receptive to new ideas, to changing values, and to changing perceptions of what is just.”</w:t>
      </w:r>
      <w:r w:rsidRPr="008642D1">
        <w:rPr>
          <w:rStyle w:val="FootnoteReference"/>
          <w:rFonts w:eastAsia="Calibri" w:cs="Arial"/>
          <w:szCs w:val="20"/>
        </w:rPr>
        <w:footnoteReference w:id="335"/>
      </w:r>
    </w:p>
    <w:p w14:paraId="41FBDB23" w14:textId="77777777" w:rsidR="00FB34B7" w:rsidRPr="008642D1" w:rsidRDefault="00FB34B7" w:rsidP="00FB34B7">
      <w:pPr>
        <w:pStyle w:val="BodyText"/>
        <w:rPr>
          <w:rFonts w:eastAsia="Calibri"/>
        </w:rPr>
      </w:pPr>
      <w:r w:rsidRPr="008642D1">
        <w:t>Although we accept parliaments generally only act when they have the broad support of the community, in</w:t>
      </w:r>
      <w:r w:rsidRPr="008642D1">
        <w:rPr>
          <w:rFonts w:eastAsia="Calibri"/>
        </w:rPr>
        <w:t xml:space="preserve"> a review of anti-discrimination laws, caution is needed when relying on social consensus to justify reform. As we suggested earlier in the chapter, a key aim of anti-discrimination laws is to protect groups in the community who have experienced a history of discrimination, disadvantage, stereotyping or prejudice.</w:t>
      </w:r>
    </w:p>
    <w:p w14:paraId="761296C4" w14:textId="6E2E04E0" w:rsidR="00FB34B7" w:rsidRPr="008642D1" w:rsidRDefault="00FB34B7" w:rsidP="00FB34B7">
      <w:pPr>
        <w:pStyle w:val="BodyText"/>
        <w:rPr>
          <w:rFonts w:eastAsia="Calibri"/>
        </w:rPr>
      </w:pPr>
      <w:r w:rsidRPr="008642D1">
        <w:t>To the extent data about changing social attitudes are considered relevant, those attitudes should be ascertained where possible from well</w:t>
      </w:r>
      <w:r w:rsidR="00482689">
        <w:t>-</w:t>
      </w:r>
      <w:r w:rsidRPr="008642D1">
        <w:t>designed and properly administered surveys. We are only aware of one survey in Aotearoa New Zealand that asked a direct question about people’s attitudes to whether people who are transgender should be protected from discrimination. In the Ipsos Survey conducted in 2023, 84 per cent of people agreed that transgender people should be protected from discrimination in employment, housing and access to businesses such as restaurants and stores.</w:t>
      </w:r>
      <w:r w:rsidRPr="008642D1">
        <w:rPr>
          <w:rStyle w:val="FootnoteReference"/>
        </w:rPr>
        <w:footnoteReference w:id="336"/>
      </w:r>
      <w:r w:rsidRPr="008642D1">
        <w:t xml:space="preserve"> This is similar to the results in a United Kingdom survey in which </w:t>
      </w:r>
      <w:r w:rsidRPr="008642D1">
        <w:rPr>
          <w:szCs w:val="20"/>
        </w:rPr>
        <w:t>76 per cent of respondents agreed that prejudice against transgender people was always or mostly wrong</w:t>
      </w:r>
      <w:r w:rsidRPr="008642D1">
        <w:rPr>
          <w:sz w:val="22"/>
          <w:szCs w:val="22"/>
        </w:rPr>
        <w:t>.</w:t>
      </w:r>
      <w:r w:rsidRPr="008642D1">
        <w:rPr>
          <w:rStyle w:val="FootnoteReference"/>
          <w:szCs w:val="22"/>
        </w:rPr>
        <w:footnoteReference w:id="337"/>
      </w:r>
      <w:r w:rsidRPr="008642D1">
        <w:rPr>
          <w:sz w:val="22"/>
          <w:szCs w:val="22"/>
        </w:rPr>
        <w:t xml:space="preserve"> </w:t>
      </w:r>
    </w:p>
    <w:p w14:paraId="422EE13A" w14:textId="77777777" w:rsidR="00FB34B7" w:rsidRPr="008642D1" w:rsidRDefault="00FB34B7" w:rsidP="007913DE">
      <w:pPr>
        <w:pStyle w:val="BodyText"/>
      </w:pPr>
      <w:r w:rsidRPr="008642D1">
        <w:t>We are not aware of any comparable data concerning attitudes about discrimination against people with an innate variation of sex characteristics.</w:t>
      </w:r>
    </w:p>
    <w:p w14:paraId="1B834A03" w14:textId="77777777" w:rsidR="00FB34B7" w:rsidRPr="008642D1" w:rsidRDefault="00FB34B7" w:rsidP="00FB34B7">
      <w:pPr>
        <w:pStyle w:val="BodyText"/>
      </w:pPr>
      <w:r w:rsidRPr="008642D1">
        <w:lastRenderedPageBreak/>
        <w:t>There have been data generated on public attitudes to some specific issues and concerns (such as access to bathrooms and competitive sports) with results seeming to vary substantially depending on the way the particular question is posed. As we explained earlier in the chapter, an amendment to section 21 will not mean that all differences in treatment based on a person’s gender identity or sex characteristics are unlawful. Specific issues and concerns can be dealt with through the Part 2 exceptions that we discuss later in this Issues Paper. We refer to relevant survey data there.</w:t>
      </w:r>
    </w:p>
    <w:p w14:paraId="16BB03B3" w14:textId="77777777" w:rsidR="00FB34B7" w:rsidRPr="008642D1" w:rsidRDefault="00FB34B7" w:rsidP="00FB34B7">
      <w:pPr>
        <w:pStyle w:val="Heading3"/>
      </w:pPr>
      <w:r w:rsidRPr="008642D1">
        <w:t>Te Tiriti o Waitangi | Treaty of Waitangi</w:t>
      </w:r>
    </w:p>
    <w:p w14:paraId="1F899CC2" w14:textId="16B4DAB3" w:rsidR="00FB34B7" w:rsidRPr="008642D1" w:rsidRDefault="00FB34B7" w:rsidP="00FB34B7">
      <w:pPr>
        <w:pStyle w:val="BodyText"/>
        <w:rPr>
          <w:rFonts w:eastAsiaTheme="minorEastAsia"/>
        </w:rPr>
      </w:pPr>
      <w:r w:rsidRPr="008642D1">
        <w:t xml:space="preserve">We also need to consider the implications of </w:t>
      </w:r>
      <w:r w:rsidR="005B4A9E">
        <w:t xml:space="preserve">the Treaty for whether to amend </w:t>
      </w:r>
      <w:r w:rsidRPr="008642D1">
        <w:t xml:space="preserve">section 21. </w:t>
      </w:r>
    </w:p>
    <w:p w14:paraId="7D4F70D3" w14:textId="188D5430" w:rsidR="00FB34B7" w:rsidRPr="008642D1" w:rsidRDefault="00FB34B7" w:rsidP="007913DE">
      <w:pPr>
        <w:pStyle w:val="BodyText"/>
      </w:pPr>
      <w:r w:rsidRPr="008642D1">
        <w:t xml:space="preserve">Under article 3 of the Treaty, the Crown undertook to protect Māori and to give them the same rights and duties of citizenship as British subjects </w:t>
      </w:r>
      <w:r w:rsidR="00BF7A1A">
        <w:t xml:space="preserve">— </w:t>
      </w:r>
      <w:r w:rsidRPr="008642D1">
        <w:t>Ka tiakina e te Kuini o Ingarani nga tangata maori katoa o Nu Tirani ka tukua ki a ratou nga tikanga katoa rite tahi ki ana mea ki nga tangata o Ingarani.</w:t>
      </w:r>
      <w:r w:rsidRPr="008642D1">
        <w:rPr>
          <w:rStyle w:val="FootnoteReference"/>
        </w:rPr>
        <w:footnoteReference w:id="338"/>
      </w:r>
      <w:r w:rsidRPr="008642D1">
        <w:t xml:space="preserve"> </w:t>
      </w:r>
      <w:r w:rsidRPr="008642D1">
        <w:rPr>
          <w:rFonts w:eastAsiaTheme="minorEastAsia" w:cs="Aptos"/>
          <w:szCs w:val="20"/>
        </w:rPr>
        <w:t>Article 3 obliges the government to exercise its kāwanatanga (governorship) both to care for Māori and to ensure outcomes for Māori are equivalent to those enjoyed by non-Māori.</w:t>
      </w:r>
      <w:r w:rsidRPr="008642D1">
        <w:rPr>
          <w:rStyle w:val="FootnoteReference"/>
          <w:rFonts w:eastAsiaTheme="minorEastAsia" w:cs="Aptos"/>
          <w:szCs w:val="20"/>
        </w:rPr>
        <w:footnoteReference w:id="339"/>
      </w:r>
      <w:r w:rsidRPr="008642D1">
        <w:rPr>
          <w:rFonts w:eastAsiaTheme="minorEastAsia" w:cs="Aptos"/>
          <w:szCs w:val="20"/>
        </w:rPr>
        <w:t xml:space="preserve"> It is a guarantee of equity </w:t>
      </w:r>
      <w:r w:rsidR="00867F2C">
        <w:rPr>
          <w:rFonts w:eastAsiaTheme="minorEastAsia" w:cs="Aptos"/>
          <w:szCs w:val="20"/>
        </w:rPr>
        <w:t>that</w:t>
      </w:r>
      <w:r w:rsidR="00867F2C" w:rsidRPr="008642D1">
        <w:rPr>
          <w:rFonts w:eastAsiaTheme="minorEastAsia" w:cs="Aptos"/>
          <w:szCs w:val="20"/>
        </w:rPr>
        <w:t xml:space="preserve"> </w:t>
      </w:r>
      <w:r w:rsidRPr="008642D1">
        <w:rPr>
          <w:rFonts w:eastAsiaTheme="minorEastAsia" w:cs="Aptos"/>
          <w:szCs w:val="20"/>
        </w:rPr>
        <w:t>obliges the Crown to address disparities between Māori and other New Zealanders.</w:t>
      </w:r>
      <w:r w:rsidRPr="008642D1">
        <w:rPr>
          <w:rStyle w:val="FootnoteReference"/>
          <w:rFonts w:eastAsiaTheme="minorEastAsia" w:cs="Aptos"/>
          <w:szCs w:val="20"/>
        </w:rPr>
        <w:footnoteReference w:id="340"/>
      </w:r>
      <w:r w:rsidRPr="008642D1">
        <w:rPr>
          <w:rFonts w:eastAsiaTheme="minorEastAsia" w:cs="Aptos"/>
          <w:szCs w:val="20"/>
        </w:rPr>
        <w:t xml:space="preserve"> It underpins the Treaty principles of active protection and equity.</w:t>
      </w:r>
      <w:r w:rsidRPr="008642D1">
        <w:rPr>
          <w:rStyle w:val="FootnoteReference"/>
          <w:rFonts w:eastAsiaTheme="minorEastAsia" w:cs="Aptos"/>
          <w:szCs w:val="20"/>
        </w:rPr>
        <w:footnoteReference w:id="341"/>
      </w:r>
      <w:r w:rsidRPr="008642D1">
        <w:rPr>
          <w:rFonts w:eastAsiaTheme="minorEastAsia" w:cs="Aptos"/>
          <w:szCs w:val="20"/>
        </w:rPr>
        <w:t xml:space="preserve"> </w:t>
      </w:r>
    </w:p>
    <w:p w14:paraId="6BA85140" w14:textId="77777777" w:rsidR="00FB34B7" w:rsidRPr="008642D1" w:rsidRDefault="00FB34B7" w:rsidP="007913DE">
      <w:pPr>
        <w:pStyle w:val="BodyText"/>
      </w:pPr>
      <w:r w:rsidRPr="008642D1">
        <w:rPr>
          <w:rFonts w:eastAsiaTheme="minorEastAsia"/>
        </w:rPr>
        <w:t xml:space="preserve">We are interested to understand whether providing protection from discrimination to people who are transgender or non-binary or who have an innate variation of sex characteristics would advance the goals underlying article 3 of the Treaty. </w:t>
      </w:r>
      <w:r w:rsidRPr="008642D1">
        <w:t xml:space="preserve">As we explained in Chapter 5, Māori who are transgender or non-binary or who have an innate variation of sex characteristics experience discrimination alongside other people in these groups. It is more difficult to establish whether they experience discrimination at higher rates as there is currently an absence of solid data.  </w:t>
      </w:r>
    </w:p>
    <w:p w14:paraId="3341F52B" w14:textId="6EE5CC20" w:rsidR="00FB34B7" w:rsidRPr="008642D1" w:rsidRDefault="00FB34B7" w:rsidP="007913DE">
      <w:pPr>
        <w:pStyle w:val="BodyText"/>
      </w:pPr>
      <w:r w:rsidRPr="008642D1">
        <w:t xml:space="preserve">One reason for the absence of solid data </w:t>
      </w:r>
      <w:r w:rsidR="00BE32DB">
        <w:t xml:space="preserve">is </w:t>
      </w:r>
      <w:r w:rsidRPr="008642D1">
        <w:t xml:space="preserve">that some surveys ask questions about rainbow communities generally (rather than of gender minorities or people who have an innate variation of sex characteristics). Other reasons are that not all seek comparative data between Māori and non-Māori and that, even when </w:t>
      </w:r>
      <w:r w:rsidR="00867F2C">
        <w:t>these</w:t>
      </w:r>
      <w:r w:rsidR="00867F2C" w:rsidRPr="008642D1">
        <w:t xml:space="preserve"> </w:t>
      </w:r>
      <w:r w:rsidRPr="008642D1">
        <w:t xml:space="preserve">data </w:t>
      </w:r>
      <w:r w:rsidR="00BE32DB">
        <w:t xml:space="preserve">are </w:t>
      </w:r>
      <w:r w:rsidRPr="008642D1">
        <w:t xml:space="preserve">sought, sometimes the results are not statistically significant because of the small sample sizes involved. </w:t>
      </w:r>
    </w:p>
    <w:p w14:paraId="04674246" w14:textId="72EFDB1D" w:rsidR="00FB34B7" w:rsidRPr="008642D1" w:rsidRDefault="00FB34B7" w:rsidP="007913DE">
      <w:pPr>
        <w:pStyle w:val="BodyText"/>
      </w:pPr>
      <w:r w:rsidRPr="008642D1">
        <w:t>Based on the 2021</w:t>
      </w:r>
      <w:r w:rsidRPr="008642D1" w:rsidDel="00E22E92">
        <w:t xml:space="preserve"> </w:t>
      </w:r>
      <w:r w:rsidRPr="008642D1">
        <w:t>Household Economic Survey, Tatauranga Aotearoa | Stats NZ estimates 2,800 Māori are transgender or non-binary.</w:t>
      </w:r>
      <w:r w:rsidRPr="008642D1">
        <w:rPr>
          <w:rStyle w:val="FootnoteReference"/>
        </w:rPr>
        <w:footnoteReference w:id="342"/>
      </w:r>
      <w:r w:rsidRPr="008642D1">
        <w:t xml:space="preserve"> We may have more information about this after the results of the 2023 </w:t>
      </w:r>
      <w:r w:rsidR="00867F2C">
        <w:t>C</w:t>
      </w:r>
      <w:r w:rsidRPr="008642D1">
        <w:t>ensus are published.</w:t>
      </w:r>
    </w:p>
    <w:p w14:paraId="08662E22" w14:textId="0A6FE72E" w:rsidR="00FB34B7" w:rsidRPr="008642D1" w:rsidRDefault="00FB34B7" w:rsidP="007913DE">
      <w:pPr>
        <w:pStyle w:val="BodyText"/>
      </w:pPr>
      <w:r w:rsidRPr="008642D1">
        <w:lastRenderedPageBreak/>
        <w:t>As we explained in Chapter 5, there are some data suggesting that Māori rainbow young people have worse wellbeing statistics than Pākehā rainbow young people. At a more general level, we know that having more than one minority identity can increase experiences of discrimination, harassment and violence.</w:t>
      </w:r>
      <w:r w:rsidRPr="008642D1">
        <w:rPr>
          <w:rStyle w:val="FootnoteReference"/>
        </w:rPr>
        <w:footnoteReference w:id="343"/>
      </w:r>
      <w:r w:rsidRPr="008642D1">
        <w:t xml:space="preserve"> We also know that it can be difficult for a person who is experiencing discrimination to pinpoint the cause of the discrimination. As one participant at the wānanga we convened to understand Māori perspectives put it: “It’s not possible to separate parts of yourself</w:t>
      </w:r>
      <w:r w:rsidR="00867F2C">
        <w:t>.</w:t>
      </w:r>
      <w:r w:rsidRPr="008642D1">
        <w:t>”</w:t>
      </w:r>
      <w:r w:rsidRPr="008642D1">
        <w:rPr>
          <w:rStyle w:val="FootnoteReference"/>
        </w:rPr>
        <w:footnoteReference w:id="344"/>
      </w:r>
      <w:r w:rsidRPr="008642D1">
        <w:t xml:space="preserve"> </w:t>
      </w:r>
    </w:p>
    <w:p w14:paraId="53047264" w14:textId="192106E6" w:rsidR="00FB34B7" w:rsidRPr="008642D1" w:rsidRDefault="00FB34B7" w:rsidP="007913DE">
      <w:pPr>
        <w:pStyle w:val="BodyText"/>
      </w:pPr>
      <w:r w:rsidRPr="008642D1">
        <w:t>Based on our preliminary research and engagement (including at the wānanga)</w:t>
      </w:r>
      <w:r w:rsidR="00867F2C">
        <w:t>,</w:t>
      </w:r>
      <w:r w:rsidRPr="008642D1">
        <w:t xml:space="preserve"> we understand that many Māori who are transgender or non-binary or who have an innate variation of sex characteristics would welcome having more explicit protection from anti-discrimination laws. We are also aware that one of the claims in the Mana Wāhine kaupapa inquiry being undertaken by Te Rōpū Whakamana i te Tiriti o Waitangi</w:t>
      </w:r>
      <w:r w:rsidRPr="008642D1" w:rsidDel="005E5B22">
        <w:t xml:space="preserve"> </w:t>
      </w:r>
      <w:r w:rsidRPr="008642D1">
        <w:t>| Waitangi Tribunal refers to the failure of the Human Rights Act to protect takatāpui from discrimination.</w:t>
      </w:r>
      <w:r w:rsidRPr="008642D1">
        <w:rPr>
          <w:rStyle w:val="FootnoteReference"/>
        </w:rPr>
        <w:footnoteReference w:id="345"/>
      </w:r>
    </w:p>
    <w:p w14:paraId="6CA54E54" w14:textId="63A5F691" w:rsidR="00FB34B7" w:rsidRPr="008642D1" w:rsidRDefault="00FB34B7" w:rsidP="00DF306B">
      <w:pPr>
        <w:pStyle w:val="BodyText"/>
        <w:numPr>
          <w:ilvl w:val="1"/>
          <w:numId w:val="39"/>
        </w:numPr>
        <w:tabs>
          <w:tab w:val="clear" w:pos="709"/>
          <w:tab w:val="left" w:pos="720"/>
        </w:tabs>
        <w:ind w:hanging="709"/>
        <w:rPr>
          <w:rFonts w:eastAsiaTheme="minorEastAsia" w:cs="Aptos"/>
          <w:szCs w:val="20"/>
        </w:rPr>
      </w:pPr>
      <w:r w:rsidRPr="008642D1">
        <w:rPr>
          <w:rFonts w:eastAsiaTheme="minorEastAsia" w:cs="Aptos"/>
          <w:szCs w:val="20"/>
        </w:rPr>
        <w:t>We think article 3 of the Treaty is most obviously relevant to Te Aka Matua o te Ture</w:t>
      </w:r>
      <w:r w:rsidRPr="008642D1" w:rsidDel="00F35E58">
        <w:rPr>
          <w:rFonts w:eastAsiaTheme="minorEastAsia" w:cs="Aptos"/>
          <w:szCs w:val="20"/>
        </w:rPr>
        <w:t xml:space="preserve"> </w:t>
      </w:r>
      <w:r w:rsidRPr="008642D1">
        <w:rPr>
          <w:rFonts w:eastAsiaTheme="minorEastAsia" w:cs="Aptos"/>
          <w:szCs w:val="20"/>
        </w:rPr>
        <w:t xml:space="preserve">| Law Commission’s work when the Commission is reviewing laws and policies that have a disproportionate impact on Māori. We have not reached a concluded view on the relevance of article 3 to this review and welcome feedback on this. </w:t>
      </w:r>
    </w:p>
    <w:p w14:paraId="4B6E845F" w14:textId="1D2CCDA3" w:rsidR="00541EFE" w:rsidRPr="008642D1" w:rsidRDefault="00FB34B7" w:rsidP="00F95A78">
      <w:pPr>
        <w:pStyle w:val="BodyText"/>
      </w:pPr>
      <w:r w:rsidRPr="008642D1">
        <w:rPr>
          <w:rFonts w:eastAsiaTheme="minorEastAsia"/>
        </w:rPr>
        <w:t xml:space="preserve">We are also interested to understand the implications for this review of article 2 of the Treaty and, specifically, the Crown’s undertaking </w:t>
      </w:r>
      <w:r w:rsidRPr="008642D1">
        <w:t>to protect the exercise by Māori of tino rangatiratanga.</w:t>
      </w:r>
      <w:r w:rsidRPr="008642D1">
        <w:rPr>
          <w:rStyle w:val="FootnoteReference"/>
        </w:rPr>
        <w:footnoteReference w:id="346"/>
      </w:r>
      <w:r w:rsidRPr="008642D1">
        <w:t xml:space="preserve"> We think the main issues that arise in respect of article 2 concern the potential for regulation of discrimination under state law to intrude on the exercise of tikanga. Those issues are best addressed later in the Issues Paper once the Human Rights Act’s regime of rules and exceptions has been more thoroughly explained. We address it in Chapter 17.</w:t>
      </w:r>
    </w:p>
    <w:p w14:paraId="45F4696F" w14:textId="77777777" w:rsidR="00FB34B7" w:rsidRPr="008642D1" w:rsidRDefault="00FB34B7" w:rsidP="00FB34B7">
      <w:pPr>
        <w:pStyle w:val="Heading2"/>
        <w:rPr>
          <w:rFonts w:eastAsia="Calibri"/>
        </w:rPr>
      </w:pPr>
      <w:bookmarkStart w:id="90" w:name="_Toc170302147"/>
      <w:r w:rsidRPr="008642D1">
        <w:rPr>
          <w:rFonts w:eastAsia="Calibri"/>
        </w:rPr>
        <w:t>Should section 21 be amended?</w:t>
      </w:r>
      <w:bookmarkEnd w:id="90"/>
    </w:p>
    <w:p w14:paraId="4C7DA655" w14:textId="3DD2A739" w:rsidR="00FB34B7" w:rsidRPr="008642D1" w:rsidRDefault="00FB34B7" w:rsidP="00FB34B7">
      <w:pPr>
        <w:pStyle w:val="BodyText"/>
      </w:pPr>
      <w:r w:rsidRPr="008642D1">
        <w:t xml:space="preserve">Based on the above analysis of principle and precedent, we have reached the preliminary conclusion that New Zealand laws should protect people from discrimination that is linked to the fact (or the discriminator’s belief) they are transgender or non-binary or </w:t>
      </w:r>
      <w:r w:rsidR="00865DBF" w:rsidRPr="005F72A9">
        <w:rPr>
          <w:rFonts w:eastAsia="Calibri" w:cs="Arial"/>
        </w:rPr>
        <w:t>they</w:t>
      </w:r>
      <w:r w:rsidR="00865DBF">
        <w:rPr>
          <w:rFonts w:eastAsia="Calibri" w:cs="Arial"/>
          <w:b/>
          <w:bCs/>
        </w:rPr>
        <w:t xml:space="preserve"> </w:t>
      </w:r>
      <w:r w:rsidRPr="008642D1">
        <w:t xml:space="preserve">have an innate variation of sex characteristics. </w:t>
      </w:r>
      <w:r w:rsidRPr="008642D1">
        <w:rPr>
          <w:rFonts w:eastAsia="Calibri"/>
        </w:rPr>
        <w:t>There is, however, a separate question as to whether a legislative amendment is necessary or desirable to achieve this. As we stated in Chapter 4, l</w:t>
      </w:r>
      <w:r w:rsidRPr="008642D1">
        <w:t>egislative change should only be undertaken if it is necessary and if it is the most appropriate way to achieve a policy goal.</w:t>
      </w:r>
      <w:r w:rsidRPr="008642D1">
        <w:rPr>
          <w:rStyle w:val="FootnoteReference"/>
        </w:rPr>
        <w:footnoteReference w:id="347"/>
      </w:r>
    </w:p>
    <w:p w14:paraId="0B62F102" w14:textId="77777777" w:rsidR="00FB34B7" w:rsidRPr="008642D1" w:rsidRDefault="00FB34B7" w:rsidP="00FB34B7">
      <w:pPr>
        <w:pStyle w:val="Heading3"/>
      </w:pPr>
      <w:r w:rsidRPr="008642D1">
        <w:lastRenderedPageBreak/>
        <w:t>The case for no amendment to section 21</w:t>
      </w:r>
    </w:p>
    <w:p w14:paraId="6DC4A34E" w14:textId="77777777" w:rsidR="00FB34B7" w:rsidRPr="008642D1" w:rsidRDefault="00FB34B7" w:rsidP="00FB34B7">
      <w:pPr>
        <w:pStyle w:val="BodyText"/>
      </w:pPr>
      <w:r w:rsidRPr="008642D1">
        <w:rPr>
          <w:rFonts w:eastAsia="Calibri"/>
        </w:rPr>
        <w:t xml:space="preserve">The argument against amending section 21 hinges on the view that the existing grounds in section 21 are already wide enough to protect people who are transgender or non-binary or who have an innate variation of sex characteristics. </w:t>
      </w:r>
    </w:p>
    <w:p w14:paraId="2BB9CF6A" w14:textId="2B5CE444" w:rsidR="00FB34B7" w:rsidRPr="008642D1" w:rsidRDefault="00FB34B7" w:rsidP="00FB34B7">
      <w:pPr>
        <w:pStyle w:val="BodyText"/>
      </w:pPr>
      <w:r w:rsidRPr="008642D1">
        <w:rPr>
          <w:rFonts w:eastAsia="Calibri"/>
        </w:rPr>
        <w:t>One possibility is that these groups already receive protection under the prohibited ground of sex.</w:t>
      </w:r>
      <w:r w:rsidRPr="008642D1" w:rsidDel="00A64FEB">
        <w:rPr>
          <w:rFonts w:eastAsia="Calibri"/>
        </w:rPr>
        <w:t xml:space="preserve"> </w:t>
      </w:r>
      <w:r w:rsidRPr="008642D1">
        <w:t>In 2006, Te Tari Ture o te Karauna | Crown Law released a reasoned opinion concluding that discrimination based on a person’s gender identity is discrimination based on sex.</w:t>
      </w:r>
      <w:r w:rsidRPr="008642D1">
        <w:rPr>
          <w:rStyle w:val="FootnoteReference"/>
          <w:lang w:bidi="th-TH"/>
        </w:rPr>
        <w:footnoteReference w:id="348"/>
      </w:r>
      <w:r w:rsidRPr="008642D1">
        <w:rPr>
          <w:lang w:bidi="th-TH"/>
        </w:rPr>
        <w:t xml:space="preserve"> The opinion focused on discrimination against transgender people who identify as male or female</w:t>
      </w:r>
      <w:r w:rsidR="00164BCB">
        <w:rPr>
          <w:lang w:bidi="th-TH"/>
        </w:rPr>
        <w:t>. It</w:t>
      </w:r>
      <w:r w:rsidRPr="008642D1">
        <w:rPr>
          <w:lang w:bidi="th-TH"/>
        </w:rPr>
        <w:t xml:space="preserve"> did not address how the ground of sex might apply to people who identify outside that gender binary</w:t>
      </w:r>
      <w:r w:rsidR="00DC2229">
        <w:rPr>
          <w:lang w:bidi="th-TH"/>
        </w:rPr>
        <w:t xml:space="preserve"> or</w:t>
      </w:r>
      <w:r w:rsidRPr="008642D1">
        <w:rPr>
          <w:lang w:bidi="th-TH"/>
        </w:rPr>
        <w:t xml:space="preserve"> the position of people who have an innate variation of sex characteristics. However, on later occasions, the government has stated that protection also extends to people who are “gender diverse” or “intersex” (although without explaining its reasons for this view).</w:t>
      </w:r>
      <w:r w:rsidRPr="008642D1">
        <w:rPr>
          <w:vertAlign w:val="superscript"/>
          <w:lang w:bidi="th-TH"/>
        </w:rPr>
        <w:footnoteReference w:id="349"/>
      </w:r>
      <w:r w:rsidRPr="008642D1">
        <w:rPr>
          <w:lang w:bidi="th-TH"/>
        </w:rPr>
        <w:t xml:space="preserve">  </w:t>
      </w:r>
    </w:p>
    <w:p w14:paraId="1256D487" w14:textId="77777777" w:rsidR="00FB34B7" w:rsidRPr="008642D1" w:rsidRDefault="00FB34B7" w:rsidP="00FB34B7">
      <w:pPr>
        <w:pStyle w:val="BodyText"/>
      </w:pPr>
      <w:r w:rsidRPr="008642D1">
        <w:t>Te Kāhui Tika Tangata | Human Rights Commission also believes that discrimination against people who are transgender or non-binary or who have an innate variation of sex characteristics is sex discrimination. It accepts and mediates complaints on this basis.</w:t>
      </w:r>
      <w:r w:rsidRPr="008642D1">
        <w:rPr>
          <w:rStyle w:val="FootnoteReference"/>
          <w:lang w:bidi="th-TH"/>
        </w:rPr>
        <w:footnoteReference w:id="350"/>
      </w:r>
      <w:r w:rsidRPr="008642D1">
        <w:rPr>
          <w:lang w:bidi="th-TH"/>
        </w:rPr>
        <w:t xml:space="preserve"> </w:t>
      </w:r>
      <w:r w:rsidRPr="008642D1">
        <w:t xml:space="preserve">  </w:t>
      </w:r>
    </w:p>
    <w:p w14:paraId="2823E94E" w14:textId="07645418" w:rsidR="00FB34B7" w:rsidRPr="008642D1" w:rsidRDefault="00FB34B7" w:rsidP="00FB34B7">
      <w:pPr>
        <w:pStyle w:val="BodyText"/>
      </w:pPr>
      <w:r w:rsidRPr="008642D1">
        <w:t>As far as we are aware, no New Zealand court or tribunal has yet determined whether discrimination based on a person’s gender identity or sex characteristics falls under the ground of sex in section 21</w:t>
      </w:r>
      <w:r w:rsidR="00C652CF">
        <w:t>,</w:t>
      </w:r>
      <w:r w:rsidRPr="008642D1">
        <w:t xml:space="preserve"> although we are aware of two cases currently before T</w:t>
      </w:r>
      <w:r w:rsidRPr="008642D1">
        <w:rPr>
          <w:szCs w:val="20"/>
        </w:rPr>
        <w:t>e Taraipiunara Mana Tangata |</w:t>
      </w:r>
      <w:r w:rsidRPr="008642D1">
        <w:t xml:space="preserve"> Human Rights Review Tribunal in which the point is being argued.</w:t>
      </w:r>
      <w:r w:rsidRPr="008642D1">
        <w:rPr>
          <w:rStyle w:val="FootnoteReference"/>
        </w:rPr>
        <w:footnoteReference w:id="351"/>
      </w:r>
      <w:r w:rsidRPr="008642D1">
        <w:rPr>
          <w:rFonts w:eastAsiaTheme="minorEastAsia"/>
        </w:rPr>
        <w:t xml:space="preserve"> </w:t>
      </w:r>
      <w:r w:rsidRPr="008642D1">
        <w:t>Te Mana Whanonga Kaipāho | Broadcasting Standards Authority has held that, in the context of broadcasting standards, sex discrimination includes discrimination against transgender people.</w:t>
      </w:r>
      <w:r w:rsidRPr="008642D1">
        <w:rPr>
          <w:rStyle w:val="FootnoteReference"/>
        </w:rPr>
        <w:footnoteReference w:id="352"/>
      </w:r>
      <w:r w:rsidRPr="008642D1">
        <w:rPr>
          <w:rFonts w:eastAsiaTheme="minorEastAsia"/>
        </w:rPr>
        <w:t xml:space="preserve"> Claims of sex </w:t>
      </w:r>
      <w:r w:rsidRPr="008642D1" w:rsidDel="00436C77">
        <w:rPr>
          <w:rFonts w:eastAsiaTheme="minorEastAsia"/>
        </w:rPr>
        <w:t>d</w:t>
      </w:r>
      <w:r w:rsidRPr="008642D1" w:rsidDel="00436C77">
        <w:t xml:space="preserve">iscrimination </w:t>
      </w:r>
      <w:r w:rsidRPr="008642D1">
        <w:t>by transgender complainants have succeeded in several other jurisdictions.</w:t>
      </w:r>
      <w:r w:rsidRPr="008642D1">
        <w:rPr>
          <w:rStyle w:val="FootnoteReference"/>
        </w:rPr>
        <w:footnoteReference w:id="353"/>
      </w:r>
    </w:p>
    <w:p w14:paraId="04BA19E6" w14:textId="77777777" w:rsidR="00FB34B7" w:rsidRPr="008642D1" w:rsidRDefault="00FB34B7" w:rsidP="00FB34B7">
      <w:pPr>
        <w:pStyle w:val="BodyText"/>
      </w:pPr>
      <w:r w:rsidRPr="008642D1">
        <w:t xml:space="preserve">A second possibility is that the three groups are protected by the prohibited ground of disability. Section 21 sets out what the ground of disability means. The definition includes “any … loss or abnormality of psychological, physiological, or anatomical structure or function”. </w:t>
      </w:r>
    </w:p>
    <w:p w14:paraId="728047BF" w14:textId="0E7A5AE0" w:rsidR="00FB34B7" w:rsidRPr="008642D1" w:rsidRDefault="00FB34B7" w:rsidP="00FB34B7">
      <w:pPr>
        <w:pStyle w:val="BodyText"/>
      </w:pPr>
      <w:r w:rsidRPr="008642D1">
        <w:t>In some countries, transgender complainants have successfully relied on the ground of disability (generally in tandem with a sex or gender ground).</w:t>
      </w:r>
      <w:r w:rsidRPr="008642D1">
        <w:rPr>
          <w:rStyle w:val="FootnoteReference"/>
          <w:lang w:bidi="th-TH"/>
        </w:rPr>
        <w:footnoteReference w:id="354"/>
      </w:r>
      <w:r w:rsidRPr="008642D1">
        <w:t xml:space="preserve"> We are unaware of overseas cases where a complainant with an innate variation of sex characteristics has </w:t>
      </w:r>
      <w:r w:rsidRPr="008642D1">
        <w:lastRenderedPageBreak/>
        <w:t>relied on the prohibited ground of disability</w:t>
      </w:r>
      <w:r w:rsidR="00C652CF">
        <w:t>,</w:t>
      </w:r>
      <w:r w:rsidRPr="008642D1">
        <w:t xml:space="preserve"> although we are aware of commentary that raises this possibility.</w:t>
      </w:r>
      <w:r w:rsidRPr="008642D1">
        <w:rPr>
          <w:rStyle w:val="FootnoteReference"/>
        </w:rPr>
        <w:footnoteReference w:id="355"/>
      </w:r>
      <w:r w:rsidRPr="008642D1">
        <w:t xml:space="preserve"> </w:t>
      </w:r>
    </w:p>
    <w:p w14:paraId="3E4D5742" w14:textId="77777777" w:rsidR="00FB34B7" w:rsidRPr="008642D1" w:rsidRDefault="00FB34B7" w:rsidP="00FB34B7">
      <w:pPr>
        <w:pStyle w:val="BodyText"/>
      </w:pPr>
      <w:r w:rsidRPr="008642D1">
        <w:t>We understand the Human Rights Commission has received complaints from transgender people of discrimination on the ground of disability in the past.</w:t>
      </w:r>
      <w:r w:rsidRPr="008642D1">
        <w:rPr>
          <w:rStyle w:val="FootnoteReference"/>
        </w:rPr>
        <w:footnoteReference w:id="356"/>
      </w:r>
      <w:r w:rsidRPr="008642D1">
        <w:t xml:space="preserve"> As far as we are aware, no New Zealand tribunal or court has ever considered whether people who are transgender or non-binary or who have an innate variation of sex characteristics could fall within the ground of disability. </w:t>
      </w:r>
    </w:p>
    <w:p w14:paraId="381955F8" w14:textId="77777777" w:rsidR="00FB34B7" w:rsidRPr="008642D1" w:rsidRDefault="00FB34B7" w:rsidP="00FB34B7">
      <w:pPr>
        <w:pStyle w:val="Heading3"/>
      </w:pPr>
      <w:r w:rsidRPr="008642D1">
        <w:t>Legislative amendment is necessary and desirable</w:t>
      </w:r>
    </w:p>
    <w:p w14:paraId="3F03E083" w14:textId="77777777" w:rsidR="00FB34B7" w:rsidRPr="008642D1" w:rsidRDefault="00FB34B7" w:rsidP="00FB34B7">
      <w:pPr>
        <w:pStyle w:val="BodyText"/>
      </w:pPr>
      <w:r w:rsidRPr="008642D1">
        <w:t>Despite these arguments being available, we have reached the preliminary view that legislative amendment is necessary and desirable to ensure adequate protection from discrimination for people who are transgender or non-binary or who have an innate variation of sex characteristics. Our reasons are as follows.</w:t>
      </w:r>
    </w:p>
    <w:p w14:paraId="12C8DE21" w14:textId="370E2A7F" w:rsidR="00FB34B7" w:rsidRPr="008642D1" w:rsidRDefault="00FB34B7" w:rsidP="00FB34B7">
      <w:pPr>
        <w:pStyle w:val="BodyText"/>
      </w:pPr>
      <w:r w:rsidRPr="008642D1">
        <w:t xml:space="preserve">First, although it is nearly two decades since the Crown Law opinion, there is no decision from any New Zealand court or tribunal clarifying the law. For all that time (and even before then), people in the affected communities have been calling for certainty as to their legal rights. We </w:t>
      </w:r>
      <w:r w:rsidRPr="008642D1" w:rsidDel="00EA3005">
        <w:t xml:space="preserve">do not think this </w:t>
      </w:r>
      <w:r w:rsidRPr="008642D1">
        <w:t>uncertainty</w:t>
      </w:r>
      <w:r w:rsidRPr="008642D1" w:rsidDel="00EA3005">
        <w:t xml:space="preserve"> is satisfactory in relation to a matter as fundamental as a person’s right to freedom from discrimination.</w:t>
      </w:r>
      <w:r w:rsidRPr="008642D1">
        <w:t xml:space="preserve"> It also leaves open the possibility that a government may interpret the position differently in future or in the context of a specific policy decision or legal proceeding. </w:t>
      </w:r>
    </w:p>
    <w:p w14:paraId="3EFE57FA" w14:textId="77777777" w:rsidR="00FB34B7" w:rsidRPr="008642D1" w:rsidRDefault="00FB34B7" w:rsidP="00FB34B7">
      <w:pPr>
        <w:pStyle w:val="BodyText"/>
      </w:pPr>
      <w:r w:rsidRPr="008642D1">
        <w:t xml:space="preserve">Second, the current approach relies on individual litigants bringing cases to a court or tribunal to clarify the law. This is an unfair burden on individuals from disadvantaged communities. </w:t>
      </w:r>
    </w:p>
    <w:p w14:paraId="3E81F04E" w14:textId="243D0F0C" w:rsidR="00FB34B7" w:rsidRPr="008642D1" w:rsidDel="0011548B" w:rsidRDefault="00FB34B7" w:rsidP="00FB34B7">
      <w:pPr>
        <w:pStyle w:val="BodyText"/>
      </w:pPr>
      <w:r w:rsidRPr="008642D1">
        <w:t>Third</w:t>
      </w:r>
      <w:r w:rsidRPr="008642D1" w:rsidDel="0011548B">
        <w:t>, whether a court or tribunal w</w:t>
      </w:r>
      <w:r w:rsidRPr="008642D1">
        <w:t>ill</w:t>
      </w:r>
      <w:r w:rsidRPr="008642D1" w:rsidDel="0011548B">
        <w:t xml:space="preserve"> ultimately find that </w:t>
      </w:r>
      <w:r w:rsidRPr="008642D1">
        <w:t xml:space="preserve">a complainant who is </w:t>
      </w:r>
      <w:r w:rsidRPr="008642D1" w:rsidDel="0011548B">
        <w:t>transgender</w:t>
      </w:r>
      <w:r w:rsidRPr="008642D1">
        <w:t xml:space="preserve"> or</w:t>
      </w:r>
      <w:r w:rsidRPr="008642D1" w:rsidDel="0011548B">
        <w:t xml:space="preserve"> non-binary or </w:t>
      </w:r>
      <w:r w:rsidRPr="008642D1">
        <w:t>who</w:t>
      </w:r>
      <w:r w:rsidRPr="008642D1" w:rsidDel="0011548B">
        <w:t xml:space="preserve"> </w:t>
      </w:r>
      <w:r w:rsidRPr="008642D1">
        <w:t>has an innate variation of sex characteristics</w:t>
      </w:r>
      <w:r w:rsidRPr="008642D1" w:rsidDel="0011548B">
        <w:t xml:space="preserve"> </w:t>
      </w:r>
      <w:r w:rsidRPr="008642D1">
        <w:t>is</w:t>
      </w:r>
      <w:r w:rsidRPr="008642D1" w:rsidDel="0011548B">
        <w:t xml:space="preserve"> protected by existing grounds is </w:t>
      </w:r>
      <w:r w:rsidRPr="008642D1">
        <w:t xml:space="preserve">a matter of </w:t>
      </w:r>
      <w:r w:rsidRPr="008642D1" w:rsidDel="0011548B">
        <w:t>speculati</w:t>
      </w:r>
      <w:r w:rsidRPr="008642D1">
        <w:t>on</w:t>
      </w:r>
      <w:r w:rsidRPr="008642D1" w:rsidDel="0011548B">
        <w:t>.</w:t>
      </w:r>
      <w:r w:rsidRPr="008642D1" w:rsidDel="0011548B">
        <w:rPr>
          <w:rStyle w:val="FootnoteReference"/>
        </w:rPr>
        <w:footnoteReference w:id="357"/>
      </w:r>
      <w:r w:rsidRPr="008642D1" w:rsidDel="0011548B">
        <w:t xml:space="preserve"> It is possible (perhaps even likely) some degree of protection w</w:t>
      </w:r>
      <w:r w:rsidRPr="008642D1">
        <w:t>ill</w:t>
      </w:r>
      <w:r w:rsidRPr="008642D1" w:rsidDel="0011548B">
        <w:t xml:space="preserve"> be extended, especially given the experience in other countries. However, it is by no means certain. The result </w:t>
      </w:r>
      <w:r w:rsidRPr="008642D1">
        <w:t>may</w:t>
      </w:r>
      <w:r w:rsidRPr="008642D1" w:rsidDel="0011548B">
        <w:t xml:space="preserve"> depend in part on factors such as the </w:t>
      </w:r>
      <w:r w:rsidRPr="008642D1">
        <w:t>way</w:t>
      </w:r>
      <w:r w:rsidRPr="008642D1" w:rsidDel="0011548B">
        <w:t xml:space="preserve"> the case </w:t>
      </w:r>
      <w:r w:rsidRPr="008642D1">
        <w:t>is presented and</w:t>
      </w:r>
      <w:r w:rsidRPr="008642D1" w:rsidDel="00E32B16">
        <w:t xml:space="preserve"> the </w:t>
      </w:r>
      <w:r w:rsidRPr="008642D1">
        <w:t>evidence that is placed before the court</w:t>
      </w:r>
      <w:r w:rsidR="00F536E1">
        <w:t xml:space="preserve"> or tribunal</w:t>
      </w:r>
      <w:r w:rsidRPr="008642D1" w:rsidDel="0011548B">
        <w:t>.</w:t>
      </w:r>
    </w:p>
    <w:p w14:paraId="19ECBC0D" w14:textId="6492D76D" w:rsidR="00FB34B7" w:rsidRPr="008642D1" w:rsidRDefault="00FB34B7" w:rsidP="00FB34B7">
      <w:pPr>
        <w:pStyle w:val="BodyText"/>
      </w:pPr>
      <w:r w:rsidRPr="008642D1">
        <w:t xml:space="preserve">The precise scope of protection that will ultimately be extended is also a matter of speculation. It is possible protection will extend to all people </w:t>
      </w:r>
      <w:r w:rsidR="00D67E6B">
        <w:t>who</w:t>
      </w:r>
      <w:r w:rsidR="00D67E6B" w:rsidRPr="008642D1">
        <w:t xml:space="preserve"> </w:t>
      </w:r>
      <w:r w:rsidRPr="008642D1">
        <w:t xml:space="preserve">fall within the three groups. However, it is also possible protection will be uneven, fact-dependent or incomplete. For example, we have not found overseas authority for extending protection under the ground of sex to complainants who are non-binary or who have an innate variation of sex characteristics. Although some commentators argue persuasively these </w:t>
      </w:r>
      <w:r w:rsidRPr="008642D1">
        <w:lastRenderedPageBreak/>
        <w:t>groups would be entitled to protection, their position is more vulnerable.</w:t>
      </w:r>
      <w:r w:rsidRPr="008642D1">
        <w:rPr>
          <w:vertAlign w:val="superscript"/>
        </w:rPr>
        <w:footnoteReference w:id="358"/>
      </w:r>
      <w:r w:rsidRPr="008642D1">
        <w:t xml:space="preserve"> Another group that might be vulnerable is transgender people who are gender fluid or early in their transition.</w:t>
      </w:r>
    </w:p>
    <w:p w14:paraId="29F6FECA" w14:textId="62EB6491" w:rsidR="00FB34B7" w:rsidRPr="008642D1" w:rsidRDefault="00FB34B7" w:rsidP="00FB34B7">
      <w:pPr>
        <w:pStyle w:val="BodyText"/>
      </w:pPr>
      <w:r w:rsidRPr="008642D1">
        <w:t xml:space="preserve">There might also be uneven coverage under the disability ground. The cases that have succeeded so far in other countries have relied on a formal diagnosis of gender dysphoria. It might be more difficult for a person to bring a case of disability discrimination if they have not been able, or have not wished, to access a diagnosis. Again, those in an early stage of transition may face particular difficulties. Although the legislative definition of disability is wide, </w:t>
      </w:r>
      <w:r w:rsidR="0009765F">
        <w:rPr>
          <w:rFonts w:eastAsia="Metropolis Light"/>
        </w:rPr>
        <w:t>T</w:t>
      </w:r>
      <w:r w:rsidR="00286BB5" w:rsidRPr="19026D74">
        <w:rPr>
          <w:rFonts w:eastAsia="Metropolis Light"/>
        </w:rPr>
        <w:t xml:space="preserve">e Kōti Matua </w:t>
      </w:r>
      <w:r w:rsidR="00286BB5">
        <w:rPr>
          <w:rFonts w:eastAsia="Metropolis Light"/>
        </w:rPr>
        <w:t>|</w:t>
      </w:r>
      <w:r w:rsidDel="00286BB5">
        <w:rPr>
          <w:rFonts w:eastAsia="Metropolis Light"/>
        </w:rPr>
        <w:t xml:space="preserve"> </w:t>
      </w:r>
      <w:r w:rsidRPr="008642D1">
        <w:t>High Court has said that a condition needs to have an element of gravity or permanence to qualify.</w:t>
      </w:r>
      <w:r w:rsidRPr="008642D1">
        <w:rPr>
          <w:rStyle w:val="FootnoteReference"/>
        </w:rPr>
        <w:footnoteReference w:id="359"/>
      </w:r>
      <w:r w:rsidRPr="008642D1">
        <w:t xml:space="preserve"> </w:t>
      </w:r>
    </w:p>
    <w:p w14:paraId="03994A7A" w14:textId="3B040120" w:rsidR="00FB34B7" w:rsidRPr="008642D1" w:rsidRDefault="00FB34B7" w:rsidP="00FB34B7">
      <w:pPr>
        <w:pStyle w:val="BodyText"/>
      </w:pPr>
      <w:r w:rsidRPr="008642D1">
        <w:t>Fourth, relying on the disability ground does not sit well with how some people in these groups identify themselves. Some may indeed identify as having a disability (especially bearing in mind the social model of disability, which views a person as being disabled by societal barriers rather than by a condition). Others, however, might see this as medicalising and even offensive.</w:t>
      </w:r>
      <w:r w:rsidRPr="008642D1">
        <w:rPr>
          <w:vertAlign w:val="superscript"/>
        </w:rPr>
        <w:footnoteReference w:id="360"/>
      </w:r>
      <w:r w:rsidRPr="008642D1">
        <w:t xml:space="preserve">  </w:t>
      </w:r>
    </w:p>
    <w:p w14:paraId="2ACADB8D" w14:textId="77777777" w:rsidR="00FB34B7" w:rsidRPr="008642D1" w:rsidRDefault="00FB34B7" w:rsidP="00FB34B7">
      <w:pPr>
        <w:pStyle w:val="BodyText"/>
      </w:pPr>
      <w:r w:rsidRPr="008642D1">
        <w:t xml:space="preserve">Similarly, the sex ground does not sit comfortably with how everyone in these groups identifies themselves. For example, we understand many people with an innate variation of sex characteristics see their variation as something quite separate from their sex. </w:t>
      </w:r>
    </w:p>
    <w:p w14:paraId="435570A9" w14:textId="0E7CB5D2" w:rsidR="00FB34B7" w:rsidRPr="008642D1" w:rsidRDefault="00FB34B7" w:rsidP="00FB34B7">
      <w:pPr>
        <w:pStyle w:val="BodyText"/>
      </w:pPr>
      <w:r w:rsidRPr="008642D1">
        <w:t>Fifth, we think the absence of explicit protection may inhibit access to justice for people who are transgender or non-binary or who have an innate variation of sex characteristics. It makes it hard for people to know their rights and, conversely, their legal obligations. It is striking that, despite the data suggesting people in these communities experience high levels of discrimination, no case has yet been determined by the Human Rights Review Tribunal. As we will discuss in Chapter 18, Human Rights Commission data about the number of complaints it receives and mediates show a very low proportion of complaints from these groups. The</w:t>
      </w:r>
      <w:r w:rsidR="000071FA" w:rsidRPr="008642D1">
        <w:t xml:space="preserve"> </w:t>
      </w:r>
      <w:r w:rsidRPr="008642D1">
        <w:t>Commission has said it is consistently told by transgender and non-binary people that they do not feel protected by the existing grounds.</w:t>
      </w:r>
      <w:r w:rsidRPr="008642D1">
        <w:rPr>
          <w:vertAlign w:val="superscript"/>
        </w:rPr>
        <w:footnoteReference w:id="361"/>
      </w:r>
    </w:p>
    <w:p w14:paraId="3FCFE553" w14:textId="77777777" w:rsidR="00FB34B7" w:rsidRPr="008642D1" w:rsidRDefault="00FB34B7" w:rsidP="00FB34B7">
      <w:pPr>
        <w:pStyle w:val="BodyText"/>
      </w:pPr>
      <w:r w:rsidRPr="008642D1">
        <w:t xml:space="preserve">People are more likely to understand their rights and obligations when the law is clear and accessible. Clarity, certainty and accessibility of the law can also make dispute resolution more efficient, for example, by encouraging early settlement. </w:t>
      </w:r>
      <w:bookmarkStart w:id="91" w:name="_Hlk160978723"/>
    </w:p>
    <w:bookmarkEnd w:id="91"/>
    <w:p w14:paraId="259D8A81" w14:textId="5B403FD5" w:rsidR="00FB34B7" w:rsidRPr="008642D1" w:rsidRDefault="00FB34B7" w:rsidP="00FB34B7">
      <w:pPr>
        <w:pStyle w:val="BodyText"/>
      </w:pPr>
      <w:r w:rsidRPr="008642D1">
        <w:t>Finally, we think amending section 21 would have an important educational and symbolic function. It would make a clear statement about what forms of discrimination are not allowed in Aotearoa New Zealand.</w:t>
      </w:r>
      <w:r w:rsidRPr="008642D1">
        <w:rPr>
          <w:vertAlign w:val="superscript"/>
        </w:rPr>
        <w:footnoteReference w:id="362"/>
      </w:r>
      <w:r w:rsidRPr="008642D1">
        <w:t xml:space="preserve"> This educative and symbolic function has been </w:t>
      </w:r>
      <w:r w:rsidRPr="008642D1">
        <w:lastRenderedPageBreak/>
        <w:t>discussed in other jurisdictions in relation to gender identity and in Aotearoa New Zealand during parliamentary debates preceding the enactment of the Human Rights Act.</w:t>
      </w:r>
      <w:r w:rsidRPr="008642D1">
        <w:rPr>
          <w:vertAlign w:val="superscript"/>
        </w:rPr>
        <w:footnoteReference w:id="363"/>
      </w:r>
      <w:r w:rsidRPr="008642D1">
        <w:t xml:space="preserve"> For example, gender identity was added as an express ground in Canadian legislation for reasons of visibility despite case law that had already found it was covered by the ground of sex.</w:t>
      </w:r>
      <w:r w:rsidRPr="008642D1">
        <w:rPr>
          <w:vertAlign w:val="superscript"/>
        </w:rPr>
        <w:footnoteReference w:id="364"/>
      </w:r>
    </w:p>
    <w:p w14:paraId="27D7392D" w14:textId="1F9DD1B4" w:rsidR="00FB34B7" w:rsidRPr="008642D1" w:rsidRDefault="00FB34B7" w:rsidP="00FB34B7">
      <w:pPr>
        <w:pStyle w:val="BodyText"/>
      </w:pPr>
      <w:r w:rsidRPr="008642D1">
        <w:t>For all these reasons, our preliminary conclusion is that an amendment to section 21 is necessary and desirable</w:t>
      </w:r>
      <w:r w:rsidRPr="008642D1">
        <w:rPr>
          <w:rFonts w:eastAsia="Calibri" w:cs="Arial"/>
        </w:rPr>
        <w:t xml:space="preserve"> to ensure adequate protection from discrimination to people who are transgender or non-binary or who have an innate variation of sex characteristics</w:t>
      </w:r>
      <w:r w:rsidRPr="008642D1">
        <w:t>. Notably, although the Human Rights Commission thinks protection is already available under the sex ground, it also thinks reform is needed to clarify the law.</w:t>
      </w:r>
      <w:r w:rsidRPr="008642D1">
        <w:rPr>
          <w:rStyle w:val="FootnoteReference"/>
        </w:rPr>
        <w:footnoteReference w:id="365"/>
      </w:r>
      <w:r w:rsidRPr="008642D1">
        <w:t xml:space="preserve"> </w:t>
      </w:r>
    </w:p>
    <w:p w14:paraId="06B943AD" w14:textId="044C0305" w:rsidR="00FB34B7" w:rsidRPr="008642D1" w:rsidRDefault="00FB34B7" w:rsidP="00FB34B7">
      <w:pPr>
        <w:pStyle w:val="BodyText"/>
      </w:pPr>
      <w:r w:rsidRPr="008642D1">
        <w:t>This conclusion raises important questions such as how to frame an amendment to section 21 and what exceptions the legislation should specify. We examine those questions in later chapters.</w:t>
      </w:r>
    </w:p>
    <w:p w14:paraId="0C65EC8A" w14:textId="0482AE07" w:rsidR="00FB34B7" w:rsidRPr="008642D1" w:rsidRDefault="00C22879" w:rsidP="00FB34B7">
      <w:pPr>
        <w:pStyle w:val="QuestionBox"/>
        <w:rPr>
          <w:noProof/>
        </w:rPr>
      </w:pPr>
      <w:r w:rsidRPr="008642D1">
        <w:rPr>
          <w:noProof/>
        </w:rPr>
        <mc:AlternateContent>
          <mc:Choice Requires="wpg">
            <w:drawing>
              <wp:anchor distT="0" distB="0" distL="114300" distR="114300" simplePos="0" relativeHeight="251658314" behindDoc="1" locked="0" layoutInCell="1" allowOverlap="1" wp14:anchorId="2CF66A71" wp14:editId="2E84F429">
                <wp:simplePos x="0" y="0"/>
                <wp:positionH relativeFrom="column">
                  <wp:posOffset>-7793</wp:posOffset>
                </wp:positionH>
                <wp:positionV relativeFrom="paragraph">
                  <wp:posOffset>5888</wp:posOffset>
                </wp:positionV>
                <wp:extent cx="5760085" cy="2369088"/>
                <wp:effectExtent l="0" t="0" r="0" b="0"/>
                <wp:wrapNone/>
                <wp:docPr id="617834079" name="Group 617834079" descr="Questi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760085" cy="2369088"/>
                          <a:chOff x="0" y="62865"/>
                          <a:chExt cx="5760085" cy="2370470"/>
                        </a:xfrm>
                      </wpg:grpSpPr>
                      <wps:wsp>
                        <wps:cNvPr id="1975573608"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E9FBC9" w14:textId="5576FEE6" w:rsidR="00BD5542" w:rsidRDefault="00BD5542" w:rsidP="00BD5542">
                              <w:pPr>
                                <w:pStyle w:val="BoxTitle"/>
                                <w:spacing w:before="0" w:beforeAutospacing="0"/>
                              </w:pPr>
                              <w:r w:rsidRPr="007F6876">
                                <w:t>QUESTION</w:t>
                              </w:r>
                              <w:r w:rsidR="00F536E1">
                                <w:t>S</w:t>
                              </w:r>
                            </w:p>
                          </w:txbxContent>
                        </wps:txbx>
                        <wps:bodyPr rot="0" vert="horz" wrap="square" lIns="91440" tIns="0" rIns="0" bIns="45720" anchor="ctr" anchorCtr="0" upright="1">
                          <a:noAutofit/>
                        </wps:bodyPr>
                      </wps:wsp>
                      <wpg:grpSp>
                        <wpg:cNvPr id="1703406487" name="Group 53"/>
                        <wpg:cNvGrpSpPr>
                          <a:grpSpLocks/>
                        </wpg:cNvGrpSpPr>
                        <wpg:grpSpPr bwMode="auto">
                          <a:xfrm>
                            <a:off x="0" y="315891"/>
                            <a:ext cx="5760085" cy="2117444"/>
                            <a:chOff x="1837" y="1788"/>
                            <a:chExt cx="9302" cy="22872"/>
                          </a:xfrm>
                        </wpg:grpSpPr>
                        <wps:wsp>
                          <wps:cNvPr id="435222654" name="Freeform 54"/>
                          <wps:cNvSpPr>
                            <a:spLocks/>
                          </wps:cNvSpPr>
                          <wps:spPr bwMode="auto">
                            <a:xfrm>
                              <a:off x="1837" y="1788"/>
                              <a:ext cx="9302" cy="2287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7747239" name="Group 1667747239"/>
                        <wpg:cNvGrpSpPr/>
                        <wpg:grpSpPr>
                          <a:xfrm>
                            <a:off x="0" y="494036"/>
                            <a:ext cx="1443794" cy="252000"/>
                            <a:chOff x="-15880" y="0"/>
                            <a:chExt cx="1444379" cy="252068"/>
                          </a:xfrm>
                        </wpg:grpSpPr>
                        <wps:wsp>
                          <wps:cNvPr id="190350860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28497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5EB275" w14:textId="17ED0436" w:rsidR="00BD5542" w:rsidRPr="00E90B8A" w:rsidRDefault="00BD5542" w:rsidP="00BD5542">
                                <w:pPr>
                                  <w:pStyle w:val="BoxTitle"/>
                                  <w:spacing w:before="0" w:beforeAutospacing="0"/>
                                  <w:rPr>
                                    <w:sz w:val="18"/>
                                    <w:szCs w:val="18"/>
                                  </w:rPr>
                                </w:pPr>
                                <w:r w:rsidRPr="00E90B8A">
                                  <w:rPr>
                                    <w:sz w:val="18"/>
                                    <w:szCs w:val="18"/>
                                  </w:rPr>
                                  <w:t>Q</w:t>
                                </w:r>
                                <w:r w:rsidR="00C22879">
                                  <w:rPr>
                                    <w:sz w:val="18"/>
                                    <w:szCs w:val="18"/>
                                  </w:rPr>
                                  <w:t>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CF66A71" id="Group 617834079" o:spid="_x0000_s1058" alt="Question" style="position:absolute;left:0;text-align:left;margin-left:-.6pt;margin-top:.45pt;width:453.55pt;height:186.55pt;z-index:-251658166;mso-height-relative:margin" coordorigin=",628" coordsize="57600,2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">
                <v:shape id="Freeform 52" o:spid="_x0000_s105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BE9FBC9" w14:textId="5576FEE6" w:rsidR="00BD5542" w:rsidRDefault="00BD5542" w:rsidP="00BD5542">
                        <w:pPr>
                          <w:pStyle w:val="BoxTitle"/>
                          <w:spacing w:before="0" w:beforeAutospacing="0"/>
                        </w:pPr>
                        <w:r w:rsidRPr="007F6876">
                          <w:t>QUESTION</w:t>
                        </w:r>
                        <w:r w:rsidR="00F536E1">
                          <w:t>S</w:t>
                        </w:r>
                      </w:p>
                    </w:txbxContent>
                  </v:textbox>
                </v:shape>
                <v:group id="Group 53" o:spid="_x0000_s1060" style="position:absolute;top:3158;width:57600;height:21175" coordorigin="1837,1788" coordsize="9302,2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">
                  <v:shape id="Freeform 54" o:spid="_x0000_s1061" style="position:absolute;left:1837;top:1788;width:9302;height:2287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" path="m,l9354,r,7809l,7809,,e" fillcolor="#edf2ea" stroked="f">
                    <v:path arrowok="t" o:connecttype="custom" o:connectlocs="0,2929;9302,2929;9302,25801;0,25801;0,2929" o:connectangles="0,0,0,0,0"/>
                  </v:shape>
                </v:group>
                <v:group id="Group 1667747239" o:spid="_x0000_s106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">
                  <v:shape id="Freeform 58" o:spid="_x0000_s106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" path="m,l1815,e" filled="f" strokecolor="#72ab6a" strokeweight=".5pt">
                    <v:path arrowok="t" o:connecttype="custom" o:connectlocs="0,0;1073495,0" o:connectangles="0,0"/>
                  </v:shape>
                  <v:shape id="Freeform 66" o:spid="_x0000_s106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E5EB275" w14:textId="17ED0436" w:rsidR="00BD5542" w:rsidRPr="00E90B8A" w:rsidRDefault="00BD5542" w:rsidP="00BD5542">
                          <w:pPr>
                            <w:pStyle w:val="BoxTitle"/>
                            <w:spacing w:before="0" w:beforeAutospacing="0"/>
                            <w:rPr>
                              <w:sz w:val="18"/>
                              <w:szCs w:val="18"/>
                            </w:rPr>
                          </w:pPr>
                          <w:r w:rsidRPr="00E90B8A">
                            <w:rPr>
                              <w:sz w:val="18"/>
                              <w:szCs w:val="18"/>
                            </w:rPr>
                            <w:t>Q</w:t>
                          </w:r>
                          <w:r w:rsidR="00C22879">
                            <w:rPr>
                              <w:sz w:val="18"/>
                              <w:szCs w:val="18"/>
                            </w:rPr>
                            <w:t>6</w:t>
                          </w:r>
                        </w:p>
                      </w:txbxContent>
                    </v:textbox>
                  </v:shape>
                </v:group>
              </v:group>
            </w:pict>
          </mc:Fallback>
        </mc:AlternateContent>
      </w:r>
    </w:p>
    <w:p w14:paraId="0E70071A" w14:textId="77777777" w:rsidR="00923A53" w:rsidRPr="008642D1" w:rsidRDefault="00923A53" w:rsidP="00FB34B7">
      <w:pPr>
        <w:pStyle w:val="QuestionBox"/>
        <w:rPr>
          <w:noProof/>
        </w:rPr>
      </w:pPr>
    </w:p>
    <w:p w14:paraId="0195513E" w14:textId="77777777" w:rsidR="00F95A78" w:rsidRDefault="000D45E4" w:rsidP="000D45E4">
      <w:pPr>
        <w:pStyle w:val="QuestionBox"/>
      </w:pPr>
      <w:r>
        <w:t xml:space="preserve">Do you have any feedback on our preliminary conclusion that an amendment to section 21 of the Human Rights Act 1993 </w:t>
      </w:r>
      <w:r w:rsidRPr="00E51838">
        <w:t xml:space="preserve">is </w:t>
      </w:r>
      <w:r w:rsidRPr="00305ECA">
        <w:t>necessary and desirable</w:t>
      </w:r>
      <w:r w:rsidRPr="00964D36">
        <w:rPr>
          <w:rFonts w:eastAsia="Calibri" w:cs="Arial"/>
        </w:rPr>
        <w:t xml:space="preserve"> </w:t>
      </w:r>
      <w:r w:rsidRPr="00281A70">
        <w:rPr>
          <w:rFonts w:eastAsia="Calibri" w:cs="Arial"/>
        </w:rPr>
        <w:t>to ensure adequate protection</w:t>
      </w:r>
      <w:r>
        <w:rPr>
          <w:rFonts w:eastAsia="Calibri" w:cs="Arial"/>
        </w:rPr>
        <w:t xml:space="preserve"> from discrimination for people who are transgender or non-binary or who have an innate variation of sex characteristics</w:t>
      </w:r>
      <w:r w:rsidRPr="006C3094">
        <w:t xml:space="preserve">? </w:t>
      </w:r>
    </w:p>
    <w:p w14:paraId="4C0E52DB" w14:textId="0D3BD38C" w:rsidR="00F95A78" w:rsidRDefault="00417191" w:rsidP="000D45E4">
      <w:pPr>
        <w:pStyle w:val="QuestionBox"/>
      </w:pPr>
      <w:r w:rsidRPr="008642D1">
        <w:rPr>
          <w:noProof/>
        </w:rPr>
        <mc:AlternateContent>
          <mc:Choice Requires="wpg">
            <w:drawing>
              <wp:anchor distT="0" distB="0" distL="114300" distR="114300" simplePos="0" relativeHeight="251658315" behindDoc="1" locked="0" layoutInCell="1" allowOverlap="1" wp14:anchorId="4B2F625F" wp14:editId="0B6FD79B">
                <wp:simplePos x="0" y="0"/>
                <wp:positionH relativeFrom="column">
                  <wp:posOffset>0</wp:posOffset>
                </wp:positionH>
                <wp:positionV relativeFrom="paragraph">
                  <wp:posOffset>139007</wp:posOffset>
                </wp:positionV>
                <wp:extent cx="1443355" cy="251460"/>
                <wp:effectExtent l="0" t="0" r="42545" b="0"/>
                <wp:wrapNone/>
                <wp:docPr id="972831045"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201417855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28007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16B574" w14:textId="5FED0DB7" w:rsidR="00417191" w:rsidRPr="00E90B8A" w:rsidRDefault="00417191" w:rsidP="00417191">
                              <w:pPr>
                                <w:pStyle w:val="BoxTitle"/>
                                <w:spacing w:before="0" w:beforeAutospacing="0"/>
                                <w:rPr>
                                  <w:sz w:val="18"/>
                                  <w:szCs w:val="18"/>
                                </w:rPr>
                              </w:pPr>
                              <w:r w:rsidRPr="00E90B8A">
                                <w:rPr>
                                  <w:sz w:val="18"/>
                                  <w:szCs w:val="18"/>
                                </w:rPr>
                                <w:t>Q</w:t>
                              </w:r>
                              <w:r w:rsidR="00C22879">
                                <w:rPr>
                                  <w:sz w:val="18"/>
                                  <w:szCs w:val="18"/>
                                </w:rPr>
                                <w:t>7</w:t>
                              </w:r>
                            </w:p>
                          </w:txbxContent>
                        </wps:txbx>
                        <wps:bodyPr rot="0" vert="horz" wrap="square" lIns="54000" tIns="82800" rIns="91440" bIns="45720" anchor="ctr" anchorCtr="0" upright="1">
                          <a:noAutofit/>
                        </wps:bodyPr>
                      </wps:wsp>
                    </wpg:wgp>
                  </a:graphicData>
                </a:graphic>
              </wp:anchor>
            </w:drawing>
          </mc:Choice>
          <mc:Fallback>
            <w:pict>
              <v:group w14:anchorId="4B2F625F" id="_x0000_s1065" style="position:absolute;left:0;text-align:left;margin-left:0;margin-top:10.95pt;width:113.65pt;height:19.8pt;z-index:-251658165"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">
                <v:shape id="Freeform 58" o:spid="_x0000_s106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" path="m,l1815,e" filled="f" strokecolor="#72ab6a" strokeweight=".5pt">
                  <v:path arrowok="t" o:connecttype="custom" o:connectlocs="0,0;1073495,0" o:connectangles="0,0"/>
                </v:shape>
                <v:shape id="Freeform 66" o:spid="_x0000_s106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716B574" w14:textId="5FED0DB7" w:rsidR="00417191" w:rsidRPr="00E90B8A" w:rsidRDefault="00417191" w:rsidP="00417191">
                        <w:pPr>
                          <w:pStyle w:val="BoxTitle"/>
                          <w:spacing w:before="0" w:beforeAutospacing="0"/>
                          <w:rPr>
                            <w:sz w:val="18"/>
                            <w:szCs w:val="18"/>
                          </w:rPr>
                        </w:pPr>
                        <w:r w:rsidRPr="00E90B8A">
                          <w:rPr>
                            <w:sz w:val="18"/>
                            <w:szCs w:val="18"/>
                          </w:rPr>
                          <w:t>Q</w:t>
                        </w:r>
                        <w:r w:rsidR="00C22879">
                          <w:rPr>
                            <w:sz w:val="18"/>
                            <w:szCs w:val="18"/>
                          </w:rPr>
                          <w:t>7</w:t>
                        </w:r>
                      </w:p>
                    </w:txbxContent>
                  </v:textbox>
                </v:shape>
              </v:group>
            </w:pict>
          </mc:Fallback>
        </mc:AlternateContent>
      </w:r>
    </w:p>
    <w:p w14:paraId="77CD73C9" w14:textId="41E35C83" w:rsidR="00FB34B7" w:rsidRPr="008642D1" w:rsidRDefault="00417191" w:rsidP="000D45E4">
      <w:pPr>
        <w:pStyle w:val="QuestionBox"/>
      </w:pPr>
      <w:r w:rsidRPr="00F33297">
        <w:rPr>
          <w:lang w:val="en-US"/>
        </w:rPr>
        <w:t xml:space="preserve">Do you have any feedback </w:t>
      </w:r>
      <w:r>
        <w:rPr>
          <w:lang w:val="en-US"/>
        </w:rPr>
        <w:t>on</w:t>
      </w:r>
      <w:r w:rsidRPr="00F33297">
        <w:rPr>
          <w:lang w:val="en-US"/>
        </w:rPr>
        <w:t xml:space="preserve"> the </w:t>
      </w:r>
      <w:r>
        <w:rPr>
          <w:lang w:val="en-US"/>
        </w:rPr>
        <w:t xml:space="preserve">implications </w:t>
      </w:r>
      <w:r w:rsidRPr="00F33297">
        <w:rPr>
          <w:lang w:val="en-US"/>
        </w:rPr>
        <w:t xml:space="preserve">of </w:t>
      </w:r>
      <w:r>
        <w:t>te Tiriti o Waitangi | Treaty of Waitangi</w:t>
      </w:r>
      <w:r>
        <w:rPr>
          <w:lang w:val="en-US"/>
        </w:rPr>
        <w:t xml:space="preserve"> for whether </w:t>
      </w:r>
      <w:r>
        <w:t xml:space="preserve">people who are transgender or non-binary or who have an innate variation of sex characteristics </w:t>
      </w:r>
      <w:r>
        <w:rPr>
          <w:lang w:val="en-US"/>
        </w:rPr>
        <w:t>should be protected from discrimination</w:t>
      </w:r>
      <w:r w:rsidRPr="00F33297">
        <w:rPr>
          <w:lang w:val="en-US"/>
        </w:rPr>
        <w:t>?</w:t>
      </w:r>
      <w:r w:rsidRPr="00F33297">
        <w:rPr>
          <w:rFonts w:ascii="Calibri" w:hAnsi="Calibri" w:cs="Calibri"/>
        </w:rPr>
        <w:t> </w:t>
      </w:r>
      <w:r w:rsidR="000D45E4" w:rsidRPr="006C3094">
        <w:rPr>
          <w:rFonts w:ascii="Calibri" w:hAnsi="Calibri" w:cs="Calibri"/>
        </w:rPr>
        <w:t> </w:t>
      </w:r>
    </w:p>
    <w:p w14:paraId="6592A1F9" w14:textId="77777777" w:rsidR="00A90C18" w:rsidRPr="008642D1" w:rsidRDefault="00A90C18" w:rsidP="00A90C18">
      <w:pPr>
        <w:pStyle w:val="ListNumber"/>
        <w:numPr>
          <w:ilvl w:val="0"/>
          <w:numId w:val="0"/>
        </w:numPr>
        <w:ind w:left="360" w:hanging="360"/>
        <w:rPr>
          <w:lang w:val="en-US"/>
        </w:rPr>
      </w:pPr>
    </w:p>
    <w:p w14:paraId="48BB47CA" w14:textId="77777777" w:rsidR="00A27A62" w:rsidRDefault="00A27A62" w:rsidP="00A27A62">
      <w:pPr>
        <w:pStyle w:val="BodyText"/>
        <w:numPr>
          <w:ilvl w:val="0"/>
          <w:numId w:val="0"/>
        </w:numPr>
        <w:ind w:left="709" w:hanging="709"/>
      </w:pPr>
    </w:p>
    <w:p w14:paraId="34217BAB" w14:textId="477E890B" w:rsidR="00EB70BA" w:rsidRPr="008642D1" w:rsidRDefault="00EB70BA" w:rsidP="00EB70BA">
      <w:pPr>
        <w:pStyle w:val="BodyText"/>
        <w:numPr>
          <w:ilvl w:val="0"/>
          <w:numId w:val="0"/>
        </w:numPr>
        <w:ind w:left="709"/>
      </w:pPr>
      <w:r w:rsidRPr="008642D1">
        <w:rPr>
          <w:rFonts w:eastAsiaTheme="minorHAnsi"/>
          <w:noProof/>
          <w:lang w:eastAsia="en-NZ"/>
        </w:rPr>
        <mc:AlternateContent>
          <mc:Choice Requires="wpg">
            <w:drawing>
              <wp:anchor distT="0" distB="0" distL="114300" distR="114300" simplePos="0" relativeHeight="251658263" behindDoc="1" locked="0" layoutInCell="1" allowOverlap="1" wp14:anchorId="02368F4E" wp14:editId="022459F6">
                <wp:simplePos x="0" y="0"/>
                <wp:positionH relativeFrom="page">
                  <wp:posOffset>1080135</wp:posOffset>
                </wp:positionH>
                <wp:positionV relativeFrom="paragraph">
                  <wp:posOffset>19050</wp:posOffset>
                </wp:positionV>
                <wp:extent cx="1800000" cy="1270"/>
                <wp:effectExtent l="0" t="19050" r="10160" b="17780"/>
                <wp:wrapNone/>
                <wp:docPr id="1308598015" name="Group 1308598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134" y="-469"/>
                          <a:chExt cx="2098" cy="2"/>
                        </a:xfrm>
                      </wpg:grpSpPr>
                      <wps:wsp>
                        <wps:cNvPr id="103305827"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EC3EC" id="Group 1308598015" o:spid="_x0000_s1026" style="position:absolute;margin-left:85.05pt;margin-top:1.5pt;width:141.75pt;height:.1pt;z-index:-251658217;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" path="m,l2097,e" filled="f" strokecolor="#72ab6a" strokeweight="3pt">
                  <v:path arrowok="t" o:connecttype="custom" o:connectlocs="0,0;2097,0" o:connectangles="0,0"/>
                </v:shape>
                <w10:wrap anchorx="page"/>
              </v:group>
            </w:pict>
          </mc:Fallback>
        </mc:AlternateContent>
      </w:r>
    </w:p>
    <w:p w14:paraId="03920D64" w14:textId="77777777" w:rsidR="00EB70BA" w:rsidRPr="008642D1" w:rsidRDefault="00EB70BA" w:rsidP="00A27A62">
      <w:pPr>
        <w:pStyle w:val="BodyText"/>
        <w:numPr>
          <w:ilvl w:val="0"/>
          <w:numId w:val="0"/>
        </w:numPr>
        <w:sectPr w:rsidR="00EB70BA" w:rsidRPr="008642D1" w:rsidSect="006B03F1">
          <w:headerReference w:type="default" r:id="rId42"/>
          <w:footerReference w:type="even" r:id="rId43"/>
          <w:footnotePr>
            <w:numRestart w:val="eachSect"/>
          </w:footnotePr>
          <w:pgSz w:w="11920" w:h="16840"/>
          <w:pgMar w:top="1134" w:right="1134" w:bottom="1134" w:left="1701" w:header="499" w:footer="46" w:gutter="0"/>
          <w:cols w:space="720"/>
        </w:sectPr>
      </w:pPr>
    </w:p>
    <w:p w14:paraId="151866A2" w14:textId="639519D1" w:rsidR="00EB70BA" w:rsidRPr="008642D1" w:rsidRDefault="00EB70BA" w:rsidP="00EB70BA">
      <w:pPr>
        <w:pStyle w:val="HEADING2topchapter-notinTOC"/>
      </w:pPr>
      <w:r w:rsidRPr="008642D1">
        <w:lastRenderedPageBreak/>
        <w:t xml:space="preserve">CHAPTER </w:t>
      </w:r>
      <w:r w:rsidR="00DA7755" w:rsidRPr="008642D1">
        <w:t>7</w:t>
      </w:r>
    </w:p>
    <w:p w14:paraId="64261C42" w14:textId="77777777" w:rsidR="00EB70BA" w:rsidRPr="008642D1" w:rsidRDefault="00EB70BA" w:rsidP="00EB70BA">
      <w:pPr>
        <w:spacing w:line="200" w:lineRule="exact"/>
        <w:rPr>
          <w:szCs w:val="20"/>
        </w:rPr>
      </w:pPr>
      <w:r w:rsidRPr="008642D1">
        <w:rPr>
          <w:noProof/>
          <w:lang w:eastAsia="en-NZ"/>
        </w:rPr>
        <mc:AlternateContent>
          <mc:Choice Requires="wpg">
            <w:drawing>
              <wp:anchor distT="0" distB="0" distL="114300" distR="114300" simplePos="0" relativeHeight="251658261" behindDoc="1" locked="0" layoutInCell="1" allowOverlap="1" wp14:anchorId="479BF5CE" wp14:editId="4531BC98">
                <wp:simplePos x="0" y="0"/>
                <wp:positionH relativeFrom="page">
                  <wp:posOffset>1076325</wp:posOffset>
                </wp:positionH>
                <wp:positionV relativeFrom="paragraph">
                  <wp:posOffset>6350</wp:posOffset>
                </wp:positionV>
                <wp:extent cx="1332230" cy="1270"/>
                <wp:effectExtent l="0" t="19050" r="1270" b="17780"/>
                <wp:wrapNone/>
                <wp:docPr id="323333846" name="Group 323333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766235806"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E79C2D" id="Group 323333846" o:spid="_x0000_s1026" style="position:absolute;margin-left:84.75pt;margin-top:.5pt;width:104.9pt;height:.1pt;z-index:-251658219;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&#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2516EDCA" w14:textId="7241D817" w:rsidR="00EB70BA" w:rsidRPr="008642D1" w:rsidRDefault="00263D93" w:rsidP="00DF306B">
      <w:pPr>
        <w:pStyle w:val="Heading1nonum"/>
        <w:numPr>
          <w:ilvl w:val="0"/>
          <w:numId w:val="24"/>
        </w:numPr>
        <w:spacing w:before="600" w:after="240"/>
      </w:pPr>
      <w:bookmarkStart w:id="92" w:name="_Toc170302148"/>
      <w:r w:rsidRPr="008642D1">
        <w:rPr>
          <w:rFonts w:eastAsia="Metropolis Black"/>
        </w:rPr>
        <w:t>Options for new grounds</w:t>
      </w:r>
      <w:bookmarkEnd w:id="92"/>
    </w:p>
    <w:p w14:paraId="7BAD21BD" w14:textId="77777777" w:rsidR="00EB70BA" w:rsidRPr="008642D1" w:rsidRDefault="00EB70BA" w:rsidP="00EB70BA">
      <w:pPr>
        <w:spacing w:line="200" w:lineRule="exact"/>
        <w:rPr>
          <w:szCs w:val="20"/>
        </w:rPr>
      </w:pPr>
      <w:r w:rsidRPr="008642D1">
        <w:rPr>
          <w:noProof/>
          <w:lang w:eastAsia="en-NZ"/>
        </w:rPr>
        <mc:AlternateContent>
          <mc:Choice Requires="wpg">
            <w:drawing>
              <wp:anchor distT="0" distB="0" distL="114300" distR="114300" simplePos="0" relativeHeight="251658260" behindDoc="1" locked="0" layoutInCell="1" allowOverlap="1" wp14:anchorId="201CE079" wp14:editId="0EDC3FDA">
                <wp:simplePos x="0" y="0"/>
                <wp:positionH relativeFrom="page">
                  <wp:posOffset>1087427</wp:posOffset>
                </wp:positionH>
                <wp:positionV relativeFrom="paragraph">
                  <wp:posOffset>71755</wp:posOffset>
                </wp:positionV>
                <wp:extent cx="1332230" cy="1270"/>
                <wp:effectExtent l="0" t="19050" r="1270" b="17780"/>
                <wp:wrapNone/>
                <wp:docPr id="244011222" name="Group 24401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851109482"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C059B" id="Group 244011222" o:spid="_x0000_s1026" style="position:absolute;margin-left:85.6pt;margin-top:5.65pt;width:104.9pt;height:.1pt;z-index:-251658220;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3BF45B2D" w14:textId="77777777" w:rsidR="00EB70BA" w:rsidRPr="008642D1" w:rsidRDefault="00EB70BA" w:rsidP="00EB70BA"/>
    <w:p w14:paraId="3A0E9FA0" w14:textId="77777777" w:rsidR="00EB70BA" w:rsidRPr="008642D1" w:rsidRDefault="00EB70BA" w:rsidP="002E1F2F">
      <w:pPr>
        <w:pStyle w:val="Heading2"/>
      </w:pPr>
      <w:bookmarkStart w:id="93" w:name="_Toc158742521"/>
      <w:bookmarkStart w:id="94" w:name="_Toc159247996"/>
      <w:bookmarkStart w:id="95" w:name="_Toc170302149"/>
      <w:r w:rsidRPr="008642D1">
        <w:t>Introduction</w:t>
      </w:r>
      <w:bookmarkEnd w:id="93"/>
      <w:bookmarkEnd w:id="94"/>
      <w:bookmarkEnd w:id="95"/>
    </w:p>
    <w:p w14:paraId="1DF4563D" w14:textId="58EE55CE" w:rsidR="00AE5387" w:rsidRPr="008642D1" w:rsidRDefault="00AE5387" w:rsidP="00AE5387">
      <w:pPr>
        <w:pStyle w:val="BodyText"/>
        <w:tabs>
          <w:tab w:val="clear" w:pos="709"/>
        </w:tabs>
      </w:pPr>
      <w:r w:rsidRPr="008642D1">
        <w:t>In this chapter</w:t>
      </w:r>
      <w:r w:rsidR="00F73235">
        <w:t>,</w:t>
      </w:r>
      <w:r w:rsidRPr="008642D1">
        <w:t xml:space="preserve"> we identify options for amending section 21 of the Human Rights Act 1993 to protect people expressly from discrimination that is linked to the fact (or the discriminator’s belief) that they are transgender or non-binary or </w:t>
      </w:r>
      <w:r w:rsidR="00865DBF" w:rsidRPr="005F72A9">
        <w:rPr>
          <w:rFonts w:eastAsia="Calibri" w:cs="Arial"/>
        </w:rPr>
        <w:t>they</w:t>
      </w:r>
      <w:r w:rsidR="00865DBF">
        <w:rPr>
          <w:rFonts w:eastAsia="Calibri" w:cs="Arial"/>
          <w:b/>
          <w:bCs/>
        </w:rPr>
        <w:t xml:space="preserve"> </w:t>
      </w:r>
      <w:r w:rsidRPr="008642D1">
        <w:t xml:space="preserve">have an innate variation of sex characteristics. This chapter follows on from our preliminary conclusion in Chapter 6 that </w:t>
      </w:r>
      <w:r w:rsidR="0083381E">
        <w:t xml:space="preserve">it </w:t>
      </w:r>
      <w:r w:rsidRPr="008642D1">
        <w:t>is necessary and desirable to amend section 21.</w:t>
      </w:r>
    </w:p>
    <w:p w14:paraId="419D1A5B" w14:textId="77777777" w:rsidR="00AE5387" w:rsidRPr="008642D1" w:rsidRDefault="00AE5387" w:rsidP="00AE5387">
      <w:pPr>
        <w:pStyle w:val="BodyText"/>
        <w:tabs>
          <w:tab w:val="clear" w:pos="709"/>
        </w:tabs>
      </w:pPr>
      <w:r w:rsidRPr="008642D1">
        <w:t>We are interested in feedback on which option (or options) is most appropriate. In this chapter, we divide potential options into three broad approaches:</w:t>
      </w:r>
    </w:p>
    <w:p w14:paraId="4308F7BD" w14:textId="5FFC6603" w:rsidR="00AE5387" w:rsidRPr="008642D1" w:rsidRDefault="00AE5387" w:rsidP="00DF306B">
      <w:pPr>
        <w:pStyle w:val="BodyTextnonum"/>
        <w:numPr>
          <w:ilvl w:val="3"/>
          <w:numId w:val="23"/>
        </w:numPr>
        <w:tabs>
          <w:tab w:val="clear" w:pos="709"/>
        </w:tabs>
      </w:pPr>
      <w:r w:rsidRPr="008642D1">
        <w:t>A new stand</w:t>
      </w:r>
      <w:r w:rsidR="00720FF8">
        <w:t>-</w:t>
      </w:r>
      <w:r w:rsidRPr="008642D1">
        <w:t xml:space="preserve">alone ground (or grounds) to provide </w:t>
      </w:r>
      <w:r w:rsidRPr="008642D1">
        <w:rPr>
          <w:i/>
        </w:rPr>
        <w:t>asymmetrical</w:t>
      </w:r>
      <w:r w:rsidRPr="008642D1">
        <w:t xml:space="preserve"> protection.</w:t>
      </w:r>
      <w:r w:rsidRPr="008642D1">
        <w:rPr>
          <w:rStyle w:val="FootnoteReference"/>
        </w:rPr>
        <w:t xml:space="preserve"> </w:t>
      </w:r>
      <w:r w:rsidRPr="008642D1">
        <w:t>A protection is asymmetrical if it extends to a characteristic held by a disadvantaged minority rather than a characteristic held by everyone.</w:t>
      </w:r>
      <w:r w:rsidRPr="008642D1">
        <w:rPr>
          <w:rStyle w:val="FootnoteReference"/>
        </w:rPr>
        <w:footnoteReference w:id="366"/>
      </w:r>
      <w:r w:rsidRPr="008642D1">
        <w:t xml:space="preserve"> An example is the prohibited ground of disability in section 21(1)(h) of the Human Rights Act. People without a disability do not receive protection. Similarly, the ground of employment status only applies to those who are unemployed, a beneficiary or receiving ACC payments.</w:t>
      </w:r>
      <w:r w:rsidRPr="008642D1">
        <w:rPr>
          <w:rStyle w:val="FootnoteReference"/>
        </w:rPr>
        <w:footnoteReference w:id="367"/>
      </w:r>
    </w:p>
    <w:p w14:paraId="4A14EFF7" w14:textId="5EFB03DA" w:rsidR="00AE5387" w:rsidRPr="008642D1" w:rsidRDefault="00AE5387" w:rsidP="00DF306B">
      <w:pPr>
        <w:pStyle w:val="BodyTextnonum"/>
        <w:numPr>
          <w:ilvl w:val="3"/>
          <w:numId w:val="23"/>
        </w:numPr>
        <w:tabs>
          <w:tab w:val="clear" w:pos="709"/>
        </w:tabs>
      </w:pPr>
      <w:r w:rsidRPr="008642D1">
        <w:t>A new stand</w:t>
      </w:r>
      <w:r w:rsidR="00720FF8">
        <w:t>-</w:t>
      </w:r>
      <w:r w:rsidRPr="008642D1">
        <w:t xml:space="preserve">alone ground (or grounds) that provides </w:t>
      </w:r>
      <w:r w:rsidRPr="008642D1">
        <w:rPr>
          <w:i/>
        </w:rPr>
        <w:t>symmetrical</w:t>
      </w:r>
      <w:r w:rsidRPr="008642D1">
        <w:t xml:space="preserve"> protection. A protection is symmetrical if it extends to a characteristic held by everyone. Examples in section 21 of the Human Rights Act include sex, race and sexual orientation.</w:t>
      </w:r>
    </w:p>
    <w:p w14:paraId="2046BC8F" w14:textId="081BCD8C" w:rsidR="00AE5387" w:rsidRPr="008642D1" w:rsidRDefault="00AE5387" w:rsidP="00DF306B">
      <w:pPr>
        <w:pStyle w:val="BodyTextnonum"/>
        <w:numPr>
          <w:ilvl w:val="3"/>
          <w:numId w:val="23"/>
        </w:numPr>
        <w:tabs>
          <w:tab w:val="clear" w:pos="709"/>
        </w:tabs>
      </w:pPr>
      <w:r w:rsidRPr="008642D1">
        <w:t xml:space="preserve">An amendment to section 21 to clarify the scope of the prohibited ground of sex </w:t>
      </w:r>
      <w:r w:rsidR="00BF7A1A">
        <w:t xml:space="preserve">— </w:t>
      </w:r>
      <w:r w:rsidRPr="008642D1">
        <w:t xml:space="preserve">for example, to clarify that it protects people from discrimination that is linked to the fact (or the discriminator’s belief) they are transgender or non-binary or </w:t>
      </w:r>
      <w:r w:rsidR="00865DBF" w:rsidRPr="005F72A9">
        <w:rPr>
          <w:rFonts w:eastAsia="Calibri" w:cs="Arial"/>
        </w:rPr>
        <w:t>they</w:t>
      </w:r>
      <w:r w:rsidR="00865DBF">
        <w:rPr>
          <w:rFonts w:eastAsia="Calibri" w:cs="Arial"/>
          <w:b/>
          <w:bCs/>
        </w:rPr>
        <w:t xml:space="preserve"> </w:t>
      </w:r>
      <w:r w:rsidRPr="008642D1">
        <w:t>have an innate variation of sex characteristics.</w:t>
      </w:r>
      <w:r w:rsidR="00653048">
        <w:t xml:space="preserve"> </w:t>
      </w:r>
      <w:r w:rsidR="009D3BDF">
        <w:t>(</w:t>
      </w:r>
      <w:r w:rsidR="00653048">
        <w:t xml:space="preserve">This would also </w:t>
      </w:r>
      <w:r w:rsidR="009D3BDF">
        <w:t>provide</w:t>
      </w:r>
      <w:r w:rsidR="00653048">
        <w:t xml:space="preserve"> symmetrical </w:t>
      </w:r>
      <w:r w:rsidR="009D3BDF">
        <w:t>protection</w:t>
      </w:r>
      <w:r w:rsidR="00204AA2">
        <w:t>.</w:t>
      </w:r>
      <w:r w:rsidR="009D3BDF">
        <w:t>)</w:t>
      </w:r>
    </w:p>
    <w:p w14:paraId="54BC8E05" w14:textId="07CB5F07" w:rsidR="00AE5387" w:rsidRPr="008642D1" w:rsidRDefault="00AE5387" w:rsidP="00AE5387">
      <w:pPr>
        <w:pStyle w:val="BodyText"/>
        <w:tabs>
          <w:tab w:val="clear" w:pos="709"/>
        </w:tabs>
      </w:pPr>
      <w:r w:rsidRPr="008642D1">
        <w:t xml:space="preserve">These approaches are not mutually exclusive. For example, it could be that one approach is most appropriate to protect people who are transgender </w:t>
      </w:r>
      <w:r w:rsidR="007B2870">
        <w:t>or</w:t>
      </w:r>
      <w:r w:rsidR="007B2870" w:rsidRPr="008642D1">
        <w:t xml:space="preserve"> </w:t>
      </w:r>
      <w:r w:rsidRPr="008642D1">
        <w:t>non-binary but that a different approach is more appropriate to protect people who have an innate variation of sex characteristics. If new stand</w:t>
      </w:r>
      <w:r w:rsidR="00F3104E">
        <w:t>-</w:t>
      </w:r>
      <w:r w:rsidRPr="008642D1">
        <w:t xml:space="preserve">alone grounds are added (approaches </w:t>
      </w:r>
      <w:r w:rsidR="00C865D3">
        <w:t>(a)</w:t>
      </w:r>
      <w:r w:rsidRPr="008642D1">
        <w:t xml:space="preserve"> or </w:t>
      </w:r>
      <w:r w:rsidR="00C865D3">
        <w:t>(b)</w:t>
      </w:r>
      <w:r w:rsidRPr="008642D1">
        <w:t xml:space="preserve">), we would need to consider whether it is also desirable to clarify when the existing ground of sex continues to apply (approach </w:t>
      </w:r>
      <w:r w:rsidR="00C865D3">
        <w:t>(c)</w:t>
      </w:r>
      <w:r w:rsidRPr="008642D1">
        <w:t>).</w:t>
      </w:r>
    </w:p>
    <w:p w14:paraId="60A12803" w14:textId="77777777" w:rsidR="00AE5387" w:rsidRPr="008642D1" w:rsidRDefault="00AE5387" w:rsidP="00AE5387">
      <w:pPr>
        <w:pStyle w:val="BodyText"/>
        <w:numPr>
          <w:ilvl w:val="0"/>
          <w:numId w:val="0"/>
        </w:numPr>
        <w:ind w:left="596"/>
      </w:pPr>
    </w:p>
    <w:p w14:paraId="2188DEE6" w14:textId="2EA10FCE" w:rsidR="00AE5387" w:rsidRPr="008642D1" w:rsidRDefault="00AE5387" w:rsidP="00AE5387">
      <w:pPr>
        <w:pStyle w:val="Heading2"/>
      </w:pPr>
      <w:bookmarkStart w:id="96" w:name="_Toc170302150"/>
      <w:r w:rsidRPr="008642D1">
        <w:lastRenderedPageBreak/>
        <w:t>Stand</w:t>
      </w:r>
      <w:r w:rsidR="00F3104E">
        <w:t>-</w:t>
      </w:r>
      <w:r w:rsidRPr="008642D1">
        <w:t>alone grounds that take an asymmetrical approach</w:t>
      </w:r>
      <w:bookmarkEnd w:id="96"/>
      <w:r w:rsidRPr="008642D1">
        <w:t xml:space="preserve"> </w:t>
      </w:r>
    </w:p>
    <w:p w14:paraId="1ADBCEEF" w14:textId="7274BE2D" w:rsidR="00AE5387" w:rsidRPr="008642D1" w:rsidRDefault="00AE5387" w:rsidP="00AE5387">
      <w:pPr>
        <w:pStyle w:val="BodyText"/>
        <w:tabs>
          <w:tab w:val="clear" w:pos="709"/>
        </w:tabs>
      </w:pPr>
      <w:r w:rsidRPr="008642D1">
        <w:t xml:space="preserve">As we explained above, an asymmetrical approach singles out for protection a group that has experienced a history of disadvantage, discrimination or marginalisation. In this case, an asymmetrical approach would seek to protect people from discrimination that is linked to the fact (or the discriminator’s belief) they are transgender or non-binary or </w:t>
      </w:r>
      <w:r w:rsidR="00865DBF" w:rsidRPr="005F72A9">
        <w:rPr>
          <w:rFonts w:eastAsia="Calibri" w:cs="Arial"/>
        </w:rPr>
        <w:t>they</w:t>
      </w:r>
      <w:r w:rsidR="00865DBF">
        <w:rPr>
          <w:rFonts w:eastAsia="Calibri" w:cs="Arial"/>
          <w:b/>
          <w:bCs/>
        </w:rPr>
        <w:t xml:space="preserve"> </w:t>
      </w:r>
      <w:r w:rsidRPr="008642D1">
        <w:t xml:space="preserve">have an innate variation of sex characteristics. It would not protect people from discrimination that is linked to the fact or discriminator’s belief they are cisgender or </w:t>
      </w:r>
      <w:r w:rsidR="00D0489C">
        <w:t xml:space="preserve">they </w:t>
      </w:r>
      <w:r w:rsidRPr="008642D1">
        <w:t xml:space="preserve">have sex characteristics that conform to medical norms for the male or female body. </w:t>
      </w:r>
    </w:p>
    <w:p w14:paraId="7D9E7532" w14:textId="77777777" w:rsidR="00AE5387" w:rsidRPr="008642D1" w:rsidRDefault="00AE5387" w:rsidP="00AE5387">
      <w:pPr>
        <w:pStyle w:val="BodyText"/>
        <w:tabs>
          <w:tab w:val="clear" w:pos="709"/>
        </w:tabs>
      </w:pPr>
      <w:r w:rsidRPr="008642D1">
        <w:t>Possible advantages of an asymmetrical approach include that it promotes a substantive rather than a formal view of equality (by limiting protection to those who most need it),</w:t>
      </w:r>
      <w:r w:rsidRPr="008642D1" w:rsidDel="00F27439">
        <w:t xml:space="preserve"> it </w:t>
      </w:r>
      <w:r w:rsidRPr="008642D1">
        <w:t>reduces the possibility of specious claims by people from an advantaged group and</w:t>
      </w:r>
      <w:r w:rsidRPr="008642D1" w:rsidDel="00A765DA">
        <w:t xml:space="preserve"> it </w:t>
      </w:r>
      <w:r w:rsidRPr="008642D1">
        <w:t>sends a clear signal about which groups in the community are in need of protection.</w:t>
      </w:r>
    </w:p>
    <w:p w14:paraId="4302FF37" w14:textId="2C31CE3D" w:rsidR="00AE5387" w:rsidRPr="008642D1" w:rsidRDefault="00AE5387" w:rsidP="00AE5387">
      <w:pPr>
        <w:pStyle w:val="BodyText"/>
        <w:tabs>
          <w:tab w:val="clear" w:pos="709"/>
        </w:tabs>
      </w:pPr>
      <w:r w:rsidRPr="008642D1">
        <w:t>As we explain further below, possible disadvantages of an asymmetrical approach include difficulties in defining who is covered by the ground and ensuring the language is sufficiently future-proof</w:t>
      </w:r>
      <w:r w:rsidRPr="008642D1" w:rsidDel="00D0489C">
        <w:t>,</w:t>
      </w:r>
      <w:r w:rsidRPr="008642D1">
        <w:t xml:space="preserve"> and the risk of people missing out on protection because a court or tribunal takes a narrow interpretation of the meaning of particular terms. Because an asymmetrical ground does not apply to everyone, it can also expose minorities to claims of special treatment.</w:t>
      </w:r>
    </w:p>
    <w:p w14:paraId="6505CB27" w14:textId="77777777" w:rsidR="00AE5387" w:rsidRPr="008642D1" w:rsidRDefault="00AE5387" w:rsidP="00AE5387">
      <w:pPr>
        <w:pStyle w:val="BodyText"/>
        <w:tabs>
          <w:tab w:val="clear" w:pos="709"/>
        </w:tabs>
      </w:pPr>
      <w:r w:rsidRPr="008642D1">
        <w:t xml:space="preserve">If an asymmetrical protection is considered desirable, we can see two different ways to achieve it.  </w:t>
      </w:r>
    </w:p>
    <w:p w14:paraId="2A4F7FC5" w14:textId="77777777" w:rsidR="00AE5387" w:rsidRPr="008642D1" w:rsidRDefault="00AE5387" w:rsidP="00AE5387">
      <w:pPr>
        <w:pStyle w:val="Heading3"/>
      </w:pPr>
      <w:r w:rsidRPr="008642D1">
        <w:t>Use group descriptors</w:t>
      </w:r>
    </w:p>
    <w:p w14:paraId="46E571EC" w14:textId="076D92AC" w:rsidR="00AE5387" w:rsidRPr="008642D1" w:rsidRDefault="00AE5387" w:rsidP="00AE5387">
      <w:pPr>
        <w:pStyle w:val="BodyText"/>
        <w:tabs>
          <w:tab w:val="clear" w:pos="709"/>
        </w:tabs>
      </w:pPr>
      <w:r w:rsidRPr="008642D1">
        <w:t>A new ground could use group descriptors to name the people being protected. By group descriptors</w:t>
      </w:r>
      <w:r w:rsidR="00D0489C">
        <w:t>,</w:t>
      </w:r>
      <w:r w:rsidRPr="008642D1">
        <w:t xml:space="preserve"> we mean generic terms that describe a particular group such as being transgender, non-binary or intersex. Another way to refer to these might be identity terms.  </w:t>
      </w:r>
    </w:p>
    <w:p w14:paraId="6B503DE7" w14:textId="752F0AF9" w:rsidR="00AE5387" w:rsidRPr="008642D1" w:rsidRDefault="00AE5387" w:rsidP="00AE5387">
      <w:pPr>
        <w:pStyle w:val="BodyText"/>
        <w:tabs>
          <w:tab w:val="clear" w:pos="709"/>
        </w:tabs>
      </w:pPr>
      <w:r w:rsidRPr="008642D1">
        <w:t xml:space="preserve">This approach seems relatively uncommon in other countries. We are only aware of a few examples, all from Australia. In New South Wales, legislation prohibits discrimination on </w:t>
      </w:r>
      <w:r w:rsidRPr="008642D1" w:rsidDel="0005312A">
        <w:t>“</w:t>
      </w:r>
      <w:r w:rsidRPr="008642D1">
        <w:t>transgender grounds</w:t>
      </w:r>
      <w:r w:rsidRPr="008642D1" w:rsidDel="0005312A">
        <w:t>”</w:t>
      </w:r>
      <w:r w:rsidRPr="008642D1">
        <w:t xml:space="preserve">, whereas </w:t>
      </w:r>
      <w:r w:rsidRPr="008642D1" w:rsidDel="0005312A">
        <w:t>“</w:t>
      </w:r>
      <w:r w:rsidRPr="008642D1">
        <w:t>intersex status</w:t>
      </w:r>
      <w:r w:rsidRPr="008642D1" w:rsidDel="0005312A">
        <w:t>”</w:t>
      </w:r>
      <w:r w:rsidRPr="008642D1">
        <w:t xml:space="preserve"> is a prohibited ground of discrimination in both federal and South Australian anti-discrimination legislation.</w:t>
      </w:r>
      <w:r w:rsidRPr="008642D1">
        <w:rPr>
          <w:rStyle w:val="FootnoteReference"/>
        </w:rPr>
        <w:footnoteReference w:id="368"/>
      </w:r>
      <w:r w:rsidRPr="008642D1">
        <w:t xml:space="preserve"> We are not aware of any examples that use the language of </w:t>
      </w:r>
      <w:r w:rsidRPr="008642D1" w:rsidDel="00B321F6">
        <w:t>‘</w:t>
      </w:r>
      <w:r w:rsidRPr="008642D1">
        <w:t>non-binary</w:t>
      </w:r>
      <w:r w:rsidRPr="008642D1" w:rsidDel="00B321F6">
        <w:t>’</w:t>
      </w:r>
      <w:r w:rsidRPr="008642D1">
        <w:t xml:space="preserve">.  </w:t>
      </w:r>
    </w:p>
    <w:p w14:paraId="0063B897" w14:textId="77777777" w:rsidR="00AE5387" w:rsidRPr="008642D1" w:rsidRDefault="00AE5387" w:rsidP="00AE5387">
      <w:pPr>
        <w:pStyle w:val="Heading4"/>
      </w:pPr>
      <w:r w:rsidRPr="008642D1">
        <w:t>Possible advantages and disadvantages of a group descriptors approach</w:t>
      </w:r>
    </w:p>
    <w:p w14:paraId="0CAD1B1A" w14:textId="77777777" w:rsidR="00AE5387" w:rsidRPr="008642D1" w:rsidRDefault="00AE5387" w:rsidP="00AE5387">
      <w:pPr>
        <w:pStyle w:val="BodyText"/>
        <w:tabs>
          <w:tab w:val="clear" w:pos="709"/>
        </w:tabs>
      </w:pPr>
      <w:r w:rsidRPr="008642D1">
        <w:t xml:space="preserve">The use of group descriptors is the most obvious and straightforward way to achieve asymmetrical protection. On the other hand, we envisage some potential difficulties. </w:t>
      </w:r>
    </w:p>
    <w:p w14:paraId="67F5684C" w14:textId="71C405B3" w:rsidR="00AE5387" w:rsidRPr="008642D1" w:rsidRDefault="00AE5387" w:rsidP="00AE5387">
      <w:pPr>
        <w:pStyle w:val="BodyText"/>
        <w:tabs>
          <w:tab w:val="clear" w:pos="709"/>
        </w:tabs>
      </w:pPr>
      <w:r w:rsidRPr="008642D1">
        <w:t xml:space="preserve">One is that it might be difficult to settle on the appropriate group descriptors to use in legislation given the wide variety of terms that people use to describe themselves. In the </w:t>
      </w:r>
      <w:r w:rsidRPr="008642D1">
        <w:rPr>
          <w:i/>
          <w:iCs/>
        </w:rPr>
        <w:t xml:space="preserve">Counting Ourselves </w:t>
      </w:r>
      <w:r w:rsidRPr="008642D1">
        <w:t>survey (of people in Aotearoa New Zealand who are transgender or non-binary)</w:t>
      </w:r>
      <w:r w:rsidRPr="004B439E">
        <w:t>,</w:t>
      </w:r>
      <w:r w:rsidRPr="008642D1">
        <w:rPr>
          <w:i/>
          <w:iCs/>
        </w:rPr>
        <w:t xml:space="preserve"> </w:t>
      </w:r>
      <w:r w:rsidRPr="008642D1">
        <w:t>the most common terms participants used to describe their gender identity were non-binary and transgender. However, participants also used a range of other terms</w:t>
      </w:r>
      <w:r w:rsidR="00164C01">
        <w:t>,</w:t>
      </w:r>
      <w:r w:rsidRPr="008642D1">
        <w:t xml:space="preserve"> including trans man, trans woman, genderqueer, gender fluid, gender diverse, </w:t>
      </w:r>
      <w:r w:rsidRPr="008642D1">
        <w:lastRenderedPageBreak/>
        <w:t>agender and transsexual.</w:t>
      </w:r>
      <w:r w:rsidRPr="008642D1">
        <w:rPr>
          <w:rStyle w:val="FootnoteReference"/>
        </w:rPr>
        <w:footnoteReference w:id="369"/>
      </w:r>
      <w:r w:rsidRPr="008642D1">
        <w:t xml:space="preserve"> As we discussed in Chapter 2, some people also use culturally specific terms to refer to themselves, including kupu Māori and Pasifika terms. </w:t>
      </w:r>
    </w:p>
    <w:p w14:paraId="4CAF0823" w14:textId="2843E4C5" w:rsidR="00AE5387" w:rsidRPr="008642D1" w:rsidRDefault="00AE5387" w:rsidP="00AE5387">
      <w:pPr>
        <w:pStyle w:val="BodyText"/>
        <w:tabs>
          <w:tab w:val="clear" w:pos="709"/>
        </w:tabs>
      </w:pPr>
      <w:r w:rsidRPr="008642D1">
        <w:t xml:space="preserve">Using the group descriptor intersex in legislation could also be problematic. As we explained in Chapter 2, we understand not all people who have an innate variation of sex characteristics identify with this term. Some use medical language associated with their particular variation. Others prefer to stick with the term innate variation of sex characteristics, which we discuss further below. Were a ground to refer to being intersex, some people with an innate variation of sex characteristics may not realise they are protected by the ground or might be reluctant to rely on it.  </w:t>
      </w:r>
    </w:p>
    <w:p w14:paraId="71D7FDC7" w14:textId="7E6842D0" w:rsidR="00AE5387" w:rsidRPr="008642D1" w:rsidRDefault="00AE5387" w:rsidP="00AE5387">
      <w:pPr>
        <w:pStyle w:val="BodyText"/>
        <w:tabs>
          <w:tab w:val="clear" w:pos="709"/>
        </w:tabs>
      </w:pPr>
      <w:r w:rsidRPr="008642D1">
        <w:t xml:space="preserve">Another potential difficulty is that group descriptors in legislation can quickly become out of date. Australian experience demonstrates this. The Australian Capital Territory introduced the ground of </w:t>
      </w:r>
      <w:r w:rsidRPr="008642D1" w:rsidDel="0005312A">
        <w:t>“</w:t>
      </w:r>
      <w:r w:rsidRPr="008642D1">
        <w:t>intersex status</w:t>
      </w:r>
      <w:r w:rsidRPr="008642D1" w:rsidDel="0005312A">
        <w:t>”</w:t>
      </w:r>
      <w:r w:rsidRPr="008642D1">
        <w:t xml:space="preserve"> to its anti-discrimination legislation in 2016 but amended the ground to </w:t>
      </w:r>
      <w:r w:rsidRPr="008642D1" w:rsidDel="0005312A">
        <w:t>“</w:t>
      </w:r>
      <w:r w:rsidRPr="008642D1">
        <w:t>sex characteristics</w:t>
      </w:r>
      <w:r w:rsidRPr="008642D1" w:rsidDel="0005312A">
        <w:t>”</w:t>
      </w:r>
      <w:r w:rsidRPr="008642D1">
        <w:t xml:space="preserve"> four years later.</w:t>
      </w:r>
      <w:r w:rsidRPr="008642D1">
        <w:rPr>
          <w:rStyle w:val="FootnoteReference"/>
        </w:rPr>
        <w:footnoteReference w:id="370"/>
      </w:r>
      <w:r w:rsidRPr="008642D1">
        <w:t xml:space="preserve"> A report by a non-governmental organisation explained that, while intersex organisations had supported the term intersex status when the ground was introduced, understandings of appropriate terminology had developed since then.</w:t>
      </w:r>
      <w:r w:rsidRPr="008642D1">
        <w:rPr>
          <w:rStyle w:val="FootnoteReference"/>
        </w:rPr>
        <w:footnoteReference w:id="371"/>
      </w:r>
      <w:r w:rsidRPr="008642D1">
        <w:t xml:space="preserve"> Similarly, in Tasmania</w:t>
      </w:r>
      <w:r w:rsidR="004C4B34">
        <w:t>,</w:t>
      </w:r>
      <w:r w:rsidRPr="008642D1">
        <w:t xml:space="preserve"> the ground of </w:t>
      </w:r>
      <w:r w:rsidRPr="008642D1" w:rsidDel="0005312A">
        <w:t>“</w:t>
      </w:r>
      <w:r w:rsidRPr="008642D1">
        <w:t>intersex variations of sex characteristics</w:t>
      </w:r>
      <w:r w:rsidRPr="008642D1" w:rsidDel="0005312A">
        <w:t>”</w:t>
      </w:r>
      <w:r w:rsidRPr="008642D1">
        <w:t xml:space="preserve"> was added in 2013 and changed to </w:t>
      </w:r>
      <w:r w:rsidRPr="008642D1" w:rsidDel="0005312A">
        <w:t>“</w:t>
      </w:r>
      <w:r w:rsidRPr="008642D1">
        <w:t>sex characteristics</w:t>
      </w:r>
      <w:r w:rsidRPr="008642D1" w:rsidDel="0005312A">
        <w:t>”</w:t>
      </w:r>
      <w:r w:rsidRPr="008642D1">
        <w:t xml:space="preserve"> in 2023.</w:t>
      </w:r>
      <w:r w:rsidRPr="008642D1">
        <w:rPr>
          <w:rStyle w:val="FootnoteReference"/>
        </w:rPr>
        <w:footnoteReference w:id="372"/>
      </w:r>
      <w:r w:rsidRPr="008642D1">
        <w:t xml:space="preserve"> </w:t>
      </w:r>
    </w:p>
    <w:p w14:paraId="062FBE0C" w14:textId="4AFCA5C7" w:rsidR="00AE5387" w:rsidRPr="008642D1" w:rsidRDefault="00AE5387" w:rsidP="00285970">
      <w:pPr>
        <w:pStyle w:val="BodyText"/>
      </w:pPr>
      <w:r w:rsidRPr="008642D1">
        <w:t>Finally, to rely on a ground such as being transgender or being interse</w:t>
      </w:r>
      <w:r w:rsidR="000D5824">
        <w:t>x</w:t>
      </w:r>
      <w:r w:rsidRPr="008642D1">
        <w:t>, a plaintiff would have to establish this ground applies to them. This leaves room for the possibility that a court or tribunal would take a restrictive approach to who can rely on the ground. For example, a court might take the view that a person must have undergone particular types of gender affirmation to be considered transgender.</w:t>
      </w:r>
    </w:p>
    <w:p w14:paraId="709A847C" w14:textId="77777777" w:rsidR="00AE5387" w:rsidRPr="008642D1" w:rsidRDefault="00AE5387" w:rsidP="00AE5387">
      <w:pPr>
        <w:pStyle w:val="Heading3"/>
      </w:pPr>
      <w:r w:rsidRPr="008642D1">
        <w:t xml:space="preserve">An asymmetrical approach that does not rely on group descriptors  </w:t>
      </w:r>
    </w:p>
    <w:p w14:paraId="72D976BD" w14:textId="77777777" w:rsidR="00AE5387" w:rsidRPr="008642D1" w:rsidRDefault="00AE5387" w:rsidP="00AE5387">
      <w:pPr>
        <w:pStyle w:val="BodyText"/>
        <w:tabs>
          <w:tab w:val="clear" w:pos="709"/>
        </w:tabs>
      </w:pPr>
      <w:r w:rsidRPr="008642D1">
        <w:t xml:space="preserve">It might be possible to achieve asymmetrical protection without using group descriptors. Rather than using a term to describe a group (such as transgender or intersex), a ground could use language to spell out who belongs to that group (such as a person whose gender identity is different to their sex assigned at birth or a person with an innate variation of sex characteristics).  </w:t>
      </w:r>
    </w:p>
    <w:p w14:paraId="1BAD2DDE" w14:textId="77777777" w:rsidR="00AE5387" w:rsidRPr="008642D1" w:rsidRDefault="00AE5387" w:rsidP="00AE5387">
      <w:pPr>
        <w:pStyle w:val="BodyText"/>
        <w:tabs>
          <w:tab w:val="clear" w:pos="709"/>
        </w:tabs>
      </w:pPr>
      <w:r w:rsidRPr="008642D1">
        <w:t xml:space="preserve">Several overseas countries have grounds of discrimination that refer to a person having taken steps to affirm a sex or gender different from the one assigned at birth: </w:t>
      </w:r>
    </w:p>
    <w:p w14:paraId="5DC56534" w14:textId="177B3456" w:rsidR="00AE5387" w:rsidRPr="008642D1" w:rsidRDefault="00AE5387" w:rsidP="00DF306B">
      <w:pPr>
        <w:pStyle w:val="BodyTextnonum"/>
        <w:numPr>
          <w:ilvl w:val="3"/>
          <w:numId w:val="23"/>
        </w:numPr>
        <w:tabs>
          <w:tab w:val="clear" w:pos="709"/>
        </w:tabs>
      </w:pPr>
      <w:r w:rsidRPr="008642D1">
        <w:t xml:space="preserve">In the United Kingdom, the Equality Act has </w:t>
      </w:r>
      <w:r w:rsidR="0047513B">
        <w:t>“</w:t>
      </w:r>
      <w:r w:rsidRPr="008642D1">
        <w:t>gender reassignment</w:t>
      </w:r>
      <w:r w:rsidR="0047513B">
        <w:t>”</w:t>
      </w:r>
      <w:r w:rsidRPr="008642D1">
        <w:t xml:space="preserve"> as a protected characteristic.</w:t>
      </w:r>
      <w:r w:rsidRPr="008642D1">
        <w:rPr>
          <w:rStyle w:val="FootnoteReference"/>
        </w:rPr>
        <w:footnoteReference w:id="373"/>
      </w:r>
      <w:r w:rsidRPr="008642D1">
        <w:t xml:space="preserve">  </w:t>
      </w:r>
    </w:p>
    <w:p w14:paraId="78C867A2" w14:textId="77777777" w:rsidR="00AE5387" w:rsidRPr="008642D1" w:rsidRDefault="00AE5387" w:rsidP="00DF306B">
      <w:pPr>
        <w:pStyle w:val="BodyTextnonum"/>
        <w:numPr>
          <w:ilvl w:val="3"/>
          <w:numId w:val="23"/>
        </w:numPr>
        <w:tabs>
          <w:tab w:val="clear" w:pos="709"/>
        </w:tabs>
      </w:pPr>
      <w:r w:rsidRPr="008642D1">
        <w:t>In the Australian Capital Territory, the list of prohibited grounds includes the record of a person’s sex having been altered.</w:t>
      </w:r>
      <w:r w:rsidRPr="008642D1">
        <w:rPr>
          <w:rStyle w:val="FootnoteReference"/>
        </w:rPr>
        <w:footnoteReference w:id="374"/>
      </w:r>
    </w:p>
    <w:p w14:paraId="3B3CB9B2" w14:textId="77777777" w:rsidR="00AE5387" w:rsidRPr="008642D1" w:rsidRDefault="00AE5387" w:rsidP="00DF306B">
      <w:pPr>
        <w:pStyle w:val="BodyTextnonum"/>
        <w:numPr>
          <w:ilvl w:val="3"/>
          <w:numId w:val="23"/>
        </w:numPr>
        <w:tabs>
          <w:tab w:val="clear" w:pos="709"/>
        </w:tabs>
      </w:pPr>
      <w:r w:rsidRPr="008642D1">
        <w:lastRenderedPageBreak/>
        <w:t>In Western Australia, gender history is a ground of discrimination.</w:t>
      </w:r>
      <w:r w:rsidRPr="008642D1">
        <w:rPr>
          <w:rStyle w:val="FootnoteReference"/>
        </w:rPr>
        <w:footnoteReference w:id="375"/>
      </w:r>
      <w:r w:rsidRPr="008642D1">
        <w:t xml:space="preserve"> A person has a gender history if they identify as a member of the opposite sex by living, or seeking to live, as a member of that sex.</w:t>
      </w:r>
      <w:r w:rsidRPr="008642D1">
        <w:rPr>
          <w:rStyle w:val="FootnoteReference"/>
        </w:rPr>
        <w:footnoteReference w:id="376"/>
      </w:r>
      <w:r w:rsidRPr="008642D1">
        <w:t xml:space="preserve"> </w:t>
      </w:r>
    </w:p>
    <w:p w14:paraId="23ACC7A5" w14:textId="77777777" w:rsidR="00AE5387" w:rsidRPr="008642D1" w:rsidRDefault="00AE5387" w:rsidP="00AE5387">
      <w:pPr>
        <w:pStyle w:val="BodyText"/>
        <w:tabs>
          <w:tab w:val="clear" w:pos="709"/>
        </w:tabs>
      </w:pPr>
      <w:r w:rsidRPr="008642D1">
        <w:t>These overseas examples may only apply to transgender people who have taken particular steps in their transition. However, it would also be possible to take a broader approach that is not tied to such steps having been taken.</w:t>
      </w:r>
    </w:p>
    <w:p w14:paraId="3673C096" w14:textId="77777777" w:rsidR="00AE5387" w:rsidRPr="008642D1" w:rsidRDefault="00AE5387" w:rsidP="00AE5387">
      <w:pPr>
        <w:pStyle w:val="BodyText"/>
        <w:tabs>
          <w:tab w:val="clear" w:pos="709"/>
        </w:tabs>
      </w:pPr>
      <w:r w:rsidRPr="008642D1">
        <w:t>Another example of an asymmetrical protection that does not rely on group descriptors would be to prohibit discrimination based on a variation of sex characteristics or an innate variation of sex characteristics.</w:t>
      </w:r>
    </w:p>
    <w:p w14:paraId="11B00473" w14:textId="5EC310EF" w:rsidR="00AE5387" w:rsidRPr="008642D1" w:rsidRDefault="00AE5387" w:rsidP="00AE5387">
      <w:pPr>
        <w:pStyle w:val="BodyText"/>
        <w:tabs>
          <w:tab w:val="clear" w:pos="709"/>
        </w:tabs>
        <w:rPr>
          <w:rStyle w:val="normaltextrun"/>
          <w:rFonts w:eastAsiaTheme="minorHAnsi"/>
          <w:color w:val="000000"/>
          <w:szCs w:val="20"/>
          <w:shd w:val="clear" w:color="auto" w:fill="FFFFFF"/>
        </w:rPr>
      </w:pPr>
      <w:r w:rsidRPr="008642D1">
        <w:t xml:space="preserve">We are not aware of any anti-discrimination legislation in </w:t>
      </w:r>
      <w:r w:rsidR="00F536E1">
        <w:t>comparative jurisdictions</w:t>
      </w:r>
      <w:r w:rsidRPr="008642D1">
        <w:t xml:space="preserve"> that lists having a variation (or innate variation) of sex characteristics as a prohibited ground. However, the term variations of sex characteristics is used in other New Zealand contexts. For example, the term appears in the Integrity Sport and Recreation Act 2023 and Tatauranga Aotearoa | </w:t>
      </w:r>
      <w:r w:rsidRPr="008642D1">
        <w:rPr>
          <w:rStyle w:val="normaltextrun"/>
          <w:rFonts w:eastAsiaTheme="minorHAnsi"/>
          <w:color w:val="000000"/>
          <w:szCs w:val="20"/>
          <w:shd w:val="clear" w:color="auto" w:fill="FFFFFF"/>
        </w:rPr>
        <w:t>Stat</w:t>
      </w:r>
      <w:r w:rsidR="00411231">
        <w:rPr>
          <w:rStyle w:val="normaltextrun"/>
          <w:rFonts w:eastAsiaTheme="minorHAnsi"/>
          <w:color w:val="000000"/>
          <w:szCs w:val="20"/>
          <w:shd w:val="clear" w:color="auto" w:fill="FFFFFF"/>
        </w:rPr>
        <w:t>s</w:t>
      </w:r>
      <w:r w:rsidRPr="008642D1">
        <w:rPr>
          <w:rStyle w:val="normaltextrun"/>
          <w:rFonts w:eastAsiaTheme="minorHAnsi"/>
          <w:color w:val="000000"/>
          <w:szCs w:val="20"/>
          <w:shd w:val="clear" w:color="auto" w:fill="FFFFFF"/>
        </w:rPr>
        <w:t xml:space="preserve"> NZ uses it in the relevant data standard.</w:t>
      </w:r>
      <w:r w:rsidRPr="008642D1">
        <w:rPr>
          <w:rStyle w:val="FootnoteReference"/>
          <w:color w:val="000000"/>
          <w:szCs w:val="20"/>
          <w:shd w:val="clear" w:color="auto" w:fill="FFFFFF"/>
        </w:rPr>
        <w:footnoteReference w:id="377"/>
      </w:r>
    </w:p>
    <w:p w14:paraId="28A76DF8" w14:textId="76AB7533" w:rsidR="00AE5387" w:rsidRPr="008642D1" w:rsidRDefault="00AE5387" w:rsidP="00AE5387">
      <w:pPr>
        <w:pStyle w:val="BodyText"/>
        <w:tabs>
          <w:tab w:val="clear" w:pos="709"/>
        </w:tabs>
      </w:pPr>
      <w:r w:rsidRPr="008642D1">
        <w:t>It might be argued that protecting all variations of sex characteristics casts the net too widely. As well as intersex variations (which are innate), it might include all sex characteristics that are not typical for the person’s gender such as a transgender woman who has male sex characteristics.</w:t>
      </w:r>
      <w:r w:rsidRPr="008642D1">
        <w:rPr>
          <w:rStyle w:val="FootnoteReference"/>
        </w:rPr>
        <w:footnoteReference w:id="378"/>
      </w:r>
      <w:r w:rsidRPr="008642D1">
        <w:t xml:space="preserve"> It might also cover other conditions involving atypical sex characteristics such as hirsutism (excess hair growth) or paediatric breast hypertrophy (which involves atypical and rapid breast growth).</w:t>
      </w:r>
    </w:p>
    <w:p w14:paraId="3A3293CB" w14:textId="77777777" w:rsidR="00AE5387" w:rsidRPr="008642D1" w:rsidRDefault="00AE5387" w:rsidP="00AE5387">
      <w:pPr>
        <w:pStyle w:val="BodyText"/>
        <w:tabs>
          <w:tab w:val="clear" w:pos="709"/>
        </w:tabs>
      </w:pPr>
      <w:r w:rsidRPr="008642D1">
        <w:t xml:space="preserve">The counter argument would be that discrimination based on the fact or belief a person has a variation of sex characteristics ought to be prohibited regardless of whether the variation is innate. This does not detract from the fact that people with innate variations may face distinct issues and challenges in some circumstances. </w:t>
      </w:r>
    </w:p>
    <w:p w14:paraId="415C9E46" w14:textId="44CF094F" w:rsidR="00AE5387" w:rsidRPr="008642D1" w:rsidRDefault="00AE5387" w:rsidP="00AE5387">
      <w:pPr>
        <w:pStyle w:val="BodyText"/>
        <w:tabs>
          <w:tab w:val="clear" w:pos="709"/>
        </w:tabs>
      </w:pPr>
      <w:r w:rsidRPr="008642D1">
        <w:t>Either way, it would be desirable for the Human Rights Act to define what is meant by a variation of sex characteristics (or innate variation).</w:t>
      </w:r>
      <w:r w:rsidRPr="008642D1">
        <w:rPr>
          <w:rStyle w:val="FootnoteReference"/>
        </w:rPr>
        <w:footnoteReference w:id="379"/>
      </w:r>
      <w:r w:rsidRPr="008642D1">
        <w:t xml:space="preserve"> This would not necessarily be straightforward. We understand that, while there is medical consensus on what is considered a difference of sex development,</w:t>
      </w:r>
      <w:r w:rsidRPr="008642D1">
        <w:rPr>
          <w:rStyle w:val="FootnoteReference"/>
        </w:rPr>
        <w:footnoteReference w:id="380"/>
      </w:r>
      <w:r w:rsidRPr="008642D1">
        <w:t xml:space="preserve"> innate variations of sex characteristics is a broader umbrella term and it may not always be clear what falls under it.</w:t>
      </w:r>
    </w:p>
    <w:p w14:paraId="1930C0DE" w14:textId="77777777" w:rsidR="00AE5387" w:rsidRPr="008642D1" w:rsidRDefault="00AE5387" w:rsidP="00AE5387">
      <w:pPr>
        <w:pStyle w:val="Heading4"/>
        <w:rPr>
          <w:rStyle w:val="normaltextrun"/>
          <w:rFonts w:eastAsiaTheme="minorHAnsi"/>
          <w:color w:val="000000"/>
          <w:szCs w:val="20"/>
          <w:shd w:val="clear" w:color="auto" w:fill="FFFFFF"/>
        </w:rPr>
      </w:pPr>
      <w:r w:rsidRPr="008642D1">
        <w:t>Possible advantages and disadvantages of this approach</w:t>
      </w:r>
    </w:p>
    <w:p w14:paraId="7E63CB87" w14:textId="67F7F661" w:rsidR="00AE5387" w:rsidRPr="008642D1" w:rsidRDefault="00AE5387" w:rsidP="00AE5387">
      <w:pPr>
        <w:pStyle w:val="BodyText"/>
        <w:shd w:val="clear" w:color="auto" w:fill="FFFFFF" w:themeFill="background1"/>
        <w:tabs>
          <w:tab w:val="clear" w:pos="709"/>
        </w:tabs>
      </w:pPr>
      <w:r w:rsidRPr="008642D1">
        <w:t>This approach would retain a focus on groups that have experienced historic</w:t>
      </w:r>
      <w:r w:rsidR="00005190">
        <w:t>al</w:t>
      </w:r>
      <w:r w:rsidRPr="008642D1">
        <w:t xml:space="preserve"> disadvantage while avoiding reliance on group descriptors that might become quickly dated. However, a court or tribunal would still need to decide who falls within the </w:t>
      </w:r>
      <w:r w:rsidRPr="008642D1">
        <w:lastRenderedPageBreak/>
        <w:t xml:space="preserve">language used to define the ground. For example, it might need to consider whether a person has a gender identity that is different to their sex assigned at birth (or whether the defendant believed that). In some cases, difficult issues might arise in determining whether someone falls within the ground. It is possible that a court or tribunal might take a narrow interpretation, leading to some people who are transgender or non-binary or who have a variation of sex characteristics falling outside the ground. </w:t>
      </w:r>
    </w:p>
    <w:p w14:paraId="5583F3CD" w14:textId="2C7545F6" w:rsidR="00AE5387" w:rsidRPr="008642D1" w:rsidRDefault="00AE5387" w:rsidP="00AE5387">
      <w:pPr>
        <w:pStyle w:val="Heading2"/>
      </w:pPr>
      <w:bookmarkStart w:id="97" w:name="_Toc170302151"/>
      <w:r w:rsidRPr="008642D1">
        <w:t>Stand</w:t>
      </w:r>
      <w:r w:rsidR="00F3104E">
        <w:t>-</w:t>
      </w:r>
      <w:r w:rsidRPr="008642D1">
        <w:t>alone grounds that take a symmetrical approach</w:t>
      </w:r>
      <w:bookmarkEnd w:id="97"/>
      <w:r w:rsidRPr="008642D1">
        <w:t xml:space="preserve"> </w:t>
      </w:r>
    </w:p>
    <w:p w14:paraId="422CDFC1" w14:textId="77777777" w:rsidR="00AE5387" w:rsidRPr="008642D1" w:rsidRDefault="00AE5387" w:rsidP="00AE5387">
      <w:pPr>
        <w:pStyle w:val="BodyText"/>
        <w:tabs>
          <w:tab w:val="clear" w:pos="709"/>
        </w:tabs>
      </w:pPr>
      <w:r w:rsidRPr="008642D1">
        <w:t xml:space="preserve">A symmetrical approach is one that protects a characteristic held by everyone — not just those who fall within a disadvantaged minority. In this case, a symmetrical approach would prohibit all discrimination based on, for example, a person’s gender identity or sex characteristics. This would include people who are cisgender and who have sex characteristics that conform to medical norms for the male and female body. </w:t>
      </w:r>
    </w:p>
    <w:p w14:paraId="4E90D89D" w14:textId="7F1B1CC2" w:rsidR="00AE5387" w:rsidRPr="008642D1" w:rsidRDefault="00AE5387" w:rsidP="00AE5387">
      <w:pPr>
        <w:pStyle w:val="BodyText"/>
        <w:tabs>
          <w:tab w:val="clear" w:pos="709"/>
        </w:tabs>
      </w:pPr>
      <w:r w:rsidRPr="008642D1">
        <w:t xml:space="preserve">Most of the current grounds of discrimination in the Human Rights Act take a symmetrical approach. For example, the ground of sex protects both men and women, the ground of sexual orientation protects people who are lesbian, gay, bisexual or straight and the ground of race protects people of any race. </w:t>
      </w:r>
    </w:p>
    <w:p w14:paraId="25D2CF49" w14:textId="4BEA98B3" w:rsidR="00AE5387" w:rsidRPr="008642D1" w:rsidRDefault="00AE5387" w:rsidP="00AE5387">
      <w:pPr>
        <w:pStyle w:val="BodyText"/>
        <w:tabs>
          <w:tab w:val="clear" w:pos="709"/>
        </w:tabs>
      </w:pPr>
      <w:r w:rsidRPr="008642D1">
        <w:t xml:space="preserve">A symmetrical approach can ensure the widest possible protection from discrimination, may highlight people’s commonalities rather than differences and may attract broad community support because it applies to everyone. It acknowledges that some traits or characteristics are so closely tied to personal identity that no one should </w:t>
      </w:r>
      <w:r w:rsidRPr="008642D1">
        <w:rPr>
          <w:rStyle w:val="normaltextrun"/>
          <w:color w:val="000000"/>
          <w:szCs w:val="20"/>
          <w:shd w:val="clear" w:color="auto" w:fill="FFFFFF"/>
        </w:rPr>
        <w:t>be expected to hide or change them to avoid stigmatisation or discrimination.</w:t>
      </w:r>
      <w:r w:rsidRPr="008642D1">
        <w:t xml:space="preserve"> Because a symmetrical approach does not rely on identifying specific groups, it may also be more future</w:t>
      </w:r>
      <w:r w:rsidR="0076099B">
        <w:t>-</w:t>
      </w:r>
      <w:r w:rsidRPr="008642D1">
        <w:t xml:space="preserve">proof. </w:t>
      </w:r>
    </w:p>
    <w:p w14:paraId="2366EB9A" w14:textId="77777777" w:rsidR="00AE5387" w:rsidRPr="008642D1" w:rsidRDefault="00AE5387" w:rsidP="00AE5387">
      <w:pPr>
        <w:pStyle w:val="BodyText"/>
        <w:tabs>
          <w:tab w:val="clear" w:pos="709"/>
        </w:tabs>
      </w:pPr>
      <w:r w:rsidRPr="008642D1">
        <w:t>A possible disadvantage of a symmetrical approach is that it may allow people from advantaged majorities to bring discrimination claims that could (in some cases) further disadvantage minority groups. An example might be where a cisgender person claims that an employee network for rainbow staff is discriminatory.</w:t>
      </w:r>
      <w:r w:rsidRPr="008642D1">
        <w:rPr>
          <w:rStyle w:val="FootnoteReference"/>
        </w:rPr>
        <w:footnoteReference w:id="381"/>
      </w:r>
      <w:r w:rsidRPr="008642D1">
        <w:t xml:space="preserve"> This may promote a formal view of equality that fails to recognise some groups face particular disadvantage.  </w:t>
      </w:r>
    </w:p>
    <w:p w14:paraId="3E6942BF" w14:textId="0A784F1D" w:rsidR="00AE5387" w:rsidRPr="008642D1" w:rsidRDefault="00AE5387" w:rsidP="00AE5387">
      <w:pPr>
        <w:pStyle w:val="BodyText"/>
        <w:tabs>
          <w:tab w:val="clear" w:pos="709"/>
        </w:tabs>
      </w:pPr>
      <w:r w:rsidRPr="008642D1">
        <w:t>Below, we discuss four options for new grounds that take a symmetrical approach — gender, gender identity, gender expression and sex characteristics. We discuss each option separately</w:t>
      </w:r>
      <w:r w:rsidR="00C652CF">
        <w:t>,</w:t>
      </w:r>
      <w:r w:rsidRPr="008642D1">
        <w:t xml:space="preserve"> although it is possible to combine some of these together such as </w:t>
      </w:r>
      <w:r w:rsidRPr="008642D1" w:rsidDel="0076099B">
        <w:t>“</w:t>
      </w:r>
      <w:r w:rsidRPr="008642D1">
        <w:t>gender identity or expression</w:t>
      </w:r>
      <w:r w:rsidRPr="008642D1" w:rsidDel="0076099B">
        <w:t>”</w:t>
      </w:r>
      <w:r w:rsidRPr="008642D1">
        <w:t>.</w:t>
      </w:r>
      <w:r w:rsidRPr="008642D1">
        <w:rPr>
          <w:rStyle w:val="FootnoteReference"/>
        </w:rPr>
        <w:footnoteReference w:id="382"/>
      </w:r>
    </w:p>
    <w:p w14:paraId="67325E05" w14:textId="1E0A2AE8" w:rsidR="00AE5387" w:rsidRPr="008642D1" w:rsidRDefault="00AE5387" w:rsidP="00AE5387">
      <w:pPr>
        <w:pStyle w:val="BodyText"/>
        <w:tabs>
          <w:tab w:val="clear" w:pos="709"/>
        </w:tabs>
      </w:pPr>
      <w:r w:rsidRPr="008642D1">
        <w:t>All of these grounds could potentially apply to people who are transgender or non-binary. Sex characteristics is the primary ground that would protect people with an innate variation of sex characteristics under a symmetrical approach. However the other grounds we discuss might be relevant in some circumstances</w:t>
      </w:r>
      <w:r w:rsidRPr="008642D1" w:rsidDel="00FC71EA">
        <w:t>,</w:t>
      </w:r>
      <w:r w:rsidRPr="008642D1">
        <w:t xml:space="preserve"> such as when someone with an innate variation of sex characteristics is discriminated against because of their gender expression or because they are perceived to be transgender. </w:t>
      </w:r>
    </w:p>
    <w:p w14:paraId="124DCE58" w14:textId="77777777" w:rsidR="00AE5387" w:rsidRPr="008642D1" w:rsidRDefault="00AE5387" w:rsidP="00AE5387">
      <w:pPr>
        <w:pStyle w:val="Heading3"/>
      </w:pPr>
      <w:r w:rsidRPr="008642D1">
        <w:lastRenderedPageBreak/>
        <w:t xml:space="preserve">Gender </w:t>
      </w:r>
    </w:p>
    <w:p w14:paraId="4DF1C85B" w14:textId="0B83F5D5" w:rsidR="00AE5387" w:rsidRPr="008642D1" w:rsidRDefault="00AE5387" w:rsidP="00AE5387">
      <w:pPr>
        <w:pStyle w:val="BodyText"/>
        <w:tabs>
          <w:tab w:val="clear" w:pos="709"/>
        </w:tabs>
      </w:pPr>
      <w:r w:rsidRPr="008642D1">
        <w:t>As we discussed in Chapter 2, the term gender is generally used to refer to a person’s social identity rather than their physiology. There is a wide variety of terms that can be used to describe someone’s gender</w:t>
      </w:r>
      <w:r w:rsidR="00164C01">
        <w:t>,</w:t>
      </w:r>
      <w:r w:rsidRPr="008642D1">
        <w:t xml:space="preserve"> including male, female, non-binary, genderqueer and agender. </w:t>
      </w:r>
    </w:p>
    <w:p w14:paraId="4FA02259" w14:textId="38DECF66" w:rsidR="00AE5387" w:rsidRPr="008642D1" w:rsidRDefault="00AE5387" w:rsidP="00AE5387">
      <w:pPr>
        <w:pStyle w:val="BodyText"/>
        <w:tabs>
          <w:tab w:val="clear" w:pos="709"/>
        </w:tabs>
      </w:pPr>
      <w:r w:rsidRPr="008642D1">
        <w:t xml:space="preserve">The ground of gender is not common in anti-discrimination legislation in </w:t>
      </w:r>
      <w:r w:rsidR="00F536E1">
        <w:t>comparative jurisdictions</w:t>
      </w:r>
      <w:r w:rsidRPr="008642D1">
        <w:t>. While Ireland does have gender as a ground of discrimination, this was originally intended to cover sex discrimination between men and women (there is no separate ground of sex).</w:t>
      </w:r>
      <w:r w:rsidRPr="008642D1">
        <w:rPr>
          <w:rStyle w:val="FootnoteReference"/>
        </w:rPr>
        <w:footnoteReference w:id="383"/>
      </w:r>
      <w:r w:rsidRPr="008642D1">
        <w:t xml:space="preserve"> The ground of gender has subsequently been interpreted as also applying to transgender people.</w:t>
      </w:r>
      <w:r w:rsidRPr="008642D1">
        <w:rPr>
          <w:rStyle w:val="FootnoteReference"/>
        </w:rPr>
        <w:footnoteReference w:id="384"/>
      </w:r>
      <w:r w:rsidRPr="008642D1">
        <w:t xml:space="preserve"> The Irish Government has committed to amending the ground of gender to further clarify that it covers gender identity discrimination.</w:t>
      </w:r>
      <w:r w:rsidRPr="008642D1">
        <w:rPr>
          <w:rStyle w:val="FootnoteReference"/>
        </w:rPr>
        <w:footnoteReference w:id="385"/>
      </w:r>
    </w:p>
    <w:p w14:paraId="4D52A1A0" w14:textId="77777777" w:rsidR="00AE5387" w:rsidRPr="008642D1" w:rsidRDefault="00AE5387" w:rsidP="00AE5387">
      <w:pPr>
        <w:pStyle w:val="Heading4"/>
      </w:pPr>
      <w:r w:rsidRPr="008642D1">
        <w:t>Possible advantages and disadvantages of a gender ground</w:t>
      </w:r>
    </w:p>
    <w:p w14:paraId="760F432D" w14:textId="693C59F3" w:rsidR="00AE5387" w:rsidRPr="008642D1" w:rsidRDefault="00AE5387" w:rsidP="00AE5387">
      <w:pPr>
        <w:pStyle w:val="BodyText"/>
        <w:tabs>
          <w:tab w:val="clear" w:pos="709"/>
        </w:tabs>
      </w:pPr>
      <w:r w:rsidRPr="008642D1">
        <w:t>Many people who are transgender describe their gender as male or female.</w:t>
      </w:r>
      <w:r w:rsidRPr="008642D1">
        <w:rPr>
          <w:rStyle w:val="FootnoteReference"/>
        </w:rPr>
        <w:footnoteReference w:id="386"/>
      </w:r>
      <w:r w:rsidRPr="008642D1">
        <w:t xml:space="preserve"> Therefore, a ground of gender would need to be defined so that it covers both discrimination based on what a person’s gender is and discrimination based on having a gender that is different from sex assigned at birth.</w:t>
      </w:r>
    </w:p>
    <w:p w14:paraId="4290FD33" w14:textId="10ABC083" w:rsidR="00AE5387" w:rsidRPr="008642D1" w:rsidRDefault="00AE5387" w:rsidP="00AE5387">
      <w:pPr>
        <w:pStyle w:val="BodyText"/>
        <w:tabs>
          <w:tab w:val="clear" w:pos="709"/>
        </w:tabs>
      </w:pPr>
      <w:r w:rsidRPr="008642D1">
        <w:t>A possible disadvantage of this ground is that the term gender is sometimes treated as a synonym for sex. The original draft of the Human Rights Bill had the ground of gender, but this was subsequently changed to sex. Section 67 of the Human Rights Act refers to “jobs with a gender connotation (such as postman or stewardess)”. The use of gender in this section seems to mean male or female. There are other examples of references to gender in New Zealand legislation that, in context, may be synonymous with sex.</w:t>
      </w:r>
      <w:r w:rsidRPr="008642D1">
        <w:rPr>
          <w:rStyle w:val="FootnoteReference"/>
        </w:rPr>
        <w:footnoteReference w:id="387"/>
      </w:r>
      <w:r w:rsidRPr="008642D1">
        <w:t xml:space="preserve"> There are also overseas examples of gender and sex being treated as synonymous. For example, the Saskatchewan Human Rights Code defines sex as meaning gender.</w:t>
      </w:r>
      <w:r w:rsidRPr="008642D1">
        <w:rPr>
          <w:rStyle w:val="FootnoteReference"/>
        </w:rPr>
        <w:footnoteReference w:id="388"/>
      </w:r>
      <w:r w:rsidRPr="008642D1">
        <w:t xml:space="preserve"> </w:t>
      </w:r>
    </w:p>
    <w:p w14:paraId="4F4E5E13" w14:textId="77777777" w:rsidR="00AE5387" w:rsidRPr="008642D1" w:rsidRDefault="00AE5387" w:rsidP="00AE5387">
      <w:pPr>
        <w:pStyle w:val="BodyText"/>
        <w:tabs>
          <w:tab w:val="clear" w:pos="709"/>
        </w:tabs>
      </w:pPr>
      <w:r w:rsidRPr="008642D1">
        <w:t>As discussed in Chapter 2, we also know that people ascribe different meanings to the term gender. For example, some view gender as a social construct rather than as an identity.</w:t>
      </w:r>
    </w:p>
    <w:p w14:paraId="0C7BE2DC" w14:textId="77777777" w:rsidR="00AE5387" w:rsidRPr="008642D1" w:rsidRDefault="00AE5387" w:rsidP="00AE5387">
      <w:pPr>
        <w:pStyle w:val="Heading3"/>
      </w:pPr>
      <w:r w:rsidRPr="008642D1">
        <w:t>Gender identity</w:t>
      </w:r>
    </w:p>
    <w:p w14:paraId="07BAD13D" w14:textId="3069F1BC" w:rsidR="00AE5387" w:rsidRPr="008642D1" w:rsidRDefault="00AE5387" w:rsidP="00AE5387">
      <w:pPr>
        <w:pStyle w:val="BodyText"/>
        <w:tabs>
          <w:tab w:val="clear" w:pos="709"/>
        </w:tabs>
      </w:pPr>
      <w:r w:rsidRPr="008642D1">
        <w:t>An alternative to gender would be the ground of gender identity. As we explained in Chapter 2, this term refers to a person’s internal and individual experience of gender.</w:t>
      </w:r>
    </w:p>
    <w:p w14:paraId="24F9D74C" w14:textId="024E133C" w:rsidR="00AE5387" w:rsidRPr="008642D1" w:rsidRDefault="00AE5387" w:rsidP="00AE5387">
      <w:pPr>
        <w:pStyle w:val="BodyText"/>
        <w:tabs>
          <w:tab w:val="clear" w:pos="709"/>
        </w:tabs>
      </w:pPr>
      <w:r w:rsidRPr="008642D1">
        <w:lastRenderedPageBreak/>
        <w:t>Gender identity is a prohibited ground of discrimination in seven Australian jurisdictions.</w:t>
      </w:r>
      <w:r w:rsidRPr="008642D1">
        <w:rPr>
          <w:rStyle w:val="FootnoteReference"/>
        </w:rPr>
        <w:footnoteReference w:id="389"/>
      </w:r>
      <w:r w:rsidRPr="008642D1">
        <w:t xml:space="preserve"> In Canada, all 13 provinces and territories have </w:t>
      </w:r>
      <w:r w:rsidRPr="008642D1" w:rsidDel="00011AFF">
        <w:t>“</w:t>
      </w:r>
      <w:r w:rsidRPr="008642D1">
        <w:t>gender identity</w:t>
      </w:r>
      <w:r w:rsidRPr="008642D1" w:rsidDel="00011AFF">
        <w:t>”</w:t>
      </w:r>
      <w:r w:rsidRPr="008642D1">
        <w:t xml:space="preserve"> as a prohibited ground of discrimination while </w:t>
      </w:r>
      <w:r w:rsidRPr="008642D1" w:rsidDel="0005312A">
        <w:t>“</w:t>
      </w:r>
      <w:r w:rsidRPr="008642D1">
        <w:t>gender identity or expression</w:t>
      </w:r>
      <w:r w:rsidRPr="008642D1" w:rsidDel="0005312A">
        <w:t>”</w:t>
      </w:r>
      <w:r w:rsidRPr="008642D1">
        <w:t xml:space="preserve"> is a prohibited ground at the federal level.</w:t>
      </w:r>
      <w:r w:rsidRPr="008642D1">
        <w:rPr>
          <w:rStyle w:val="FootnoteReference"/>
        </w:rPr>
        <w:footnoteReference w:id="390"/>
      </w:r>
      <w:r w:rsidRPr="008642D1">
        <w:t xml:space="preserve"> </w:t>
      </w:r>
    </w:p>
    <w:p w14:paraId="1FC532B0" w14:textId="76E7E9FF" w:rsidR="00AE5387" w:rsidRPr="008642D1" w:rsidRDefault="00AE5387" w:rsidP="00AE5387">
      <w:pPr>
        <w:pStyle w:val="Heading4"/>
      </w:pPr>
      <w:r w:rsidRPr="008642D1">
        <w:t xml:space="preserve">Possible advantages and disadvantages of </w:t>
      </w:r>
      <w:r w:rsidR="00011AFF">
        <w:t xml:space="preserve">a </w:t>
      </w:r>
      <w:r w:rsidRPr="008642D1">
        <w:t>gender identity ground</w:t>
      </w:r>
    </w:p>
    <w:p w14:paraId="6B3646A1" w14:textId="77777777" w:rsidR="00AE5387" w:rsidRPr="008642D1" w:rsidRDefault="00AE5387" w:rsidP="00AE5387">
      <w:pPr>
        <w:pStyle w:val="BodyText"/>
        <w:tabs>
          <w:tab w:val="clear" w:pos="709"/>
        </w:tabs>
      </w:pPr>
      <w:r w:rsidRPr="008642D1">
        <w:t>As with the ground of gender, this ground would need to be defined so it covers both discrimination based on a person’s gender identity and discrimination based on having a gender identity that is different from sex assigned at birth. This is because many people who are transgender describe their gender identity as either male or female.</w:t>
      </w:r>
    </w:p>
    <w:p w14:paraId="1C406D46" w14:textId="77777777" w:rsidR="00AE5387" w:rsidRPr="008642D1" w:rsidRDefault="00AE5387" w:rsidP="00AE5387">
      <w:pPr>
        <w:pStyle w:val="BodyText"/>
        <w:tabs>
          <w:tab w:val="clear" w:pos="709"/>
        </w:tabs>
      </w:pPr>
      <w:r w:rsidRPr="008642D1">
        <w:t xml:space="preserve">A possible advantage of the ground of gender identity is that it may be less confusing than gender given the range of meanings that is ascribed to the latter. Courts and tribunals would also have overseas case law on which to draw given the prevalence of this ground in Canadian and Australian legislation. </w:t>
      </w:r>
    </w:p>
    <w:p w14:paraId="6EACE7B9" w14:textId="77777777" w:rsidR="00AE5387" w:rsidRPr="008642D1" w:rsidRDefault="00AE5387" w:rsidP="00AE5387">
      <w:pPr>
        <w:pStyle w:val="BodyText"/>
        <w:tabs>
          <w:tab w:val="clear" w:pos="709"/>
        </w:tabs>
      </w:pPr>
      <w:r w:rsidRPr="008642D1">
        <w:t>On the other hand, we understand some people do not like the term gender identity on the basis that “one does not simply identify as a gender, but is that gender”.</w:t>
      </w:r>
      <w:r w:rsidRPr="008642D1">
        <w:rPr>
          <w:rStyle w:val="FootnoteReference"/>
        </w:rPr>
        <w:footnoteReference w:id="391"/>
      </w:r>
      <w:r w:rsidRPr="008642D1">
        <w:t xml:space="preserve"> Some others consider gender identity to be a “highly westernised concept”.</w:t>
      </w:r>
      <w:r w:rsidRPr="008642D1">
        <w:rPr>
          <w:rStyle w:val="FootnoteReference"/>
        </w:rPr>
        <w:footnoteReference w:id="392"/>
      </w:r>
      <w:r w:rsidRPr="008642D1">
        <w:t xml:space="preserve"> We are also aware that some gender-critical people and groups consider gender identity to be a matter of ideology or belief rather than something innate.</w:t>
      </w:r>
      <w:r w:rsidRPr="008642D1">
        <w:rPr>
          <w:rStyle w:val="FootnoteReference"/>
        </w:rPr>
        <w:footnoteReference w:id="393"/>
      </w:r>
    </w:p>
    <w:p w14:paraId="7A42A77A" w14:textId="77777777" w:rsidR="00AE5387" w:rsidRPr="008642D1" w:rsidRDefault="00AE5387" w:rsidP="00AE5387">
      <w:pPr>
        <w:pStyle w:val="Heading3"/>
      </w:pPr>
      <w:r w:rsidRPr="008642D1">
        <w:t>Gender expression</w:t>
      </w:r>
    </w:p>
    <w:p w14:paraId="6A1FFC83" w14:textId="77777777" w:rsidR="00AE5387" w:rsidRPr="008642D1" w:rsidRDefault="00AE5387" w:rsidP="00AE5387">
      <w:pPr>
        <w:pStyle w:val="BodyText"/>
        <w:tabs>
          <w:tab w:val="clear" w:pos="709"/>
        </w:tabs>
        <w:rPr>
          <w:szCs w:val="28"/>
          <w:lang w:eastAsia="zh-CN"/>
        </w:rPr>
      </w:pPr>
      <w:r w:rsidRPr="008642D1">
        <w:t>Gender expression refers to a person’s presentation of their gender and can include what they wear and how they speak. As we explained in Chapter 2, a person’s gender expression does not always conform to their gender identity.</w:t>
      </w:r>
    </w:p>
    <w:p w14:paraId="68271DE8" w14:textId="116AAD8F" w:rsidR="00AE5387" w:rsidRPr="008642D1" w:rsidRDefault="00AE5387" w:rsidP="00AE5387">
      <w:pPr>
        <w:pStyle w:val="BodyText"/>
        <w:tabs>
          <w:tab w:val="clear" w:pos="709"/>
        </w:tabs>
        <w:rPr>
          <w:color w:val="0D0D0D" w:themeColor="text1" w:themeTint="F2"/>
          <w:szCs w:val="20"/>
          <w:lang w:eastAsia="zh-CN"/>
        </w:rPr>
      </w:pPr>
      <w:r w:rsidRPr="00586A24">
        <w:t xml:space="preserve">In Canada, 11 provinces and territories have </w:t>
      </w:r>
      <w:r w:rsidRPr="00586A24" w:rsidDel="0005312A">
        <w:t>“</w:t>
      </w:r>
      <w:r w:rsidRPr="00586A24">
        <w:t>gender expression</w:t>
      </w:r>
      <w:r w:rsidRPr="00586A24" w:rsidDel="0005312A">
        <w:t>”</w:t>
      </w:r>
      <w:r w:rsidRPr="00586A24">
        <w:t xml:space="preserve"> as a prohibited ground of discrimination.</w:t>
      </w:r>
      <w:r w:rsidRPr="00135E7B">
        <w:rPr>
          <w:color w:val="0D0D0D" w:themeColor="text1" w:themeTint="F2"/>
          <w:vertAlign w:val="superscript"/>
        </w:rPr>
        <w:footnoteReference w:id="394"/>
      </w:r>
      <w:r w:rsidRPr="00135E7B">
        <w:rPr>
          <w:vertAlign w:val="superscript"/>
        </w:rPr>
        <w:t xml:space="preserve"> </w:t>
      </w:r>
      <w:r w:rsidRPr="008642D1">
        <w:rPr>
          <w:color w:val="0D0D0D" w:themeColor="text1" w:themeTint="F2"/>
          <w:szCs w:val="20"/>
          <w:lang w:eastAsia="zh-CN"/>
        </w:rPr>
        <w:t xml:space="preserve">The federal Canadian legislation has </w:t>
      </w:r>
      <w:r w:rsidRPr="008642D1" w:rsidDel="0005312A">
        <w:rPr>
          <w:color w:val="0D0D0D" w:themeColor="text1" w:themeTint="F2"/>
          <w:szCs w:val="20"/>
          <w:lang w:eastAsia="zh-CN"/>
        </w:rPr>
        <w:t>“</w:t>
      </w:r>
      <w:r w:rsidRPr="008642D1">
        <w:rPr>
          <w:color w:val="0D0D0D" w:themeColor="text1" w:themeTint="F2"/>
          <w:szCs w:val="20"/>
          <w:lang w:eastAsia="zh-CN"/>
        </w:rPr>
        <w:t>gender identity or expression</w:t>
      </w:r>
      <w:r w:rsidRPr="008642D1" w:rsidDel="0005312A">
        <w:rPr>
          <w:color w:val="0D0D0D" w:themeColor="text1" w:themeTint="F2"/>
          <w:szCs w:val="20"/>
          <w:lang w:eastAsia="zh-CN"/>
        </w:rPr>
        <w:t>”</w:t>
      </w:r>
      <w:r w:rsidRPr="008642D1">
        <w:rPr>
          <w:color w:val="0D0D0D" w:themeColor="text1" w:themeTint="F2"/>
          <w:szCs w:val="20"/>
          <w:lang w:eastAsia="zh-CN"/>
        </w:rPr>
        <w:t xml:space="preserve"> as a prohibited ground of discrimination.</w:t>
      </w:r>
      <w:r w:rsidRPr="008642D1">
        <w:rPr>
          <w:color w:val="0D0D0D" w:themeColor="text1" w:themeTint="F2"/>
          <w:szCs w:val="20"/>
          <w:vertAlign w:val="superscript"/>
          <w:lang w:eastAsia="zh-CN"/>
        </w:rPr>
        <w:footnoteReference w:id="395"/>
      </w:r>
      <w:r w:rsidRPr="008642D1">
        <w:rPr>
          <w:color w:val="0D0D0D" w:themeColor="text1" w:themeTint="F2"/>
          <w:szCs w:val="20"/>
          <w:lang w:eastAsia="zh-CN"/>
        </w:rPr>
        <w:t xml:space="preserve"> None of these statutes define gender expression. </w:t>
      </w:r>
    </w:p>
    <w:p w14:paraId="3FB331D6" w14:textId="7A315207" w:rsidR="00AE5387" w:rsidRPr="008642D1" w:rsidRDefault="00AE5387" w:rsidP="00AE5387">
      <w:pPr>
        <w:pStyle w:val="BodyText"/>
        <w:tabs>
          <w:tab w:val="clear" w:pos="709"/>
        </w:tabs>
        <w:rPr>
          <w:color w:val="0D0D0D" w:themeColor="text1" w:themeTint="F2"/>
          <w:szCs w:val="20"/>
          <w:lang w:eastAsia="zh-CN"/>
        </w:rPr>
      </w:pPr>
      <w:r w:rsidRPr="008642D1">
        <w:rPr>
          <w:color w:val="0D0D0D" w:themeColor="text1" w:themeTint="F2"/>
          <w:szCs w:val="20"/>
          <w:lang w:eastAsia="zh-CN"/>
        </w:rPr>
        <w:lastRenderedPageBreak/>
        <w:t>None of the Australian jurisdictions have gender expression as a stand</w:t>
      </w:r>
      <w:r w:rsidR="00F3104E">
        <w:rPr>
          <w:color w:val="0D0D0D" w:themeColor="text1" w:themeTint="F2"/>
          <w:szCs w:val="20"/>
          <w:lang w:eastAsia="zh-CN"/>
        </w:rPr>
        <w:t>-</w:t>
      </w:r>
      <w:r w:rsidRPr="008642D1">
        <w:rPr>
          <w:color w:val="0D0D0D" w:themeColor="text1" w:themeTint="F2"/>
          <w:szCs w:val="20"/>
          <w:lang w:eastAsia="zh-CN"/>
        </w:rPr>
        <w:t>alone ground of discrimination in their anti-discrimination legislation. However, all the Australian jurisdictions that have gender identity as a ground define it to include gender expression or gender-related appearance or mannerisms.</w:t>
      </w:r>
      <w:r w:rsidRPr="008642D1">
        <w:rPr>
          <w:rStyle w:val="FootnoteReference"/>
          <w:szCs w:val="20"/>
          <w:lang w:eastAsia="zh-CN"/>
        </w:rPr>
        <w:footnoteReference w:id="396"/>
      </w:r>
      <w:r w:rsidRPr="008642D1">
        <w:rPr>
          <w:color w:val="0D0D0D" w:themeColor="text1" w:themeTint="F2"/>
          <w:szCs w:val="20"/>
          <w:lang w:eastAsia="zh-CN"/>
        </w:rPr>
        <w:t xml:space="preserve">   </w:t>
      </w:r>
    </w:p>
    <w:p w14:paraId="588BAF70" w14:textId="00FAFD7E" w:rsidR="00AE5387" w:rsidRPr="008642D1" w:rsidRDefault="00AE5387" w:rsidP="00AE5387">
      <w:pPr>
        <w:pStyle w:val="Heading4"/>
      </w:pPr>
      <w:r w:rsidRPr="008642D1">
        <w:t xml:space="preserve">Possible advantages and disadvantages of </w:t>
      </w:r>
      <w:r w:rsidR="00E463BF">
        <w:t xml:space="preserve">a </w:t>
      </w:r>
      <w:r w:rsidRPr="008642D1">
        <w:t xml:space="preserve">gender expression ground </w:t>
      </w:r>
    </w:p>
    <w:p w14:paraId="01D64D95" w14:textId="53D7F94E" w:rsidR="00AE5387" w:rsidRPr="008642D1" w:rsidRDefault="00AE5387" w:rsidP="00AE5387">
      <w:pPr>
        <w:pStyle w:val="BodyText"/>
        <w:tabs>
          <w:tab w:val="clear" w:pos="709"/>
        </w:tabs>
        <w:rPr>
          <w:color w:val="0D0D0D" w:themeColor="text1" w:themeTint="F2"/>
          <w:szCs w:val="20"/>
          <w:lang w:eastAsia="zh-CN"/>
        </w:rPr>
      </w:pPr>
      <w:r w:rsidRPr="008642D1">
        <w:rPr>
          <w:color w:val="0D0D0D" w:themeColor="text1" w:themeTint="F2"/>
          <w:szCs w:val="20"/>
          <w:lang w:eastAsia="zh-CN"/>
        </w:rPr>
        <w:t xml:space="preserve">A possible advantage of a gender expression ground is that it could protect people who are transgender or non-binary or who have an innate variation of sex characteristics from discrimination related to their outward appearance and presentation. The ground could also protect people who are perceived by others as violating a </w:t>
      </w:r>
      <w:r w:rsidRPr="008642D1" w:rsidDel="00B321F6">
        <w:rPr>
          <w:color w:val="0D0D0D" w:themeColor="text1" w:themeTint="F2"/>
          <w:szCs w:val="20"/>
          <w:lang w:eastAsia="zh-CN"/>
        </w:rPr>
        <w:t>‘</w:t>
      </w:r>
      <w:r w:rsidRPr="008642D1">
        <w:rPr>
          <w:color w:val="0D0D0D" w:themeColor="text1" w:themeTint="F2"/>
          <w:szCs w:val="20"/>
          <w:lang w:eastAsia="zh-CN"/>
        </w:rPr>
        <w:t xml:space="preserve">gender norm’. </w:t>
      </w:r>
      <w:r w:rsidRPr="00AB467A">
        <w:t xml:space="preserve">Examples might include a cisgender lesbian who describes herself as </w:t>
      </w:r>
      <w:r w:rsidRPr="00AB467A" w:rsidDel="00724C95">
        <w:t>‘</w:t>
      </w:r>
      <w:r w:rsidRPr="00AB467A">
        <w:t>butch</w:t>
      </w:r>
      <w:r w:rsidRPr="00AB467A" w:rsidDel="00724C95">
        <w:t>’</w:t>
      </w:r>
      <w:r w:rsidRPr="00AB467A">
        <w:t xml:space="preserve">, a cisgender woman who does not like wearing dresses or makeup or a cisgender man who sometimes performs in entertainment venues as a woman. It could also protect people who are in the early stages of transitioning and do not yet wish to disclose that their gender identity is different from their sex assigned at birth. Because it is focused on outward appearance and presentation, a gender expression ground would not cover all types of discrimination that might be experienced by people who are transgender or non-binary or who have an innate variation of sex characteristics. Other grounds would be needed in conjunction with a gender expression ground to achieve wide protection. </w:t>
      </w:r>
    </w:p>
    <w:p w14:paraId="156B0434" w14:textId="1433C13F" w:rsidR="00AE5387" w:rsidRPr="006212D3" w:rsidRDefault="00AE5387" w:rsidP="00AE5387">
      <w:pPr>
        <w:pStyle w:val="BodyText"/>
        <w:tabs>
          <w:tab w:val="clear" w:pos="709"/>
        </w:tabs>
        <w:rPr>
          <w:szCs w:val="20"/>
        </w:rPr>
      </w:pPr>
      <w:r w:rsidRPr="006212D3">
        <w:rPr>
          <w:szCs w:val="20"/>
        </w:rPr>
        <w:t xml:space="preserve">A possible disadvantage of a gender expression ground is that it may allow claims that are not closely tied to the rationales we identified in Chapter 6 as justifying new grounds of discrimination. For example, it might allow people to bring claims based on </w:t>
      </w:r>
      <w:r w:rsidRPr="006212D3" w:rsidDel="00724C95">
        <w:rPr>
          <w:szCs w:val="20"/>
        </w:rPr>
        <w:t>‘</w:t>
      </w:r>
      <w:r w:rsidRPr="006212D3">
        <w:rPr>
          <w:szCs w:val="20"/>
        </w:rPr>
        <w:t>gender</w:t>
      </w:r>
      <w:r w:rsidRPr="006212D3" w:rsidDel="00E463BF">
        <w:rPr>
          <w:rStyle w:val="QuoteChar"/>
          <w:rFonts w:eastAsiaTheme="minorHAnsi"/>
          <w:sz w:val="20"/>
          <w:szCs w:val="20"/>
        </w:rPr>
        <w:t xml:space="preserve"> </w:t>
      </w:r>
      <w:r w:rsidRPr="006212D3">
        <w:rPr>
          <w:rStyle w:val="QuoteChar"/>
          <w:rFonts w:eastAsiaTheme="minorHAnsi"/>
          <w:sz w:val="20"/>
          <w:szCs w:val="20"/>
        </w:rPr>
        <w:t>conforming</w:t>
      </w:r>
      <w:r w:rsidRPr="006212D3" w:rsidDel="00724C95">
        <w:rPr>
          <w:rStyle w:val="QuoteChar"/>
          <w:rFonts w:eastAsiaTheme="minorHAnsi"/>
          <w:sz w:val="20"/>
          <w:szCs w:val="20"/>
        </w:rPr>
        <w:t>’</w:t>
      </w:r>
      <w:r w:rsidRPr="006212D3">
        <w:rPr>
          <w:rStyle w:val="QuoteChar"/>
          <w:rFonts w:eastAsiaTheme="minorHAnsi"/>
          <w:sz w:val="20"/>
          <w:szCs w:val="20"/>
        </w:rPr>
        <w:t xml:space="preserve"> types of gender expression. We are aware of two Ontario cases where </w:t>
      </w:r>
      <w:r w:rsidRPr="006212D3">
        <w:rPr>
          <w:szCs w:val="20"/>
        </w:rPr>
        <w:t>cisgender men brought gender expression claims relating to stereotypically masculine forms of expression, although neither was successful. In one case, a bearded employee challenged an employer’s clean-shaven policy.</w:t>
      </w:r>
      <w:r w:rsidRPr="006212D3">
        <w:rPr>
          <w:szCs w:val="20"/>
          <w:vertAlign w:val="superscript"/>
        </w:rPr>
        <w:footnoteReference w:id="397"/>
      </w:r>
      <w:r w:rsidRPr="006212D3">
        <w:rPr>
          <w:szCs w:val="20"/>
        </w:rPr>
        <w:t xml:space="preserve"> In another, a man who was banned from entering a medical clinic claimed this was due to his “manly” way of expressing himself.</w:t>
      </w:r>
      <w:r w:rsidRPr="006212D3">
        <w:rPr>
          <w:szCs w:val="20"/>
          <w:vertAlign w:val="superscript"/>
        </w:rPr>
        <w:footnoteReference w:id="398"/>
      </w:r>
      <w:r w:rsidRPr="006212D3">
        <w:rPr>
          <w:szCs w:val="20"/>
        </w:rPr>
        <w:t xml:space="preserve"> </w:t>
      </w:r>
    </w:p>
    <w:p w14:paraId="458D05C6" w14:textId="323825A3" w:rsidR="00AE5387" w:rsidRPr="006212D3" w:rsidRDefault="00AE5387" w:rsidP="00AE5387">
      <w:pPr>
        <w:pStyle w:val="BodyText"/>
        <w:tabs>
          <w:tab w:val="clear" w:pos="709"/>
        </w:tabs>
      </w:pPr>
      <w:r w:rsidRPr="00AF5D08">
        <w:t>While a person’s gender</w:t>
      </w:r>
      <w:r w:rsidR="00E463BF">
        <w:t>-</w:t>
      </w:r>
      <w:r w:rsidRPr="006212D3">
        <w:t xml:space="preserve">conforming expression may be very important to them, it seems less likely they would have experienced disadvantage, prejudice and stigma on this basis. In some cases, gender expression might not involve a characteristic that can only be changed at unacceptable cost. An example is a student who does not want to comply with school uniform requirements because of personal preference rather than it being closely tied to their sense of identity. </w:t>
      </w:r>
    </w:p>
    <w:p w14:paraId="4E236754" w14:textId="77777777" w:rsidR="00AE5387" w:rsidRPr="006212D3" w:rsidRDefault="00AE5387" w:rsidP="00AE5387">
      <w:pPr>
        <w:pStyle w:val="BodyText"/>
        <w:tabs>
          <w:tab w:val="clear" w:pos="709"/>
        </w:tabs>
      </w:pPr>
      <w:r w:rsidRPr="006212D3">
        <w:t xml:space="preserve">Discrimination provoked by a person’s gender expression will often amount to discrimination based on gender identity. This is because the Human Rights Act prohibits discrimination that is based on the belief that a person has a particular characteristic (even if they do not). A gender identity ground may therefore cover many cases of discrimination against people who are transgender or non-binary that is based on their outward expression of gender while avoiding some of the scope issues of a gender expression ground. </w:t>
      </w:r>
    </w:p>
    <w:p w14:paraId="3F3FD8A8" w14:textId="77777777" w:rsidR="00AE5387" w:rsidRPr="008642D1" w:rsidRDefault="00AE5387" w:rsidP="00AE5387">
      <w:pPr>
        <w:pStyle w:val="Heading3"/>
      </w:pPr>
      <w:r w:rsidRPr="008642D1">
        <w:lastRenderedPageBreak/>
        <w:t>Sex characteristics</w:t>
      </w:r>
    </w:p>
    <w:p w14:paraId="0F678864" w14:textId="7336C535" w:rsidR="00AE5387" w:rsidRPr="008642D1" w:rsidRDefault="00AE5387" w:rsidP="00AE5387">
      <w:pPr>
        <w:pStyle w:val="BodyText"/>
        <w:tabs>
          <w:tab w:val="clear" w:pos="709"/>
        </w:tabs>
      </w:pPr>
      <w:r w:rsidRPr="008642D1">
        <w:t>A sex characteristics ground would provide a symmetrical approach to protecting people with an innate variation of sex characteristics. As we explained in Chapter 2, sex characteristics are a person’s physical features relating to sex and include genitalia, other sexual and reproductive anatomy, chromosomes, hormones and secondary physical features that emerge from puberty.</w:t>
      </w:r>
    </w:p>
    <w:p w14:paraId="11E81243" w14:textId="77777777" w:rsidR="00AE5387" w:rsidRPr="008642D1" w:rsidRDefault="00AE5387" w:rsidP="00AE5387">
      <w:pPr>
        <w:pStyle w:val="BodyText"/>
        <w:tabs>
          <w:tab w:val="clear" w:pos="709"/>
        </w:tabs>
      </w:pPr>
      <w:r w:rsidRPr="008642D1">
        <w:t>The Australian Capital Territory, Queensland, the Northern Territory, Tasmania and Victoria each have sex characteristics as a prohibited ground of discrimination.</w:t>
      </w:r>
      <w:r w:rsidRPr="008642D1">
        <w:rPr>
          <w:rStyle w:val="FootnoteReference"/>
        </w:rPr>
        <w:footnoteReference w:id="399"/>
      </w:r>
      <w:r w:rsidRPr="008642D1">
        <w:t xml:space="preserve"> </w:t>
      </w:r>
    </w:p>
    <w:p w14:paraId="0F115515" w14:textId="77777777" w:rsidR="00AE5387" w:rsidRPr="008642D1" w:rsidRDefault="00AE5387" w:rsidP="00AE5387">
      <w:pPr>
        <w:pStyle w:val="BodyText"/>
        <w:tabs>
          <w:tab w:val="clear" w:pos="709"/>
        </w:tabs>
      </w:pPr>
      <w:r w:rsidRPr="008642D1">
        <w:t xml:space="preserve">While the ground of sex characteristics would cover people with an innate variation of sex characteristics, it would not be limited to this group. For example, it could apply where someone is discriminated against because of their breast size, amount of body hair or hormone levels. The ground might also cover transgender people. An example might be where a transgender woman is discriminated against because she has facial hair.  </w:t>
      </w:r>
    </w:p>
    <w:p w14:paraId="26F9B7B5" w14:textId="50047607" w:rsidR="00AE5387" w:rsidRPr="008642D1" w:rsidRDefault="00AE5387" w:rsidP="00AE5387">
      <w:pPr>
        <w:pStyle w:val="Heading4"/>
      </w:pPr>
      <w:r w:rsidRPr="008642D1">
        <w:t xml:space="preserve">Possible advantages and disadvantages of </w:t>
      </w:r>
      <w:r w:rsidR="00E463BF">
        <w:t xml:space="preserve">a </w:t>
      </w:r>
      <w:r w:rsidRPr="008642D1">
        <w:t>sex characteristics ground</w:t>
      </w:r>
    </w:p>
    <w:p w14:paraId="5509739E" w14:textId="56C3EE5D" w:rsidR="00AE5387" w:rsidRPr="008642D1" w:rsidRDefault="00AE5387" w:rsidP="00AE5387">
      <w:pPr>
        <w:pStyle w:val="BodyText"/>
        <w:tabs>
          <w:tab w:val="clear" w:pos="709"/>
        </w:tabs>
      </w:pPr>
      <w:r w:rsidRPr="008642D1">
        <w:t>One benefit of this approach is that it would avoid boundary issues about what intersex or variation means or which variations are protected.</w:t>
      </w:r>
      <w:r w:rsidRPr="008642D1">
        <w:rPr>
          <w:rStyle w:val="FootnoteReference"/>
        </w:rPr>
        <w:footnoteReference w:id="400"/>
      </w:r>
      <w:r w:rsidRPr="008642D1">
        <w:t xml:space="preserve"> However, this approach could enable a wide variety of claims</w:t>
      </w:r>
      <w:r w:rsidR="00164C01">
        <w:t>,</w:t>
      </w:r>
      <w:r w:rsidRPr="008642D1">
        <w:t xml:space="preserve"> including those that do not involve a history of stigma and disadvantage. The general wording of the ground might also make it less obvious to people with an innate variation of sex characteristics that they are protected by a ground of discrimination.   </w:t>
      </w:r>
    </w:p>
    <w:p w14:paraId="66A55E92" w14:textId="77777777" w:rsidR="00AE5387" w:rsidRPr="00F536E1" w:rsidRDefault="00AE5387" w:rsidP="00F536E1">
      <w:pPr>
        <w:pStyle w:val="Heading2"/>
      </w:pPr>
      <w:bookmarkStart w:id="98" w:name="_Toc170302152"/>
      <w:r w:rsidRPr="00F536E1">
        <w:rPr>
          <w:rStyle w:val="Heading2Char"/>
          <w:b/>
          <w:caps/>
        </w:rPr>
        <w:t>Clarifying the scope of the ground</w:t>
      </w:r>
      <w:r w:rsidRPr="00F536E1" w:rsidDel="00474FE7">
        <w:rPr>
          <w:rStyle w:val="Heading2Char"/>
          <w:b/>
          <w:caps/>
        </w:rPr>
        <w:t xml:space="preserve"> of sex</w:t>
      </w:r>
      <w:bookmarkEnd w:id="98"/>
      <w:r w:rsidRPr="00F536E1" w:rsidDel="00474FE7">
        <w:rPr>
          <w:rStyle w:val="Heading2Char"/>
          <w:b/>
          <w:caps/>
        </w:rPr>
        <w:t xml:space="preserve"> </w:t>
      </w:r>
    </w:p>
    <w:p w14:paraId="7129EFA3" w14:textId="507BA180" w:rsidR="00AE5387" w:rsidRPr="008642D1" w:rsidRDefault="00AE5387" w:rsidP="00AE5387">
      <w:pPr>
        <w:pStyle w:val="BodyText"/>
        <w:tabs>
          <w:tab w:val="clear" w:pos="709"/>
        </w:tabs>
      </w:pPr>
      <w:r w:rsidRPr="008642D1">
        <w:t>A further approach would be to clarify the scope of the ground of sex. This could either be done as an alternative to a stand</w:t>
      </w:r>
      <w:r w:rsidR="00F3104E">
        <w:t>-</w:t>
      </w:r>
      <w:r w:rsidRPr="008642D1">
        <w:t>alone ground or grounds or alongside stand</w:t>
      </w:r>
      <w:r w:rsidR="00F3104E">
        <w:t>-</w:t>
      </w:r>
      <w:r w:rsidRPr="008642D1">
        <w:t>alone grounds to clarify the residual meaning of sex discrimination.</w:t>
      </w:r>
    </w:p>
    <w:p w14:paraId="70DB2FEE" w14:textId="6779A705" w:rsidR="00AE5387" w:rsidRPr="008642D1" w:rsidRDefault="00AE5387" w:rsidP="00AE5387">
      <w:pPr>
        <w:pStyle w:val="Heading3"/>
      </w:pPr>
      <w:r w:rsidRPr="008642D1">
        <w:t xml:space="preserve">Clarifying the scope of </w:t>
      </w:r>
      <w:r w:rsidR="005800C9">
        <w:t xml:space="preserve">the </w:t>
      </w:r>
      <w:r w:rsidRPr="008642D1">
        <w:t xml:space="preserve">sex </w:t>
      </w:r>
      <w:r w:rsidR="00A768CD">
        <w:t>ground</w:t>
      </w:r>
      <w:r w:rsidRPr="008642D1">
        <w:t xml:space="preserve"> as an alternative to stand</w:t>
      </w:r>
      <w:r w:rsidR="00724C95">
        <w:t>-</w:t>
      </w:r>
      <w:r w:rsidRPr="008642D1">
        <w:t xml:space="preserve">alone grounds </w:t>
      </w:r>
    </w:p>
    <w:p w14:paraId="23CAB712" w14:textId="6DC2E2FE" w:rsidR="00AE5387" w:rsidRPr="008642D1" w:rsidRDefault="00AE5387" w:rsidP="00AE5387">
      <w:pPr>
        <w:pStyle w:val="BodyText"/>
        <w:tabs>
          <w:tab w:val="clear" w:pos="709"/>
        </w:tabs>
      </w:pPr>
      <w:r w:rsidRPr="008642D1">
        <w:t xml:space="preserve">One option would be to amend the statutory language to clarify </w:t>
      </w:r>
      <w:r w:rsidR="007A52E6">
        <w:t xml:space="preserve">that </w:t>
      </w:r>
      <w:r w:rsidRPr="008642D1">
        <w:t xml:space="preserve">the ground of sex protects people who are transgender or non-binary or who have an innate variation of sex characteristics. The statutory language currently reads: “sex, which includes pregnancy and childbirth”. An amended ground might be renamed </w:t>
      </w:r>
      <w:r w:rsidRPr="008642D1" w:rsidDel="007A52E6">
        <w:t>“</w:t>
      </w:r>
      <w:r w:rsidRPr="008642D1">
        <w:t>sex or gender</w:t>
      </w:r>
      <w:r w:rsidRPr="008642D1" w:rsidDel="007A52E6">
        <w:t>”</w:t>
      </w:r>
      <w:r w:rsidRPr="008642D1">
        <w:t xml:space="preserve"> and might be given an expanded definition by reference to any of the terms we discussed in previous sections. For example, it might read as follows:</w:t>
      </w:r>
    </w:p>
    <w:p w14:paraId="32DDFFE3" w14:textId="77777777" w:rsidR="00AE5387" w:rsidRPr="008642D1" w:rsidRDefault="00AE5387" w:rsidP="00AE5387">
      <w:pPr>
        <w:pStyle w:val="Quote"/>
      </w:pPr>
      <w:r w:rsidRPr="008642D1">
        <w:t>Sex or gender, which includes:</w:t>
      </w:r>
    </w:p>
    <w:p w14:paraId="09AE72D9" w14:textId="77777777" w:rsidR="00AE5387" w:rsidRPr="008642D1" w:rsidRDefault="00AE5387" w:rsidP="00AE5387">
      <w:pPr>
        <w:pStyle w:val="Quote"/>
      </w:pPr>
      <w:r w:rsidRPr="008642D1">
        <w:t>(a)</w:t>
      </w:r>
      <w:r w:rsidRPr="008642D1">
        <w:tab/>
        <w:t>Pregnancy and childbirth:</w:t>
      </w:r>
    </w:p>
    <w:p w14:paraId="047897F9" w14:textId="77777777" w:rsidR="00AE5387" w:rsidRPr="008642D1" w:rsidRDefault="00AE5387" w:rsidP="00AE5387">
      <w:pPr>
        <w:pStyle w:val="Quote"/>
      </w:pPr>
      <w:r w:rsidRPr="008642D1">
        <w:t>(b)</w:t>
      </w:r>
      <w:r w:rsidRPr="008642D1">
        <w:tab/>
        <w:t xml:space="preserve">Gender identity: </w:t>
      </w:r>
    </w:p>
    <w:p w14:paraId="216AD438" w14:textId="77777777" w:rsidR="00AE5387" w:rsidRPr="008642D1" w:rsidRDefault="00AE5387" w:rsidP="00AE5387">
      <w:pPr>
        <w:pStyle w:val="Quote"/>
      </w:pPr>
      <w:r w:rsidRPr="008642D1">
        <w:lastRenderedPageBreak/>
        <w:t>(c)</w:t>
      </w:r>
      <w:r w:rsidRPr="008642D1">
        <w:tab/>
        <w:t>Gender expression:</w:t>
      </w:r>
    </w:p>
    <w:p w14:paraId="1A5C3AFE" w14:textId="77777777" w:rsidR="00AE5387" w:rsidRPr="008642D1" w:rsidRDefault="00AE5387" w:rsidP="00AE5387">
      <w:pPr>
        <w:pStyle w:val="Quote"/>
      </w:pPr>
      <w:r w:rsidRPr="008642D1">
        <w:t>(d)</w:t>
      </w:r>
      <w:r w:rsidRPr="008642D1">
        <w:tab/>
        <w:t xml:space="preserve">Sex characteristics: </w:t>
      </w:r>
    </w:p>
    <w:p w14:paraId="2BF310D7" w14:textId="0BC0F63F" w:rsidR="00C51ABE" w:rsidRPr="008642D1" w:rsidRDefault="00C51ABE" w:rsidP="00C51ABE">
      <w:pPr>
        <w:pStyle w:val="BodyText"/>
        <w:tabs>
          <w:tab w:val="clear" w:pos="709"/>
        </w:tabs>
      </w:pPr>
      <w:r>
        <w:t xml:space="preserve">This is also a symmetrical approach </w:t>
      </w:r>
      <w:r w:rsidR="00CF718C">
        <w:t xml:space="preserve">as everyone has a </w:t>
      </w:r>
      <w:r>
        <w:t>sex</w:t>
      </w:r>
      <w:r w:rsidR="00CF718C">
        <w:t>,</w:t>
      </w:r>
      <w:r>
        <w:t xml:space="preserve"> gender identity, gender expression</w:t>
      </w:r>
      <w:r w:rsidR="008A6E80">
        <w:t xml:space="preserve"> and</w:t>
      </w:r>
      <w:r>
        <w:t xml:space="preserve"> sex characteristics.</w:t>
      </w:r>
    </w:p>
    <w:p w14:paraId="5F4FE329" w14:textId="7463E2CF" w:rsidR="00AE5387" w:rsidRPr="008642D1" w:rsidRDefault="00AE5387" w:rsidP="00AE5387">
      <w:pPr>
        <w:pStyle w:val="BodyText"/>
        <w:tabs>
          <w:tab w:val="clear" w:pos="709"/>
        </w:tabs>
      </w:pPr>
      <w:r w:rsidRPr="008642D1">
        <w:t xml:space="preserve">It might be considered somewhat odd to place concepts like gender identity and expression beside </w:t>
      </w:r>
      <w:r w:rsidRPr="008642D1" w:rsidDel="007A52E6">
        <w:t>“</w:t>
      </w:r>
      <w:r w:rsidRPr="008642D1">
        <w:t>pregnancy and childbirth</w:t>
      </w:r>
      <w:r w:rsidRPr="008642D1" w:rsidDel="007A52E6">
        <w:t>”</w:t>
      </w:r>
      <w:r w:rsidRPr="008642D1">
        <w:t>. If so, the latter could be stated separately as a stand</w:t>
      </w:r>
      <w:r w:rsidR="00F3104E">
        <w:t>-</w:t>
      </w:r>
      <w:r w:rsidRPr="008642D1">
        <w:t xml:space="preserve">alone ground. </w:t>
      </w:r>
    </w:p>
    <w:p w14:paraId="16CA8146" w14:textId="04858562" w:rsidR="00AE5387" w:rsidRDefault="00AE5387" w:rsidP="00AE5387">
      <w:pPr>
        <w:pStyle w:val="BodyText"/>
        <w:tabs>
          <w:tab w:val="clear" w:pos="709"/>
        </w:tabs>
      </w:pPr>
      <w:r w:rsidRPr="008642D1">
        <w:t xml:space="preserve">The option of an expansive definition of the ground of sex is not common in other countries but there are some examples to draw from. For example, a Bill that is currently before the United States Senate proposes to amend </w:t>
      </w:r>
      <w:r w:rsidR="000071C2">
        <w:t xml:space="preserve">the </w:t>
      </w:r>
      <w:r w:rsidRPr="008642D1">
        <w:t>definition of sex in the Civil Rights Act to include gender identity and sex characteristics.</w:t>
      </w:r>
      <w:r w:rsidRPr="008642D1">
        <w:rPr>
          <w:rStyle w:val="FootnoteReference"/>
        </w:rPr>
        <w:footnoteReference w:id="401"/>
      </w:r>
      <w:r w:rsidRPr="008642D1">
        <w:t xml:space="preserve"> As we explored in Chapter 6, there are examples of courts and tribunals giving the term sex an expansive interpretation to protect people who are transgender in jurisdictions where there is no express ground of discrimination such as gender identity. </w:t>
      </w:r>
    </w:p>
    <w:p w14:paraId="71CE2B0D" w14:textId="77777777" w:rsidR="00AE5387" w:rsidRPr="008642D1" w:rsidRDefault="00AE5387" w:rsidP="00AE5387">
      <w:pPr>
        <w:pStyle w:val="Heading4"/>
      </w:pPr>
      <w:r w:rsidRPr="008642D1">
        <w:t>Possible advantages and disadvantages of this approach</w:t>
      </w:r>
    </w:p>
    <w:p w14:paraId="0D567CA6" w14:textId="22FEDF13" w:rsidR="00AE5387" w:rsidRPr="008642D1" w:rsidRDefault="00AE5387" w:rsidP="00AE5387">
      <w:pPr>
        <w:pStyle w:val="BodyText"/>
        <w:tabs>
          <w:tab w:val="clear" w:pos="709"/>
        </w:tabs>
      </w:pPr>
      <w:r w:rsidRPr="008642D1">
        <w:t>This approach would acknowledge the interconnectedness between sex, gender and sex characteristics. These concepts are not always separated in other contexts. For example, a person can now apply to have</w:t>
      </w:r>
      <w:r w:rsidRPr="008642D1" w:rsidDel="00576389">
        <w:t xml:space="preserve"> </w:t>
      </w:r>
      <w:r w:rsidRPr="008642D1">
        <w:t>their nominated sex on their birth certificate</w:t>
      </w:r>
      <w:r w:rsidR="00576389" w:rsidRPr="00576389">
        <w:t xml:space="preserve"> </w:t>
      </w:r>
      <w:r w:rsidR="00576389">
        <w:t xml:space="preserve">recorded as </w:t>
      </w:r>
      <w:r w:rsidR="00576389" w:rsidRPr="008642D1">
        <w:t>non-binary</w:t>
      </w:r>
      <w:r w:rsidRPr="008642D1">
        <w:t>.</w:t>
      </w:r>
      <w:r w:rsidRPr="008642D1">
        <w:rPr>
          <w:rStyle w:val="FootnoteReference"/>
        </w:rPr>
        <w:footnoteReference w:id="402"/>
      </w:r>
      <w:r w:rsidRPr="008642D1">
        <w:t xml:space="preserve"> This approach would provide a broad flexible ground that would recognise that people frame their identities in different ways and that there are different views in the community about the relationship between these concepts. It would also recognise that discrimination can sometimes be due to incorrect assumptions. For example, a person with an innate variation of sex characteristics could be discriminated against because someone (wrongly) perceives them as transgender or non-binary.</w:t>
      </w:r>
    </w:p>
    <w:p w14:paraId="49F8A793" w14:textId="77777777" w:rsidR="00AE5387" w:rsidRPr="008642D1" w:rsidRDefault="00AE5387" w:rsidP="00AE5387">
      <w:pPr>
        <w:pStyle w:val="BodyText"/>
        <w:tabs>
          <w:tab w:val="clear" w:pos="709"/>
        </w:tabs>
      </w:pPr>
      <w:r w:rsidRPr="008642D1">
        <w:t xml:space="preserve">A possible disadvantage of this approach is that it could appear to conflate concepts that some people see as very different. For example, we understand that some people see their innate variation of sex characteristics as something very separate from their sex or gender. Including new protected characteristics within an existing ground may also make them less visible, so people may not understand the rights and duties they have. </w:t>
      </w:r>
    </w:p>
    <w:p w14:paraId="63417FE0" w14:textId="77777777" w:rsidR="00AE5387" w:rsidRPr="008642D1" w:rsidRDefault="00AE5387" w:rsidP="00AE5387">
      <w:pPr>
        <w:pStyle w:val="Heading4"/>
      </w:pPr>
      <w:r w:rsidRPr="008642D1">
        <w:t>Implications of this approach for exceptions</w:t>
      </w:r>
    </w:p>
    <w:p w14:paraId="62D3AD88" w14:textId="77777777" w:rsidR="00AE5387" w:rsidRPr="008642D1" w:rsidRDefault="00AE5387" w:rsidP="00AE5387">
      <w:pPr>
        <w:pStyle w:val="BodyText"/>
        <w:tabs>
          <w:tab w:val="clear" w:pos="709"/>
        </w:tabs>
      </w:pPr>
      <w:r w:rsidRPr="008642D1">
        <w:t>Another possible disadvantage of a combined sex and gender ground is that it might make applying the Part 2 exceptions more complex. As we explain in Chapter 8, there are numerous exceptions in Part 2 of the Human Rights Act (circumstances in which the Act states that treating someone differently based on a prohibited ground is lawful). Several of those exceptions apply to differences in treatment that are linked to a person’s sex. The difficulty that arises is that not all these sex</w:t>
      </w:r>
      <w:r w:rsidRPr="008642D1" w:rsidDel="00AB3F87">
        <w:t xml:space="preserve"> </w:t>
      </w:r>
      <w:r w:rsidRPr="008642D1">
        <w:t>exceptions</w:t>
      </w:r>
      <w:r w:rsidRPr="008642D1" w:rsidDel="00AB3F87">
        <w:t xml:space="preserve"> </w:t>
      </w:r>
      <w:r w:rsidRPr="008642D1">
        <w:t xml:space="preserve">would necessarily be appropriate to apply to characteristics such as gender identity, gender expression or sex characteristics. We can see three possible ways of addressing this difficulty. </w:t>
      </w:r>
    </w:p>
    <w:p w14:paraId="6DB52F97" w14:textId="6980889A" w:rsidR="00AE5387" w:rsidRPr="008642D1" w:rsidRDefault="00AE5387" w:rsidP="00AE5387">
      <w:pPr>
        <w:pStyle w:val="BodyText"/>
        <w:tabs>
          <w:tab w:val="clear" w:pos="709"/>
        </w:tabs>
      </w:pPr>
      <w:r w:rsidRPr="008642D1">
        <w:lastRenderedPageBreak/>
        <w:t xml:space="preserve">First, each of the sex exceptions could specify that the exception can only be relied on when necessary to advance the exception’s underlying policy rationale. That would ensure that, if a particular dimension of </w:t>
      </w:r>
      <w:r w:rsidRPr="008642D1" w:rsidDel="00724C95">
        <w:t>‘</w:t>
      </w:r>
      <w:r w:rsidRPr="008642D1">
        <w:t>sex or gender</w:t>
      </w:r>
      <w:r w:rsidRPr="008642D1" w:rsidDel="00724C95">
        <w:t>’</w:t>
      </w:r>
      <w:r w:rsidRPr="008642D1">
        <w:t xml:space="preserve"> is not linked to the underlying policy rationale, the exception could not be relied on. This approach would support flexible and context-specific application of the exceptions and is consistent with the idea of proportionality discussed in Chapter 4. However, it would give little guidance to private </w:t>
      </w:r>
      <w:r w:rsidR="0070566C">
        <w:t>individuals</w:t>
      </w:r>
      <w:r w:rsidR="0070566C" w:rsidRPr="008642D1">
        <w:t xml:space="preserve"> </w:t>
      </w:r>
      <w:r w:rsidRPr="008642D1">
        <w:t>and organisations about their duties and entitlements. As we have noted elsewhere, it can also be difficult to identify the underlying policy rationale for some exceptions.</w:t>
      </w:r>
    </w:p>
    <w:p w14:paraId="5AEFB75A" w14:textId="6344E0B6" w:rsidR="00AE5387" w:rsidRPr="008642D1" w:rsidRDefault="00AE5387" w:rsidP="00AB0C66">
      <w:pPr>
        <w:pStyle w:val="BodyText"/>
      </w:pPr>
      <w:r w:rsidRPr="008642D1">
        <w:t xml:space="preserve">A second approach would be for each of the current sex exceptions to specify which aspects of the ‘sex or gender’ ground are relevant for the particular exception. That would provide far clearer guidance for private </w:t>
      </w:r>
      <w:r w:rsidR="0070566C">
        <w:t>individuals</w:t>
      </w:r>
      <w:r w:rsidR="0070566C" w:rsidRPr="008642D1">
        <w:t xml:space="preserve"> </w:t>
      </w:r>
      <w:r w:rsidRPr="008642D1">
        <w:t>and organisations about their obligations under the Human Rights Act. However, if that degree of clarity is needed, it is hard to see why this approach is preferable to adding new stand</w:t>
      </w:r>
      <w:r w:rsidR="00F3104E">
        <w:t>-</w:t>
      </w:r>
      <w:r w:rsidRPr="008642D1">
        <w:t xml:space="preserve">alone grounds to section 21. </w:t>
      </w:r>
    </w:p>
    <w:p w14:paraId="3959EF82" w14:textId="0B884F05" w:rsidR="00AE5387" w:rsidRPr="008642D1" w:rsidRDefault="00AE5387" w:rsidP="00AB0C66">
      <w:pPr>
        <w:pStyle w:val="BodyText"/>
      </w:pPr>
      <w:r w:rsidRPr="008642D1">
        <w:t xml:space="preserve">A third approach would be to refer to </w:t>
      </w:r>
      <w:r w:rsidRPr="008642D1" w:rsidDel="00724C95">
        <w:t>‘</w:t>
      </w:r>
      <w:r w:rsidRPr="008642D1">
        <w:t>sex or gender</w:t>
      </w:r>
      <w:r w:rsidRPr="008642D1" w:rsidDel="00724C95">
        <w:t>’</w:t>
      </w:r>
      <w:r w:rsidRPr="008642D1">
        <w:t xml:space="preserve"> in relevant exceptions and give no specific guidance as to which aspects of this composite ground are engaged by the particular exception. In one sense, this would replicate the current position. As we explained in Chapter 6, many people (including government agencies) take the view that the sex ground already prohibits discrimination based on gender identity or sex characteristics. That presumably means that, in practice, the sex exceptions already apply to gender identity or sex characteristics to the extent appropriate.</w:t>
      </w:r>
    </w:p>
    <w:p w14:paraId="4A4612B6" w14:textId="24544CB3" w:rsidR="00AE5387" w:rsidRPr="008642D1" w:rsidRDefault="00AE5387" w:rsidP="00AB0C66">
      <w:pPr>
        <w:pStyle w:val="BodyText"/>
      </w:pPr>
      <w:r w:rsidRPr="008642D1">
        <w:t xml:space="preserve">This approach has the advantage of simplicity and avoids difficult questions about how to distinguish between a person’s sex and their gender. However, it may result in overreach. This might occur in situations where the underlying policy rationale for the exception makes sense when applied to some dimensions of </w:t>
      </w:r>
      <w:r w:rsidRPr="008642D1" w:rsidDel="00724C95">
        <w:t>‘</w:t>
      </w:r>
      <w:r w:rsidRPr="008642D1">
        <w:t>sex or gender</w:t>
      </w:r>
      <w:r w:rsidRPr="008642D1" w:rsidDel="00724C95">
        <w:t>’</w:t>
      </w:r>
      <w:r w:rsidRPr="008642D1" w:rsidDel="00F05BF2">
        <w:t xml:space="preserve"> </w:t>
      </w:r>
      <w:r w:rsidRPr="008642D1">
        <w:t>but not others. An example might be an exception that is most relevant to physical sex characteristics and does not make sense when applied to gender identity or gender expression.</w:t>
      </w:r>
      <w:r w:rsidRPr="008642D1" w:rsidDel="006B0EBF">
        <w:t xml:space="preserve"> </w:t>
      </w:r>
    </w:p>
    <w:p w14:paraId="7D48AAB4" w14:textId="2BB3BF30" w:rsidR="00AE5387" w:rsidRPr="008642D1" w:rsidRDefault="00AE5387" w:rsidP="00AE5387">
      <w:pPr>
        <w:pStyle w:val="Heading3"/>
      </w:pPr>
      <w:r w:rsidRPr="008642D1">
        <w:t xml:space="preserve">Clarifying the scope of </w:t>
      </w:r>
      <w:r w:rsidR="006C57BD">
        <w:t xml:space="preserve">the </w:t>
      </w:r>
      <w:r w:rsidRPr="008642D1">
        <w:t xml:space="preserve">sex </w:t>
      </w:r>
      <w:r w:rsidR="006C57BD">
        <w:t>ground</w:t>
      </w:r>
      <w:r w:rsidRPr="008642D1">
        <w:t xml:space="preserve"> alongside stand</w:t>
      </w:r>
      <w:r w:rsidR="00724C95">
        <w:t>-</w:t>
      </w:r>
      <w:r w:rsidRPr="008642D1">
        <w:t>alone grounds</w:t>
      </w:r>
    </w:p>
    <w:p w14:paraId="67C9AC61" w14:textId="6A4C6B88" w:rsidR="00AE5387" w:rsidRPr="008642D1" w:rsidRDefault="00AE5387" w:rsidP="00AE5387">
      <w:pPr>
        <w:pStyle w:val="BodyText"/>
        <w:tabs>
          <w:tab w:val="clear" w:pos="709"/>
        </w:tabs>
      </w:pPr>
      <w:r w:rsidRPr="008642D1">
        <w:t>If new stand</w:t>
      </w:r>
      <w:r w:rsidR="00F3104E">
        <w:t>-</w:t>
      </w:r>
      <w:r w:rsidRPr="008642D1">
        <w:t>alone grounds are added to the Human Rights Act (whether asymmetrical or symmetrical), a further option would be to amend the ground of sex to clarify the circumstances in which it would continue to apply. Below</w:t>
      </w:r>
      <w:r w:rsidR="004E5D24">
        <w:t>,</w:t>
      </w:r>
      <w:r w:rsidRPr="008642D1">
        <w:t xml:space="preserve"> we discuss two possible amendments</w:t>
      </w:r>
      <w:r w:rsidR="00C652CF">
        <w:t>,</w:t>
      </w:r>
      <w:r w:rsidRPr="008642D1">
        <w:t xml:space="preserve"> although we see difficulties with each of them. We also discuss the option of leaving the ground of sex as it is. </w:t>
      </w:r>
    </w:p>
    <w:p w14:paraId="3EE70225" w14:textId="77777777" w:rsidR="00AE5387" w:rsidRPr="008642D1" w:rsidRDefault="00AE5387" w:rsidP="00AE5387">
      <w:pPr>
        <w:pStyle w:val="Heading4"/>
      </w:pPr>
      <w:r w:rsidRPr="008642D1">
        <w:t>Defining sex as biological sex</w:t>
      </w:r>
    </w:p>
    <w:p w14:paraId="3F4A176A" w14:textId="67E80E82" w:rsidR="00AE5387" w:rsidRPr="008642D1" w:rsidRDefault="00AE5387" w:rsidP="00AE5387">
      <w:pPr>
        <w:pStyle w:val="BodyText"/>
        <w:tabs>
          <w:tab w:val="clear" w:pos="709"/>
        </w:tabs>
      </w:pPr>
      <w:r w:rsidRPr="008642D1">
        <w:t xml:space="preserve">We are aware of suggestions that the ground of sex should be defined as referring to a person’s biological sex and that exceptions in the Act that apply to sex should relate to </w:t>
      </w:r>
      <w:r w:rsidRPr="008642D1">
        <w:lastRenderedPageBreak/>
        <w:t>biological sex.</w:t>
      </w:r>
      <w:r w:rsidRPr="008642D1">
        <w:rPr>
          <w:rStyle w:val="FootnoteReference"/>
        </w:rPr>
        <w:footnoteReference w:id="403"/>
      </w:r>
      <w:r w:rsidRPr="008642D1">
        <w:t xml:space="preserve"> This is an issue that </w:t>
      </w:r>
      <w:r w:rsidR="00CC312B">
        <w:t xml:space="preserve">is being discussed </w:t>
      </w:r>
      <w:r w:rsidRPr="008642D1">
        <w:t>in the United Kingdom with respect to the Equality Act 2010.</w:t>
      </w:r>
      <w:r w:rsidRPr="008642D1">
        <w:rPr>
          <w:rStyle w:val="FootnoteReference"/>
        </w:rPr>
        <w:footnoteReference w:id="404"/>
      </w:r>
    </w:p>
    <w:p w14:paraId="18710C69" w14:textId="2D60DF35" w:rsidR="00AE5387" w:rsidRPr="008642D1" w:rsidRDefault="00AE5387" w:rsidP="00AE5387">
      <w:pPr>
        <w:pStyle w:val="BodyText"/>
        <w:tabs>
          <w:tab w:val="clear" w:pos="709"/>
        </w:tabs>
      </w:pPr>
      <w:r w:rsidRPr="008642D1">
        <w:t>We have identified some difficulties with confining the ground of sex to a person’s biological sex. One issue is that it would be unclear what the markers of biological sex would be and how they would be assessed. For example, would a person only be able to rely on the ground of sex where all their sex characteristics align with a particular sex? If that were the case, this could raise difficult issues</w:t>
      </w:r>
      <w:r w:rsidR="00164C01">
        <w:t>,</w:t>
      </w:r>
      <w:r w:rsidRPr="008642D1">
        <w:t xml:space="preserve"> including for people with an innate variation of sex characteristics. </w:t>
      </w:r>
    </w:p>
    <w:p w14:paraId="43F5D5E3" w14:textId="77777777" w:rsidR="00AE5387" w:rsidRPr="008642D1" w:rsidRDefault="00AE5387" w:rsidP="00AE5387">
      <w:pPr>
        <w:pStyle w:val="BodyText"/>
        <w:tabs>
          <w:tab w:val="clear" w:pos="709"/>
        </w:tabs>
      </w:pPr>
      <w:r w:rsidRPr="008642D1">
        <w:t xml:space="preserve">This approach also raises the possibility of people being asked to prove they are a particular sex. It is unclear what kind of evidence would be required and whether individuals could be asked to provide information that is highly personal and that is, in some cases, unknown to most people (for example, their sex chromosomes). </w:t>
      </w:r>
    </w:p>
    <w:p w14:paraId="491B32B7" w14:textId="77777777" w:rsidR="00AE5387" w:rsidRPr="008642D1" w:rsidRDefault="00AE5387" w:rsidP="00AE5387">
      <w:pPr>
        <w:pStyle w:val="BodyText"/>
        <w:tabs>
          <w:tab w:val="clear" w:pos="709"/>
        </w:tabs>
      </w:pPr>
      <w:r w:rsidRPr="008642D1">
        <w:t xml:space="preserve">Another relevant point is that discrimination is often about the defendant’s belief about a person rather than their biological characteristics. If an employer advertised a role as being for women only or paid women less, a transgender woman who was not considered for the role or was paid less would experience the same discrimination as a cisgender woman in the same position regardless of their biological characteristics. It may therefore be unnecessary to define the ground of sex in relation to biology.   </w:t>
      </w:r>
    </w:p>
    <w:p w14:paraId="33757ABC" w14:textId="77777777" w:rsidR="00AE5387" w:rsidRPr="008642D1" w:rsidRDefault="00AE5387" w:rsidP="00AE5387">
      <w:pPr>
        <w:pStyle w:val="Heading4"/>
      </w:pPr>
      <w:r w:rsidRPr="008642D1">
        <w:t xml:space="preserve">Defining sex with reference to birth certificates </w:t>
      </w:r>
    </w:p>
    <w:p w14:paraId="3CF2597C" w14:textId="77777777" w:rsidR="00AE5387" w:rsidRPr="008642D1" w:rsidRDefault="00AE5387" w:rsidP="00AE5387">
      <w:pPr>
        <w:pStyle w:val="BodyText"/>
        <w:tabs>
          <w:tab w:val="clear" w:pos="709"/>
        </w:tabs>
      </w:pPr>
      <w:r w:rsidRPr="008642D1">
        <w:t xml:space="preserve">Another option is that the ground of sex could be defined as meaning the sex marker listed on a person’s birth certificate. This would mean that people who are transgender or non-binary who have obtained a birth certificate that lists their nominated sex would be treated as that sex for the purposes of the Human Rights Act. </w:t>
      </w:r>
    </w:p>
    <w:p w14:paraId="385FC60F" w14:textId="77777777" w:rsidR="00AE5387" w:rsidRPr="008642D1" w:rsidRDefault="00AE5387" w:rsidP="00AE5387">
      <w:pPr>
        <w:pStyle w:val="BodyText"/>
        <w:tabs>
          <w:tab w:val="clear" w:pos="709"/>
        </w:tabs>
      </w:pPr>
      <w:r w:rsidRPr="008642D1">
        <w:t>Where a person’s gender identity differs from their sex assigned at birth, this approach would ensure that only people who have taken formal steps to have their nominated sex recognised are regarded as being of that sex for the purposes of the Human Rights Act. Those formal steps will have included making a statutory declaration that they identify as a person of the nominated sex.</w:t>
      </w:r>
      <w:r w:rsidRPr="008642D1">
        <w:rPr>
          <w:rStyle w:val="FootnoteReference"/>
        </w:rPr>
        <w:footnoteReference w:id="405"/>
      </w:r>
      <w:r w:rsidRPr="008642D1">
        <w:t xml:space="preserve"> This approach would also provide a clear way of determining a person’s sex for the purposes of the Act.</w:t>
      </w:r>
    </w:p>
    <w:p w14:paraId="4D3E0963" w14:textId="17C4816F" w:rsidR="00AE5387" w:rsidRPr="008642D1" w:rsidRDefault="00AE5387" w:rsidP="00AE5387">
      <w:pPr>
        <w:pStyle w:val="BodyText"/>
        <w:tabs>
          <w:tab w:val="clear" w:pos="709"/>
        </w:tabs>
      </w:pPr>
      <w:r w:rsidRPr="008642D1">
        <w:t xml:space="preserve">One difficulty with this approach is </w:t>
      </w:r>
      <w:r w:rsidR="0004520B">
        <w:t xml:space="preserve">that </w:t>
      </w:r>
      <w:r w:rsidRPr="008642D1">
        <w:t xml:space="preserve">it might lead to inconsistencies. An example might be a transgender person who was born overseas and cannot obtain a birth certificate in their nominated sex. </w:t>
      </w:r>
    </w:p>
    <w:p w14:paraId="5FFAEFEF" w14:textId="34CD6A1F" w:rsidR="00AE5387" w:rsidRPr="008642D1" w:rsidRDefault="00AE5387" w:rsidP="00AE5387">
      <w:pPr>
        <w:pStyle w:val="BodyText"/>
        <w:tabs>
          <w:tab w:val="clear" w:pos="709"/>
        </w:tabs>
      </w:pPr>
      <w:r w:rsidRPr="008642D1">
        <w:t>Another issue is that a person can have their nominated sex on their birth certificate</w:t>
      </w:r>
      <w:r w:rsidR="00576389">
        <w:t xml:space="preserve"> </w:t>
      </w:r>
      <w:r w:rsidR="00576389" w:rsidRPr="008642D1">
        <w:t>recorded as non-binary</w:t>
      </w:r>
      <w:r w:rsidRPr="008642D1">
        <w:t>.</w:t>
      </w:r>
      <w:r w:rsidRPr="008642D1">
        <w:rPr>
          <w:rStyle w:val="FootnoteReference"/>
        </w:rPr>
        <w:footnoteReference w:id="406"/>
      </w:r>
      <w:r w:rsidRPr="008642D1">
        <w:t xml:space="preserve"> A Cabinet paper on introducing a self-identification process acknowledged that this approach conflated sex and gender but described it as a </w:t>
      </w:r>
      <w:r w:rsidRPr="008642D1">
        <w:lastRenderedPageBreak/>
        <w:t>compromise to ensure there were no further delays in implementing the reforms.</w:t>
      </w:r>
      <w:r w:rsidRPr="008642D1">
        <w:rPr>
          <w:rStyle w:val="FootnoteReference"/>
        </w:rPr>
        <w:footnoteReference w:id="407"/>
      </w:r>
      <w:r w:rsidRPr="008642D1">
        <w:t xml:space="preserve"> If a person’s sex for the purposes of the Human Rights Act was restricted to what was on their birth certificate, this would mean some people’s sex would be considered to be non-binary, which is an umbrella term associated with gender. This blurring of sex and gender identity may raise difficulties with respect to exceptions given</w:t>
      </w:r>
      <w:r w:rsidR="0004520B">
        <w:t xml:space="preserve"> that</w:t>
      </w:r>
      <w:r w:rsidRPr="008642D1">
        <w:t xml:space="preserve"> there may be separate exceptions that apply to sex and gender identity. </w:t>
      </w:r>
    </w:p>
    <w:p w14:paraId="38D37CEA" w14:textId="0DA24A7A" w:rsidR="00AE5387" w:rsidRPr="008642D1" w:rsidRDefault="00AE5387" w:rsidP="00AE5387">
      <w:pPr>
        <w:pStyle w:val="BodyText"/>
        <w:tabs>
          <w:tab w:val="clear" w:pos="709"/>
        </w:tabs>
      </w:pPr>
      <w:r w:rsidRPr="008642D1">
        <w:t>If this approach were taken, it may be necessary to clarify the relationship with a provision in the Births, Deaths, Marriages, and Relationships Registration Act 2021 that states that agencies are not limited to considering the information in a birth certificate when ascertaining a person’s sex or gender</w:t>
      </w:r>
      <w:r w:rsidR="007B5A79">
        <w:t xml:space="preserve"> for a particular purpose</w:t>
      </w:r>
      <w:r w:rsidRPr="008642D1">
        <w:t>.</w:t>
      </w:r>
      <w:r w:rsidRPr="008642D1">
        <w:rPr>
          <w:rStyle w:val="FootnoteReference"/>
        </w:rPr>
        <w:footnoteReference w:id="408"/>
      </w:r>
    </w:p>
    <w:p w14:paraId="246BF5BA" w14:textId="77777777" w:rsidR="00AE5387" w:rsidRPr="008642D1" w:rsidRDefault="00AE5387" w:rsidP="00AE5387">
      <w:pPr>
        <w:pStyle w:val="Heading4"/>
        <w:tabs>
          <w:tab w:val="left" w:pos="8057"/>
        </w:tabs>
      </w:pPr>
      <w:r w:rsidRPr="008642D1">
        <w:t>No amendment to the ground of sex</w:t>
      </w:r>
      <w:r w:rsidRPr="008642D1">
        <w:tab/>
      </w:r>
    </w:p>
    <w:p w14:paraId="5CBE9671" w14:textId="5354124B" w:rsidR="00AE5387" w:rsidRPr="008642D1" w:rsidRDefault="00AE5387" w:rsidP="00AE5387">
      <w:pPr>
        <w:pStyle w:val="BodyText"/>
        <w:tabs>
          <w:tab w:val="clear" w:pos="709"/>
        </w:tabs>
      </w:pPr>
      <w:r w:rsidRPr="008642D1">
        <w:t xml:space="preserve">A third option would be to leave the ground of sex as it is. This would leave it to a tribunal or court to decide in an individual case whether an individual was discriminated against “by reason of” sex and whether any of the exceptions relating to sex apply. </w:t>
      </w:r>
    </w:p>
    <w:p w14:paraId="169E5DE5" w14:textId="77777777" w:rsidR="00AE5387" w:rsidRPr="008642D1" w:rsidRDefault="00AE5387" w:rsidP="00AE5387">
      <w:pPr>
        <w:pStyle w:val="BodyText"/>
        <w:tabs>
          <w:tab w:val="clear" w:pos="709"/>
        </w:tabs>
      </w:pPr>
      <w:r w:rsidRPr="008642D1">
        <w:t>An advantage of this approach is that it would allow fact-specific consideration. It would also recognise that there are different rationales underlying the exceptions that currently apply to the ground of sex. For example, an exception in the Act that allows a barber to only offer men’s haircuts has a very different purpose to an exception in the Act that allows competitive sporting events to be restricted to people of one sex.</w:t>
      </w:r>
    </w:p>
    <w:p w14:paraId="5484E2CC" w14:textId="77777777" w:rsidR="00AE5387" w:rsidRPr="008642D1" w:rsidRDefault="00AE5387" w:rsidP="00AE5387">
      <w:pPr>
        <w:pStyle w:val="BodyText"/>
        <w:tabs>
          <w:tab w:val="clear" w:pos="709"/>
        </w:tabs>
      </w:pPr>
      <w:r w:rsidRPr="008642D1">
        <w:t xml:space="preserve">A disadvantage of this approach is that it may not provide sufficient clarity and certainty. For example, businesses that provide facilities for one sex may be unsure who they are allowed to exclude from those facilities. </w:t>
      </w:r>
    </w:p>
    <w:p w14:paraId="08FD8654" w14:textId="3C3A782F" w:rsidR="00AE5387" w:rsidRPr="008642D1" w:rsidRDefault="00FE2B08" w:rsidP="00AE5387">
      <w:pPr>
        <w:pStyle w:val="BodyText"/>
        <w:numPr>
          <w:ilvl w:val="0"/>
          <w:numId w:val="0"/>
        </w:numPr>
        <w:ind w:left="709"/>
      </w:pPr>
      <w:r w:rsidRPr="008642D1">
        <w:rPr>
          <w:noProof/>
        </w:rPr>
        <mc:AlternateContent>
          <mc:Choice Requires="wpg">
            <w:drawing>
              <wp:anchor distT="0" distB="0" distL="114300" distR="114300" simplePos="0" relativeHeight="251658316" behindDoc="1" locked="0" layoutInCell="1" allowOverlap="1" wp14:anchorId="2A216F21" wp14:editId="52E1BB96">
                <wp:simplePos x="0" y="0"/>
                <wp:positionH relativeFrom="column">
                  <wp:posOffset>-3810</wp:posOffset>
                </wp:positionH>
                <wp:positionV relativeFrom="paragraph">
                  <wp:posOffset>6985</wp:posOffset>
                </wp:positionV>
                <wp:extent cx="5760085" cy="3705202"/>
                <wp:effectExtent l="0" t="0" r="0" b="0"/>
                <wp:wrapNone/>
                <wp:docPr id="1939361335" name="Group 1939361335" descr="Question"/>
                <wp:cNvGraphicFramePr/>
                <a:graphic xmlns:a="http://schemas.openxmlformats.org/drawingml/2006/main">
                  <a:graphicData uri="http://schemas.microsoft.com/office/word/2010/wordprocessingGroup">
                    <wpg:wgp>
                      <wpg:cNvGrpSpPr/>
                      <wpg:grpSpPr>
                        <a:xfrm>
                          <a:off x="0" y="0"/>
                          <a:ext cx="5760085" cy="3705202"/>
                          <a:chOff x="0" y="62865"/>
                          <a:chExt cx="5760085" cy="3707388"/>
                        </a:xfrm>
                      </wpg:grpSpPr>
                      <wps:wsp>
                        <wps:cNvPr id="16967496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22AE65" w14:textId="77777777" w:rsidR="00FE2B08" w:rsidRDefault="00FE2B08" w:rsidP="00FE2B08">
                              <w:pPr>
                                <w:pStyle w:val="BoxTitle"/>
                                <w:spacing w:before="0" w:beforeAutospacing="0"/>
                              </w:pPr>
                              <w:r w:rsidRPr="007F6876">
                                <w:t>QUESTION</w:t>
                              </w:r>
                              <w:r>
                                <w:t>S</w:t>
                              </w:r>
                            </w:p>
                          </w:txbxContent>
                        </wps:txbx>
                        <wps:bodyPr rot="0" vert="horz" wrap="square" lIns="91440" tIns="0" rIns="0" bIns="45720" anchor="ctr" anchorCtr="0" upright="1">
                          <a:noAutofit/>
                        </wps:bodyPr>
                      </wps:wsp>
                      <wpg:grpSp>
                        <wpg:cNvPr id="2071809664" name="Group 53"/>
                        <wpg:cNvGrpSpPr>
                          <a:grpSpLocks/>
                        </wpg:cNvGrpSpPr>
                        <wpg:grpSpPr bwMode="auto">
                          <a:xfrm>
                            <a:off x="0" y="316170"/>
                            <a:ext cx="5760085" cy="3454083"/>
                            <a:chOff x="1837" y="1791"/>
                            <a:chExt cx="9302" cy="37310"/>
                          </a:xfrm>
                        </wpg:grpSpPr>
                        <wps:wsp>
                          <wps:cNvPr id="1986409970" name="Freeform 54"/>
                          <wps:cNvSpPr>
                            <a:spLocks/>
                          </wps:cNvSpPr>
                          <wps:spPr bwMode="auto">
                            <a:xfrm>
                              <a:off x="1837" y="1791"/>
                              <a:ext cx="9302" cy="3731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2020857" name="Group 1792020857"/>
                        <wpg:cNvGrpSpPr/>
                        <wpg:grpSpPr>
                          <a:xfrm>
                            <a:off x="0" y="494036"/>
                            <a:ext cx="1443794" cy="252000"/>
                            <a:chOff x="-15880" y="0"/>
                            <a:chExt cx="1444379" cy="252068"/>
                          </a:xfrm>
                        </wpg:grpSpPr>
                        <wps:wsp>
                          <wps:cNvPr id="123026253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44389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111431" w14:textId="77777777" w:rsidR="00A95E0F" w:rsidRDefault="00FE2B08" w:rsidP="00FE2B08">
                                <w:pPr>
                                  <w:pStyle w:val="BoxTitle"/>
                                  <w:spacing w:before="0" w:beforeAutospacing="0"/>
                                  <w:rPr>
                                    <w:sz w:val="18"/>
                                    <w:szCs w:val="18"/>
                                  </w:rPr>
                                </w:pPr>
                                <w:r w:rsidRPr="00E90B8A">
                                  <w:rPr>
                                    <w:sz w:val="18"/>
                                    <w:szCs w:val="18"/>
                                  </w:rPr>
                                  <w:t>Q</w:t>
                                </w:r>
                                <w:r w:rsidR="00F52EF1">
                                  <w:rPr>
                                    <w:sz w:val="18"/>
                                    <w:szCs w:val="18"/>
                                  </w:rPr>
                                  <w:t>8</w:t>
                                </w:r>
                              </w:p>
                              <w:p w14:paraId="66D805F1" w14:textId="4B9AF761" w:rsidR="00FE2B08" w:rsidRPr="00E90B8A" w:rsidRDefault="00FE2B08" w:rsidP="00FE2B08">
                                <w:pPr>
                                  <w:pStyle w:val="BoxTitle"/>
                                  <w:spacing w:before="0" w:beforeAutospacing="0"/>
                                  <w:rPr>
                                    <w:sz w:val="18"/>
                                    <w:szCs w:val="18"/>
                                  </w:rPr>
                                </w:pPr>
                                <w:r w:rsidRPr="00E90B8A">
                                  <w:rPr>
                                    <w:sz w:val="18"/>
                                    <w:szCs w:val="18"/>
                                  </w:rPr>
                                  <w:t>Q</w:t>
                                </w:r>
                                <w:r>
                                  <w:rPr>
                                    <w:sz w:val="18"/>
                                    <w:szCs w:val="18"/>
                                  </w:rPr>
                                  <w:t>13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A216F21" id="Group 1939361335" o:spid="_x0000_s1068" alt="Question" style="position:absolute;left:0;text-align:left;margin-left:-.3pt;margin-top:.55pt;width:453.55pt;height:291.75pt;z-index:-251658164;mso-height-relative:margin" coordorigin=",628" coordsize="57600,37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">
                <v:shape id="Freeform 52" o:spid="_x0000_s106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F22AE65" w14:textId="77777777" w:rsidR="00FE2B08" w:rsidRDefault="00FE2B08" w:rsidP="00FE2B08">
                        <w:pPr>
                          <w:pStyle w:val="BoxTitle"/>
                          <w:spacing w:before="0" w:beforeAutospacing="0"/>
                        </w:pPr>
                        <w:r w:rsidRPr="007F6876">
                          <w:t>QUESTION</w:t>
                        </w:r>
                        <w:r>
                          <w:t>S</w:t>
                        </w:r>
                      </w:p>
                    </w:txbxContent>
                  </v:textbox>
                </v:shape>
                <v:group id="Group 53" o:spid="_x0000_s1070" style="position:absolute;top:3161;width:57600;height:34541" coordorigin="1837,1791" coordsize="9302,3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">
                  <v:shape id="Freeform 54" o:spid="_x0000_s1071" style="position:absolute;left:1837;top:1791;width:9302;height:3731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" path="m,l9354,r,7809l,7809,,e" fillcolor="#edf2ea" stroked="f">
                    <v:path arrowok="t" o:connecttype="custom" o:connectlocs="0,4778;9302,4778;9302,42088;0,42088;0,4778" o:connectangles="0,0,0,0,0"/>
                  </v:shape>
                </v:group>
                <v:group id="Group 1792020857" o:spid="_x0000_s107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">
                  <v:shape id="Freeform 58" o:spid="_x0000_s107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" path="m,l1815,e" filled="f" strokecolor="#72ab6a" strokeweight=".5pt">
                    <v:path arrowok="t" o:connecttype="custom" o:connectlocs="0,0;1073495,0" o:connectangles="0,0"/>
                  </v:shape>
                  <v:shape id="Freeform 66" o:spid="_x0000_s107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3111431" w14:textId="77777777" w:rsidR="00A95E0F" w:rsidRDefault="00FE2B08" w:rsidP="00FE2B08">
                          <w:pPr>
                            <w:pStyle w:val="BoxTitle"/>
                            <w:spacing w:before="0" w:beforeAutospacing="0"/>
                            <w:rPr>
                              <w:sz w:val="18"/>
                              <w:szCs w:val="18"/>
                            </w:rPr>
                          </w:pPr>
                          <w:r w:rsidRPr="00E90B8A">
                            <w:rPr>
                              <w:sz w:val="18"/>
                              <w:szCs w:val="18"/>
                            </w:rPr>
                            <w:t>Q</w:t>
                          </w:r>
                          <w:r w:rsidR="00F52EF1">
                            <w:rPr>
                              <w:sz w:val="18"/>
                              <w:szCs w:val="18"/>
                            </w:rPr>
                            <w:t>8</w:t>
                          </w:r>
                        </w:p>
                        <w:p w14:paraId="66D805F1" w14:textId="4B9AF761" w:rsidR="00FE2B08" w:rsidRPr="00E90B8A" w:rsidRDefault="00FE2B08" w:rsidP="00FE2B08">
                          <w:pPr>
                            <w:pStyle w:val="BoxTitle"/>
                            <w:spacing w:before="0" w:beforeAutospacing="0"/>
                            <w:rPr>
                              <w:sz w:val="18"/>
                              <w:szCs w:val="18"/>
                            </w:rPr>
                          </w:pPr>
                          <w:r w:rsidRPr="00E90B8A">
                            <w:rPr>
                              <w:sz w:val="18"/>
                              <w:szCs w:val="18"/>
                            </w:rPr>
                            <w:t>Q</w:t>
                          </w:r>
                          <w:r>
                            <w:rPr>
                              <w:sz w:val="18"/>
                              <w:szCs w:val="18"/>
                            </w:rPr>
                            <w:t>13</w:t>
                          </w:r>
                        </w:p>
                      </w:txbxContent>
                    </v:textbox>
                  </v:shape>
                </v:group>
              </v:group>
            </w:pict>
          </mc:Fallback>
        </mc:AlternateContent>
      </w:r>
    </w:p>
    <w:p w14:paraId="2D3FD48A" w14:textId="77777777" w:rsidR="001D7EF7" w:rsidRPr="008642D1" w:rsidRDefault="001D7EF7" w:rsidP="00AE5387">
      <w:pPr>
        <w:pStyle w:val="BodyText"/>
        <w:numPr>
          <w:ilvl w:val="0"/>
          <w:numId w:val="0"/>
        </w:numPr>
        <w:ind w:left="709"/>
      </w:pPr>
    </w:p>
    <w:p w14:paraId="552CD1E7" w14:textId="69C7D547" w:rsidR="00FE2B08" w:rsidRPr="008642D1" w:rsidRDefault="00AE5387" w:rsidP="00F443D0">
      <w:pPr>
        <w:pStyle w:val="QuestionBox"/>
      </w:pPr>
      <w:r w:rsidRPr="008642D1">
        <w:t xml:space="preserve">Which of </w:t>
      </w:r>
      <w:r w:rsidR="00F443D0" w:rsidRPr="00F443D0">
        <w:t>the options discussed in this chapter do you think is best</w:t>
      </w:r>
      <w:r w:rsidRPr="008642D1">
        <w:t xml:space="preserve"> for protecting people who are transgender or non-binary</w:t>
      </w:r>
      <w:r w:rsidR="00F443D0" w:rsidRPr="00F443D0">
        <w:t>?</w:t>
      </w:r>
    </w:p>
    <w:p w14:paraId="7C0AC8D8" w14:textId="3A048DAD" w:rsidR="00F443D0" w:rsidRDefault="00F443D0" w:rsidP="00C7458D">
      <w:pPr>
        <w:pStyle w:val="QuestionBox"/>
      </w:pPr>
      <w:r w:rsidRPr="008642D1">
        <w:rPr>
          <w:noProof/>
        </w:rPr>
        <mc:AlternateContent>
          <mc:Choice Requires="wpg">
            <w:drawing>
              <wp:anchor distT="0" distB="0" distL="114300" distR="114300" simplePos="0" relativeHeight="251658317" behindDoc="1" locked="0" layoutInCell="1" allowOverlap="1" wp14:anchorId="5BBC06A7" wp14:editId="7BE3490F">
                <wp:simplePos x="0" y="0"/>
                <wp:positionH relativeFrom="column">
                  <wp:posOffset>0</wp:posOffset>
                </wp:positionH>
                <wp:positionV relativeFrom="paragraph">
                  <wp:posOffset>114443</wp:posOffset>
                </wp:positionV>
                <wp:extent cx="1443355" cy="251460"/>
                <wp:effectExtent l="0" t="0" r="42545" b="0"/>
                <wp:wrapNone/>
                <wp:docPr id="1024504971"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56750646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07556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7CF660" w14:textId="26C76901" w:rsidR="00F443D0" w:rsidRPr="00E90B8A" w:rsidRDefault="00F443D0" w:rsidP="00F443D0">
                              <w:pPr>
                                <w:pStyle w:val="BoxTitle"/>
                                <w:spacing w:before="0" w:beforeAutospacing="0"/>
                                <w:rPr>
                                  <w:sz w:val="18"/>
                                  <w:szCs w:val="18"/>
                                </w:rPr>
                              </w:pPr>
                              <w:r w:rsidRPr="00E90B8A">
                                <w:rPr>
                                  <w:sz w:val="18"/>
                                  <w:szCs w:val="18"/>
                                </w:rPr>
                                <w:t>Q</w:t>
                              </w:r>
                              <w:r w:rsidR="00F52EF1">
                                <w:rPr>
                                  <w:sz w:val="18"/>
                                  <w:szCs w:val="18"/>
                                </w:rPr>
                                <w:t>9</w:t>
                              </w:r>
                            </w:p>
                          </w:txbxContent>
                        </wps:txbx>
                        <wps:bodyPr rot="0" vert="horz" wrap="square" lIns="54000" tIns="82800" rIns="91440" bIns="45720" anchor="ctr" anchorCtr="0" upright="1">
                          <a:noAutofit/>
                        </wps:bodyPr>
                      </wps:wsp>
                    </wpg:wgp>
                  </a:graphicData>
                </a:graphic>
              </wp:anchor>
            </w:drawing>
          </mc:Choice>
          <mc:Fallback>
            <w:pict>
              <v:group w14:anchorId="5BBC06A7" id="_x0000_s1075" style="position:absolute;left:0;text-align:left;margin-left:0;margin-top:9pt;width:113.65pt;height:19.8pt;z-index:-251658163"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">
                <v:shape id="Freeform 58" o:spid="_x0000_s107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" path="m,l1815,e" filled="f" strokecolor="#72ab6a" strokeweight=".5pt">
                  <v:path arrowok="t" o:connecttype="custom" o:connectlocs="0,0;1073495,0" o:connectangles="0,0"/>
                </v:shape>
                <v:shape id="Freeform 66" o:spid="_x0000_s107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97CF660" w14:textId="26C76901" w:rsidR="00F443D0" w:rsidRPr="00E90B8A" w:rsidRDefault="00F443D0" w:rsidP="00F443D0">
                        <w:pPr>
                          <w:pStyle w:val="BoxTitle"/>
                          <w:spacing w:before="0" w:beforeAutospacing="0"/>
                          <w:rPr>
                            <w:sz w:val="18"/>
                            <w:szCs w:val="18"/>
                          </w:rPr>
                        </w:pPr>
                        <w:r w:rsidRPr="00E90B8A">
                          <w:rPr>
                            <w:sz w:val="18"/>
                            <w:szCs w:val="18"/>
                          </w:rPr>
                          <w:t>Q</w:t>
                        </w:r>
                        <w:r w:rsidR="00F52EF1">
                          <w:rPr>
                            <w:sz w:val="18"/>
                            <w:szCs w:val="18"/>
                          </w:rPr>
                          <w:t>9</w:t>
                        </w:r>
                      </w:p>
                    </w:txbxContent>
                  </v:textbox>
                </v:shape>
              </v:group>
            </w:pict>
          </mc:Fallback>
        </mc:AlternateContent>
      </w:r>
    </w:p>
    <w:p w14:paraId="6C4F6C5D" w14:textId="3B0D6B53" w:rsidR="00AE5387" w:rsidRPr="008642D1" w:rsidRDefault="00AE5387" w:rsidP="00C7458D">
      <w:pPr>
        <w:pStyle w:val="QuestionBox"/>
      </w:pPr>
      <w:r w:rsidRPr="008642D1">
        <w:t xml:space="preserve">Which of </w:t>
      </w:r>
      <w:r w:rsidR="009A7278">
        <w:t>the options discussed in this chapter do you think is best</w:t>
      </w:r>
      <w:r w:rsidRPr="008642D1">
        <w:t xml:space="preserve"> for protecting people who have an innate variation of sex characteristics? </w:t>
      </w:r>
    </w:p>
    <w:p w14:paraId="43FD7F29" w14:textId="655ED4CB" w:rsidR="00AE5387" w:rsidRPr="008642D1" w:rsidRDefault="00293F11" w:rsidP="00C7458D">
      <w:pPr>
        <w:pStyle w:val="QuestionBox"/>
      </w:pPr>
      <w:r w:rsidRPr="008642D1">
        <w:rPr>
          <w:noProof/>
        </w:rPr>
        <mc:AlternateContent>
          <mc:Choice Requires="wpg">
            <w:drawing>
              <wp:anchor distT="0" distB="0" distL="114300" distR="114300" simplePos="0" relativeHeight="251658318" behindDoc="1" locked="0" layoutInCell="1" allowOverlap="1" wp14:anchorId="26E7F1FA" wp14:editId="6F2CD829">
                <wp:simplePos x="0" y="0"/>
                <wp:positionH relativeFrom="column">
                  <wp:posOffset>0</wp:posOffset>
                </wp:positionH>
                <wp:positionV relativeFrom="paragraph">
                  <wp:posOffset>129048</wp:posOffset>
                </wp:positionV>
                <wp:extent cx="1443355" cy="251460"/>
                <wp:effectExtent l="0" t="0" r="42545" b="0"/>
                <wp:wrapNone/>
                <wp:docPr id="363880046"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39122589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57474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25173A" w14:textId="77777777" w:rsidR="00A95E0F" w:rsidRDefault="00293F11" w:rsidP="00293F11">
                              <w:pPr>
                                <w:pStyle w:val="BoxTitle"/>
                                <w:spacing w:before="0" w:beforeAutospacing="0"/>
                                <w:rPr>
                                  <w:sz w:val="18"/>
                                  <w:szCs w:val="18"/>
                                </w:rPr>
                              </w:pPr>
                              <w:r w:rsidRPr="00E90B8A">
                                <w:rPr>
                                  <w:sz w:val="18"/>
                                  <w:szCs w:val="18"/>
                                </w:rPr>
                                <w:t>Q</w:t>
                              </w:r>
                              <w:r w:rsidR="004D2771">
                                <w:rPr>
                                  <w:sz w:val="18"/>
                                  <w:szCs w:val="18"/>
                                </w:rPr>
                                <w:t>1</w:t>
                              </w:r>
                              <w:r w:rsidR="00F52EF1">
                                <w:rPr>
                                  <w:sz w:val="18"/>
                                  <w:szCs w:val="18"/>
                                </w:rPr>
                                <w:t>0</w:t>
                              </w:r>
                            </w:p>
                            <w:p w14:paraId="17C8A8E0" w14:textId="6A175502" w:rsidR="00293F11" w:rsidRPr="00E90B8A" w:rsidRDefault="00293F11" w:rsidP="00293F11">
                              <w:pPr>
                                <w:pStyle w:val="BoxTitle"/>
                                <w:spacing w:before="0" w:beforeAutospacing="0"/>
                                <w:rPr>
                                  <w:sz w:val="18"/>
                                  <w:szCs w:val="18"/>
                                </w:rPr>
                              </w:pPr>
                              <w:r w:rsidRPr="00E90B8A">
                                <w:rPr>
                                  <w:sz w:val="18"/>
                                  <w:szCs w:val="18"/>
                                </w:rPr>
                                <w:t>Q</w:t>
                              </w:r>
                              <w:r w:rsidR="004D2771">
                                <w:rPr>
                                  <w:sz w:val="18"/>
                                  <w:szCs w:val="18"/>
                                </w:rPr>
                                <w:t>15</w:t>
                              </w:r>
                            </w:p>
                          </w:txbxContent>
                        </wps:txbx>
                        <wps:bodyPr rot="0" vert="horz" wrap="square" lIns="54000" tIns="82800" rIns="91440" bIns="45720" anchor="ctr" anchorCtr="0" upright="1">
                          <a:noAutofit/>
                        </wps:bodyPr>
                      </wps:wsp>
                    </wpg:wgp>
                  </a:graphicData>
                </a:graphic>
              </wp:anchor>
            </w:drawing>
          </mc:Choice>
          <mc:Fallback>
            <w:pict>
              <v:group w14:anchorId="26E7F1FA" id="_x0000_s1078" style="position:absolute;left:0;text-align:left;margin-left:0;margin-top:10.15pt;width:113.65pt;height:19.8pt;z-index:-251658162"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">
                <v:shape id="Freeform 58" o:spid="_x0000_s107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" path="m,l1815,e" filled="f" strokecolor="#72ab6a" strokeweight=".5pt">
                  <v:path arrowok="t" o:connecttype="custom" o:connectlocs="0,0;1073495,0" o:connectangles="0,0"/>
                </v:shape>
                <v:shape id="Freeform 66" o:spid="_x0000_s108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C25173A" w14:textId="77777777" w:rsidR="00A95E0F" w:rsidRDefault="00293F11" w:rsidP="00293F11">
                        <w:pPr>
                          <w:pStyle w:val="BoxTitle"/>
                          <w:spacing w:before="0" w:beforeAutospacing="0"/>
                          <w:rPr>
                            <w:sz w:val="18"/>
                            <w:szCs w:val="18"/>
                          </w:rPr>
                        </w:pPr>
                        <w:r w:rsidRPr="00E90B8A">
                          <w:rPr>
                            <w:sz w:val="18"/>
                            <w:szCs w:val="18"/>
                          </w:rPr>
                          <w:t>Q</w:t>
                        </w:r>
                        <w:r w:rsidR="004D2771">
                          <w:rPr>
                            <w:sz w:val="18"/>
                            <w:szCs w:val="18"/>
                          </w:rPr>
                          <w:t>1</w:t>
                        </w:r>
                        <w:r w:rsidR="00F52EF1">
                          <w:rPr>
                            <w:sz w:val="18"/>
                            <w:szCs w:val="18"/>
                          </w:rPr>
                          <w:t>0</w:t>
                        </w:r>
                      </w:p>
                      <w:p w14:paraId="17C8A8E0" w14:textId="6A175502" w:rsidR="00293F11" w:rsidRPr="00E90B8A" w:rsidRDefault="00293F11" w:rsidP="00293F11">
                        <w:pPr>
                          <w:pStyle w:val="BoxTitle"/>
                          <w:spacing w:before="0" w:beforeAutospacing="0"/>
                          <w:rPr>
                            <w:sz w:val="18"/>
                            <w:szCs w:val="18"/>
                          </w:rPr>
                        </w:pPr>
                        <w:r w:rsidRPr="00E90B8A">
                          <w:rPr>
                            <w:sz w:val="18"/>
                            <w:szCs w:val="18"/>
                          </w:rPr>
                          <w:t>Q</w:t>
                        </w:r>
                        <w:r w:rsidR="004D2771">
                          <w:rPr>
                            <w:sz w:val="18"/>
                            <w:szCs w:val="18"/>
                          </w:rPr>
                          <w:t>15</w:t>
                        </w:r>
                      </w:p>
                    </w:txbxContent>
                  </v:textbox>
                </v:shape>
              </v:group>
            </w:pict>
          </mc:Fallback>
        </mc:AlternateContent>
      </w:r>
    </w:p>
    <w:p w14:paraId="6CD290B0" w14:textId="78C02FB9" w:rsidR="009440C9" w:rsidRDefault="00AE5387" w:rsidP="00C7458D">
      <w:pPr>
        <w:pStyle w:val="QuestionBox"/>
      </w:pPr>
      <w:r w:rsidRPr="008642D1">
        <w:rPr>
          <w:szCs w:val="18"/>
        </w:rPr>
        <w:t>If the</w:t>
      </w:r>
      <w:r w:rsidR="00951577">
        <w:rPr>
          <w:szCs w:val="18"/>
        </w:rPr>
        <w:t>re were</w:t>
      </w:r>
      <w:r w:rsidRPr="008642D1">
        <w:rPr>
          <w:szCs w:val="18"/>
        </w:rPr>
        <w:t xml:space="preserve"> a combined </w:t>
      </w:r>
      <w:r w:rsidR="00951577">
        <w:rPr>
          <w:szCs w:val="18"/>
        </w:rPr>
        <w:t>“</w:t>
      </w:r>
      <w:r w:rsidRPr="008642D1">
        <w:rPr>
          <w:szCs w:val="18"/>
        </w:rPr>
        <w:t>sex and gender</w:t>
      </w:r>
      <w:r w:rsidR="00951577">
        <w:rPr>
          <w:szCs w:val="18"/>
        </w:rPr>
        <w:t>”</w:t>
      </w:r>
      <w:r w:rsidRPr="008642D1">
        <w:rPr>
          <w:szCs w:val="18"/>
        </w:rPr>
        <w:t xml:space="preserve"> ground, do you have any feedback on how the </w:t>
      </w:r>
      <w:r w:rsidR="00D5013C">
        <w:rPr>
          <w:szCs w:val="18"/>
        </w:rPr>
        <w:t xml:space="preserve">Human Rights </w:t>
      </w:r>
      <w:r w:rsidR="00951577">
        <w:rPr>
          <w:szCs w:val="18"/>
        </w:rPr>
        <w:t>Act</w:t>
      </w:r>
      <w:r w:rsidR="00D5013C">
        <w:rPr>
          <w:szCs w:val="18"/>
        </w:rPr>
        <w:t xml:space="preserve"> 1993</w:t>
      </w:r>
      <w:r w:rsidRPr="008642D1">
        <w:rPr>
          <w:szCs w:val="18"/>
        </w:rPr>
        <w:t xml:space="preserve"> could </w:t>
      </w:r>
      <w:r w:rsidR="00D9323C">
        <w:rPr>
          <w:szCs w:val="18"/>
        </w:rPr>
        <w:t xml:space="preserve">make it clear when an exception </w:t>
      </w:r>
      <w:r w:rsidR="00342655">
        <w:rPr>
          <w:szCs w:val="18"/>
        </w:rPr>
        <w:t xml:space="preserve">relating to </w:t>
      </w:r>
      <w:r w:rsidR="00D9323C">
        <w:rPr>
          <w:szCs w:val="18"/>
        </w:rPr>
        <w:t>this ground applies</w:t>
      </w:r>
      <w:r w:rsidRPr="008642D1">
        <w:rPr>
          <w:szCs w:val="18"/>
        </w:rPr>
        <w:t xml:space="preserve">?  </w:t>
      </w:r>
      <w:r w:rsidRPr="008642D1">
        <w:rPr>
          <w:rFonts w:ascii="Cambria Math" w:hAnsi="Cambria Math" w:cs="Cambria Math"/>
        </w:rPr>
        <w:t> </w:t>
      </w:r>
      <w:r w:rsidRPr="008642D1">
        <w:rPr>
          <w:rFonts w:ascii="Calibri" w:hAnsi="Calibri" w:cs="Calibri"/>
        </w:rPr>
        <w:t> </w:t>
      </w:r>
      <w:r w:rsidR="00293F11" w:rsidRPr="008642D1">
        <w:rPr>
          <w:noProof/>
        </w:rPr>
        <mc:AlternateContent>
          <mc:Choice Requires="wpg">
            <w:drawing>
              <wp:anchor distT="0" distB="0" distL="114300" distR="114300" simplePos="0" relativeHeight="251658308" behindDoc="1" locked="0" layoutInCell="1" allowOverlap="1" wp14:anchorId="1CA13C26" wp14:editId="41EFDB96">
                <wp:simplePos x="0" y="0"/>
                <wp:positionH relativeFrom="column">
                  <wp:posOffset>0</wp:posOffset>
                </wp:positionH>
                <wp:positionV relativeFrom="paragraph">
                  <wp:posOffset>182435</wp:posOffset>
                </wp:positionV>
                <wp:extent cx="1443355" cy="251460"/>
                <wp:effectExtent l="0" t="0" r="42545" b="0"/>
                <wp:wrapNone/>
                <wp:docPr id="65675755"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29023063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352077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11B76E" w14:textId="3BD40830" w:rsidR="00293F11" w:rsidRPr="00E90B8A" w:rsidRDefault="00293F11" w:rsidP="00293F11">
                              <w:pPr>
                                <w:pStyle w:val="BoxTitle"/>
                                <w:spacing w:before="0" w:beforeAutospacing="0"/>
                                <w:rPr>
                                  <w:sz w:val="18"/>
                                  <w:szCs w:val="18"/>
                                </w:rPr>
                              </w:pPr>
                              <w:r w:rsidRPr="00E90B8A">
                                <w:rPr>
                                  <w:sz w:val="18"/>
                                  <w:szCs w:val="18"/>
                                </w:rPr>
                                <w:t>Q</w:t>
                              </w:r>
                              <w:r w:rsidR="004D2771">
                                <w:rPr>
                                  <w:sz w:val="18"/>
                                  <w:szCs w:val="18"/>
                                </w:rPr>
                                <w:t>16</w:t>
                              </w:r>
                            </w:p>
                          </w:txbxContent>
                        </wps:txbx>
                        <wps:bodyPr rot="0" vert="horz" wrap="square" lIns="54000" tIns="82800" rIns="91440" bIns="45720" anchor="ctr" anchorCtr="0" upright="1">
                          <a:noAutofit/>
                        </wps:bodyPr>
                      </wps:wsp>
                    </wpg:wgp>
                  </a:graphicData>
                </a:graphic>
              </wp:anchor>
            </w:drawing>
          </mc:Choice>
          <mc:Fallback>
            <w:pict>
              <v:group w14:anchorId="1CA13C26" id="_x0000_s1081" style="position:absolute;left:0;text-align:left;margin-left:0;margin-top:14.35pt;width:113.65pt;height:19.8pt;z-index:-251658172"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">
                <v:shape id="Freeform 58" o:spid="_x0000_s108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" path="m,l1815,e" filled="f" strokecolor="#72ab6a" strokeweight=".5pt">
                  <v:path arrowok="t" o:connecttype="custom" o:connectlocs="0,0;1073495,0" o:connectangles="0,0"/>
                </v:shape>
                <v:shape id="Freeform 66" o:spid="_x0000_s108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E11B76E" w14:textId="3BD40830" w:rsidR="00293F11" w:rsidRPr="00E90B8A" w:rsidRDefault="00293F11" w:rsidP="00293F11">
                        <w:pPr>
                          <w:pStyle w:val="BoxTitle"/>
                          <w:spacing w:before="0" w:beforeAutospacing="0"/>
                          <w:rPr>
                            <w:sz w:val="18"/>
                            <w:szCs w:val="18"/>
                          </w:rPr>
                        </w:pPr>
                        <w:r w:rsidRPr="00E90B8A">
                          <w:rPr>
                            <w:sz w:val="18"/>
                            <w:szCs w:val="18"/>
                          </w:rPr>
                          <w:t>Q</w:t>
                        </w:r>
                        <w:r w:rsidR="004D2771">
                          <w:rPr>
                            <w:sz w:val="18"/>
                            <w:szCs w:val="18"/>
                          </w:rPr>
                          <w:t>16</w:t>
                        </w:r>
                      </w:p>
                    </w:txbxContent>
                  </v:textbox>
                </v:shape>
              </v:group>
            </w:pict>
          </mc:Fallback>
        </mc:AlternateContent>
      </w:r>
    </w:p>
    <w:p w14:paraId="766A05E7" w14:textId="73170387" w:rsidR="00D721AD" w:rsidRDefault="00C36E7F" w:rsidP="00C7458D">
      <w:pPr>
        <w:pStyle w:val="QuestionBox"/>
      </w:pPr>
      <w:r w:rsidRPr="008642D1">
        <w:rPr>
          <w:noProof/>
        </w:rPr>
        <mc:AlternateContent>
          <mc:Choice Requires="wpg">
            <w:drawing>
              <wp:anchor distT="0" distB="0" distL="114300" distR="114300" simplePos="0" relativeHeight="251670669" behindDoc="1" locked="0" layoutInCell="1" allowOverlap="1" wp14:anchorId="54EF4774" wp14:editId="2FA7375B">
                <wp:simplePos x="0" y="0"/>
                <wp:positionH relativeFrom="column">
                  <wp:posOffset>0</wp:posOffset>
                </wp:positionH>
                <wp:positionV relativeFrom="paragraph">
                  <wp:posOffset>171450</wp:posOffset>
                </wp:positionV>
                <wp:extent cx="1443355" cy="251460"/>
                <wp:effectExtent l="0" t="0" r="42545" b="0"/>
                <wp:wrapNone/>
                <wp:docPr id="1042999004"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88289817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71131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A2F880" w14:textId="45896D5A" w:rsidR="00C36E7F" w:rsidRDefault="00C36E7F" w:rsidP="00C36E7F">
                              <w:pPr>
                                <w:pStyle w:val="BoxTitle"/>
                                <w:spacing w:before="0" w:beforeAutospacing="0"/>
                                <w:rPr>
                                  <w:sz w:val="18"/>
                                  <w:szCs w:val="18"/>
                                </w:rPr>
                              </w:pPr>
                              <w:r w:rsidRPr="00E90B8A">
                                <w:rPr>
                                  <w:sz w:val="18"/>
                                  <w:szCs w:val="18"/>
                                </w:rPr>
                                <w:t>Q</w:t>
                              </w:r>
                              <w:r>
                                <w:rPr>
                                  <w:sz w:val="18"/>
                                  <w:szCs w:val="18"/>
                                </w:rPr>
                                <w:t>11</w:t>
                              </w:r>
                            </w:p>
                            <w:p w14:paraId="4B24097C" w14:textId="77777777" w:rsidR="00C36E7F" w:rsidRPr="00E90B8A" w:rsidRDefault="00C36E7F" w:rsidP="00C36E7F">
                              <w:pPr>
                                <w:pStyle w:val="BoxTitle"/>
                                <w:spacing w:before="0" w:beforeAutospacing="0"/>
                                <w:rPr>
                                  <w:sz w:val="18"/>
                                  <w:szCs w:val="18"/>
                                </w:rPr>
                              </w:pPr>
                              <w:r w:rsidRPr="00E90B8A">
                                <w:rPr>
                                  <w:sz w:val="18"/>
                                  <w:szCs w:val="18"/>
                                </w:rPr>
                                <w:t>Q</w:t>
                              </w:r>
                              <w:r>
                                <w:rPr>
                                  <w:sz w:val="18"/>
                                  <w:szCs w:val="18"/>
                                </w:rPr>
                                <w:t>15</w:t>
                              </w:r>
                            </w:p>
                          </w:txbxContent>
                        </wps:txbx>
                        <wps:bodyPr rot="0" vert="horz" wrap="square" lIns="54000" tIns="82800" rIns="91440" bIns="45720" anchor="ctr" anchorCtr="0" upright="1">
                          <a:noAutofit/>
                        </wps:bodyPr>
                      </wps:wsp>
                    </wpg:wgp>
                  </a:graphicData>
                </a:graphic>
              </wp:anchor>
            </w:drawing>
          </mc:Choice>
          <mc:Fallback>
            <w:pict>
              <v:group w14:anchorId="54EF4774" id="_x0000_s1084" style="position:absolute;left:0;text-align:left;margin-left:0;margin-top:13.5pt;width:113.65pt;height:19.8pt;z-index:-25164581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">
                <v:shape id="Freeform 58" o:spid="_x0000_s108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" path="m,l1815,e" filled="f" strokecolor="#72ab6a" strokeweight=".5pt">
                  <v:path arrowok="t" o:connecttype="custom" o:connectlocs="0,0;1073495,0" o:connectangles="0,0"/>
                </v:shape>
                <v:shape id="Freeform 66" o:spid="_x0000_s108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4A2F880" w14:textId="45896D5A" w:rsidR="00C36E7F" w:rsidRDefault="00C36E7F" w:rsidP="00C36E7F">
                        <w:pPr>
                          <w:pStyle w:val="BoxTitle"/>
                          <w:spacing w:before="0" w:beforeAutospacing="0"/>
                          <w:rPr>
                            <w:sz w:val="18"/>
                            <w:szCs w:val="18"/>
                          </w:rPr>
                        </w:pPr>
                        <w:r w:rsidRPr="00E90B8A">
                          <w:rPr>
                            <w:sz w:val="18"/>
                            <w:szCs w:val="18"/>
                          </w:rPr>
                          <w:t>Q</w:t>
                        </w:r>
                        <w:r>
                          <w:rPr>
                            <w:sz w:val="18"/>
                            <w:szCs w:val="18"/>
                          </w:rPr>
                          <w:t>11</w:t>
                        </w:r>
                      </w:p>
                      <w:p w14:paraId="4B24097C" w14:textId="77777777" w:rsidR="00C36E7F" w:rsidRPr="00E90B8A" w:rsidRDefault="00C36E7F" w:rsidP="00C36E7F">
                        <w:pPr>
                          <w:pStyle w:val="BoxTitle"/>
                          <w:spacing w:before="0" w:beforeAutospacing="0"/>
                          <w:rPr>
                            <w:sz w:val="18"/>
                            <w:szCs w:val="18"/>
                          </w:rPr>
                        </w:pPr>
                        <w:r w:rsidRPr="00E90B8A">
                          <w:rPr>
                            <w:sz w:val="18"/>
                            <w:szCs w:val="18"/>
                          </w:rPr>
                          <w:t>Q</w:t>
                        </w:r>
                        <w:r>
                          <w:rPr>
                            <w:sz w:val="18"/>
                            <w:szCs w:val="18"/>
                          </w:rPr>
                          <w:t>15</w:t>
                        </w:r>
                      </w:p>
                    </w:txbxContent>
                  </v:textbox>
                </v:shape>
              </v:group>
            </w:pict>
          </mc:Fallback>
        </mc:AlternateContent>
      </w:r>
    </w:p>
    <w:p w14:paraId="78EB9A9D" w14:textId="7DEF3C22" w:rsidR="00AE0DDF" w:rsidRPr="008642D1" w:rsidRDefault="00AE5387" w:rsidP="00C36E7F">
      <w:pPr>
        <w:pStyle w:val="QuestionBox"/>
      </w:pPr>
      <w:r w:rsidRPr="008642D1">
        <w:t>If new stand</w:t>
      </w:r>
      <w:r w:rsidR="00F3104E">
        <w:t>-</w:t>
      </w:r>
      <w:r w:rsidRPr="008642D1">
        <w:t>alone grounds of discrimination are added</w:t>
      </w:r>
      <w:r w:rsidR="000F234C" w:rsidRPr="000F234C">
        <w:t xml:space="preserve"> to the </w:t>
      </w:r>
      <w:r w:rsidR="00D5013C">
        <w:t xml:space="preserve">Human Rights </w:t>
      </w:r>
      <w:r w:rsidR="000F234C" w:rsidRPr="000F234C">
        <w:t>Act</w:t>
      </w:r>
      <w:r w:rsidR="00D5013C">
        <w:t xml:space="preserve"> 1993</w:t>
      </w:r>
      <w:r w:rsidRPr="008642D1">
        <w:t xml:space="preserve">, should the ground of sex be amended </w:t>
      </w:r>
      <w:r w:rsidR="000F234C" w:rsidRPr="000F234C">
        <w:t xml:space="preserve">to clarify the circumstances in which it would continue to apply?  </w:t>
      </w:r>
      <w:r w:rsidR="00AE0DDF" w:rsidRPr="008642D1">
        <w:rPr>
          <w:rFonts w:eastAsiaTheme="minorHAnsi"/>
          <w:noProof/>
          <w:lang w:eastAsia="en-NZ"/>
        </w:rPr>
        <mc:AlternateContent>
          <mc:Choice Requires="wpg">
            <w:drawing>
              <wp:anchor distT="0" distB="0" distL="114300" distR="114300" simplePos="0" relativeHeight="251658300" behindDoc="1" locked="0" layoutInCell="1" allowOverlap="1" wp14:anchorId="31D02ECD" wp14:editId="1AA04431">
                <wp:simplePos x="0" y="0"/>
                <wp:positionH relativeFrom="page">
                  <wp:posOffset>1080135</wp:posOffset>
                </wp:positionH>
                <wp:positionV relativeFrom="paragraph">
                  <wp:posOffset>19050</wp:posOffset>
                </wp:positionV>
                <wp:extent cx="1800000" cy="1270"/>
                <wp:effectExtent l="0" t="19050" r="10160" b="17780"/>
                <wp:wrapNone/>
                <wp:docPr id="1586051263" name="Group 158605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134" y="-469"/>
                          <a:chExt cx="2098" cy="2"/>
                        </a:xfrm>
                      </wpg:grpSpPr>
                      <wps:wsp>
                        <wps:cNvPr id="1348416588"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66C24" id="Group 1586051263" o:spid="_x0000_s1026" style="position:absolute;margin-left:85.05pt;margin-top:1.5pt;width:141.75pt;height:.1pt;z-index:-251658180;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" path="m,l2097,e" filled="f" strokecolor="#72ab6a" strokeweight="3pt">
                  <v:path arrowok="t" o:connecttype="custom" o:connectlocs="0,0;2097,0" o:connectangles="0,0"/>
                </v:shape>
                <w10:wrap anchorx="page"/>
              </v:group>
            </w:pict>
          </mc:Fallback>
        </mc:AlternateContent>
      </w:r>
    </w:p>
    <w:p w14:paraId="0D1CF680" w14:textId="77777777" w:rsidR="00174F89" w:rsidRPr="008642D1" w:rsidRDefault="00174F89" w:rsidP="00174F89">
      <w:pPr>
        <w:rPr>
          <w:lang w:eastAsia="en-NZ"/>
        </w:rPr>
        <w:sectPr w:rsidR="00174F89" w:rsidRPr="008642D1" w:rsidSect="00B50FD4">
          <w:headerReference w:type="default" r:id="rId44"/>
          <w:footerReference w:type="even" r:id="rId45"/>
          <w:footerReference w:type="default" r:id="rId46"/>
          <w:footnotePr>
            <w:numRestart w:val="eachSect"/>
          </w:footnotePr>
          <w:pgSz w:w="11907" w:h="16840" w:code="9"/>
          <w:pgMar w:top="1134" w:right="1134" w:bottom="1134" w:left="1701" w:header="499" w:footer="0" w:gutter="0"/>
          <w:cols w:space="720"/>
        </w:sectPr>
      </w:pPr>
    </w:p>
    <w:p w14:paraId="2B293590" w14:textId="37EAFCD6" w:rsidR="00174F89" w:rsidRPr="008642D1" w:rsidRDefault="00174F89" w:rsidP="00174F89">
      <w:pPr>
        <w:pStyle w:val="HEADING2topchapter-notinTOC"/>
      </w:pPr>
      <w:r w:rsidRPr="008642D1">
        <w:lastRenderedPageBreak/>
        <w:t xml:space="preserve">CHAPTER </w:t>
      </w:r>
      <w:r w:rsidR="00D727C4" w:rsidRPr="008642D1">
        <w:t>8</w:t>
      </w:r>
    </w:p>
    <w:p w14:paraId="66F89D77" w14:textId="77777777" w:rsidR="00174F89" w:rsidRPr="008642D1" w:rsidRDefault="00174F89" w:rsidP="00174F89">
      <w:pPr>
        <w:spacing w:line="200" w:lineRule="exact"/>
        <w:rPr>
          <w:szCs w:val="20"/>
        </w:rPr>
      </w:pPr>
      <w:r w:rsidRPr="008642D1">
        <w:rPr>
          <w:noProof/>
          <w:lang w:eastAsia="en-NZ"/>
        </w:rPr>
        <mc:AlternateContent>
          <mc:Choice Requires="wpg">
            <w:drawing>
              <wp:anchor distT="0" distB="0" distL="114300" distR="114300" simplePos="0" relativeHeight="251658269" behindDoc="1" locked="0" layoutInCell="1" allowOverlap="1" wp14:anchorId="48D492A5" wp14:editId="1E0AA50D">
                <wp:simplePos x="0" y="0"/>
                <wp:positionH relativeFrom="page">
                  <wp:posOffset>1076325</wp:posOffset>
                </wp:positionH>
                <wp:positionV relativeFrom="paragraph">
                  <wp:posOffset>6350</wp:posOffset>
                </wp:positionV>
                <wp:extent cx="1332230" cy="1270"/>
                <wp:effectExtent l="0" t="19050" r="1270" b="17780"/>
                <wp:wrapNone/>
                <wp:docPr id="482559590" name="Group 482559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752792218"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D4714" id="Group 482559590" o:spid="_x0000_s1026" style="position:absolute;margin-left:84.75pt;margin-top:.5pt;width:104.9pt;height:.1pt;z-index:-251658211;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VE/AIAAOA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&#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6ABDDB5C" w14:textId="14383C88" w:rsidR="00174F89" w:rsidRPr="008642D1" w:rsidRDefault="00174F89" w:rsidP="00DF306B">
      <w:pPr>
        <w:pStyle w:val="Heading1"/>
        <w:numPr>
          <w:ilvl w:val="0"/>
          <w:numId w:val="26"/>
        </w:numPr>
      </w:pPr>
      <w:bookmarkStart w:id="99" w:name="_Toc166844436"/>
      <w:bookmarkStart w:id="100" w:name="_Toc170302153"/>
      <w:r w:rsidRPr="008642D1">
        <w:rPr>
          <w:rFonts w:eastAsia="Metropolis Black"/>
        </w:rPr>
        <w:t>Introduction to Part 2 of</w:t>
      </w:r>
      <w:r w:rsidR="002748E4" w:rsidRPr="008642D1">
        <w:rPr>
          <w:rFonts w:eastAsia="Metropolis Black"/>
        </w:rPr>
        <w:t xml:space="preserve"> </w:t>
      </w:r>
      <w:r w:rsidRPr="008642D1">
        <w:rPr>
          <w:rFonts w:eastAsia="Metropolis Black"/>
        </w:rPr>
        <w:t>the Human Rights Act</w:t>
      </w:r>
      <w:bookmarkEnd w:id="99"/>
      <w:bookmarkEnd w:id="100"/>
    </w:p>
    <w:p w14:paraId="10953F4D" w14:textId="77777777" w:rsidR="00174F89" w:rsidRPr="008642D1" w:rsidRDefault="00174F89" w:rsidP="00174F89">
      <w:pPr>
        <w:spacing w:line="200" w:lineRule="exact"/>
        <w:rPr>
          <w:szCs w:val="20"/>
        </w:rPr>
      </w:pPr>
      <w:r w:rsidRPr="008642D1">
        <w:rPr>
          <w:noProof/>
          <w:lang w:eastAsia="en-NZ"/>
        </w:rPr>
        <mc:AlternateContent>
          <mc:Choice Requires="wpg">
            <w:drawing>
              <wp:anchor distT="0" distB="0" distL="114300" distR="114300" simplePos="0" relativeHeight="251658270" behindDoc="1" locked="0" layoutInCell="1" allowOverlap="1" wp14:anchorId="196AA6C9" wp14:editId="2B8D364D">
                <wp:simplePos x="0" y="0"/>
                <wp:positionH relativeFrom="margin">
                  <wp:align>left</wp:align>
                </wp:positionH>
                <wp:positionV relativeFrom="paragraph">
                  <wp:posOffset>97596</wp:posOffset>
                </wp:positionV>
                <wp:extent cx="1332230" cy="1270"/>
                <wp:effectExtent l="0" t="19050" r="20320" b="17780"/>
                <wp:wrapNone/>
                <wp:docPr id="1276925258" name="Group 1276925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387681256"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4D2DB" id="Group 1276925258" o:spid="_x0000_s1026" style="position:absolute;margin-left:0;margin-top:7.7pt;width:104.9pt;height:.1pt;z-index:-251658210;mso-position-horizontal:left;mso-position-horizontal-relative:margin"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" path="m,l2098,e" filled="f" strokecolor="#73ab6e" strokeweight="3pt">
                  <v:path arrowok="t" o:connecttype="custom" o:connectlocs="0,0;2098,0" o:connectangles="0,0"/>
                </v:shape>
                <w10:wrap anchorx="margin"/>
              </v:group>
            </w:pict>
          </mc:Fallback>
        </mc:AlternateContent>
      </w:r>
    </w:p>
    <w:p w14:paraId="48AA2F82" w14:textId="77777777" w:rsidR="00174F89" w:rsidRPr="008642D1" w:rsidRDefault="00174F89" w:rsidP="00174F89"/>
    <w:p w14:paraId="43ED7374" w14:textId="77777777" w:rsidR="00174F89" w:rsidRPr="008642D1" w:rsidRDefault="00174F89" w:rsidP="00174F89">
      <w:pPr>
        <w:pStyle w:val="Heading2"/>
      </w:pPr>
      <w:bookmarkStart w:id="101" w:name="_Toc166844437"/>
      <w:bookmarkStart w:id="102" w:name="_Toc170302154"/>
      <w:r w:rsidRPr="008642D1">
        <w:t>Introduction</w:t>
      </w:r>
      <w:bookmarkEnd w:id="101"/>
      <w:bookmarkEnd w:id="102"/>
    </w:p>
    <w:p w14:paraId="37C78221" w14:textId="4868C176" w:rsidR="006E00A7" w:rsidRPr="008642D1" w:rsidRDefault="006E00A7" w:rsidP="006E00A7">
      <w:pPr>
        <w:pStyle w:val="BodyText"/>
      </w:pPr>
      <w:r w:rsidRPr="008642D1">
        <w:t xml:space="preserve">Chapters 8 to 15 discuss Part 2 of the Human Rights Act 1993, which regulates private </w:t>
      </w:r>
      <w:r w:rsidR="0070566C">
        <w:t>individuals</w:t>
      </w:r>
      <w:r w:rsidR="0070566C" w:rsidRPr="008642D1">
        <w:t xml:space="preserve"> </w:t>
      </w:r>
      <w:r w:rsidRPr="008642D1">
        <w:t>and organisations (those not exercising government functions). In this introductory chapter</w:t>
      </w:r>
      <w:r w:rsidR="00BC4285">
        <w:t>,</w:t>
      </w:r>
      <w:r w:rsidRPr="008642D1">
        <w:t xml:space="preserve"> we explain</w:t>
      </w:r>
      <w:r w:rsidRPr="008642D1" w:rsidDel="00E5649F">
        <w:t xml:space="preserve"> </w:t>
      </w:r>
      <w:r w:rsidRPr="008642D1">
        <w:t>how Part 2 works and our approach to reviewing it. We also introduce some recurrent challenges we have encountered when analysing potential options for amending Part 2.</w:t>
      </w:r>
    </w:p>
    <w:p w14:paraId="7BD7F650" w14:textId="77777777" w:rsidR="006E00A7" w:rsidRPr="008642D1" w:rsidRDefault="006E00A7" w:rsidP="006E00A7">
      <w:pPr>
        <w:pStyle w:val="BodyText"/>
      </w:pPr>
      <w:r w:rsidRPr="008642D1">
        <w:t>We advise reading this chapter before the other chapters on Part 2.</w:t>
      </w:r>
    </w:p>
    <w:p w14:paraId="27116276" w14:textId="77777777" w:rsidR="006E00A7" w:rsidRPr="008642D1" w:rsidRDefault="006E00A7" w:rsidP="006E00A7">
      <w:pPr>
        <w:pStyle w:val="Heading2"/>
      </w:pPr>
      <w:bookmarkStart w:id="103" w:name="_Toc170302155"/>
      <w:r w:rsidRPr="008642D1">
        <w:t>How Part 2 works</w:t>
      </w:r>
      <w:bookmarkEnd w:id="103"/>
    </w:p>
    <w:p w14:paraId="60FB0508" w14:textId="1725906C" w:rsidR="006E00A7" w:rsidRPr="008642D1" w:rsidRDefault="006E00A7" w:rsidP="006E00A7">
      <w:pPr>
        <w:pStyle w:val="BodyText"/>
      </w:pPr>
      <w:r w:rsidRPr="008642D1">
        <w:t>Even if a person is treated differently and worse than others based on one of the prohibited grounds of discrimination in section 21 of the Human Rights Act, it does not automatically mean the treatment is unlawful. As we explained in Chapter 1, the Human Rights Act contains two sets of rules to determine whether treatment is unlawful. This chapter discusses the set of rules</w:t>
      </w:r>
      <w:r w:rsidR="00F536E1">
        <w:t xml:space="preserve"> that</w:t>
      </w:r>
      <w:r w:rsidRPr="008642D1">
        <w:t xml:space="preserve"> relates to private </w:t>
      </w:r>
      <w:r w:rsidR="0071619E">
        <w:t>individuals</w:t>
      </w:r>
      <w:r w:rsidR="0071619E" w:rsidRPr="008642D1">
        <w:t xml:space="preserve"> </w:t>
      </w:r>
      <w:r w:rsidRPr="008642D1">
        <w:t>and organisations. There is a separate set of rules for government (Part 1A), which we discuss in Chapter 16.</w:t>
      </w:r>
    </w:p>
    <w:p w14:paraId="18FCFEA4" w14:textId="77777777" w:rsidR="006E00A7" w:rsidRPr="008642D1" w:rsidRDefault="006E00A7" w:rsidP="006E00A7">
      <w:pPr>
        <w:pStyle w:val="Heading3"/>
      </w:pPr>
      <w:r w:rsidRPr="008642D1">
        <w:t>People and bodies covered by Part 2</w:t>
      </w:r>
    </w:p>
    <w:p w14:paraId="3CC1A149" w14:textId="5A06A65D" w:rsidR="006E00A7" w:rsidRPr="008642D1" w:rsidRDefault="006E00A7" w:rsidP="006E00A7">
      <w:pPr>
        <w:pStyle w:val="BodyText"/>
      </w:pPr>
      <w:r w:rsidRPr="008642D1">
        <w:t xml:space="preserve">In general, Part 2 regulates private </w:t>
      </w:r>
      <w:r w:rsidR="0071619E">
        <w:t>individuals</w:t>
      </w:r>
      <w:r w:rsidR="0071619E" w:rsidRPr="008642D1">
        <w:t xml:space="preserve"> </w:t>
      </w:r>
      <w:r w:rsidRPr="008642D1">
        <w:t xml:space="preserve">and organisations. </w:t>
      </w:r>
    </w:p>
    <w:p w14:paraId="6B5540D6" w14:textId="1142662D" w:rsidR="006E00A7" w:rsidRPr="008642D1" w:rsidRDefault="006E00A7" w:rsidP="006E00A7">
      <w:pPr>
        <w:pStyle w:val="BodyText"/>
      </w:pPr>
      <w:r w:rsidRPr="008642D1">
        <w:t>In some situations</w:t>
      </w:r>
      <w:r w:rsidR="00BC4285">
        <w:t>,</w:t>
      </w:r>
      <w:r w:rsidRPr="008642D1">
        <w:t xml:space="preserve"> the Human Rights Act treats private </w:t>
      </w:r>
      <w:r w:rsidR="0071619E">
        <w:t>individuals</w:t>
      </w:r>
      <w:r w:rsidR="0071619E" w:rsidRPr="008642D1">
        <w:t xml:space="preserve"> </w:t>
      </w:r>
      <w:r w:rsidRPr="008642D1">
        <w:t>and bodies as if they are government — Part 1A applies to them instead of Part 2. That occurs when they are exercising a “public function, power or duty” that has been conferred on them by law.</w:t>
      </w:r>
      <w:r w:rsidRPr="008642D1">
        <w:rPr>
          <w:rStyle w:val="FootnoteReference"/>
        </w:rPr>
        <w:footnoteReference w:id="409"/>
      </w:r>
      <w:r w:rsidRPr="008642D1">
        <w:t xml:space="preserve"> In this Issues Paper, we call these </w:t>
      </w:r>
      <w:r w:rsidRPr="008642D1" w:rsidDel="00724C95">
        <w:t>‘</w:t>
      </w:r>
      <w:r w:rsidRPr="008642D1">
        <w:t>government functions</w:t>
      </w:r>
      <w:r w:rsidRPr="008642D1" w:rsidDel="00724C95">
        <w:t>’</w:t>
      </w:r>
      <w:r w:rsidRPr="008642D1">
        <w:t xml:space="preserve">. An example might be decisions of an industry regulatory body such as the Advertising Standards Authority. </w:t>
      </w:r>
    </w:p>
    <w:p w14:paraId="40A55158" w14:textId="77777777" w:rsidR="006E00A7" w:rsidRPr="008642D1" w:rsidRDefault="006E00A7" w:rsidP="006E00A7">
      <w:pPr>
        <w:pStyle w:val="BodyText"/>
      </w:pPr>
      <w:r w:rsidRPr="008642D1">
        <w:t>Conversely, there are some narrow circumstances in which the Human Rights Act treats government agencies as if they are private bodies — Part 2 applies to them instead of Part 1A. The most important one for this review is when they are acting as employers.</w:t>
      </w:r>
    </w:p>
    <w:p w14:paraId="212E83B3" w14:textId="5B76C9F4" w:rsidR="006E00A7" w:rsidRPr="008642D1" w:rsidRDefault="006E00A7" w:rsidP="00F2711E">
      <w:pPr>
        <w:pStyle w:val="Heading3"/>
        <w:tabs>
          <w:tab w:val="left" w:pos="5021"/>
        </w:tabs>
      </w:pPr>
      <w:r w:rsidRPr="008642D1">
        <w:lastRenderedPageBreak/>
        <w:t>Activities covered by Part 2</w:t>
      </w:r>
      <w:r w:rsidR="000377EA">
        <w:tab/>
      </w:r>
    </w:p>
    <w:p w14:paraId="107F1EA1" w14:textId="731839D5" w:rsidR="006E00A7" w:rsidRPr="008642D1" w:rsidRDefault="006E00A7" w:rsidP="006E00A7">
      <w:pPr>
        <w:pStyle w:val="BodyText"/>
      </w:pPr>
      <w:r w:rsidRPr="008642D1">
        <w:t xml:space="preserve">Part 2 regulates private </w:t>
      </w:r>
      <w:r w:rsidR="0071619E">
        <w:t>individuals</w:t>
      </w:r>
      <w:r w:rsidRPr="008642D1" w:rsidDel="0071619E">
        <w:t xml:space="preserve"> </w:t>
      </w:r>
      <w:r w:rsidRPr="008642D1">
        <w:t>and bodies when they take part in certain public-facing activities. Part 2 sets out areas of life that are regulated — things like employment, provision of goods and services, and provision of land, housing and other accommodation. If someone’s behaviour does not fall into one of the regulated activities, it is not generally regulated by the Human Rights Act.</w:t>
      </w:r>
      <w:r w:rsidRPr="008642D1">
        <w:rPr>
          <w:rStyle w:val="FootnoteReference"/>
        </w:rPr>
        <w:footnoteReference w:id="410"/>
      </w:r>
      <w:r w:rsidRPr="008642D1">
        <w:t xml:space="preserve"> The </w:t>
      </w:r>
      <w:r w:rsidRPr="008642D1">
        <w:rPr>
          <w:szCs w:val="20"/>
        </w:rPr>
        <w:t>Act leaves significant parts of people’s private lives unregulated.</w:t>
      </w:r>
      <w:r w:rsidRPr="008642D1">
        <w:t xml:space="preserve"> </w:t>
      </w:r>
    </w:p>
    <w:p w14:paraId="77C6CD98" w14:textId="77777777" w:rsidR="006E00A7" w:rsidRPr="008642D1" w:rsidRDefault="006E00A7" w:rsidP="006E00A7">
      <w:pPr>
        <w:pStyle w:val="BodyText"/>
        <w:rPr>
          <w:szCs w:val="20"/>
        </w:rPr>
      </w:pPr>
      <w:r w:rsidRPr="008642D1">
        <w:t xml:space="preserve">Within each regulated area of life, Part 2 describes the actions that are unlawful if they are taken “by reason of” a prohibited ground of discrimination. Unlike Part 1A, which sets out a general right to “freedom from discrimination”, Part 2 uses very specific language to describe the activities it prohibits. For example, where a person applying for a job is “qualified for work of any description”, section 22(1)(a) of the Human Rights Act states that it is unlawful for an employer to “refuse or omit to employ the applicant on work of that description which is available” by reason of a prohibited ground. </w:t>
      </w:r>
    </w:p>
    <w:p w14:paraId="20CA2885" w14:textId="663114A0" w:rsidR="006E00A7" w:rsidRPr="008642D1" w:rsidRDefault="006E00A7" w:rsidP="006E00A7">
      <w:pPr>
        <w:pStyle w:val="BodyText"/>
      </w:pPr>
      <w:r w:rsidRPr="008642D1">
        <w:t>Cases say</w:t>
      </w:r>
      <w:r w:rsidR="00B7073C" w:rsidDel="00522A8A">
        <w:t xml:space="preserve"> </w:t>
      </w:r>
      <w:r w:rsidR="00B7073C">
        <w:t xml:space="preserve">that </w:t>
      </w:r>
      <w:r w:rsidRPr="008642D1">
        <w:t>“by reason of” means the prohibited ground must have been a material ingredient in the way the person was treated.</w:t>
      </w:r>
      <w:r w:rsidRPr="008642D1">
        <w:rPr>
          <w:rStyle w:val="FootnoteReference"/>
        </w:rPr>
        <w:footnoteReference w:id="411"/>
      </w:r>
      <w:r w:rsidRPr="008642D1">
        <w:t xml:space="preserve"> </w:t>
      </w:r>
    </w:p>
    <w:p w14:paraId="06814A2A" w14:textId="77777777" w:rsidR="006E00A7" w:rsidRPr="008642D1" w:rsidRDefault="006E00A7" w:rsidP="006E00A7">
      <w:pPr>
        <w:pStyle w:val="Heading4"/>
      </w:pPr>
      <w:r w:rsidRPr="008642D1">
        <w:t>Dividing line between Part 2 and Part 1A</w:t>
      </w:r>
    </w:p>
    <w:p w14:paraId="2906EA8D" w14:textId="482E0F1A" w:rsidR="006E00A7" w:rsidRPr="008642D1" w:rsidRDefault="006E00A7" w:rsidP="006E00A7">
      <w:pPr>
        <w:pStyle w:val="BodyText"/>
        <w:rPr>
          <w:szCs w:val="20"/>
        </w:rPr>
      </w:pPr>
      <w:r w:rsidRPr="008642D1">
        <w:t xml:space="preserve">As we have already explained, Part 2 of the Human Rights Act does not apply to government departments or to private </w:t>
      </w:r>
      <w:r w:rsidR="0071619E">
        <w:t>individuals</w:t>
      </w:r>
      <w:r w:rsidR="0071619E" w:rsidRPr="008642D1">
        <w:t xml:space="preserve"> </w:t>
      </w:r>
      <w:r w:rsidRPr="008642D1">
        <w:t>and organisations when they are exercising government functions. This is important to bear in mind as it means the reach of Part 2 is not as extensive as it might at first appear. For example, in Chapter 10</w:t>
      </w:r>
      <w:r w:rsidR="00B7073C">
        <w:t>,</w:t>
      </w:r>
      <w:r w:rsidRPr="008642D1">
        <w:t xml:space="preserve"> we discuss the Part 2 protections that apply when the public is given access to goods, services, places or facilities. These protections do not, however, apply if providing access to the particular good, service, place or facility is a government function. For example, when local councils make facilities like swimming pools, bathrooms and libraries available to the public, they are likely exercising government functions regulated by Part 1A of the Human Rights Act rather than Part 2.</w:t>
      </w:r>
      <w:r w:rsidRPr="008642D1">
        <w:rPr>
          <w:rStyle w:val="FootnoteReference"/>
        </w:rPr>
        <w:footnoteReference w:id="412"/>
      </w:r>
    </w:p>
    <w:p w14:paraId="0960ED08" w14:textId="77777777" w:rsidR="006E00A7" w:rsidRPr="008642D1" w:rsidRDefault="006E00A7" w:rsidP="006E00A7">
      <w:pPr>
        <w:pStyle w:val="BodyText"/>
      </w:pPr>
      <w:r w:rsidRPr="008642D1">
        <w:t>Another example is education. We think the reach of Part 2 in respect of education may in fact be quite limited. For example, it seems likely based on current case law that the provision of education by tertiary institutions such as universities and wānanga would fall under Part 1A.</w:t>
      </w:r>
      <w:r w:rsidRPr="008642D1">
        <w:rPr>
          <w:rStyle w:val="FootnoteReference"/>
        </w:rPr>
        <w:footnoteReference w:id="413"/>
      </w:r>
      <w:r w:rsidRPr="008642D1">
        <w:t xml:space="preserve"> As well, leading human rights scholars seem to agree that the provision of education by state schools and state-integrated schools is a government function (but are divided on whether any functions exercised by private schools would qualify).</w:t>
      </w:r>
      <w:r w:rsidRPr="008642D1">
        <w:rPr>
          <w:rStyle w:val="FootnoteReference"/>
        </w:rPr>
        <w:footnoteReference w:id="414"/>
      </w:r>
    </w:p>
    <w:p w14:paraId="6671FC28" w14:textId="3842A56E" w:rsidR="006E00A7" w:rsidRPr="008642D1" w:rsidRDefault="006E00A7" w:rsidP="006E00A7">
      <w:pPr>
        <w:pStyle w:val="BodyText"/>
      </w:pPr>
      <w:r w:rsidRPr="008642D1">
        <w:lastRenderedPageBreak/>
        <w:t>The line between Part 1A and Part 2 is grey. There is limited case law about what amounts to a government function</w:t>
      </w:r>
      <w:r w:rsidR="00B7073C">
        <w:t>,</w:t>
      </w:r>
      <w:r w:rsidRPr="008642D1">
        <w:t xml:space="preserve"> and commentators do not always agree on the correct position. This is something that might well benefit from consideration in a general review of the Human Rights Act. </w:t>
      </w:r>
    </w:p>
    <w:p w14:paraId="3DE389D6" w14:textId="77777777" w:rsidR="006E00A7" w:rsidRPr="008642D1" w:rsidRDefault="006E00A7" w:rsidP="006E00A7">
      <w:pPr>
        <w:pStyle w:val="Heading4"/>
      </w:pPr>
      <w:r w:rsidRPr="008642D1">
        <w:t>Overlap between Part 2 areas of life</w:t>
      </w:r>
    </w:p>
    <w:p w14:paraId="5D2BA185" w14:textId="773E4296" w:rsidR="006E00A7" w:rsidRPr="008642D1" w:rsidRDefault="006E00A7" w:rsidP="006E00A7">
      <w:pPr>
        <w:pStyle w:val="BodyText"/>
        <w:tabs>
          <w:tab w:val="num" w:pos="709"/>
        </w:tabs>
      </w:pPr>
      <w:r w:rsidRPr="008642D1">
        <w:t>It is also important to appreciate that the Part 2 areas of life are not discrete watertight categories. There can be overlap between them</w:t>
      </w:r>
      <w:r w:rsidRPr="008642D1" w:rsidDel="00B7073C">
        <w:t>.</w:t>
      </w:r>
      <w:r w:rsidRPr="008642D1">
        <w:rPr>
          <w:rStyle w:val="FootnoteReference"/>
        </w:rPr>
        <w:footnoteReference w:id="415"/>
      </w:r>
      <w:r w:rsidRPr="008642D1">
        <w:t xml:space="preserve"> </w:t>
      </w:r>
      <w:r w:rsidRPr="008642D1" w:rsidDel="00B7073C">
        <w:t>For example:</w:t>
      </w:r>
    </w:p>
    <w:p w14:paraId="6DE04FCB" w14:textId="4EE36C7C" w:rsidR="006E00A7" w:rsidRPr="008642D1" w:rsidRDefault="006E00A7" w:rsidP="00DF306B">
      <w:pPr>
        <w:pStyle w:val="BodyTextnonum"/>
        <w:numPr>
          <w:ilvl w:val="3"/>
          <w:numId w:val="23"/>
        </w:numPr>
        <w:tabs>
          <w:tab w:val="num" w:pos="709"/>
        </w:tabs>
      </w:pPr>
      <w:r w:rsidRPr="008642D1">
        <w:t>Part 2 has a section regulating vocational training bodies.</w:t>
      </w:r>
      <w:r w:rsidRPr="008642D1">
        <w:rPr>
          <w:rStyle w:val="FootnoteReference"/>
        </w:rPr>
        <w:footnoteReference w:id="416"/>
      </w:r>
      <w:r w:rsidRPr="008642D1">
        <w:t xml:space="preserve"> However, a separate section regulates, more generally, </w:t>
      </w:r>
      <w:r w:rsidRPr="008642D1" w:rsidDel="008263C1">
        <w:t>“</w:t>
      </w:r>
      <w:r w:rsidRPr="008642D1">
        <w:t>educational establishments</w:t>
      </w:r>
      <w:r w:rsidRPr="008642D1" w:rsidDel="008263C1">
        <w:t>”</w:t>
      </w:r>
      <w:r w:rsidRPr="008642D1">
        <w:t xml:space="preserve"> and these are defined to include vocational training bodies.</w:t>
      </w:r>
      <w:r w:rsidRPr="008642D1">
        <w:rPr>
          <w:rStyle w:val="FootnoteReference"/>
        </w:rPr>
        <w:footnoteReference w:id="417"/>
      </w:r>
      <w:r w:rsidRPr="008642D1">
        <w:t xml:space="preserve"> </w:t>
      </w:r>
    </w:p>
    <w:p w14:paraId="51620ED7" w14:textId="04AC199F" w:rsidR="006E00A7" w:rsidRPr="008642D1" w:rsidRDefault="006E00A7" w:rsidP="00DF306B">
      <w:pPr>
        <w:pStyle w:val="BodyTextnonum"/>
        <w:numPr>
          <w:ilvl w:val="3"/>
          <w:numId w:val="23"/>
        </w:numPr>
        <w:tabs>
          <w:tab w:val="num" w:pos="709"/>
        </w:tabs>
      </w:pPr>
      <w:r w:rsidRPr="008642D1">
        <w:t xml:space="preserve">The section in Part 2 regulating provision of accommodation applies to short-term rentals </w:t>
      </w:r>
      <w:r w:rsidR="00B7073C">
        <w:t>such as</w:t>
      </w:r>
      <w:r w:rsidR="00B7073C" w:rsidRPr="008642D1">
        <w:t xml:space="preserve"> </w:t>
      </w:r>
      <w:r w:rsidRPr="008642D1">
        <w:t>hostels and motels, but this kind of accommodation is probably also covered by the section on the supply of goods, facilities or services.</w:t>
      </w:r>
      <w:r w:rsidRPr="008642D1">
        <w:rPr>
          <w:rStyle w:val="FootnoteReference"/>
        </w:rPr>
        <w:footnoteReference w:id="418"/>
      </w:r>
      <w:r w:rsidRPr="008642D1">
        <w:t xml:space="preserve"> </w:t>
      </w:r>
    </w:p>
    <w:p w14:paraId="39E01DC1" w14:textId="26B53F53" w:rsidR="006E00A7" w:rsidRPr="008642D1" w:rsidRDefault="006E00A7" w:rsidP="006E00A7">
      <w:pPr>
        <w:pStyle w:val="BodyText"/>
      </w:pPr>
      <w:r w:rsidRPr="008642D1">
        <w:t xml:space="preserve">In some cases, the extent of overlap between Part 2 areas of life is uncertain. For example, the </w:t>
      </w:r>
      <w:r w:rsidR="00B7073C">
        <w:t xml:space="preserve">Human Rights </w:t>
      </w:r>
      <w:r w:rsidRPr="008642D1">
        <w:t>Act has provisions that regulate education and employment. However, it is possible that schools and employers, respectively, also have obligations under a section in the Act that regulates access to places, vehicles and facilities to which “members of the public are entitled or allowed to enter and use”.</w:t>
      </w:r>
      <w:r w:rsidRPr="008642D1">
        <w:rPr>
          <w:rStyle w:val="FootnoteReference"/>
        </w:rPr>
        <w:footnoteReference w:id="419"/>
      </w:r>
      <w:r w:rsidRPr="008642D1">
        <w:t xml:space="preserve"> Similarly, schools and employers might have obligations under a section in the Act that regulates the supply of goods, services and facilities to “the public or to any section of the public”.</w:t>
      </w:r>
      <w:r w:rsidRPr="008642D1">
        <w:rPr>
          <w:rStyle w:val="FootnoteReference"/>
        </w:rPr>
        <w:footnoteReference w:id="420"/>
      </w:r>
    </w:p>
    <w:p w14:paraId="65E2522C" w14:textId="77777777" w:rsidR="006E00A7" w:rsidRPr="008642D1" w:rsidRDefault="006E00A7" w:rsidP="006E00A7">
      <w:pPr>
        <w:pStyle w:val="BodyText"/>
        <w:rPr>
          <w:rFonts w:eastAsia="Metropolis Light" w:cs="Metropolis Light"/>
        </w:rPr>
      </w:pPr>
      <w:r w:rsidRPr="008642D1">
        <w:t>Whether this overlap exists depends on whether students (in relation to their schools) and employees (in relation to their workplaces) are members of the public or amount to a “section of the public”. This is unclear. There is only one relevant New Zealand court decision of which we are aware, it is quite old and it is not quite on point.</w:t>
      </w:r>
      <w:r w:rsidRPr="008642D1">
        <w:rPr>
          <w:rStyle w:val="FootnoteReference"/>
        </w:rPr>
        <w:footnoteReference w:id="421"/>
      </w:r>
      <w:r w:rsidRPr="008642D1">
        <w:rPr>
          <w:vertAlign w:val="superscript"/>
        </w:rPr>
        <w:t xml:space="preserve"> </w:t>
      </w:r>
    </w:p>
    <w:p w14:paraId="367752C1" w14:textId="77777777" w:rsidR="006E00A7" w:rsidRPr="008642D1" w:rsidRDefault="006E00A7" w:rsidP="006E00A7">
      <w:pPr>
        <w:pStyle w:val="Heading3"/>
      </w:pPr>
      <w:r w:rsidRPr="008642D1">
        <w:t>Exceptions</w:t>
      </w:r>
    </w:p>
    <w:p w14:paraId="1AAE77C1" w14:textId="1A5CBA9F" w:rsidR="006E00A7" w:rsidRPr="008642D1" w:rsidRDefault="006E00A7" w:rsidP="006E00A7">
      <w:pPr>
        <w:pStyle w:val="BodyText"/>
      </w:pPr>
      <w:r w:rsidRPr="008642D1">
        <w:t xml:space="preserve">A difference in treatment by reason of a prohibited ground might not be unlawful even if it </w:t>
      </w:r>
      <w:r w:rsidRPr="008642D1" w:rsidDel="00C4739D">
        <w:t>falls within one of the public-facing activities regulated by Part 2 of the Human Rights Act</w:t>
      </w:r>
      <w:r w:rsidRPr="008642D1">
        <w:t>. Part 2 contains many exceptions. An exception is where different treatment linked to a prohibited ground is lawful even though it falls within a regulated activity. Each of the regulated activities in Part</w:t>
      </w:r>
      <w:r w:rsidRPr="008642D1">
        <w:rPr>
          <w:rFonts w:ascii="Calibri" w:hAnsi="Calibri" w:cs="Calibri"/>
        </w:rPr>
        <w:t> </w:t>
      </w:r>
      <w:r w:rsidRPr="008642D1">
        <w:t>2 has its own list of exceptions. For example, there are exceptions that relate to employment, exceptions that relate to the provision of goods and services and exceptions that relate to housing.</w:t>
      </w:r>
    </w:p>
    <w:p w14:paraId="3234DF16" w14:textId="660C74D6" w:rsidR="006E00A7" w:rsidRPr="008642D1" w:rsidRDefault="006E00A7" w:rsidP="006E00A7">
      <w:pPr>
        <w:pStyle w:val="BodyText"/>
      </w:pPr>
      <w:r w:rsidRPr="008642D1">
        <w:t xml:space="preserve">As we discuss further below, some of these exceptions apply to all the prohibited grounds. More commonly, however, the exceptions apply to one prohibited ground or to </w:t>
      </w:r>
      <w:r w:rsidRPr="008642D1">
        <w:lastRenderedPageBreak/>
        <w:t>a few rather than all of them. For example, it is lawful to discriminate when you hire someone to work for a political party but only on the ground of political opinion.</w:t>
      </w:r>
      <w:r w:rsidRPr="008642D1">
        <w:rPr>
          <w:rStyle w:val="FootnoteReference"/>
        </w:rPr>
        <w:footnoteReference w:id="422"/>
      </w:r>
    </w:p>
    <w:p w14:paraId="315F1CC5" w14:textId="3E91018F" w:rsidR="006E00A7" w:rsidRPr="008642D1" w:rsidRDefault="006E00A7" w:rsidP="006E00A7">
      <w:pPr>
        <w:pStyle w:val="BodyText"/>
      </w:pPr>
      <w:r w:rsidRPr="008642D1">
        <w:t>Of particular significance to this review are the many exceptions in Part 2 of the Human Rights Act that apply to the prohibited ground of sex. By way of example, it is lawful to discriminate on grounds of sex:</w:t>
      </w:r>
    </w:p>
    <w:p w14:paraId="28DF79E0" w14:textId="77777777" w:rsidR="006E00A7" w:rsidRPr="008642D1" w:rsidRDefault="006E00A7" w:rsidP="00DF306B">
      <w:pPr>
        <w:pStyle w:val="BodyTextnonum"/>
        <w:numPr>
          <w:ilvl w:val="3"/>
          <w:numId w:val="23"/>
        </w:numPr>
      </w:pPr>
      <w:r w:rsidRPr="008642D1">
        <w:t>when hiring someone for a domestic job in a private household;</w:t>
      </w:r>
      <w:r w:rsidRPr="008642D1">
        <w:rPr>
          <w:rStyle w:val="FootnoteReference"/>
        </w:rPr>
        <w:footnoteReference w:id="423"/>
      </w:r>
    </w:p>
    <w:p w14:paraId="205344B8" w14:textId="77777777" w:rsidR="006E00A7" w:rsidRPr="008642D1" w:rsidRDefault="006E00A7" w:rsidP="00DF306B">
      <w:pPr>
        <w:pStyle w:val="BodyTextnonum"/>
        <w:numPr>
          <w:ilvl w:val="3"/>
          <w:numId w:val="23"/>
        </w:numPr>
      </w:pPr>
      <w:r w:rsidRPr="008642D1">
        <w:t>when employing someone as a counsellor on very personal things like sexual matters;</w:t>
      </w:r>
      <w:r w:rsidRPr="008642D1">
        <w:rPr>
          <w:rStyle w:val="FootnoteReference"/>
        </w:rPr>
        <w:footnoteReference w:id="424"/>
      </w:r>
    </w:p>
    <w:p w14:paraId="357FFF1E" w14:textId="77777777" w:rsidR="006E00A7" w:rsidRPr="008642D1" w:rsidRDefault="006E00A7" w:rsidP="00DF306B">
      <w:pPr>
        <w:pStyle w:val="BodyTextnonum"/>
        <w:numPr>
          <w:ilvl w:val="3"/>
          <w:numId w:val="23"/>
        </w:numPr>
      </w:pPr>
      <w:r w:rsidRPr="008642D1">
        <w:t>when providing separate facilities or services “for each sex on the ground of public decency or public safety”;</w:t>
      </w:r>
      <w:r w:rsidRPr="008642D1">
        <w:rPr>
          <w:rStyle w:val="FootnoteReference"/>
        </w:rPr>
        <w:footnoteReference w:id="425"/>
      </w:r>
      <w:r w:rsidRPr="008642D1">
        <w:t xml:space="preserve"> and</w:t>
      </w:r>
    </w:p>
    <w:p w14:paraId="0A6AE530" w14:textId="77777777" w:rsidR="006E00A7" w:rsidRPr="008642D1" w:rsidRDefault="006E00A7" w:rsidP="00DF306B">
      <w:pPr>
        <w:pStyle w:val="BodyTextnonum"/>
        <w:numPr>
          <w:ilvl w:val="3"/>
          <w:numId w:val="23"/>
        </w:numPr>
      </w:pPr>
      <w:r w:rsidRPr="008642D1">
        <w:t>in competitive sports for people who are 12 or over if “the strength, stamina or physique of competitors is relevant”.</w:t>
      </w:r>
      <w:r w:rsidRPr="008642D1">
        <w:rPr>
          <w:rStyle w:val="FootnoteReference"/>
        </w:rPr>
        <w:footnoteReference w:id="426"/>
      </w:r>
    </w:p>
    <w:p w14:paraId="41E71A42" w14:textId="77777777" w:rsidR="006E00A7" w:rsidRPr="008642D1" w:rsidRDefault="006E00A7" w:rsidP="00F536E1">
      <w:pPr>
        <w:pStyle w:val="BodyText"/>
      </w:pPr>
      <w:r w:rsidRPr="008642D1">
        <w:t>We need to consider carefully in this review whether any of these exceptions ought to be amended to reflect any new prohibited grounds of discrimination we might propose.</w:t>
      </w:r>
    </w:p>
    <w:p w14:paraId="59E73C2D" w14:textId="7BBA3FA8" w:rsidR="006E00A7" w:rsidRPr="008642D1" w:rsidRDefault="006E00A7" w:rsidP="006E00A7">
      <w:pPr>
        <w:pStyle w:val="BodyText"/>
      </w:pPr>
      <w:r w:rsidRPr="008642D1">
        <w:t>As well, the Human Rights Act contains general exceptions that apply to all regulated activities. The first is for positive discrimination</w:t>
      </w:r>
      <w:bookmarkStart w:id="104" w:name="_Hlk163226439"/>
      <w:r w:rsidRPr="008642D1">
        <w:t xml:space="preserve"> (otherwise known as ‘affirmative action’). This is when you treat someone differently to promote rather than suppress equality. Specifically, section 73(1) of the Human Rights Act says that differences in treatment are lawful if:</w:t>
      </w:r>
      <w:r w:rsidRPr="008642D1">
        <w:rPr>
          <w:rStyle w:val="FootnoteReference"/>
        </w:rPr>
        <w:footnoteReference w:id="427"/>
      </w:r>
    </w:p>
    <w:p w14:paraId="16FC8143" w14:textId="0AA847A0" w:rsidR="006E00A7" w:rsidRPr="008642D1" w:rsidRDefault="00261C4A" w:rsidP="00DF306B">
      <w:pPr>
        <w:pStyle w:val="BodyTextnonum"/>
        <w:numPr>
          <w:ilvl w:val="3"/>
          <w:numId w:val="23"/>
        </w:numPr>
      </w:pPr>
      <w:r>
        <w:t xml:space="preserve">they are </w:t>
      </w:r>
      <w:r w:rsidR="006E00A7" w:rsidRPr="008642D1">
        <w:t>done in good faith;</w:t>
      </w:r>
    </w:p>
    <w:p w14:paraId="6FF7A4EE" w14:textId="4FA2C1B1" w:rsidR="006E00A7" w:rsidRPr="008642D1" w:rsidRDefault="00261C4A" w:rsidP="00DF306B">
      <w:pPr>
        <w:pStyle w:val="BodyTextnonum"/>
        <w:numPr>
          <w:ilvl w:val="3"/>
          <w:numId w:val="23"/>
        </w:numPr>
      </w:pPr>
      <w:r>
        <w:t xml:space="preserve">they are </w:t>
      </w:r>
      <w:r w:rsidR="006E00A7" w:rsidRPr="008642D1">
        <w:t>to help someone against whom discrimination is unlawful under the Act; and</w:t>
      </w:r>
    </w:p>
    <w:p w14:paraId="0A7F2424" w14:textId="77777777" w:rsidR="006E00A7" w:rsidRPr="008642D1" w:rsidRDefault="006E00A7" w:rsidP="00DF306B">
      <w:pPr>
        <w:pStyle w:val="BodyTextnonum"/>
        <w:numPr>
          <w:ilvl w:val="3"/>
          <w:numId w:val="23"/>
        </w:numPr>
      </w:pPr>
      <w:r w:rsidRPr="008642D1">
        <w:t>it is reasonable to think that person needs help to achieve equality.</w:t>
      </w:r>
    </w:p>
    <w:p w14:paraId="4A9A3F49" w14:textId="0D3C2C73" w:rsidR="006E00A7" w:rsidRPr="008642D1" w:rsidRDefault="006E00A7" w:rsidP="006E00A7">
      <w:pPr>
        <w:pStyle w:val="BodyText"/>
        <w:tabs>
          <w:tab w:val="num" w:pos="709"/>
        </w:tabs>
      </w:pPr>
      <w:r w:rsidRPr="008642D1">
        <w:t xml:space="preserve">A second general exception is for preferential treatment because of pregnancy, childbirth or family responsibilities. Section 74 clarifies </w:t>
      </w:r>
      <w:r w:rsidR="00261C4A">
        <w:t xml:space="preserve">that </w:t>
      </w:r>
      <w:r w:rsidRPr="008642D1">
        <w:t>this does not constitute discrimination.</w:t>
      </w:r>
    </w:p>
    <w:p w14:paraId="1A7AB4EE" w14:textId="77777777" w:rsidR="006E00A7" w:rsidRPr="008642D1" w:rsidRDefault="006E00A7" w:rsidP="006E00A7">
      <w:pPr>
        <w:pStyle w:val="BodyText"/>
        <w:tabs>
          <w:tab w:val="num" w:pos="709"/>
        </w:tabs>
      </w:pPr>
      <w:r w:rsidRPr="008642D1">
        <w:t>Section 97 of the Human Rights Act is also relevant. It allows Te Taraipiunara Mana Tangata | Human Rights Review Tribunal to declare that a particular act, omission, practice, requirement or condition is not unlawful because it is one of the following:</w:t>
      </w:r>
    </w:p>
    <w:p w14:paraId="707BC707" w14:textId="77777777" w:rsidR="006E00A7" w:rsidRPr="008642D1" w:rsidRDefault="006E00A7" w:rsidP="00DF306B">
      <w:pPr>
        <w:pStyle w:val="BodyTextnonum"/>
        <w:numPr>
          <w:ilvl w:val="3"/>
          <w:numId w:val="23"/>
        </w:numPr>
        <w:tabs>
          <w:tab w:val="num" w:pos="709"/>
        </w:tabs>
      </w:pPr>
      <w:r w:rsidRPr="008642D1">
        <w:t>A genuine occupational qualification. This declaration can be made in respect of discrimination in employment and other employment-related contexts.</w:t>
      </w:r>
    </w:p>
    <w:p w14:paraId="578F5D10" w14:textId="77777777" w:rsidR="006E00A7" w:rsidRPr="008642D1" w:rsidRDefault="006E00A7" w:rsidP="00DF306B">
      <w:pPr>
        <w:pStyle w:val="BodyTextnonum"/>
        <w:numPr>
          <w:ilvl w:val="3"/>
          <w:numId w:val="23"/>
        </w:numPr>
        <w:tabs>
          <w:tab w:val="num" w:pos="709"/>
        </w:tabs>
      </w:pPr>
      <w:r w:rsidRPr="008642D1">
        <w:t>A genuine justification. This declaration can be made in respect of the other areas of life regulated by Part 2.</w:t>
      </w:r>
    </w:p>
    <w:p w14:paraId="31F22307" w14:textId="77777777" w:rsidR="006E00A7" w:rsidRPr="008642D1" w:rsidRDefault="006E00A7" w:rsidP="006E00A7">
      <w:pPr>
        <w:pStyle w:val="BodyText"/>
        <w:tabs>
          <w:tab w:val="num" w:pos="709"/>
        </w:tabs>
      </w:pPr>
      <w:r w:rsidRPr="008642D1">
        <w:lastRenderedPageBreak/>
        <w:t>Finally, Part 2 does not apply to acts or omissions that are authorised or required by law.</w:t>
      </w:r>
      <w:r w:rsidRPr="008642D1">
        <w:rPr>
          <w:rStyle w:val="FootnoteReference"/>
        </w:rPr>
        <w:footnoteReference w:id="428"/>
      </w:r>
      <w:r w:rsidRPr="008642D1">
        <w:t xml:space="preserve"> If the rules in Part 2 come into direct conflict with another statute, the other statute will prevail.</w:t>
      </w:r>
    </w:p>
    <w:p w14:paraId="313692D1" w14:textId="77777777" w:rsidR="006E00A7" w:rsidRPr="008642D1" w:rsidRDefault="006E00A7" w:rsidP="006E00A7">
      <w:pPr>
        <w:pStyle w:val="BodyText"/>
      </w:pPr>
      <w:r w:rsidRPr="008642D1">
        <w:t>The exceptions in Part 2 serve many overlapping functions. For example, they:</w:t>
      </w:r>
    </w:p>
    <w:p w14:paraId="15AB3C83" w14:textId="77777777" w:rsidR="006E00A7" w:rsidRPr="008642D1" w:rsidRDefault="006E00A7" w:rsidP="00DF306B">
      <w:pPr>
        <w:pStyle w:val="BodyTextnonum"/>
        <w:numPr>
          <w:ilvl w:val="3"/>
          <w:numId w:val="23"/>
        </w:numPr>
      </w:pPr>
      <w:r w:rsidRPr="008642D1">
        <w:t>reinforce the divide between private (unregulated) and public (regulated) activities;</w:t>
      </w:r>
    </w:p>
    <w:p w14:paraId="653D263C" w14:textId="77777777" w:rsidR="006E00A7" w:rsidRPr="008642D1" w:rsidRDefault="006E00A7" w:rsidP="00DF306B">
      <w:pPr>
        <w:pStyle w:val="BodyTextnonum"/>
        <w:numPr>
          <w:ilvl w:val="3"/>
          <w:numId w:val="23"/>
        </w:numPr>
      </w:pPr>
      <w:r w:rsidRPr="008642D1">
        <w:t>recognise that differences in treatment are sometimes needed for people to participate in society on an equal basis; and</w:t>
      </w:r>
    </w:p>
    <w:p w14:paraId="75F0B1EC" w14:textId="77777777" w:rsidR="006E00A7" w:rsidRPr="008642D1" w:rsidRDefault="006E00A7" w:rsidP="00DF306B">
      <w:pPr>
        <w:pStyle w:val="BodyTextnonum"/>
        <w:numPr>
          <w:ilvl w:val="3"/>
          <w:numId w:val="23"/>
        </w:numPr>
      </w:pPr>
      <w:r w:rsidRPr="008642D1">
        <w:t>recognise and protect competing rights (such as freedom of religion) or competing policy concerns (such as national security).</w:t>
      </w:r>
    </w:p>
    <w:p w14:paraId="2DE69AAE" w14:textId="44C3A674" w:rsidR="006E00A7" w:rsidRPr="008642D1" w:rsidRDefault="006E00A7" w:rsidP="006E00A7">
      <w:pPr>
        <w:pStyle w:val="BodyText"/>
        <w:tabs>
          <w:tab w:val="num" w:pos="709"/>
        </w:tabs>
      </w:pPr>
      <w:r w:rsidRPr="008642D1">
        <w:t xml:space="preserve">Some exceptions reflect the core values underlying the </w:t>
      </w:r>
      <w:r w:rsidR="00AF3F20">
        <w:t xml:space="preserve">Human Rights </w:t>
      </w:r>
      <w:r w:rsidRPr="008642D1">
        <w:t xml:space="preserve">Act </w:t>
      </w:r>
      <w:r w:rsidRPr="008642D1" w:rsidDel="001D6B41">
        <w:t xml:space="preserve">that </w:t>
      </w:r>
      <w:r w:rsidRPr="008642D1">
        <w:t>we identified in Chapter 4. Others reflect one-off policy concerns that arise in particular contexts. Some are grounded in pragmatism, custom, compromise or common sense (as assessed through the lens of the Parliament of the time).</w:t>
      </w:r>
    </w:p>
    <w:bookmarkEnd w:id="104"/>
    <w:p w14:paraId="02C8C714" w14:textId="77777777" w:rsidR="006E00A7" w:rsidRPr="008642D1" w:rsidRDefault="006E00A7" w:rsidP="006E00A7">
      <w:pPr>
        <w:pStyle w:val="Heading3"/>
      </w:pPr>
      <w:r w:rsidRPr="008642D1">
        <w:t>Other forms of discrimination</w:t>
      </w:r>
    </w:p>
    <w:p w14:paraId="6B89F0C7" w14:textId="7B2C9361" w:rsidR="006E00A7" w:rsidRPr="008642D1" w:rsidRDefault="006E00A7" w:rsidP="006E00A7">
      <w:pPr>
        <w:pStyle w:val="BodyText"/>
        <w:rPr>
          <w:szCs w:val="20"/>
        </w:rPr>
      </w:pPr>
      <w:r w:rsidRPr="008642D1">
        <w:t xml:space="preserve">Part 2 of the Human Rights Act also describes some </w:t>
      </w:r>
      <w:r w:rsidRPr="008642D1" w:rsidDel="00724C95">
        <w:t>‘</w:t>
      </w:r>
      <w:r w:rsidRPr="008642D1">
        <w:t>other forms of discrimination</w:t>
      </w:r>
      <w:r w:rsidRPr="008642D1" w:rsidDel="00724C95">
        <w:t>’</w:t>
      </w:r>
      <w:r w:rsidRPr="008642D1">
        <w:t xml:space="preserve"> that it says are unlawful. Three of these are provisions that expand the scope of protection in all the areas of life regulated by Part 2</w:t>
      </w:r>
      <w:r w:rsidRPr="008642D1" w:rsidDel="00B5763E">
        <w:t>. These enlarging provisions clarify that</w:t>
      </w:r>
      <w:r w:rsidRPr="008642D1">
        <w:t xml:space="preserve">: </w:t>
      </w:r>
    </w:p>
    <w:p w14:paraId="25E6EA13" w14:textId="79154C4C" w:rsidR="006E00A7" w:rsidRPr="008642D1" w:rsidRDefault="006E00A7" w:rsidP="001E69E7">
      <w:pPr>
        <w:pStyle w:val="BodyTextnonum"/>
        <w:numPr>
          <w:ilvl w:val="3"/>
          <w:numId w:val="47"/>
        </w:numPr>
      </w:pPr>
      <w:r w:rsidRPr="008642D1">
        <w:t>Part 2 prohibits indirect as well as direct discrimination.</w:t>
      </w:r>
      <w:r w:rsidRPr="008642D1">
        <w:rPr>
          <w:rStyle w:val="FootnoteReference"/>
        </w:rPr>
        <w:footnoteReference w:id="429"/>
      </w:r>
      <w:r w:rsidRPr="008642D1">
        <w:t xml:space="preserve"> Indirect discrimination is when the treatment was not </w:t>
      </w:r>
      <w:r w:rsidRPr="008642D1">
        <w:rPr>
          <w:i/>
          <w:iCs/>
        </w:rPr>
        <w:t>because of</w:t>
      </w:r>
      <w:r w:rsidRPr="008642D1">
        <w:t xml:space="preserve"> a prohibited characteristic but its effect was to disadvantage people who have that characteristic. An example is a job advert</w:t>
      </w:r>
      <w:r w:rsidR="00B5763E">
        <w:t>isement</w:t>
      </w:r>
      <w:r w:rsidRPr="008642D1">
        <w:t xml:space="preserve"> that requires New Zealand qualifications when they are not really needed to perform the role. This would discriminate indirectly on the ground of national origin.</w:t>
      </w:r>
    </w:p>
    <w:p w14:paraId="26AE94F9" w14:textId="77777777" w:rsidR="006E00A7" w:rsidRPr="008642D1" w:rsidRDefault="006E00A7" w:rsidP="001E69E7">
      <w:pPr>
        <w:pStyle w:val="BodyTextnonum"/>
        <w:numPr>
          <w:ilvl w:val="3"/>
          <w:numId w:val="47"/>
        </w:numPr>
      </w:pPr>
      <w:r w:rsidRPr="008642D1">
        <w:t>Part 2 prohibits advertisements that indicate an intention to commit a breach of this part.</w:t>
      </w:r>
      <w:r w:rsidRPr="008642D1">
        <w:rPr>
          <w:rStyle w:val="FootnoteReference"/>
        </w:rPr>
        <w:footnoteReference w:id="430"/>
      </w:r>
      <w:r w:rsidRPr="008642D1">
        <w:t xml:space="preserve"> An example would be a job advertisement saying only men should apply.</w:t>
      </w:r>
    </w:p>
    <w:p w14:paraId="1295E588" w14:textId="77777777" w:rsidR="006E00A7" w:rsidRPr="008642D1" w:rsidRDefault="006E00A7" w:rsidP="00DF306B">
      <w:pPr>
        <w:pStyle w:val="BodyTextnonum"/>
        <w:numPr>
          <w:ilvl w:val="3"/>
          <w:numId w:val="23"/>
        </w:numPr>
      </w:pPr>
      <w:r w:rsidRPr="008642D1">
        <w:t>People are responsible (and can be liable) in certain circumstances for the actions of their agents and their employees.</w:t>
      </w:r>
      <w:r w:rsidRPr="008642D1">
        <w:rPr>
          <w:rStyle w:val="FootnoteReference"/>
        </w:rPr>
        <w:footnoteReference w:id="431"/>
      </w:r>
    </w:p>
    <w:p w14:paraId="1B935A6A" w14:textId="1A4CC021" w:rsidR="006E00A7" w:rsidRPr="008642D1" w:rsidRDefault="006E00A7" w:rsidP="006E00A7">
      <w:pPr>
        <w:pStyle w:val="BodyText"/>
      </w:pPr>
      <w:r w:rsidRPr="008642D1">
        <w:t xml:space="preserve">As well as these enlarging provisions, the subpart entitled “Other forms of discrimination” describes a handful of specific types of conduct that it says constitute unlawful discrimination. Most of the current </w:t>
      </w:r>
      <w:r w:rsidRPr="008642D1" w:rsidDel="00724C95">
        <w:t>‘</w:t>
      </w:r>
      <w:r w:rsidRPr="008642D1">
        <w:t>other forms of discrimination</w:t>
      </w:r>
      <w:r w:rsidRPr="008642D1" w:rsidDel="00724C95">
        <w:t>’</w:t>
      </w:r>
      <w:r w:rsidRPr="008642D1">
        <w:t xml:space="preserve"> are of limited relevance to this review. The exception is sexual harassment.</w:t>
      </w:r>
    </w:p>
    <w:p w14:paraId="7F005D56" w14:textId="77777777" w:rsidR="006E00A7" w:rsidRPr="008642D1" w:rsidRDefault="006E00A7" w:rsidP="006E00A7">
      <w:pPr>
        <w:pStyle w:val="Heading2"/>
      </w:pPr>
      <w:bookmarkStart w:id="105" w:name="_Toc170302156"/>
      <w:r w:rsidRPr="008642D1">
        <w:t>Our approach to Part 2</w:t>
      </w:r>
      <w:bookmarkEnd w:id="105"/>
    </w:p>
    <w:p w14:paraId="4C099B5C" w14:textId="32C0F3CF" w:rsidR="006E00A7" w:rsidRPr="008642D1" w:rsidRDefault="006E00A7" w:rsidP="006E00A7">
      <w:pPr>
        <w:pStyle w:val="BodyText"/>
      </w:pPr>
      <w:r w:rsidRPr="008642D1">
        <w:t>We discuss Part 2 in eight chapters</w:t>
      </w:r>
      <w:r w:rsidR="00164C01">
        <w:t>,</w:t>
      </w:r>
      <w:r w:rsidRPr="008642D1">
        <w:t xml:space="preserve"> including this one. Chapters 9 to 12 group together thematically the public-facing activities (or areas of life) regulated by Part 2. Each chapter </w:t>
      </w:r>
      <w:r w:rsidRPr="008642D1">
        <w:lastRenderedPageBreak/>
        <w:t>discusses the scope of protection from discrimination available in respect of the particular area or areas of life as well as any relevant exceptions:</w:t>
      </w:r>
    </w:p>
    <w:p w14:paraId="279A00A6" w14:textId="6FBE370F" w:rsidR="006E00A7" w:rsidRPr="008642D1" w:rsidRDefault="006E00A7" w:rsidP="00962A64">
      <w:pPr>
        <w:pStyle w:val="BodyText2"/>
        <w:numPr>
          <w:ilvl w:val="3"/>
          <w:numId w:val="70"/>
        </w:numPr>
      </w:pPr>
      <w:r w:rsidRPr="008642D1">
        <w:t>Chapter 9 discusses discrimination in employment matters and the related contexts of partnerships, industrial and professional associations and qualifying bodies.</w:t>
      </w:r>
    </w:p>
    <w:p w14:paraId="5A17AD2E" w14:textId="77777777" w:rsidR="006E00A7" w:rsidRPr="008642D1" w:rsidRDefault="006E00A7" w:rsidP="001E69E7">
      <w:pPr>
        <w:pStyle w:val="BodyText2"/>
        <w:numPr>
          <w:ilvl w:val="3"/>
          <w:numId w:val="46"/>
        </w:numPr>
      </w:pPr>
      <w:r w:rsidRPr="008642D1">
        <w:t>Chapter 10 discusses discrimination in the provision of goods and services and in access to places, vehicles and facilities.</w:t>
      </w:r>
    </w:p>
    <w:p w14:paraId="595BA57C" w14:textId="77777777" w:rsidR="006E00A7" w:rsidRPr="008642D1" w:rsidRDefault="006E00A7" w:rsidP="001E69E7">
      <w:pPr>
        <w:pStyle w:val="BodyText2"/>
        <w:numPr>
          <w:ilvl w:val="3"/>
          <w:numId w:val="46"/>
        </w:numPr>
      </w:pPr>
      <w:r w:rsidRPr="008642D1">
        <w:t>Chapter 11 discusses discrimination in the provision of land, housing and other accommodation.</w:t>
      </w:r>
    </w:p>
    <w:p w14:paraId="2BE875D7" w14:textId="77777777" w:rsidR="006E00A7" w:rsidRPr="008642D1" w:rsidRDefault="006E00A7" w:rsidP="001E69E7">
      <w:pPr>
        <w:pStyle w:val="BodyText2"/>
        <w:numPr>
          <w:ilvl w:val="3"/>
          <w:numId w:val="46"/>
        </w:numPr>
      </w:pPr>
      <w:r w:rsidRPr="008642D1">
        <w:t>Chapter 12 discusses discrimination by educational establishments and vocational training bodies.</w:t>
      </w:r>
    </w:p>
    <w:p w14:paraId="0FFD933F" w14:textId="32FE50C3" w:rsidR="006E00A7" w:rsidRPr="008642D1" w:rsidRDefault="006E00A7" w:rsidP="006E00A7">
      <w:pPr>
        <w:pStyle w:val="BodyText"/>
      </w:pPr>
      <w:r w:rsidRPr="008642D1">
        <w:t>Chapters 13 and 14 single out certain exceptions for closer examination:</w:t>
      </w:r>
    </w:p>
    <w:p w14:paraId="0E069F12" w14:textId="43F0D1DD" w:rsidR="006E00A7" w:rsidRPr="008642D1" w:rsidRDefault="006E00A7" w:rsidP="001E69E7">
      <w:pPr>
        <w:pStyle w:val="BodyText2"/>
        <w:numPr>
          <w:ilvl w:val="3"/>
          <w:numId w:val="49"/>
        </w:numPr>
      </w:pPr>
      <w:r w:rsidRPr="008642D1">
        <w:t>Chapter 13 discusses two exceptions in Part 2 that permit the provision of single-sex facilities in certain circumstances and also discusses the implications of this review for single-sex facilities more generally.</w:t>
      </w:r>
    </w:p>
    <w:p w14:paraId="2F113E72" w14:textId="77777777" w:rsidR="006E00A7" w:rsidRPr="008642D1" w:rsidRDefault="006E00A7" w:rsidP="001E69E7">
      <w:pPr>
        <w:pStyle w:val="BodyText2"/>
        <w:numPr>
          <w:ilvl w:val="3"/>
          <w:numId w:val="46"/>
        </w:numPr>
      </w:pPr>
      <w:r w:rsidRPr="008642D1">
        <w:t xml:space="preserve">Chapter 14 discusses an exception that permits the exclusion of persons of one sex from certain competitive sporting activities.  </w:t>
      </w:r>
    </w:p>
    <w:p w14:paraId="43956B23" w14:textId="37610B78" w:rsidR="006E00A7" w:rsidRPr="008642D1" w:rsidRDefault="006E00A7" w:rsidP="006E00A7">
      <w:pPr>
        <w:pStyle w:val="BodyText"/>
      </w:pPr>
      <w:r w:rsidRPr="008642D1">
        <w:t xml:space="preserve">Chapter 15 discusses other issues arising in respect of Part 2 (including the </w:t>
      </w:r>
      <w:r w:rsidRPr="008642D1" w:rsidDel="00724C95">
        <w:t>‘</w:t>
      </w:r>
      <w:r w:rsidRPr="008642D1">
        <w:t>other forms of discrimination</w:t>
      </w:r>
      <w:r w:rsidRPr="008642D1" w:rsidDel="00724C95">
        <w:t>’</w:t>
      </w:r>
      <w:r w:rsidRPr="008642D1">
        <w:t xml:space="preserve"> discussed above).</w:t>
      </w:r>
    </w:p>
    <w:p w14:paraId="563C01BE" w14:textId="60B04497" w:rsidR="006E00A7" w:rsidRPr="008642D1" w:rsidRDefault="006E00A7" w:rsidP="008232D1">
      <w:pPr>
        <w:pStyle w:val="BodyText"/>
      </w:pPr>
      <w:r w:rsidRPr="008642D1">
        <w:t>We have set aside three issues to discuss later in the Issues Paper (in Chapter 17) because they have implications for other parts of the Human Rights Act as well as Part 2. These are the potential impacts of any reforms we propose on the ability of Māori to live in accordance with tikanga</w:t>
      </w:r>
      <w:r w:rsidR="00A461C0">
        <w:t>,</w:t>
      </w:r>
      <w:r w:rsidRPr="008642D1">
        <w:t xml:space="preserve"> the regulation of misgendering and deadnaming</w:t>
      </w:r>
      <w:r w:rsidR="00C56DA6">
        <w:t>,</w:t>
      </w:r>
      <w:r w:rsidRPr="008642D1">
        <w:t xml:space="preserve"> and some instances of binary language that thread through the Act. </w:t>
      </w:r>
    </w:p>
    <w:p w14:paraId="571BC2AB" w14:textId="77777777" w:rsidR="006E00A7" w:rsidRPr="008642D1" w:rsidRDefault="006E00A7" w:rsidP="006E00A7">
      <w:pPr>
        <w:pStyle w:val="Heading3"/>
      </w:pPr>
      <w:r w:rsidRPr="008642D1">
        <w:t>Analysis of the scope of protection from discrimination in each area of life</w:t>
      </w:r>
    </w:p>
    <w:p w14:paraId="5F08027F" w14:textId="76D8B59A" w:rsidR="006E00A7" w:rsidRPr="008642D1" w:rsidRDefault="006E00A7" w:rsidP="006E00A7">
      <w:pPr>
        <w:pStyle w:val="BodyText"/>
        <w:rPr>
          <w:color w:val="auto"/>
        </w:rPr>
      </w:pPr>
      <w:r w:rsidRPr="008642D1">
        <w:t>As mentioned, the next four chapters group together thematically the public-facing activities (or areas of life) regulated by Part 2. In each of these chapters, we begin by explaining the scope of protection from discrimination that is available in each area of life.</w:t>
      </w:r>
    </w:p>
    <w:p w14:paraId="51549CF3" w14:textId="364E462E" w:rsidR="006E00A7" w:rsidRPr="008642D1" w:rsidRDefault="006E00A7" w:rsidP="006E00A7">
      <w:pPr>
        <w:pStyle w:val="BodyText"/>
      </w:pPr>
      <w:r w:rsidRPr="008642D1">
        <w:t xml:space="preserve">We want to understand whether the scope of protection that is available is sufficient to capture issues of particular concern to people who are transgender or non-binary or who have an innate variation of sex characteristics. We also want to understand any other relevant implications of adding new prohibited grounds of discrimination. For example, we want to know whether any new exceptions would be desirable to ensure the </w:t>
      </w:r>
      <w:r w:rsidR="00A461C0">
        <w:t xml:space="preserve">Human Rights </w:t>
      </w:r>
      <w:r w:rsidRPr="008642D1">
        <w:t xml:space="preserve">Act appropriately balances relevant rights and interests. </w:t>
      </w:r>
    </w:p>
    <w:p w14:paraId="3615F5D0" w14:textId="77777777" w:rsidR="006E00A7" w:rsidRPr="008642D1" w:rsidRDefault="006E00A7" w:rsidP="006E00A7">
      <w:pPr>
        <w:pStyle w:val="Heading3"/>
      </w:pPr>
      <w:r w:rsidRPr="008642D1">
        <w:t>Analysis of existing exceptions that attach to each area of life</w:t>
      </w:r>
    </w:p>
    <w:p w14:paraId="0383F6BF" w14:textId="4808F4E2" w:rsidR="006E00A7" w:rsidRPr="008642D1" w:rsidRDefault="006E00A7" w:rsidP="006E00A7">
      <w:pPr>
        <w:pStyle w:val="BodyText"/>
      </w:pPr>
      <w:r w:rsidRPr="008642D1">
        <w:t xml:space="preserve">As part of our review, we need to understand the implications of any reform for the existing exceptions that attach to each area of life in Part 2 of the Human Rights Act. These exceptions are key mechanisms by which the Act balances the equality rights of particular groups with other rights, interests and concerns that Parliament deemed to be important. We want to understand whether reform </w:t>
      </w:r>
      <w:r w:rsidR="00061AB7">
        <w:t>of</w:t>
      </w:r>
      <w:r w:rsidRPr="008642D1">
        <w:t xml:space="preserve"> any of these exceptions is desirable to reflect any new prohibited grounds of discrimination we might propose.</w:t>
      </w:r>
    </w:p>
    <w:p w14:paraId="789DAA1E" w14:textId="77777777" w:rsidR="006E00A7" w:rsidRPr="008642D1" w:rsidRDefault="006E00A7" w:rsidP="006E00A7">
      <w:pPr>
        <w:pStyle w:val="Heading4"/>
      </w:pPr>
      <w:r w:rsidRPr="008642D1">
        <w:lastRenderedPageBreak/>
        <w:t>Specific exceptions on which we do not seek feedback</w:t>
      </w:r>
    </w:p>
    <w:p w14:paraId="53942B98" w14:textId="77777777" w:rsidR="006E00A7" w:rsidRPr="008642D1" w:rsidRDefault="006E00A7" w:rsidP="00844180">
      <w:pPr>
        <w:pStyle w:val="BodyText"/>
      </w:pPr>
      <w:r w:rsidRPr="008642D1">
        <w:t>We have reviewed each of the specific exceptions in the Human Rights Act to consider whether any amendments are desirable. There are over 40. From our preliminary analysis, it is clear to us that it would not be appropriate to reform some of these exceptions as part of this review. This is for one of two reasons.</w:t>
      </w:r>
    </w:p>
    <w:p w14:paraId="7659593B" w14:textId="30462A79" w:rsidR="006E00A7" w:rsidRPr="00351853" w:rsidRDefault="006E00A7" w:rsidP="00351853">
      <w:pPr>
        <w:pStyle w:val="Heading5"/>
      </w:pPr>
      <w:r w:rsidRPr="00351853">
        <w:t>Exceptions that apply to all prohibited grounds of discrimination</w:t>
      </w:r>
    </w:p>
    <w:p w14:paraId="5CC125AB" w14:textId="77777777" w:rsidR="006E00A7" w:rsidRPr="008642D1" w:rsidRDefault="006E00A7" w:rsidP="006E00A7">
      <w:pPr>
        <w:pStyle w:val="BodyText"/>
      </w:pPr>
      <w:r w:rsidRPr="008642D1">
        <w:t>First, some of the specific exceptions in Part 2 apply to all the prohibited grounds of discrimination. For example, under the area of life of provision of goods and services, there is an exception for private clubs. This exception permits different treatment based on any of the prohibited grounds.</w:t>
      </w:r>
      <w:r w:rsidRPr="008642D1">
        <w:rPr>
          <w:rStyle w:val="FootnoteReference"/>
        </w:rPr>
        <w:footnoteReference w:id="432"/>
      </w:r>
      <w:r w:rsidRPr="008642D1">
        <w:t xml:space="preserve"> </w:t>
      </w:r>
    </w:p>
    <w:p w14:paraId="78CEE710" w14:textId="77777777" w:rsidR="006E00A7" w:rsidRPr="008642D1" w:rsidRDefault="006E00A7" w:rsidP="006E00A7">
      <w:pPr>
        <w:pStyle w:val="BodyText"/>
        <w:tabs>
          <w:tab w:val="num" w:pos="709"/>
        </w:tabs>
      </w:pPr>
      <w:r w:rsidRPr="008642D1">
        <w:t>We have reviewed the exceptions that apply to all the prohibited grounds and consider it inevitable these exceptions will also need to apply to any new grounds we propose. This is because of the need to ensure internal consistency and coherence of the Human Rights Act as discussed in Chapter 4. Given the purpose of these provisions is to create a blanket exception applying to all grounds, we can see no reason to single out new grounds of discrimination for different treatment.</w:t>
      </w:r>
    </w:p>
    <w:p w14:paraId="348337C4" w14:textId="689ECB7B" w:rsidR="006E00A7" w:rsidRPr="008642D1" w:rsidRDefault="006E00A7" w:rsidP="006E00A7">
      <w:pPr>
        <w:pStyle w:val="BodyText"/>
        <w:tabs>
          <w:tab w:val="num" w:pos="709"/>
        </w:tabs>
      </w:pPr>
      <w:r w:rsidRPr="008642D1">
        <w:t xml:space="preserve">We </w:t>
      </w:r>
      <w:r w:rsidR="00917B2F">
        <w:t>do not</w:t>
      </w:r>
      <w:r w:rsidRPr="008642D1">
        <w:t xml:space="preserve"> comment on whether the breadth of these exceptions is justified. </w:t>
      </w:r>
      <w:r w:rsidRPr="008642D1" w:rsidDel="00A461C0">
        <w:t>Nor</w:t>
      </w:r>
      <w:r w:rsidRPr="008642D1">
        <w:t xml:space="preserve"> do </w:t>
      </w:r>
      <w:r w:rsidR="00E90B89">
        <w:t>we</w:t>
      </w:r>
      <w:r w:rsidRPr="008642D1">
        <w:t xml:space="preserve"> address whether there is any specific rationale for applying these exceptions to people who are transgender or non-binary or who have an innate variation of sex characteristics. It might be desirable to address these issues in a general review of the Human Rights Act. </w:t>
      </w:r>
    </w:p>
    <w:p w14:paraId="28FF23DC" w14:textId="77777777" w:rsidR="006E00A7" w:rsidRPr="008642D1" w:rsidRDefault="006E00A7" w:rsidP="006E00A7">
      <w:pPr>
        <w:pStyle w:val="BodyText"/>
        <w:tabs>
          <w:tab w:val="num" w:pos="709"/>
        </w:tabs>
      </w:pPr>
      <w:r w:rsidRPr="008642D1">
        <w:t xml:space="preserve">We acknowledge a contrary argument that exceptions should be narrowly drafted and should not extend to new groups unless there is a good policy justification. Ultimately, we think that concerns about coherence and consistency override this argument. </w:t>
      </w:r>
    </w:p>
    <w:p w14:paraId="5F0F779A" w14:textId="77777777" w:rsidR="006E00A7" w:rsidRPr="008642D1" w:rsidRDefault="006E00A7" w:rsidP="006E00A7">
      <w:pPr>
        <w:pStyle w:val="Heading5"/>
      </w:pPr>
      <w:r w:rsidRPr="008642D1">
        <w:t>Exceptions that do not apply to sex</w:t>
      </w:r>
    </w:p>
    <w:p w14:paraId="6F6C3020" w14:textId="0EF87C9C" w:rsidR="006E00A7" w:rsidRPr="008642D1" w:rsidRDefault="006E00A7" w:rsidP="006E00A7">
      <w:pPr>
        <w:pStyle w:val="BodyText"/>
      </w:pPr>
      <w:r w:rsidRPr="008642D1">
        <w:t xml:space="preserve">Second, some of the specific exceptions in Part 2 do not apply to the ground of sex. They apply, for example, to age or disability or political opinion or religious belief. We carefully reviewed all these exceptions to assess their relevance to this review. Ultimately, we concluded all of them were based on policy rationales that could not possibly apply to any new grounds we might propose. To give one example, there is an exception in the </w:t>
      </w:r>
      <w:r w:rsidR="00A461C0" w:rsidRPr="008642D1">
        <w:t xml:space="preserve">Human Rights </w:t>
      </w:r>
      <w:r w:rsidRPr="008642D1">
        <w:t>Act allowing qualifying bodies to impose a reasonable and appropriate minimum age for conferring a particular qualification.</w:t>
      </w:r>
      <w:r w:rsidRPr="008642D1">
        <w:rPr>
          <w:rStyle w:val="FootnoteReference"/>
        </w:rPr>
        <w:footnoteReference w:id="433"/>
      </w:r>
      <w:r w:rsidRPr="008642D1">
        <w:t xml:space="preserve"> It is hard for us to think of any possible reason to extend it to any new grounds we propose.</w:t>
      </w:r>
    </w:p>
    <w:p w14:paraId="247F2C05" w14:textId="77777777" w:rsidR="006E00A7" w:rsidRPr="008642D1" w:rsidRDefault="006E00A7" w:rsidP="006E00A7">
      <w:pPr>
        <w:pStyle w:val="Heading5"/>
      </w:pPr>
      <w:r w:rsidRPr="008642D1">
        <w:t>Explanatory table inserted into each chapter</w:t>
      </w:r>
    </w:p>
    <w:p w14:paraId="3DC880FA" w14:textId="73134E50" w:rsidR="00F536E1" w:rsidRDefault="006E00A7" w:rsidP="006E00A7">
      <w:pPr>
        <w:pStyle w:val="BodyText"/>
      </w:pPr>
      <w:r w:rsidRPr="008642D1">
        <w:t>Where exceptions fit into one of the two categories just set out, we do not discuss them in this Issues Paper. For transparency, we have included in each of Chapters 9</w:t>
      </w:r>
      <w:r w:rsidR="000A6A3E">
        <w:t xml:space="preserve"> to </w:t>
      </w:r>
      <w:r w:rsidRPr="008642D1">
        <w:t xml:space="preserve">12 a table that sets out the exceptions we do not plan to analyse for the reasons just explained. </w:t>
      </w:r>
    </w:p>
    <w:p w14:paraId="46B04734" w14:textId="77777777" w:rsidR="00F536E1" w:rsidRDefault="00F536E1">
      <w:pPr>
        <w:widowControl w:val="0"/>
        <w:spacing w:after="200" w:line="276" w:lineRule="auto"/>
        <w:rPr>
          <w:rFonts w:eastAsia="Times New Roman" w:cs="Times New Roman"/>
          <w:color w:val="000000" w:themeColor="text1"/>
          <w:szCs w:val="24"/>
          <w:lang w:eastAsia="en-AU"/>
        </w:rPr>
      </w:pPr>
      <w:r>
        <w:br w:type="page"/>
      </w:r>
    </w:p>
    <w:tbl>
      <w:tblPr>
        <w:tblStyle w:val="LCTable3"/>
        <w:tblW w:w="8363" w:type="dxa"/>
        <w:tblInd w:w="704" w:type="dxa"/>
        <w:tblLook w:val="0420" w:firstRow="1" w:lastRow="0" w:firstColumn="0" w:lastColumn="0" w:noHBand="0" w:noVBand="1"/>
      </w:tblPr>
      <w:tblGrid>
        <w:gridCol w:w="1252"/>
        <w:gridCol w:w="7111"/>
      </w:tblGrid>
      <w:tr w:rsidR="006E00A7" w:rsidRPr="00DA23A3" w14:paraId="7B3CEBF4" w14:textId="77777777" w:rsidTr="00DA23A3">
        <w:trPr>
          <w:cnfStyle w:val="100000000000" w:firstRow="1" w:lastRow="0" w:firstColumn="0" w:lastColumn="0" w:oddVBand="0" w:evenVBand="0" w:oddHBand="0" w:evenHBand="0" w:firstRowFirstColumn="0" w:firstRowLastColumn="0" w:lastRowFirstColumn="0" w:lastRowLastColumn="0"/>
          <w:trHeight w:val="309"/>
        </w:trPr>
        <w:tc>
          <w:tcPr>
            <w:tcW w:w="8363" w:type="dxa"/>
            <w:gridSpan w:val="2"/>
          </w:tcPr>
          <w:p w14:paraId="5008C365" w14:textId="77777777" w:rsidR="006E00A7" w:rsidRPr="00DA23A3" w:rsidRDefault="006E00A7">
            <w:pPr>
              <w:spacing w:after="60" w:line="240" w:lineRule="auto"/>
              <w:rPr>
                <w:rFonts w:cs="Angsana New"/>
                <w:b/>
                <w:bCs/>
                <w:szCs w:val="18"/>
                <w:lang w:val="en-AU"/>
              </w:rPr>
            </w:pPr>
            <w:r w:rsidRPr="00DA23A3">
              <w:rPr>
                <w:rFonts w:cs="Angsana New"/>
                <w:b/>
                <w:bCs/>
                <w:szCs w:val="18"/>
              </w:rPr>
              <w:lastRenderedPageBreak/>
              <w:t>Exceptions on which we do not seek feedback</w:t>
            </w:r>
          </w:p>
        </w:tc>
      </w:tr>
      <w:tr w:rsidR="006E00A7" w:rsidRPr="00DA23A3" w14:paraId="68E4E302" w14:textId="77777777" w:rsidTr="00DA23A3">
        <w:trPr>
          <w:trHeight w:val="309"/>
        </w:trPr>
        <w:tc>
          <w:tcPr>
            <w:tcW w:w="8363" w:type="dxa"/>
            <w:gridSpan w:val="2"/>
          </w:tcPr>
          <w:p w14:paraId="6B34EFEA" w14:textId="77777777" w:rsidR="006E00A7" w:rsidRPr="00DA23A3" w:rsidRDefault="006E00A7">
            <w:pPr>
              <w:spacing w:after="60" w:line="240" w:lineRule="auto"/>
              <w:rPr>
                <w:rFonts w:cs="Angsana New"/>
                <w:b/>
                <w:bCs/>
                <w:szCs w:val="18"/>
              </w:rPr>
            </w:pPr>
            <w:r w:rsidRPr="00DA23A3">
              <w:rPr>
                <w:rFonts w:cs="Angsana New"/>
                <w:b/>
                <w:bCs/>
                <w:color w:val="6BA539"/>
                <w:szCs w:val="18"/>
              </w:rPr>
              <w:t xml:space="preserve">Exceptions that apply to all grounds — should extend to any new grounds </w:t>
            </w:r>
          </w:p>
        </w:tc>
      </w:tr>
      <w:tr w:rsidR="006E00A7" w:rsidRPr="00DA23A3" w14:paraId="0EF3474E" w14:textId="77777777" w:rsidTr="00DA23A3">
        <w:trPr>
          <w:trHeight w:val="669"/>
        </w:trPr>
        <w:tc>
          <w:tcPr>
            <w:tcW w:w="1252" w:type="dxa"/>
          </w:tcPr>
          <w:p w14:paraId="2FE5BF6F" w14:textId="77777777" w:rsidR="006E00A7" w:rsidRPr="00DA23A3" w:rsidRDefault="006E00A7">
            <w:pPr>
              <w:spacing w:after="60" w:line="260" w:lineRule="atLeast"/>
              <w:rPr>
                <w:rFonts w:cs="Angsana New"/>
                <w:szCs w:val="18"/>
                <w:lang w:val="en-AU"/>
              </w:rPr>
            </w:pPr>
            <w:r w:rsidRPr="00DA23A3">
              <w:rPr>
                <w:rFonts w:cs="Angsana New"/>
                <w:szCs w:val="18"/>
                <w:lang w:val="en-AU"/>
              </w:rPr>
              <w:t>[Section number]</w:t>
            </w:r>
          </w:p>
        </w:tc>
        <w:tc>
          <w:tcPr>
            <w:tcW w:w="7111" w:type="dxa"/>
          </w:tcPr>
          <w:p w14:paraId="1BEDDAE5" w14:textId="77777777" w:rsidR="006E00A7" w:rsidRPr="00DA23A3" w:rsidRDefault="006E00A7">
            <w:pPr>
              <w:spacing w:after="60" w:line="260" w:lineRule="atLeast"/>
              <w:rPr>
                <w:rFonts w:cs="Angsana New"/>
                <w:b/>
                <w:color w:val="6BA539"/>
                <w:szCs w:val="18"/>
                <w:lang w:val="en-AU"/>
              </w:rPr>
            </w:pPr>
            <w:r w:rsidRPr="00DA23A3">
              <w:rPr>
                <w:rFonts w:cs="Angsana New"/>
                <w:szCs w:val="18"/>
              </w:rPr>
              <w:t>[Description of exception]</w:t>
            </w:r>
          </w:p>
        </w:tc>
      </w:tr>
      <w:tr w:rsidR="006E00A7" w:rsidRPr="00DA23A3" w14:paraId="63CB8BDC" w14:textId="77777777" w:rsidTr="00DA23A3">
        <w:trPr>
          <w:trHeight w:val="669"/>
        </w:trPr>
        <w:tc>
          <w:tcPr>
            <w:tcW w:w="8363" w:type="dxa"/>
            <w:gridSpan w:val="2"/>
          </w:tcPr>
          <w:p w14:paraId="26033316" w14:textId="77777777" w:rsidR="006E00A7" w:rsidRPr="00DA23A3" w:rsidRDefault="006E00A7">
            <w:pPr>
              <w:spacing w:after="60" w:line="260" w:lineRule="atLeast"/>
              <w:rPr>
                <w:rFonts w:cs="Angsana New"/>
                <w:szCs w:val="18"/>
              </w:rPr>
            </w:pPr>
            <w:r w:rsidRPr="00DA23A3">
              <w:rPr>
                <w:rFonts w:cs="Angsana New"/>
                <w:b/>
                <w:bCs/>
                <w:color w:val="6BA539"/>
                <w:szCs w:val="18"/>
              </w:rPr>
              <w:t xml:space="preserve">Exceptions that do not apply to discrimination on the ground of sex — should not extend to any new grounds </w:t>
            </w:r>
          </w:p>
        </w:tc>
      </w:tr>
      <w:tr w:rsidR="006E00A7" w:rsidRPr="00DA23A3" w14:paraId="2C932A8B" w14:textId="77777777" w:rsidTr="00DA23A3">
        <w:trPr>
          <w:trHeight w:val="814"/>
        </w:trPr>
        <w:tc>
          <w:tcPr>
            <w:tcW w:w="1252" w:type="dxa"/>
          </w:tcPr>
          <w:p w14:paraId="12C171F5" w14:textId="77777777" w:rsidR="006E00A7" w:rsidRPr="00DA23A3" w:rsidRDefault="006E00A7">
            <w:pPr>
              <w:spacing w:after="60" w:line="260" w:lineRule="atLeast"/>
              <w:rPr>
                <w:rFonts w:cs="Angsana New"/>
                <w:szCs w:val="18"/>
                <w:lang w:val="en-AU"/>
              </w:rPr>
            </w:pPr>
            <w:r w:rsidRPr="00DA23A3">
              <w:rPr>
                <w:rFonts w:cs="Angsana New"/>
                <w:szCs w:val="18"/>
                <w:lang w:val="en-AU"/>
              </w:rPr>
              <w:t>[Section number]</w:t>
            </w:r>
          </w:p>
        </w:tc>
        <w:tc>
          <w:tcPr>
            <w:tcW w:w="7111" w:type="dxa"/>
          </w:tcPr>
          <w:p w14:paraId="223D8139" w14:textId="77777777" w:rsidR="006E00A7" w:rsidRPr="00DA23A3" w:rsidRDefault="006E00A7">
            <w:pPr>
              <w:spacing w:after="60" w:line="260" w:lineRule="atLeast"/>
              <w:rPr>
                <w:rFonts w:cs="Angsana New"/>
                <w:szCs w:val="18"/>
                <w:lang w:val="en-AU"/>
              </w:rPr>
            </w:pPr>
            <w:r w:rsidRPr="00DA23A3">
              <w:rPr>
                <w:rFonts w:cs="Angsana New"/>
                <w:szCs w:val="18"/>
              </w:rPr>
              <w:t>[Description of exception]</w:t>
            </w:r>
          </w:p>
        </w:tc>
      </w:tr>
    </w:tbl>
    <w:p w14:paraId="24D3F13C" w14:textId="77777777" w:rsidR="006E00A7" w:rsidRPr="008642D1" w:rsidRDefault="006E00A7" w:rsidP="006E00A7">
      <w:pPr>
        <w:pStyle w:val="Heading4"/>
      </w:pPr>
      <w:r w:rsidRPr="008642D1">
        <w:t>Analysis of specific exceptions</w:t>
      </w:r>
    </w:p>
    <w:p w14:paraId="71DA635C" w14:textId="7A6B0B5D" w:rsidR="006E00A7" w:rsidRPr="008642D1" w:rsidRDefault="006E00A7" w:rsidP="006E00A7">
      <w:pPr>
        <w:pStyle w:val="BodyText"/>
        <w:tabs>
          <w:tab w:val="num" w:pos="709"/>
        </w:tabs>
      </w:pPr>
      <w:r w:rsidRPr="008642D1" w:rsidDel="000A6A3E">
        <w:t>In sum, t</w:t>
      </w:r>
      <w:r w:rsidRPr="008642D1">
        <w:t>he exceptions</w:t>
      </w:r>
      <w:r w:rsidRPr="008642D1" w:rsidDel="00FA1200">
        <w:t xml:space="preserve"> </w:t>
      </w:r>
      <w:r w:rsidRPr="008642D1">
        <w:t xml:space="preserve">we discuss in this Issues Paper are those that currently apply to the prohibited ground of sex (and that do not apply to all grounds). We want to understand whether it is desirable to amend any of these exceptions to reflect any new grounds we might propose. In preparing this Issues Paper, we focused on two tasks.  </w:t>
      </w:r>
    </w:p>
    <w:p w14:paraId="6222B515" w14:textId="77777777" w:rsidR="006E00A7" w:rsidRPr="008642D1" w:rsidRDefault="006E00A7" w:rsidP="006E00A7">
      <w:pPr>
        <w:pStyle w:val="BodyText"/>
        <w:tabs>
          <w:tab w:val="num" w:pos="709"/>
        </w:tabs>
      </w:pPr>
      <w:r w:rsidRPr="008642D1">
        <w:t xml:space="preserve">The first was to understand the scope and rationale of each exception. We examined the legislative history of each exception to try to work out where it came from and what was intended by it. Many of the exceptions are based on provisions contained in earlier anti-discrimination legislation from the 1970s so we examined the history of that legislation too. As we explained in Chapter 4, it was not always possible for us to identify with certainty the rationale underlying particular exceptions. </w:t>
      </w:r>
    </w:p>
    <w:p w14:paraId="6889DFC9" w14:textId="77777777" w:rsidR="006E00A7" w:rsidRPr="008642D1" w:rsidRDefault="006E00A7" w:rsidP="006E00A7">
      <w:pPr>
        <w:pStyle w:val="BodyText"/>
      </w:pPr>
      <w:r w:rsidRPr="008642D1">
        <w:t xml:space="preserve">The second task was to identify options for reform of each exception to reflect any new grounds we propose. In researching possible options, we considered the approaches taken in other countries with similar anti-discrimination codes. We found Australian legislation (both federal and in the states and territories) particularly useful in reviewing Part 2. The Australian statutes were developed around the same time or shortly before the Human Rights Act and are similarly structured (for example, they specify exceptions at a similar level of detail).  </w:t>
      </w:r>
    </w:p>
    <w:p w14:paraId="0C5B1736" w14:textId="40A00334" w:rsidR="006E00A7" w:rsidRPr="008642D1" w:rsidRDefault="006E00A7" w:rsidP="006E00A7">
      <w:pPr>
        <w:pStyle w:val="BodyText"/>
      </w:pPr>
      <w:r w:rsidRPr="008642D1">
        <w:t>In this Issues Paper, we deliberately consult on a wide range of options. We do not generally express a preference for any particular option</w:t>
      </w:r>
      <w:r w:rsidR="00C652CF">
        <w:t>,</w:t>
      </w:r>
      <w:r w:rsidRPr="008642D1">
        <w:t xml:space="preserve"> although we do try to identify some implications of adopting each of them. There may be obstacles to pursuing some of the options we consult on (for example, some may raise issues for the internal coherence of the </w:t>
      </w:r>
      <w:r w:rsidR="000A6A3E" w:rsidRPr="008642D1">
        <w:t xml:space="preserve">Human Rights </w:t>
      </w:r>
      <w:r w:rsidRPr="008642D1">
        <w:t xml:space="preserve">Act or may otherwise be difficult to achieve within the limited scope of the review). However, we think it is important to consult widely before reaching any final decision on these issues. </w:t>
      </w:r>
    </w:p>
    <w:p w14:paraId="1D962964" w14:textId="6F189E67" w:rsidR="006E00A7" w:rsidRPr="008642D1" w:rsidRDefault="006E00A7" w:rsidP="006E00A7">
      <w:pPr>
        <w:pStyle w:val="BodyText"/>
      </w:pPr>
      <w:r w:rsidRPr="008642D1">
        <w:t xml:space="preserve">Through the consultation process, we would like to achieve a better understanding of the practical implications of each reform option, of any concerns or perspectives submitters might have about each of them and of any evidence that might exist to support those concerns where relevant. This will help inform our analysis of which options will best ensure the </w:t>
      </w:r>
      <w:r w:rsidR="00CD7BA9" w:rsidRPr="008642D1">
        <w:t xml:space="preserve">Human Rights </w:t>
      </w:r>
      <w:r w:rsidRPr="008642D1">
        <w:t xml:space="preserve">Act appropriately balances relevant rights and interests. Ultimately, we intend to review the options for reform in the light of the key reform considerations identified in Chapter 4. </w:t>
      </w:r>
    </w:p>
    <w:p w14:paraId="24BEB2B4" w14:textId="77777777" w:rsidR="006E00A7" w:rsidRPr="008642D1" w:rsidRDefault="006E00A7" w:rsidP="006E00A7">
      <w:pPr>
        <w:pStyle w:val="Heading3"/>
      </w:pPr>
      <w:r w:rsidRPr="008642D1">
        <w:lastRenderedPageBreak/>
        <w:t>Consequential implications and amendments</w:t>
      </w:r>
    </w:p>
    <w:p w14:paraId="42DA60E8" w14:textId="0A2F22FA" w:rsidR="006E00A7" w:rsidRPr="008642D1" w:rsidRDefault="006E00A7" w:rsidP="006E00A7">
      <w:pPr>
        <w:pStyle w:val="BodyText"/>
      </w:pPr>
      <w:r w:rsidRPr="008642D1">
        <w:t>Where relevant, we also discuss in the Part 2 chapters the implications of amending the Human Rights Act for other statutes that impact on the relevant areas of life. Those consequential implications arise when other statutes contain specific references to the Act (so that any change to the scope of the Act would indirectly affect the scope of those other laws).</w:t>
      </w:r>
    </w:p>
    <w:p w14:paraId="4EC482FD" w14:textId="77777777" w:rsidR="006E00A7" w:rsidRPr="008642D1" w:rsidRDefault="006E00A7" w:rsidP="006E00A7">
      <w:pPr>
        <w:pStyle w:val="BodyText"/>
      </w:pPr>
      <w:r w:rsidRPr="008642D1">
        <w:t xml:space="preserve">Specifically, we discuss the Employment Relations Act 2000 in Chapter 9 (concerning employment and related contexts), the Residential Tenancies Act 1986 in Chapter 11 (concerning land, housing and other accommodation) and the Education and Training Act 2020 in Chapter 12 (concerning educational establishments and related contexts). </w:t>
      </w:r>
    </w:p>
    <w:p w14:paraId="63E21487" w14:textId="77777777" w:rsidR="006E00A7" w:rsidRPr="008642D1" w:rsidRDefault="006E00A7" w:rsidP="006E00A7">
      <w:pPr>
        <w:pStyle w:val="Heading2"/>
        <w:rPr>
          <w:bCs/>
        </w:rPr>
      </w:pPr>
      <w:bookmarkStart w:id="106" w:name="_Toc170302157"/>
      <w:r w:rsidRPr="008642D1">
        <w:t>Recurrent issues and challenges</w:t>
      </w:r>
      <w:bookmarkEnd w:id="106"/>
    </w:p>
    <w:p w14:paraId="733A591B" w14:textId="4D835136" w:rsidR="006E00A7" w:rsidRPr="008642D1" w:rsidRDefault="006E00A7" w:rsidP="006E00A7">
      <w:pPr>
        <w:pStyle w:val="BodyText"/>
      </w:pPr>
      <w:r w:rsidRPr="008642D1">
        <w:t>In reviewing the Part 2 areas of life (especially, the Part 2 exceptions), we have encountered some recurring issues or challenges that we think are helpful to signal at the outset.</w:t>
      </w:r>
    </w:p>
    <w:p w14:paraId="20794763" w14:textId="77777777" w:rsidR="006E00A7" w:rsidRPr="008642D1" w:rsidRDefault="006E00A7" w:rsidP="006E00A7">
      <w:pPr>
        <w:pStyle w:val="Heading3"/>
      </w:pPr>
      <w:r w:rsidRPr="008642D1">
        <w:t xml:space="preserve">Uncertainty about the scope of any sex exception that is not explicitly amended to reflect new grounds </w:t>
      </w:r>
    </w:p>
    <w:p w14:paraId="67B46E10" w14:textId="4BA32A22" w:rsidR="006E00A7" w:rsidRPr="008642D1" w:rsidRDefault="006E00A7" w:rsidP="006E00A7">
      <w:pPr>
        <w:pStyle w:val="BodyText"/>
      </w:pPr>
      <w:r w:rsidRPr="008642D1">
        <w:t>In the chapters that follow</w:t>
      </w:r>
      <w:r w:rsidR="00A948EB">
        <w:t>,</w:t>
      </w:r>
      <w:r w:rsidRPr="008642D1">
        <w:t xml:space="preserve"> we systematically review the exceptions that currently apply to sex and seek feedback on whether they should be amended to reflect any new grounds such as gender identity, gender expression or sex characteristics.</w:t>
      </w:r>
      <w:r w:rsidRPr="008642D1" w:rsidDel="0053776E">
        <w:rPr>
          <w:rStyle w:val="CommentReference"/>
          <w:rFonts w:eastAsiaTheme="minorHAnsi" w:cstheme="minorBidi"/>
          <w:color w:val="auto"/>
          <w:lang w:eastAsia="en-US"/>
        </w:rPr>
        <w:t xml:space="preserve"> </w:t>
      </w:r>
      <w:r w:rsidRPr="008642D1">
        <w:t>Generally, one of the options we identify is to leave the exception untouched. One difficulty we have encountered in understanding the implications of this</w:t>
      </w:r>
      <w:r w:rsidR="00720FF8">
        <w:t xml:space="preserve"> option of</w:t>
      </w:r>
      <w:r w:rsidRPr="008642D1">
        <w:t xml:space="preserve"> </w:t>
      </w:r>
      <w:r w:rsidRPr="008642D1" w:rsidDel="00724C95">
        <w:t>‘</w:t>
      </w:r>
      <w:r w:rsidRPr="008642D1">
        <w:t>no reform</w:t>
      </w:r>
      <w:r w:rsidRPr="008642D1" w:rsidDel="00720FF8">
        <w:t xml:space="preserve">’ </w:t>
      </w:r>
      <w:r w:rsidRPr="008642D1">
        <w:t>is uncertainty as to how the retained sex exception might be interpreted.</w:t>
      </w:r>
    </w:p>
    <w:p w14:paraId="0FEF587F" w14:textId="1ECFB95B" w:rsidR="006E00A7" w:rsidRPr="008642D1" w:rsidRDefault="006E00A7" w:rsidP="006E00A7">
      <w:pPr>
        <w:pStyle w:val="BodyText"/>
      </w:pPr>
      <w:r w:rsidRPr="008642D1">
        <w:t xml:space="preserve">To give an example, there is an exception in the Human Rights Act that allows employers to treat people differently based on their sex for reasons of </w:t>
      </w:r>
      <w:r w:rsidRPr="008642D1" w:rsidDel="00A948EB">
        <w:t>“</w:t>
      </w:r>
      <w:r w:rsidRPr="008642D1">
        <w:t>authenticity</w:t>
      </w:r>
      <w:r w:rsidRPr="008642D1" w:rsidDel="00A948EB">
        <w:t>”</w:t>
      </w:r>
      <w:r w:rsidRPr="008642D1">
        <w:t>.</w:t>
      </w:r>
      <w:r w:rsidRPr="008642D1">
        <w:rPr>
          <w:rStyle w:val="FootnoteReference"/>
        </w:rPr>
        <w:footnoteReference w:id="434"/>
      </w:r>
      <w:r w:rsidRPr="008642D1">
        <w:t xml:space="preserve"> Suppose this exception was not amended to reflect any new grounds. Uncertainty would arise from the possibility that a court or tribunal might find that an employer can still rely on this exception to authorise the adverse treatment of a transgender person because the treatment was based not on their gender identity but on their </w:t>
      </w:r>
      <w:r w:rsidRPr="008642D1" w:rsidDel="00720FF8">
        <w:t>‘</w:t>
      </w:r>
      <w:r w:rsidRPr="008642D1">
        <w:t>biological</w:t>
      </w:r>
      <w:r w:rsidRPr="008642D1" w:rsidDel="00720FF8">
        <w:t>’</w:t>
      </w:r>
      <w:r w:rsidRPr="008642D1">
        <w:t xml:space="preserve"> sex. We are not suggesting that interpretation is necessarily correct. We are simply signalling the uncertainty that arises from this possibility.</w:t>
      </w:r>
      <w:r w:rsidRPr="008642D1">
        <w:rPr>
          <w:rStyle w:val="FootnoteReference"/>
        </w:rPr>
        <w:footnoteReference w:id="435"/>
      </w:r>
    </w:p>
    <w:p w14:paraId="6C22BD33" w14:textId="6267EC8D" w:rsidR="00BE68FC" w:rsidRDefault="006E00A7" w:rsidP="006E00A7">
      <w:pPr>
        <w:pStyle w:val="BodyText"/>
      </w:pPr>
      <w:r w:rsidRPr="008642D1">
        <w:t>We want to understand better whether this is a likely possibility and, if so, what the implications are for how exceptions should be worded. As we discussed in Chapter 7, one option is for the Act to define sex</w:t>
      </w:r>
      <w:r w:rsidR="00A948EB">
        <w:t>,</w:t>
      </w:r>
      <w:r w:rsidRPr="008642D1">
        <w:t xml:space="preserve"> although, as we also discussed, there are some practical difficulties associated with doing so.</w:t>
      </w:r>
    </w:p>
    <w:p w14:paraId="47EACEBD" w14:textId="77777777" w:rsidR="00BE68FC" w:rsidRDefault="00BE68FC">
      <w:pPr>
        <w:widowControl w:val="0"/>
        <w:spacing w:after="200" w:line="276" w:lineRule="auto"/>
        <w:rPr>
          <w:rFonts w:eastAsia="Times New Roman" w:cs="Times New Roman"/>
          <w:color w:val="000000" w:themeColor="text1"/>
          <w:szCs w:val="24"/>
          <w:lang w:eastAsia="en-AU"/>
        </w:rPr>
      </w:pPr>
      <w:r>
        <w:br w:type="page"/>
      </w:r>
    </w:p>
    <w:p w14:paraId="2BF69BB6" w14:textId="46504D3C" w:rsidR="007C66F9" w:rsidRPr="008642D1" w:rsidRDefault="00DF306B" w:rsidP="007C66F9">
      <w:pPr>
        <w:pStyle w:val="QuestionBox"/>
      </w:pPr>
      <w:r w:rsidRPr="008642D1">
        <w:rPr>
          <w:noProof/>
        </w:rPr>
        <w:lastRenderedPageBreak/>
        <mc:AlternateContent>
          <mc:Choice Requires="wpg">
            <w:drawing>
              <wp:anchor distT="0" distB="0" distL="114300" distR="114300" simplePos="0" relativeHeight="251658335" behindDoc="1" locked="0" layoutInCell="1" allowOverlap="1" wp14:anchorId="11AFE28C" wp14:editId="27E99FF8">
                <wp:simplePos x="0" y="0"/>
                <wp:positionH relativeFrom="column">
                  <wp:posOffset>-3503</wp:posOffset>
                </wp:positionH>
                <wp:positionV relativeFrom="paragraph">
                  <wp:posOffset>2581</wp:posOffset>
                </wp:positionV>
                <wp:extent cx="5760085" cy="1120847"/>
                <wp:effectExtent l="0" t="0" r="0" b="3175"/>
                <wp:wrapNone/>
                <wp:docPr id="1548039897" name="Group 1548039897" descr="Questi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760085" cy="1120847"/>
                          <a:chOff x="0" y="62865"/>
                          <a:chExt cx="5760085" cy="1121501"/>
                        </a:xfrm>
                      </wpg:grpSpPr>
                      <wps:wsp>
                        <wps:cNvPr id="162226428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36D076" w14:textId="77777777" w:rsidR="00DF306B" w:rsidRDefault="00DF306B" w:rsidP="00DF306B">
                              <w:pPr>
                                <w:pStyle w:val="BoxTitle"/>
                                <w:spacing w:before="0" w:beforeAutospacing="0"/>
                              </w:pPr>
                              <w:r w:rsidRPr="007F6876">
                                <w:t>QUESTION</w:t>
                              </w:r>
                            </w:p>
                          </w:txbxContent>
                        </wps:txbx>
                        <wps:bodyPr rot="0" vert="horz" wrap="square" lIns="91440" tIns="0" rIns="0" bIns="45720" anchor="ctr" anchorCtr="0" upright="1">
                          <a:noAutofit/>
                        </wps:bodyPr>
                      </wps:wsp>
                      <wpg:grpSp>
                        <wpg:cNvPr id="1121782324" name="Group 53"/>
                        <wpg:cNvGrpSpPr>
                          <a:grpSpLocks/>
                        </wpg:cNvGrpSpPr>
                        <wpg:grpSpPr bwMode="auto">
                          <a:xfrm>
                            <a:off x="0" y="316077"/>
                            <a:ext cx="5760085" cy="868289"/>
                            <a:chOff x="1837" y="1790"/>
                            <a:chExt cx="9302" cy="9379"/>
                          </a:xfrm>
                        </wpg:grpSpPr>
                        <wps:wsp>
                          <wps:cNvPr id="342281967" name="Freeform 54"/>
                          <wps:cNvSpPr>
                            <a:spLocks/>
                          </wps:cNvSpPr>
                          <wps:spPr bwMode="auto">
                            <a:xfrm>
                              <a:off x="1837" y="1790"/>
                              <a:ext cx="9302" cy="937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4478476" name="Group 874478476"/>
                        <wpg:cNvGrpSpPr/>
                        <wpg:grpSpPr>
                          <a:xfrm>
                            <a:off x="0" y="494036"/>
                            <a:ext cx="1443794" cy="252000"/>
                            <a:chOff x="-15880" y="0"/>
                            <a:chExt cx="1444379" cy="252068"/>
                          </a:xfrm>
                        </wpg:grpSpPr>
                        <wps:wsp>
                          <wps:cNvPr id="19797041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14352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627375" w14:textId="0748F3AC" w:rsidR="00DF306B" w:rsidRPr="00E90B8A" w:rsidRDefault="00DF306B" w:rsidP="00DF306B">
                                <w:pPr>
                                  <w:pStyle w:val="BoxTitle"/>
                                  <w:spacing w:before="0" w:beforeAutospacing="0"/>
                                  <w:rPr>
                                    <w:sz w:val="18"/>
                                    <w:szCs w:val="18"/>
                                  </w:rPr>
                                </w:pPr>
                                <w:r w:rsidRPr="00E90B8A">
                                  <w:rPr>
                                    <w:sz w:val="18"/>
                                    <w:szCs w:val="18"/>
                                  </w:rPr>
                                  <w:t>Q</w:t>
                                </w:r>
                                <w:r>
                                  <w:rPr>
                                    <w:sz w:val="18"/>
                                    <w:szCs w:val="18"/>
                                  </w:rPr>
                                  <w:t>1</w:t>
                                </w:r>
                                <w:r w:rsidR="00BE68FC">
                                  <w:rPr>
                                    <w:sz w:val="18"/>
                                    <w:szCs w:val="18"/>
                                  </w:rPr>
                                  <w:t>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1AFE28C" id="Group 1548039897" o:spid="_x0000_s1087" alt="Question" style="position:absolute;left:0;text-align:left;margin-left:-.3pt;margin-top:.2pt;width:453.55pt;height:88.25pt;z-index:-251658145;mso-height-relative:margin" coordorigin=",628" coordsize="57600,1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">
                <v:shape id="Freeform 52" o:spid="_x0000_s108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A36D076" w14:textId="77777777" w:rsidR="00DF306B" w:rsidRDefault="00DF306B" w:rsidP="00DF306B">
                        <w:pPr>
                          <w:pStyle w:val="BoxTitle"/>
                          <w:spacing w:before="0" w:beforeAutospacing="0"/>
                        </w:pPr>
                        <w:r w:rsidRPr="007F6876">
                          <w:t>QUESTION</w:t>
                        </w:r>
                      </w:p>
                    </w:txbxContent>
                  </v:textbox>
                </v:shape>
                <v:group id="Group 53" o:spid="_x0000_s1089" style="position:absolute;top:3160;width:57600;height:8683" coordorigin="1837,1790" coordsize="9302,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">
                  <v:shape id="Freeform 54" o:spid="_x0000_s1090" style="position:absolute;left:1837;top:1790;width:9302;height:937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" path="m,l9354,r,7809l,7809,,e" fillcolor="#edf2ea" stroked="f">
                    <v:path arrowok="t" o:connecttype="custom" o:connectlocs="0,1201;9302,1201;9302,10580;0,10580;0,1201" o:connectangles="0,0,0,0,0"/>
                  </v:shape>
                </v:group>
                <v:group id="Group 874478476" o:spid="_x0000_s109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">
                  <v:shape id="Freeform 58" o:spid="_x0000_s109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" path="m,l1815,e" filled="f" strokecolor="#72ab6a" strokeweight=".5pt">
                    <v:path arrowok="t" o:connecttype="custom" o:connectlocs="0,0;1073495,0" o:connectangles="0,0"/>
                  </v:shape>
                  <v:shape id="Freeform 66" o:spid="_x0000_s109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6627375" w14:textId="0748F3AC" w:rsidR="00DF306B" w:rsidRPr="00E90B8A" w:rsidRDefault="00DF306B" w:rsidP="00DF306B">
                          <w:pPr>
                            <w:pStyle w:val="BoxTitle"/>
                            <w:spacing w:before="0" w:beforeAutospacing="0"/>
                            <w:rPr>
                              <w:sz w:val="18"/>
                              <w:szCs w:val="18"/>
                            </w:rPr>
                          </w:pPr>
                          <w:r w:rsidRPr="00E90B8A">
                            <w:rPr>
                              <w:sz w:val="18"/>
                              <w:szCs w:val="18"/>
                            </w:rPr>
                            <w:t>Q</w:t>
                          </w:r>
                          <w:r>
                            <w:rPr>
                              <w:sz w:val="18"/>
                              <w:szCs w:val="18"/>
                            </w:rPr>
                            <w:t>1</w:t>
                          </w:r>
                          <w:r w:rsidR="00BE68FC">
                            <w:rPr>
                              <w:sz w:val="18"/>
                              <w:szCs w:val="18"/>
                            </w:rPr>
                            <w:t>2</w:t>
                          </w:r>
                        </w:p>
                      </w:txbxContent>
                    </v:textbox>
                  </v:shape>
                </v:group>
              </v:group>
            </w:pict>
          </mc:Fallback>
        </mc:AlternateContent>
      </w:r>
    </w:p>
    <w:p w14:paraId="26708A0F" w14:textId="77777777" w:rsidR="007C66F9" w:rsidRPr="008642D1" w:rsidRDefault="007C66F9" w:rsidP="007C66F9">
      <w:pPr>
        <w:pStyle w:val="QuestionBox"/>
      </w:pPr>
    </w:p>
    <w:p w14:paraId="46C16467" w14:textId="6051DE95" w:rsidR="00BE68FC" w:rsidRPr="008642D1" w:rsidRDefault="006E00A7" w:rsidP="007C66F9">
      <w:pPr>
        <w:pStyle w:val="QuestionBox"/>
      </w:pPr>
      <w:r w:rsidRPr="004479BA">
        <w:rPr>
          <w:lang w:val="en-US"/>
        </w:rPr>
        <w:t xml:space="preserve">Do you have any feedback on the </w:t>
      </w:r>
      <w:r w:rsidR="004479BA" w:rsidRPr="004479BA">
        <w:rPr>
          <w:lang w:val="en-US"/>
        </w:rPr>
        <w:t xml:space="preserve">potential for uncertainty as to the </w:t>
      </w:r>
      <w:r w:rsidRPr="004479BA">
        <w:rPr>
          <w:lang w:val="en-US"/>
        </w:rPr>
        <w:t xml:space="preserve">scope of </w:t>
      </w:r>
      <w:r w:rsidR="004479BA" w:rsidRPr="004479BA">
        <w:rPr>
          <w:lang w:val="en-US"/>
        </w:rPr>
        <w:t xml:space="preserve">any </w:t>
      </w:r>
      <w:r w:rsidRPr="004479BA">
        <w:rPr>
          <w:lang w:val="en-US"/>
        </w:rPr>
        <w:t xml:space="preserve">sex </w:t>
      </w:r>
      <w:r w:rsidR="004479BA" w:rsidRPr="004479BA">
        <w:rPr>
          <w:lang w:val="en-US"/>
        </w:rPr>
        <w:t>exception</w:t>
      </w:r>
      <w:r w:rsidRPr="004479BA">
        <w:rPr>
          <w:lang w:val="en-US"/>
        </w:rPr>
        <w:t xml:space="preserve"> that </w:t>
      </w:r>
      <w:r w:rsidR="004479BA" w:rsidRPr="004479BA">
        <w:rPr>
          <w:lang w:val="en-US"/>
        </w:rPr>
        <w:t>is</w:t>
      </w:r>
      <w:r w:rsidRPr="004479BA">
        <w:rPr>
          <w:lang w:val="en-US"/>
        </w:rPr>
        <w:t xml:space="preserve"> not </w:t>
      </w:r>
      <w:r w:rsidR="004479BA" w:rsidRPr="004479BA">
        <w:rPr>
          <w:lang w:val="en-US"/>
        </w:rPr>
        <w:t xml:space="preserve">amended to reflect </w:t>
      </w:r>
      <w:r w:rsidRPr="004479BA">
        <w:rPr>
          <w:lang w:val="en-US"/>
        </w:rPr>
        <w:t>new grounds</w:t>
      </w:r>
      <w:r w:rsidR="004479BA" w:rsidRPr="004479BA">
        <w:rPr>
          <w:lang w:val="en-US"/>
        </w:rPr>
        <w:t>?</w:t>
      </w:r>
      <w:r w:rsidR="004479BA" w:rsidRPr="004479BA">
        <w:rPr>
          <w:rFonts w:ascii="Calibri" w:hAnsi="Calibri" w:cs="Calibri"/>
        </w:rPr>
        <w:t> </w:t>
      </w:r>
    </w:p>
    <w:p w14:paraId="088881E3" w14:textId="77777777" w:rsidR="004479BA" w:rsidRPr="008642D1" w:rsidRDefault="004479BA" w:rsidP="007C66F9">
      <w:pPr>
        <w:pStyle w:val="QuestionBox"/>
      </w:pPr>
    </w:p>
    <w:p w14:paraId="12066E4D" w14:textId="77777777" w:rsidR="006E00A7" w:rsidRPr="008642D1" w:rsidRDefault="006E00A7" w:rsidP="006E00A7">
      <w:pPr>
        <w:pStyle w:val="Heading3"/>
      </w:pPr>
      <w:r w:rsidRPr="008642D1">
        <w:t>Difficulty of using uniform language to amend the exceptions</w:t>
      </w:r>
    </w:p>
    <w:p w14:paraId="1BC23F5D" w14:textId="18AA9521" w:rsidR="006E00A7" w:rsidRPr="008642D1" w:rsidRDefault="006E00A7" w:rsidP="006E00A7">
      <w:pPr>
        <w:pStyle w:val="BodyText"/>
      </w:pPr>
      <w:r w:rsidRPr="008642D1">
        <w:t>One of the challenges in identifying options for amending the Part 2 exceptions is that the current sex exceptions reflect a range of different underlying concerns and appear to relate to different aspects of a person’s sex</w:t>
      </w:r>
      <w:r w:rsidR="008323CD">
        <w:t>,</w:t>
      </w:r>
      <w:r w:rsidRPr="008642D1">
        <w:t xml:space="preserve"> gender or sex characteristics. For example, some of the current sex exceptions seem to be about shared life experience (exceptions relating to courses and counselling are an example).</w:t>
      </w:r>
      <w:r w:rsidRPr="008642D1">
        <w:rPr>
          <w:rStyle w:val="FootnoteReference"/>
        </w:rPr>
        <w:footnoteReference w:id="436"/>
      </w:r>
      <w:r w:rsidRPr="008642D1">
        <w:t xml:space="preserve"> Others seem to be about physical sex characteristics (an exception relating to skill is an example of that).</w:t>
      </w:r>
      <w:r w:rsidRPr="008642D1">
        <w:rPr>
          <w:rStyle w:val="FootnoteReference"/>
        </w:rPr>
        <w:footnoteReference w:id="437"/>
      </w:r>
      <w:r w:rsidRPr="008642D1">
        <w:t xml:space="preserve"> Still others are concerned with allowing people to decide who comes into their home (an exception relating to domestic employment is an example of that).</w:t>
      </w:r>
      <w:r w:rsidRPr="008642D1">
        <w:rPr>
          <w:rStyle w:val="FootnoteReference"/>
        </w:rPr>
        <w:footnoteReference w:id="438"/>
      </w:r>
      <w:r w:rsidRPr="008642D1">
        <w:tab/>
      </w:r>
    </w:p>
    <w:p w14:paraId="06059FE4" w14:textId="77777777" w:rsidR="006E00A7" w:rsidRPr="008642D1" w:rsidRDefault="006E00A7" w:rsidP="006E00A7">
      <w:pPr>
        <w:pStyle w:val="BodyText"/>
      </w:pPr>
      <w:r w:rsidRPr="008642D1">
        <w:t xml:space="preserve">These differences in underlying rationale mean there may not be uniform language that can be used to reflect new prohibited grounds of discrimination in the Part 2 exceptions where that is considered desirable. It may be necessary for an exception to be specific about the underlying intent — for example, whether it is concerned with a person’s sex assigned at birth, their physical sex characteristics or their life experiences as a person who is transgender or cisgender. </w:t>
      </w:r>
    </w:p>
    <w:p w14:paraId="20D39DC9" w14:textId="77777777" w:rsidR="006E00A7" w:rsidRPr="008642D1" w:rsidRDefault="006E00A7" w:rsidP="006E00A7">
      <w:pPr>
        <w:pStyle w:val="Heading3"/>
      </w:pPr>
      <w:r w:rsidRPr="008642D1">
        <w:t>Issues of proof</w:t>
      </w:r>
    </w:p>
    <w:p w14:paraId="7158E515" w14:textId="635EB090" w:rsidR="00BE68FC" w:rsidRDefault="006E00A7" w:rsidP="006E00A7">
      <w:pPr>
        <w:pStyle w:val="BodyText"/>
      </w:pPr>
      <w:r w:rsidRPr="008642D1">
        <w:t>An</w:t>
      </w:r>
      <w:r w:rsidRPr="008642D1" w:rsidDel="00E129AF">
        <w:t xml:space="preserve"> </w:t>
      </w:r>
      <w:r w:rsidRPr="008642D1">
        <w:t>issue that may arise if any sex exceptions are amended to clarify that they allow different treatment based on a person’s sex assigned at birth is how a person would be expected to prove their sex assigned at birth. For example, if the Human Rights Act permitted service providers to exclude people who are transgender from bathrooms and changing rooms that do not align with their sex assigned at birth, we are unsure how that would be policed. Given a person may obtain a birth certificate that reflects their nominated sex, we are not aware of any form of identification in Aotearoa New Zealand that proves a person’s sex assigned at birth. In any event, people are not required to carry identification when going about their lives or when entering bathrooms and changing rooms. We are interested to understand whether this would be a practical obstacle to tying exceptions to a person’s sex assigned at birth or how this issue could be managed.</w:t>
      </w:r>
    </w:p>
    <w:p w14:paraId="42A88138" w14:textId="77777777" w:rsidR="00BE68FC" w:rsidRDefault="00BE68FC">
      <w:pPr>
        <w:widowControl w:val="0"/>
        <w:spacing w:after="200" w:line="276" w:lineRule="auto"/>
        <w:rPr>
          <w:rFonts w:eastAsia="Times New Roman" w:cs="Times New Roman"/>
          <w:color w:val="000000" w:themeColor="text1"/>
          <w:szCs w:val="24"/>
          <w:lang w:eastAsia="en-AU"/>
        </w:rPr>
      </w:pPr>
      <w:r>
        <w:br w:type="page"/>
      </w:r>
    </w:p>
    <w:p w14:paraId="712C3F62" w14:textId="43FF0B46" w:rsidR="00DF306B" w:rsidRPr="008642D1" w:rsidRDefault="00DF306B" w:rsidP="00DF306B">
      <w:pPr>
        <w:pStyle w:val="QuestionBox"/>
      </w:pPr>
      <w:r w:rsidRPr="008642D1">
        <w:rPr>
          <w:noProof/>
        </w:rPr>
        <w:lastRenderedPageBreak/>
        <mc:AlternateContent>
          <mc:Choice Requires="wpg">
            <w:drawing>
              <wp:anchor distT="0" distB="0" distL="114300" distR="114300" simplePos="0" relativeHeight="251658337" behindDoc="1" locked="0" layoutInCell="1" allowOverlap="1" wp14:anchorId="2A606747" wp14:editId="64B17348">
                <wp:simplePos x="0" y="0"/>
                <wp:positionH relativeFrom="column">
                  <wp:posOffset>-3175</wp:posOffset>
                </wp:positionH>
                <wp:positionV relativeFrom="paragraph">
                  <wp:posOffset>-60468</wp:posOffset>
                </wp:positionV>
                <wp:extent cx="5760085" cy="1327359"/>
                <wp:effectExtent l="0" t="0" r="0" b="6350"/>
                <wp:wrapNone/>
                <wp:docPr id="739978442" name="Group 739978442" descr="Questi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760085" cy="1327359"/>
                          <a:chOff x="0" y="62865"/>
                          <a:chExt cx="5760085" cy="1328134"/>
                        </a:xfrm>
                      </wpg:grpSpPr>
                      <wps:wsp>
                        <wps:cNvPr id="157737797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E24678" w14:textId="77777777" w:rsidR="00DF306B" w:rsidRDefault="00DF306B" w:rsidP="00DF306B">
                              <w:pPr>
                                <w:pStyle w:val="BoxTitle"/>
                                <w:spacing w:before="0" w:beforeAutospacing="0"/>
                              </w:pPr>
                              <w:r w:rsidRPr="007F6876">
                                <w:t>QUESTION</w:t>
                              </w:r>
                            </w:p>
                          </w:txbxContent>
                        </wps:txbx>
                        <wps:bodyPr rot="0" vert="horz" wrap="square" lIns="91440" tIns="0" rIns="0" bIns="45720" anchor="ctr" anchorCtr="0" upright="1">
                          <a:noAutofit/>
                        </wps:bodyPr>
                      </wps:wsp>
                      <wpg:grpSp>
                        <wpg:cNvPr id="160482144" name="Group 53"/>
                        <wpg:cNvGrpSpPr>
                          <a:grpSpLocks/>
                        </wpg:cNvGrpSpPr>
                        <wpg:grpSpPr bwMode="auto">
                          <a:xfrm>
                            <a:off x="0" y="315984"/>
                            <a:ext cx="5760085" cy="1075015"/>
                            <a:chOff x="1837" y="1789"/>
                            <a:chExt cx="9302" cy="11612"/>
                          </a:xfrm>
                        </wpg:grpSpPr>
                        <wps:wsp>
                          <wps:cNvPr id="2135775670" name="Freeform 54"/>
                          <wps:cNvSpPr>
                            <a:spLocks/>
                          </wps:cNvSpPr>
                          <wps:spPr bwMode="auto">
                            <a:xfrm>
                              <a:off x="1837" y="1789"/>
                              <a:ext cx="9302" cy="1161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9260819" name="Group 1919260819"/>
                        <wpg:cNvGrpSpPr/>
                        <wpg:grpSpPr>
                          <a:xfrm>
                            <a:off x="0" y="494036"/>
                            <a:ext cx="1443794" cy="252000"/>
                            <a:chOff x="-15880" y="0"/>
                            <a:chExt cx="1444379" cy="252068"/>
                          </a:xfrm>
                        </wpg:grpSpPr>
                        <wps:wsp>
                          <wps:cNvPr id="98553200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58181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84DCA4" w14:textId="1E039CD5" w:rsidR="00DF306B" w:rsidRPr="00E90B8A" w:rsidRDefault="00DF306B" w:rsidP="00DF306B">
                                <w:pPr>
                                  <w:pStyle w:val="BoxTitle"/>
                                  <w:spacing w:before="0" w:beforeAutospacing="0"/>
                                  <w:rPr>
                                    <w:sz w:val="18"/>
                                    <w:szCs w:val="18"/>
                                  </w:rPr>
                                </w:pPr>
                                <w:r w:rsidRPr="00E90B8A">
                                  <w:rPr>
                                    <w:sz w:val="18"/>
                                    <w:szCs w:val="18"/>
                                  </w:rPr>
                                  <w:t>Q</w:t>
                                </w:r>
                                <w:r>
                                  <w:rPr>
                                    <w:sz w:val="18"/>
                                    <w:szCs w:val="18"/>
                                  </w:rPr>
                                  <w:t>1</w:t>
                                </w:r>
                                <w:r w:rsidR="00AC679C">
                                  <w:rPr>
                                    <w:sz w:val="18"/>
                                    <w:szCs w:val="18"/>
                                  </w:rPr>
                                  <w:t>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A606747" id="Group 739978442" o:spid="_x0000_s1094" alt="Question" style="position:absolute;left:0;text-align:left;margin-left:-.25pt;margin-top:-4.75pt;width:453.55pt;height:104.5pt;z-index:-251658143;mso-height-relative:margin" coordorigin=",628" coordsize="57600,1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">
                <v:shape id="Freeform 52" o:spid="_x0000_s1095"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0E24678" w14:textId="77777777" w:rsidR="00DF306B" w:rsidRDefault="00DF306B" w:rsidP="00DF306B">
                        <w:pPr>
                          <w:pStyle w:val="BoxTitle"/>
                          <w:spacing w:before="0" w:beforeAutospacing="0"/>
                        </w:pPr>
                        <w:r w:rsidRPr="007F6876">
                          <w:t>QUESTION</w:t>
                        </w:r>
                      </w:p>
                    </w:txbxContent>
                  </v:textbox>
                </v:shape>
                <v:group id="Group 53" o:spid="_x0000_s1096" style="position:absolute;top:3159;width:57600;height:10750" coordorigin="1837,1789" coordsize="9302,1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">
                  <v:shape id="Freeform 54" o:spid="_x0000_s1097" style="position:absolute;left:1837;top:1789;width:9302;height:1161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" path="m,l9354,r,7809l,7809,,e" fillcolor="#edf2ea" stroked="f">
                    <v:path arrowok="t" o:connecttype="custom" o:connectlocs="0,1487;9302,1487;9302,13099;0,13099;0,1487" o:connectangles="0,0,0,0,0"/>
                  </v:shape>
                </v:group>
                <v:group id="Group 1919260819" o:spid="_x0000_s1098"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">
                  <v:shape id="Freeform 58" o:spid="_x0000_s109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" path="m,l1815,e" filled="f" strokecolor="#72ab6a" strokeweight=".5pt">
                    <v:path arrowok="t" o:connecttype="custom" o:connectlocs="0,0;1073495,0" o:connectangles="0,0"/>
                  </v:shape>
                  <v:shape id="Freeform 66" o:spid="_x0000_s110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384DCA4" w14:textId="1E039CD5" w:rsidR="00DF306B" w:rsidRPr="00E90B8A" w:rsidRDefault="00DF306B" w:rsidP="00DF306B">
                          <w:pPr>
                            <w:pStyle w:val="BoxTitle"/>
                            <w:spacing w:before="0" w:beforeAutospacing="0"/>
                            <w:rPr>
                              <w:sz w:val="18"/>
                              <w:szCs w:val="18"/>
                            </w:rPr>
                          </w:pPr>
                          <w:r w:rsidRPr="00E90B8A">
                            <w:rPr>
                              <w:sz w:val="18"/>
                              <w:szCs w:val="18"/>
                            </w:rPr>
                            <w:t>Q</w:t>
                          </w:r>
                          <w:r>
                            <w:rPr>
                              <w:sz w:val="18"/>
                              <w:szCs w:val="18"/>
                            </w:rPr>
                            <w:t>1</w:t>
                          </w:r>
                          <w:r w:rsidR="00AC679C">
                            <w:rPr>
                              <w:sz w:val="18"/>
                              <w:szCs w:val="18"/>
                            </w:rPr>
                            <w:t>3</w:t>
                          </w:r>
                        </w:p>
                      </w:txbxContent>
                    </v:textbox>
                  </v:shape>
                </v:group>
              </v:group>
            </w:pict>
          </mc:Fallback>
        </mc:AlternateContent>
      </w:r>
    </w:p>
    <w:p w14:paraId="166686BE" w14:textId="77777777" w:rsidR="00DF306B" w:rsidRPr="008642D1" w:rsidRDefault="00DF306B" w:rsidP="00DF306B">
      <w:pPr>
        <w:pStyle w:val="QuestionBox"/>
      </w:pPr>
    </w:p>
    <w:p w14:paraId="10F26339" w14:textId="27ECA9D2" w:rsidR="00D5313F" w:rsidRPr="00D5313F" w:rsidRDefault="00D5313F" w:rsidP="00D5313F">
      <w:pPr>
        <w:pStyle w:val="QuestionBox"/>
        <w:rPr>
          <w:rFonts w:ascii="Calibri" w:hAnsi="Calibri" w:cs="Calibri"/>
        </w:rPr>
      </w:pPr>
      <w:r w:rsidRPr="00D5313F">
        <w:rPr>
          <w:lang w:val="en-US"/>
        </w:rPr>
        <w:t>Do you have any feedback on how people would prove their sex assigned at birth if any sex exceptions are amended to clarify that they allow different treatment on that basis?</w:t>
      </w:r>
      <w:r w:rsidRPr="00D5313F">
        <w:rPr>
          <w:rFonts w:ascii="Calibri" w:hAnsi="Calibri" w:cs="Calibri"/>
        </w:rPr>
        <w:t> </w:t>
      </w:r>
    </w:p>
    <w:p w14:paraId="58940074" w14:textId="77777777" w:rsidR="00DF306B" w:rsidRPr="008642D1" w:rsidRDefault="00DF306B" w:rsidP="00DF306B">
      <w:pPr>
        <w:pStyle w:val="QuestionBox"/>
      </w:pPr>
    </w:p>
    <w:p w14:paraId="509B98BE" w14:textId="77777777" w:rsidR="006E00A7" w:rsidRPr="008642D1" w:rsidRDefault="006E00A7" w:rsidP="006E00A7">
      <w:pPr>
        <w:pStyle w:val="Heading3"/>
      </w:pPr>
      <w:r w:rsidRPr="008642D1">
        <w:t>Privacy issues</w:t>
      </w:r>
    </w:p>
    <w:p w14:paraId="11067857" w14:textId="1298B804" w:rsidR="007B77B1" w:rsidRDefault="006E00A7" w:rsidP="00525394">
      <w:pPr>
        <w:pStyle w:val="BodyText"/>
      </w:pPr>
      <w:r w:rsidRPr="008642D1">
        <w:t xml:space="preserve">Another recurrent issue we have encountered relates to the privacy issues that may arise if exceptions are tied to a person’s sex assigned at birth, the fact they are transgender or </w:t>
      </w:r>
      <w:r w:rsidR="009B54DB">
        <w:t xml:space="preserve">non-binary, </w:t>
      </w:r>
      <w:r w:rsidRPr="008642D1">
        <w:t>or their sex characteristics. Privacy issues may arise if a person is expected to disclose these things to others or if another person such as an employer is entitled to disclose that information to a third party such as a customer. Privacy concerns may also arise if the fact of a particular exception seems to sanction intrusive questions about a person’s gender identity, sex assigned at birth or sex characteristics. We are interested to understand better whether these concerns are significant and how they might be resolved.</w:t>
      </w:r>
    </w:p>
    <w:p w14:paraId="7D5AF7CB" w14:textId="2E2DCF29" w:rsidR="00525394" w:rsidRPr="008642D1" w:rsidRDefault="002706ED" w:rsidP="00525394">
      <w:pPr>
        <w:pStyle w:val="BodyText"/>
        <w:numPr>
          <w:ilvl w:val="0"/>
          <w:numId w:val="0"/>
        </w:numPr>
        <w:ind w:left="709" w:hanging="709"/>
      </w:pPr>
      <w:r w:rsidRPr="008642D1">
        <w:rPr>
          <w:noProof/>
        </w:rPr>
        <mc:AlternateContent>
          <mc:Choice Requires="wpg">
            <w:drawing>
              <wp:anchor distT="0" distB="0" distL="114300" distR="114300" simplePos="0" relativeHeight="251658336" behindDoc="1" locked="0" layoutInCell="1" allowOverlap="1" wp14:anchorId="2E711AE2" wp14:editId="6149D805">
                <wp:simplePos x="0" y="0"/>
                <wp:positionH relativeFrom="column">
                  <wp:posOffset>-3503</wp:posOffset>
                </wp:positionH>
                <wp:positionV relativeFrom="paragraph">
                  <wp:posOffset>5695</wp:posOffset>
                </wp:positionV>
                <wp:extent cx="5760085" cy="1283041"/>
                <wp:effectExtent l="0" t="0" r="0" b="0"/>
                <wp:wrapNone/>
                <wp:docPr id="717349054" name="Group 717349054" descr="Questi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760085" cy="1283041"/>
                          <a:chOff x="0" y="62865"/>
                          <a:chExt cx="5760085" cy="1283789"/>
                        </a:xfrm>
                      </wpg:grpSpPr>
                      <wps:wsp>
                        <wps:cNvPr id="244175927"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60BD39" w14:textId="77777777" w:rsidR="002706ED" w:rsidRDefault="002706ED" w:rsidP="002706ED">
                              <w:pPr>
                                <w:pStyle w:val="BoxTitle"/>
                                <w:spacing w:before="0" w:beforeAutospacing="0"/>
                              </w:pPr>
                              <w:r w:rsidRPr="007F6876">
                                <w:t>QUESTION</w:t>
                              </w:r>
                            </w:p>
                          </w:txbxContent>
                        </wps:txbx>
                        <wps:bodyPr rot="0" vert="horz" wrap="square" lIns="91440" tIns="0" rIns="0" bIns="45720" anchor="ctr" anchorCtr="0" upright="1">
                          <a:noAutofit/>
                        </wps:bodyPr>
                      </wps:wsp>
                      <wpg:grpSp>
                        <wpg:cNvPr id="568200210" name="Group 53"/>
                        <wpg:cNvGrpSpPr>
                          <a:grpSpLocks/>
                        </wpg:cNvGrpSpPr>
                        <wpg:grpSpPr bwMode="auto">
                          <a:xfrm>
                            <a:off x="0" y="315891"/>
                            <a:ext cx="5760085" cy="1030763"/>
                            <a:chOff x="1837" y="1788"/>
                            <a:chExt cx="9302" cy="11134"/>
                          </a:xfrm>
                        </wpg:grpSpPr>
                        <wps:wsp>
                          <wps:cNvPr id="556447533" name="Freeform 54"/>
                          <wps:cNvSpPr>
                            <a:spLocks/>
                          </wps:cNvSpPr>
                          <wps:spPr bwMode="auto">
                            <a:xfrm>
                              <a:off x="1837" y="1788"/>
                              <a:ext cx="9302" cy="1113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746765" name="Group 208746765"/>
                        <wpg:cNvGrpSpPr/>
                        <wpg:grpSpPr>
                          <a:xfrm>
                            <a:off x="0" y="494036"/>
                            <a:ext cx="1443794" cy="252000"/>
                            <a:chOff x="-15880" y="0"/>
                            <a:chExt cx="1444379" cy="252068"/>
                          </a:xfrm>
                        </wpg:grpSpPr>
                        <wps:wsp>
                          <wps:cNvPr id="180932181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79068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481A83" w14:textId="2439C7E8" w:rsidR="002706ED" w:rsidRPr="00E90B8A" w:rsidRDefault="002706ED" w:rsidP="002706ED">
                                <w:pPr>
                                  <w:pStyle w:val="BoxTitle"/>
                                  <w:spacing w:before="0" w:beforeAutospacing="0"/>
                                  <w:rPr>
                                    <w:sz w:val="18"/>
                                    <w:szCs w:val="18"/>
                                  </w:rPr>
                                </w:pPr>
                                <w:r w:rsidRPr="00E90B8A">
                                  <w:rPr>
                                    <w:sz w:val="18"/>
                                    <w:szCs w:val="18"/>
                                  </w:rPr>
                                  <w:t>Q</w:t>
                                </w:r>
                                <w:r>
                                  <w:rPr>
                                    <w:sz w:val="18"/>
                                    <w:szCs w:val="18"/>
                                  </w:rPr>
                                  <w:t>1</w:t>
                                </w:r>
                                <w:r w:rsidR="00AC679C">
                                  <w:rPr>
                                    <w:sz w:val="18"/>
                                    <w:szCs w:val="18"/>
                                  </w:rPr>
                                  <w:t>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E711AE2" id="Group 717349054" o:spid="_x0000_s1101" alt="Question" style="position:absolute;left:0;text-align:left;margin-left:-.3pt;margin-top:.45pt;width:453.55pt;height:101.05pt;z-index:-251658144;mso-height-relative:margin" coordorigin=",628" coordsize="57600,12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">
                <v:shape id="Freeform 52" o:spid="_x0000_s110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B60BD39" w14:textId="77777777" w:rsidR="002706ED" w:rsidRDefault="002706ED" w:rsidP="002706ED">
                        <w:pPr>
                          <w:pStyle w:val="BoxTitle"/>
                          <w:spacing w:before="0" w:beforeAutospacing="0"/>
                        </w:pPr>
                        <w:r w:rsidRPr="007F6876">
                          <w:t>QUESTION</w:t>
                        </w:r>
                      </w:p>
                    </w:txbxContent>
                  </v:textbox>
                </v:shape>
                <v:group id="Group 53" o:spid="_x0000_s1103" style="position:absolute;top:3158;width:57600;height:10308" coordorigin="1837,1788" coordsize="9302,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">
                  <v:shape id="Freeform 54" o:spid="_x0000_s1104" style="position:absolute;left:1837;top:1788;width:9302;height:1113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" path="m,l9354,r,7809l,7809,,e" fillcolor="#edf2ea" stroked="f">
                    <v:path arrowok="t" o:connecttype="custom" o:connectlocs="0,1426;9302,1426;9302,12560;0,12560;0,1426" o:connectangles="0,0,0,0,0"/>
                  </v:shape>
                </v:group>
                <v:group id="Group 208746765" o:spid="_x0000_s110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">
                  <v:shape id="Freeform 58" o:spid="_x0000_s110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" path="m,l1815,e" filled="f" strokecolor="#72ab6a" strokeweight=".5pt">
                    <v:path arrowok="t" o:connecttype="custom" o:connectlocs="0,0;1073495,0" o:connectangles="0,0"/>
                  </v:shape>
                  <v:shape id="Freeform 66" o:spid="_x0000_s110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9481A83" w14:textId="2439C7E8" w:rsidR="002706ED" w:rsidRPr="00E90B8A" w:rsidRDefault="002706ED" w:rsidP="002706ED">
                          <w:pPr>
                            <w:pStyle w:val="BoxTitle"/>
                            <w:spacing w:before="0" w:beforeAutospacing="0"/>
                            <w:rPr>
                              <w:sz w:val="18"/>
                              <w:szCs w:val="18"/>
                            </w:rPr>
                          </w:pPr>
                          <w:r w:rsidRPr="00E90B8A">
                            <w:rPr>
                              <w:sz w:val="18"/>
                              <w:szCs w:val="18"/>
                            </w:rPr>
                            <w:t>Q</w:t>
                          </w:r>
                          <w:r>
                            <w:rPr>
                              <w:sz w:val="18"/>
                              <w:szCs w:val="18"/>
                            </w:rPr>
                            <w:t>1</w:t>
                          </w:r>
                          <w:r w:rsidR="00AC679C">
                            <w:rPr>
                              <w:sz w:val="18"/>
                              <w:szCs w:val="18"/>
                            </w:rPr>
                            <w:t>4</w:t>
                          </w:r>
                        </w:p>
                      </w:txbxContent>
                    </v:textbox>
                  </v:shape>
                </v:group>
              </v:group>
            </w:pict>
          </mc:Fallback>
        </mc:AlternateContent>
      </w:r>
    </w:p>
    <w:p w14:paraId="64AD50BA" w14:textId="77777777" w:rsidR="002706ED" w:rsidRPr="008642D1" w:rsidRDefault="002706ED" w:rsidP="00525394">
      <w:pPr>
        <w:pStyle w:val="BodyText"/>
        <w:numPr>
          <w:ilvl w:val="0"/>
          <w:numId w:val="0"/>
        </w:numPr>
        <w:ind w:left="709" w:hanging="709"/>
      </w:pPr>
    </w:p>
    <w:p w14:paraId="20489982" w14:textId="3496EF98" w:rsidR="00AC679C" w:rsidRDefault="002706ED" w:rsidP="002706ED">
      <w:pPr>
        <w:pStyle w:val="QuestionBox"/>
        <w:rPr>
          <w:rFonts w:ascii="Calibri" w:hAnsi="Calibri" w:cs="Calibri"/>
        </w:rPr>
      </w:pPr>
      <w:r w:rsidRPr="00665520">
        <w:rPr>
          <w:lang w:val="en-US"/>
        </w:rPr>
        <w:t xml:space="preserve">Do you have any feedback about the privacy issues that may arise if exceptions are tied to a person’s </w:t>
      </w:r>
      <w:r w:rsidR="00665520" w:rsidRPr="00665520">
        <w:rPr>
          <w:lang w:val="en-US"/>
        </w:rPr>
        <w:t>sex assigned at birth, the fact they are transgender</w:t>
      </w:r>
      <w:r w:rsidRPr="00665520">
        <w:rPr>
          <w:lang w:val="en-US"/>
        </w:rPr>
        <w:t xml:space="preserve"> or </w:t>
      </w:r>
      <w:r w:rsidR="00665520" w:rsidRPr="00665520">
        <w:rPr>
          <w:lang w:val="en-US"/>
        </w:rPr>
        <w:t xml:space="preserve">non-binary, or their </w:t>
      </w:r>
      <w:r w:rsidRPr="00665520">
        <w:rPr>
          <w:lang w:val="en-US"/>
        </w:rPr>
        <w:t>sex characteristics?</w:t>
      </w:r>
      <w:r w:rsidR="00665520" w:rsidRPr="00665520">
        <w:rPr>
          <w:rFonts w:ascii="Calibri" w:hAnsi="Calibri" w:cs="Calibri"/>
        </w:rPr>
        <w:t> </w:t>
      </w:r>
    </w:p>
    <w:p w14:paraId="18AFF522" w14:textId="77777777" w:rsidR="00665520" w:rsidRPr="008642D1" w:rsidRDefault="00665520" w:rsidP="002706ED">
      <w:pPr>
        <w:pStyle w:val="QuestionBox"/>
      </w:pPr>
    </w:p>
    <w:p w14:paraId="1EC758AD" w14:textId="4B1889E5" w:rsidR="00525394" w:rsidRPr="008642D1" w:rsidRDefault="00C60270" w:rsidP="00C60270">
      <w:pPr>
        <w:pStyle w:val="Heading3"/>
      </w:pPr>
      <w:r w:rsidRPr="008642D1">
        <w:t>Challenges posed by the gender binary</w:t>
      </w:r>
    </w:p>
    <w:p w14:paraId="47C67A1A" w14:textId="77777777" w:rsidR="006E00A7" w:rsidRPr="008642D1" w:rsidRDefault="006E00A7" w:rsidP="002706ED">
      <w:pPr>
        <w:pStyle w:val="BodyText"/>
      </w:pPr>
      <w:r w:rsidRPr="008642D1">
        <w:t xml:space="preserve">Finally, it has been challenging to identify reform options that address the situation of people who identify outside the gender binary — that is, as neither (or as not exclusively) male or female. As we explained in Chapter 2, a binary concept of sex and gender is deeply embedded in New Zealand law and in legal and social practice. This binary approach pervades the Human Rights Act. For example, it is implicit in the many sex-based exceptions that we discuss throughout the next six chapters. </w:t>
      </w:r>
    </w:p>
    <w:p w14:paraId="244706F2" w14:textId="77777777" w:rsidR="006E00A7" w:rsidRPr="008642D1" w:rsidRDefault="006E00A7" w:rsidP="004A6AD5">
      <w:pPr>
        <w:pStyle w:val="BodyText"/>
      </w:pPr>
      <w:r w:rsidRPr="008642D1">
        <w:t>Where possible, we have sought to identify the implications of the reform options we present for people who identify outside the gender binary. However, a comprehensive approach to addressing the issues faced by people who identify outside the binary would require change that is more fundamental than what we think we can achieve within the scope of this review. For example, we think it would fall outside the scope of this review to remove existing sex exceptions entirely.</w:t>
      </w:r>
    </w:p>
    <w:p w14:paraId="10643B35" w14:textId="2BEAFD93" w:rsidR="00DF306B" w:rsidRPr="008642D1" w:rsidRDefault="00DF306B" w:rsidP="00DF306B">
      <w:pPr>
        <w:pStyle w:val="QuestionBox"/>
      </w:pPr>
    </w:p>
    <w:p w14:paraId="29E5EF48" w14:textId="24A84A47" w:rsidR="006E00A7" w:rsidRPr="008642D1" w:rsidRDefault="00A05451" w:rsidP="006E00A7">
      <w:pPr>
        <w:spacing w:after="0" w:line="240" w:lineRule="auto"/>
        <w:rPr>
          <w:rFonts w:eastAsia="Times New Roman" w:cs="Times New Roman"/>
          <w:color w:val="000000" w:themeColor="text1"/>
          <w:szCs w:val="24"/>
          <w:lang w:eastAsia="en-AU"/>
        </w:rPr>
      </w:pPr>
      <w:r w:rsidRPr="008642D1">
        <w:rPr>
          <w:noProof/>
          <w:lang w:eastAsia="en-NZ"/>
        </w:rPr>
        <mc:AlternateContent>
          <mc:Choice Requires="wpg">
            <w:drawing>
              <wp:anchor distT="0" distB="0" distL="114300" distR="114300" simplePos="0" relativeHeight="251658283" behindDoc="1" locked="0" layoutInCell="1" allowOverlap="1" wp14:anchorId="6368F42C" wp14:editId="2080852A">
                <wp:simplePos x="0" y="0"/>
                <wp:positionH relativeFrom="page">
                  <wp:posOffset>1006393</wp:posOffset>
                </wp:positionH>
                <wp:positionV relativeFrom="paragraph">
                  <wp:posOffset>169177</wp:posOffset>
                </wp:positionV>
                <wp:extent cx="1799590" cy="1270"/>
                <wp:effectExtent l="0" t="19050" r="10160" b="17780"/>
                <wp:wrapNone/>
                <wp:docPr id="1872865291" name="Group 1872865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780557531"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241EC" id="Group 1872865291" o:spid="_x0000_s1026" style="position:absolute;margin-left:79.25pt;margin-top:13.3pt;width:141.7pt;height:.1pt;z-index:-251658197;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" path="m,l2097,e" filled="f" strokecolor="#72ab6a" strokeweight="3pt">
                  <v:path arrowok="t" o:connecttype="custom" o:connectlocs="0,0;2097,0" o:connectangles="0,0"/>
                </v:shape>
                <w10:wrap anchorx="page"/>
              </v:group>
            </w:pict>
          </mc:Fallback>
        </mc:AlternateContent>
      </w:r>
    </w:p>
    <w:p w14:paraId="5697C326" w14:textId="77777777" w:rsidR="00174F89" w:rsidRPr="008642D1" w:rsidRDefault="00174F89" w:rsidP="00174F89">
      <w:pPr>
        <w:pStyle w:val="BodyText"/>
        <w:numPr>
          <w:ilvl w:val="0"/>
          <w:numId w:val="0"/>
        </w:numPr>
        <w:ind w:left="709"/>
      </w:pPr>
    </w:p>
    <w:p w14:paraId="290160C7" w14:textId="2A1891F0" w:rsidR="008232D1" w:rsidRPr="008642D1" w:rsidRDefault="008232D1" w:rsidP="00174F89">
      <w:pPr>
        <w:pStyle w:val="BodyText"/>
        <w:numPr>
          <w:ilvl w:val="0"/>
          <w:numId w:val="0"/>
        </w:numPr>
        <w:ind w:left="709"/>
      </w:pPr>
    </w:p>
    <w:p w14:paraId="17266545" w14:textId="4AF49942" w:rsidR="00174F89" w:rsidRPr="008642D1" w:rsidRDefault="00174F89" w:rsidP="00174F89">
      <w:pPr>
        <w:pStyle w:val="BodyText"/>
        <w:numPr>
          <w:ilvl w:val="0"/>
          <w:numId w:val="0"/>
        </w:numPr>
      </w:pPr>
    </w:p>
    <w:p w14:paraId="5377997C" w14:textId="77777777" w:rsidR="00174F89" w:rsidRPr="008642D1" w:rsidRDefault="00174F89" w:rsidP="00394933">
      <w:pPr>
        <w:pStyle w:val="BodyText"/>
        <w:numPr>
          <w:ilvl w:val="0"/>
          <w:numId w:val="0"/>
        </w:numPr>
        <w:sectPr w:rsidR="00174F89" w:rsidRPr="008642D1" w:rsidSect="00174F89">
          <w:headerReference w:type="default" r:id="rId47"/>
          <w:footerReference w:type="even" r:id="rId48"/>
          <w:footnotePr>
            <w:numRestart w:val="eachSect"/>
          </w:footnotePr>
          <w:pgSz w:w="11920" w:h="16840"/>
          <w:pgMar w:top="1134" w:right="1134" w:bottom="1134" w:left="1701" w:header="499" w:footer="46" w:gutter="0"/>
          <w:cols w:space="720"/>
          <w:docGrid w:linePitch="272"/>
        </w:sectPr>
      </w:pPr>
    </w:p>
    <w:p w14:paraId="2E47FFD7" w14:textId="48AB386E" w:rsidR="00174F89" w:rsidRPr="008642D1" w:rsidRDefault="00174F89" w:rsidP="00174F89">
      <w:pPr>
        <w:pStyle w:val="HEADING2topchapter-notinTOC"/>
      </w:pPr>
      <w:r w:rsidRPr="008642D1">
        <w:lastRenderedPageBreak/>
        <w:t xml:space="preserve">CHAPTER </w:t>
      </w:r>
      <w:r w:rsidR="00C71977" w:rsidRPr="008642D1">
        <w:t>9</w:t>
      </w:r>
    </w:p>
    <w:p w14:paraId="1B2EB41F" w14:textId="77777777" w:rsidR="00174F89" w:rsidRPr="008642D1" w:rsidRDefault="00174F89" w:rsidP="00174F89">
      <w:pPr>
        <w:spacing w:line="200" w:lineRule="exact"/>
        <w:rPr>
          <w:szCs w:val="20"/>
        </w:rPr>
      </w:pPr>
      <w:r w:rsidRPr="008642D1">
        <w:rPr>
          <w:noProof/>
          <w:lang w:eastAsia="en-NZ"/>
        </w:rPr>
        <mc:AlternateContent>
          <mc:Choice Requires="wpg">
            <w:drawing>
              <wp:anchor distT="0" distB="0" distL="114300" distR="114300" simplePos="0" relativeHeight="251658287" behindDoc="1" locked="0" layoutInCell="1" allowOverlap="1" wp14:anchorId="6DBE4115" wp14:editId="36D3BFC3">
                <wp:simplePos x="0" y="0"/>
                <wp:positionH relativeFrom="page">
                  <wp:posOffset>1076325</wp:posOffset>
                </wp:positionH>
                <wp:positionV relativeFrom="paragraph">
                  <wp:posOffset>6350</wp:posOffset>
                </wp:positionV>
                <wp:extent cx="1332230" cy="1270"/>
                <wp:effectExtent l="0" t="19050" r="1270" b="17780"/>
                <wp:wrapNone/>
                <wp:docPr id="301289816" name="Group 301289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427850783"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1ACAB" id="Group 301289816" o:spid="_x0000_s1026" style="position:absolute;margin-left:84.75pt;margin-top:.5pt;width:104.9pt;height:.1pt;z-index:-251658193;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69C0DB02" w14:textId="77777777" w:rsidR="00174F89" w:rsidRPr="008642D1" w:rsidRDefault="00174F89" w:rsidP="00DF306B">
      <w:pPr>
        <w:pStyle w:val="Heading1"/>
        <w:numPr>
          <w:ilvl w:val="0"/>
          <w:numId w:val="24"/>
        </w:numPr>
      </w:pPr>
      <w:bookmarkStart w:id="107" w:name="_Toc166844441"/>
      <w:bookmarkStart w:id="108" w:name="_Toc170302158"/>
      <w:r w:rsidRPr="008642D1">
        <w:rPr>
          <w:rFonts w:eastAsia="Metropolis Black"/>
        </w:rPr>
        <w:t>Employment</w:t>
      </w:r>
      <w:bookmarkEnd w:id="107"/>
      <w:bookmarkEnd w:id="108"/>
    </w:p>
    <w:p w14:paraId="269EBC16" w14:textId="77777777" w:rsidR="00174F89" w:rsidRPr="008642D1" w:rsidRDefault="00174F89" w:rsidP="00174F89">
      <w:pPr>
        <w:spacing w:line="200" w:lineRule="exact"/>
        <w:rPr>
          <w:szCs w:val="20"/>
        </w:rPr>
      </w:pPr>
      <w:r w:rsidRPr="008642D1">
        <w:rPr>
          <w:noProof/>
          <w:lang w:eastAsia="en-NZ"/>
        </w:rPr>
        <mc:AlternateContent>
          <mc:Choice Requires="wpg">
            <w:drawing>
              <wp:anchor distT="0" distB="0" distL="114300" distR="114300" simplePos="0" relativeHeight="251658286" behindDoc="1" locked="0" layoutInCell="1" allowOverlap="1" wp14:anchorId="74705C80" wp14:editId="15999157">
                <wp:simplePos x="0" y="0"/>
                <wp:positionH relativeFrom="page">
                  <wp:posOffset>1087427</wp:posOffset>
                </wp:positionH>
                <wp:positionV relativeFrom="paragraph">
                  <wp:posOffset>71755</wp:posOffset>
                </wp:positionV>
                <wp:extent cx="1332230" cy="1270"/>
                <wp:effectExtent l="0" t="19050" r="1270" b="17780"/>
                <wp:wrapNone/>
                <wp:docPr id="2052404054" name="Group 2052404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074302257"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AD9E2" id="Group 2052404054" o:spid="_x0000_s1026" style="position:absolute;margin-left:85.6pt;margin-top:5.65pt;width:104.9pt;height:.1pt;z-index:-251658194;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e/AIAAOA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32A26219" w14:textId="77777777" w:rsidR="00174F89" w:rsidRPr="008642D1" w:rsidRDefault="00174F89" w:rsidP="00174F89"/>
    <w:p w14:paraId="1A9A2536" w14:textId="77777777" w:rsidR="00174F89" w:rsidRPr="008642D1" w:rsidRDefault="00174F89" w:rsidP="00174F89">
      <w:pPr>
        <w:pStyle w:val="Heading2"/>
        <w:rPr>
          <w:rFonts w:eastAsia="Metropolis Black"/>
        </w:rPr>
      </w:pPr>
      <w:bookmarkStart w:id="109" w:name="_Toc166844442"/>
      <w:bookmarkStart w:id="110" w:name="_Toc170302159"/>
      <w:r w:rsidRPr="008642D1">
        <w:t>Introduction</w:t>
      </w:r>
      <w:bookmarkEnd w:id="109"/>
      <w:bookmarkEnd w:id="110"/>
    </w:p>
    <w:p w14:paraId="63D85C6F" w14:textId="61D5373D" w:rsidR="00D55D88" w:rsidRPr="008642D1" w:rsidRDefault="00D55D88" w:rsidP="00D55D88">
      <w:pPr>
        <w:pStyle w:val="BodyText"/>
      </w:pPr>
      <w:r w:rsidRPr="008642D1">
        <w:t>In this chapter</w:t>
      </w:r>
      <w:r w:rsidR="00F73235">
        <w:t>,</w:t>
      </w:r>
      <w:r w:rsidRPr="008642D1">
        <w:t xml:space="preserve"> we discuss the protections in Part 2 of the Human Rights Act 1993 that relate to employment and some closely related contexts. We seek feedback on the implications for these protections of adding new prohibited grounds of discrimination to the Human Rights Act. We identify several</w:t>
      </w:r>
      <w:r w:rsidRPr="008642D1" w:rsidDel="00305458">
        <w:t xml:space="preserve"> </w:t>
      </w:r>
      <w:r w:rsidRPr="008642D1">
        <w:t>exceptions to the Act’s employment protections for discussion and feedback. We also identify the implications of the review for employment relations legislation that refers to the Human Rights Act.</w:t>
      </w:r>
    </w:p>
    <w:p w14:paraId="7E5EEB62" w14:textId="77777777" w:rsidR="00D55D88" w:rsidRPr="008642D1" w:rsidRDefault="00D55D88" w:rsidP="00D55D88">
      <w:pPr>
        <w:pStyle w:val="BodyText"/>
      </w:pPr>
      <w:r w:rsidRPr="008642D1">
        <w:t>We recommend reading this chapter alongside Chapter 8, which explains our approach to reviewing Part 2 of the Human Rights Act.</w:t>
      </w:r>
    </w:p>
    <w:p w14:paraId="1A78FF5F" w14:textId="77777777" w:rsidR="00D55D88" w:rsidRPr="008642D1" w:rsidRDefault="00D55D88" w:rsidP="00D55D88">
      <w:pPr>
        <w:pStyle w:val="Heading2"/>
      </w:pPr>
      <w:bookmarkStart w:id="111" w:name="_Toc170302160"/>
      <w:r w:rsidRPr="008642D1">
        <w:t>Scope of protection</w:t>
      </w:r>
      <w:bookmarkEnd w:id="111"/>
    </w:p>
    <w:p w14:paraId="2EE9A13A" w14:textId="41B9EFDA" w:rsidR="00D55D88" w:rsidRPr="008642D1" w:rsidRDefault="00D55D88" w:rsidP="00D55D88">
      <w:pPr>
        <w:pStyle w:val="BodyText"/>
      </w:pPr>
      <w:r w:rsidRPr="008642D1">
        <w:t>Part 2 of the Human Rights Act prohibits various forms of discrimination in employment and in some closely related contexts (being business partnerships, industrial and professional associations</w:t>
      </w:r>
      <w:r w:rsidRPr="008642D1" w:rsidDel="006B4AF9">
        <w:t>,</w:t>
      </w:r>
      <w:r w:rsidRPr="008642D1">
        <w:t xml:space="preserve"> and qualifying bodies that confer authorisations for professions or trades).</w:t>
      </w:r>
    </w:p>
    <w:p w14:paraId="53DAED02" w14:textId="77777777" w:rsidR="00D55D88" w:rsidRPr="008642D1" w:rsidRDefault="00D55D88" w:rsidP="00D55D88">
      <w:pPr>
        <w:pStyle w:val="Heading3"/>
      </w:pPr>
      <w:r w:rsidRPr="008642D1">
        <w:t>Employment — sections 22 and 23</w:t>
      </w:r>
    </w:p>
    <w:p w14:paraId="10C355BF" w14:textId="77777777" w:rsidR="00D55D88" w:rsidRPr="008642D1" w:rsidRDefault="00D55D88" w:rsidP="00D55D88">
      <w:pPr>
        <w:pStyle w:val="BodyText"/>
      </w:pPr>
      <w:r w:rsidRPr="008642D1">
        <w:t>The main employment protections in the Human Rights Act are sections 22 and 23. As well as employees, these sections protect independent contractors, volunteers and contract workers.</w:t>
      </w:r>
      <w:r w:rsidRPr="008642D1">
        <w:rPr>
          <w:rStyle w:val="FootnoteReference"/>
        </w:rPr>
        <w:footnoteReference w:id="439"/>
      </w:r>
      <w:r w:rsidRPr="008642D1">
        <w:t xml:space="preserve"> These sections</w:t>
      </w:r>
      <w:r w:rsidRPr="008642D1" w:rsidDel="007C0D44">
        <w:t xml:space="preserve"> </w:t>
      </w:r>
      <w:r w:rsidRPr="008642D1">
        <w:t>are among the handful of provisions in Part 2 of the Human Rights Act that apply to government alongside the private sector.</w:t>
      </w:r>
      <w:r w:rsidRPr="008642D1">
        <w:rPr>
          <w:rStyle w:val="FootnoteReference"/>
        </w:rPr>
        <w:footnoteReference w:id="440"/>
      </w:r>
      <w:r w:rsidRPr="008642D1">
        <w:t xml:space="preserve"> </w:t>
      </w:r>
    </w:p>
    <w:p w14:paraId="30BD4912" w14:textId="77777777" w:rsidR="00D55D88" w:rsidRPr="008642D1" w:rsidRDefault="00D55D88" w:rsidP="00D55D88">
      <w:pPr>
        <w:pStyle w:val="BodyText"/>
      </w:pPr>
      <w:r w:rsidRPr="008642D1">
        <w:t>Subject to relevant exceptions (discussed later in the chapter), section 22 states that, if a job applicant or employee is “qualified for work of any description”, it is unlawful to do any of the following “by reason of” a prohibited ground of discrimination:</w:t>
      </w:r>
    </w:p>
    <w:p w14:paraId="68A8F25B" w14:textId="074A92DE" w:rsidR="00D55D88" w:rsidRPr="008642D1" w:rsidRDefault="00D55D88" w:rsidP="001E69E7">
      <w:pPr>
        <w:pStyle w:val="BodyText2"/>
        <w:numPr>
          <w:ilvl w:val="3"/>
          <w:numId w:val="50"/>
        </w:numPr>
      </w:pPr>
      <w:r w:rsidRPr="008642D1" w:rsidDel="006B4AF9">
        <w:t>r</w:t>
      </w:r>
      <w:r w:rsidRPr="008642D1">
        <w:t>efuse or omit to employ someone</w:t>
      </w:r>
      <w:r w:rsidR="006B4AF9">
        <w:t>.</w:t>
      </w:r>
      <w:r w:rsidRPr="008642D1">
        <w:t xml:space="preserve"> </w:t>
      </w:r>
    </w:p>
    <w:p w14:paraId="34667D74" w14:textId="52F100ED" w:rsidR="00D55D88" w:rsidRPr="008642D1" w:rsidRDefault="00D55D88" w:rsidP="00D55D88">
      <w:pPr>
        <w:pStyle w:val="BodyText2"/>
      </w:pPr>
      <w:r w:rsidRPr="008642D1" w:rsidDel="006B4AF9">
        <w:t>o</w:t>
      </w:r>
      <w:r w:rsidRPr="008642D1">
        <w:t>ffer someone less favourable terms of employment, conditions of work, benefits or opportunities</w:t>
      </w:r>
      <w:r w:rsidR="006B4AF9">
        <w:t>.</w:t>
      </w:r>
      <w:r w:rsidRPr="008642D1">
        <w:t xml:space="preserve"> </w:t>
      </w:r>
    </w:p>
    <w:p w14:paraId="5AE7904C" w14:textId="0A5F2BCA" w:rsidR="00D55D88" w:rsidRPr="008642D1" w:rsidRDefault="00D55D88" w:rsidP="00D55D88">
      <w:pPr>
        <w:pStyle w:val="BodyText2"/>
      </w:pPr>
      <w:r w:rsidRPr="008642D1" w:rsidDel="006B4AF9">
        <w:t>t</w:t>
      </w:r>
      <w:r w:rsidRPr="008642D1">
        <w:t>erminate someone’s employment or subject them to detriment</w:t>
      </w:r>
      <w:r w:rsidRPr="008642D1" w:rsidDel="006B4AF9">
        <w:t>; or</w:t>
      </w:r>
      <w:r w:rsidRPr="008642D1">
        <w:t xml:space="preserve"> </w:t>
      </w:r>
    </w:p>
    <w:p w14:paraId="0097A68E" w14:textId="64944A7A" w:rsidR="00D55D88" w:rsidRPr="008642D1" w:rsidRDefault="00D55D88" w:rsidP="00D55D88">
      <w:pPr>
        <w:pStyle w:val="BodyText2"/>
      </w:pPr>
      <w:r w:rsidRPr="008642D1" w:rsidDel="006B4AF9">
        <w:t>c</w:t>
      </w:r>
      <w:r w:rsidRPr="008642D1">
        <w:t xml:space="preserve">ause an employee to retire or resign. </w:t>
      </w:r>
    </w:p>
    <w:p w14:paraId="54DD3B20" w14:textId="77777777" w:rsidR="00D55D88" w:rsidRPr="008642D1" w:rsidRDefault="00D55D88" w:rsidP="00D55D88">
      <w:pPr>
        <w:pStyle w:val="BodyText"/>
      </w:pPr>
      <w:r w:rsidRPr="008642D1">
        <w:lastRenderedPageBreak/>
        <w:t>Section 23</w:t>
      </w:r>
      <w:r w:rsidRPr="008642D1" w:rsidDel="000A3474">
        <w:t xml:space="preserve"> </w:t>
      </w:r>
      <w:r w:rsidRPr="008642D1">
        <w:t>applies to application forms, inquiries made to applicants and inquiries made to others about the applicant (such as</w:t>
      </w:r>
      <w:r w:rsidRPr="008642D1" w:rsidDel="00D36A7B">
        <w:t xml:space="preserve"> </w:t>
      </w:r>
      <w:r w:rsidRPr="008642D1">
        <w:t xml:space="preserve">referees). They must not indicate an intention to discriminate against someone in a manner prohibited by section 22 or be reasonably understood in this way. </w:t>
      </w:r>
    </w:p>
    <w:p w14:paraId="4632148A" w14:textId="77777777" w:rsidR="00D55D88" w:rsidRPr="008642D1" w:rsidRDefault="00D55D88" w:rsidP="00D55D88">
      <w:pPr>
        <w:pStyle w:val="Heading4"/>
        <w:rPr>
          <w:rStyle w:val="Heading4Char"/>
        </w:rPr>
      </w:pPr>
      <w:r w:rsidRPr="008642D1">
        <w:t>Is the scope of protection sufficient?</w:t>
      </w:r>
    </w:p>
    <w:p w14:paraId="0A4AD63E" w14:textId="77777777" w:rsidR="00D55D88" w:rsidRPr="008642D1" w:rsidRDefault="00D55D88" w:rsidP="00D55D88">
      <w:pPr>
        <w:pStyle w:val="BodyText"/>
        <w:rPr>
          <w:color w:val="auto"/>
        </w:rPr>
      </w:pPr>
      <w:r w:rsidRPr="008642D1">
        <w:t xml:space="preserve">We are interested to understand better whether the scope of sections 22 and 23 is sufficient to capture employment issues of particular concern to people who are transgender or non-binary or who have an innate variation of sex characteristics. </w:t>
      </w:r>
    </w:p>
    <w:p w14:paraId="7409AF69" w14:textId="77777777" w:rsidR="00D55D88" w:rsidRPr="008642D1" w:rsidRDefault="00D55D88" w:rsidP="00D55D88">
      <w:pPr>
        <w:pStyle w:val="BodyText"/>
      </w:pPr>
      <w:r w:rsidRPr="008642D1">
        <w:t xml:space="preserve">In Chapter 3, we discussed the difficulties experienced by people who are transgender or non-binary or who have an innate variation of sex characteristics in an employment context. They include difficulties finding a job, having personal information disclosed, receiving worse pay or conditions than others, not being promoted, being removed from customer-facing roles, not being allowed to use the bathroom matching their gender, being harassed or bullied, being called by the wrong name or gender (sometimes called deadnaming and misgendering) and losing a job or feeling they had to quit. </w:t>
      </w:r>
    </w:p>
    <w:p w14:paraId="329B3366" w14:textId="77777777" w:rsidR="00D55D88" w:rsidRPr="008642D1" w:rsidRDefault="00D55D88" w:rsidP="00D55D88">
      <w:pPr>
        <w:pStyle w:val="BodyText"/>
      </w:pPr>
      <w:r w:rsidRPr="008642D1">
        <w:t xml:space="preserve">We discuss issues associated with access to workplace bathrooms in Chapter 13 and misgendering and deadnaming in Chapter 17. Putting those issues aside for now, we think many of the other issues just listed would potentially fall within one or more of the four types of treatment made unlawful by section 22 (subject, of course, to any relevant exceptions). Many of them might also be regulated by other laws, for example: </w:t>
      </w:r>
    </w:p>
    <w:p w14:paraId="070FAB65" w14:textId="77777777" w:rsidR="00D55D88" w:rsidRPr="008642D1" w:rsidRDefault="00D55D88" w:rsidP="001E69E7">
      <w:pPr>
        <w:pStyle w:val="BodyText2"/>
        <w:numPr>
          <w:ilvl w:val="3"/>
          <w:numId w:val="51"/>
        </w:numPr>
      </w:pPr>
      <w:r w:rsidRPr="008642D1">
        <w:t>Where an employee is dismissed or forced to resign, this could be unjustified dismissal under the Employment Relations Act 2000. A personal grievance can be brought on this basis (although not within the first 90 days of a trial period).</w:t>
      </w:r>
      <w:r w:rsidRPr="008642D1">
        <w:rPr>
          <w:rStyle w:val="FootnoteReference"/>
        </w:rPr>
        <w:footnoteReference w:id="441"/>
      </w:r>
    </w:p>
    <w:p w14:paraId="7F2F0546" w14:textId="77777777" w:rsidR="00D55D88" w:rsidRPr="008642D1" w:rsidRDefault="00D55D88" w:rsidP="001E69E7">
      <w:pPr>
        <w:pStyle w:val="BodyText2"/>
        <w:numPr>
          <w:ilvl w:val="3"/>
          <w:numId w:val="48"/>
        </w:numPr>
      </w:pPr>
      <w:r w:rsidRPr="008642D1">
        <w:t>An employee can also bring a personal grievance under the Employment Relations Act for discrimination, including where the conduct occurred during a trial period.</w:t>
      </w:r>
      <w:r w:rsidRPr="008642D1">
        <w:rPr>
          <w:rStyle w:val="FootnoteReference"/>
        </w:rPr>
        <w:footnoteReference w:id="442"/>
      </w:r>
      <w:r w:rsidRPr="008642D1">
        <w:t xml:space="preserve"> </w:t>
      </w:r>
    </w:p>
    <w:p w14:paraId="49EA487D" w14:textId="19083FF6" w:rsidR="00D55D88" w:rsidRPr="008642D1" w:rsidRDefault="00D55D88" w:rsidP="001E69E7">
      <w:pPr>
        <w:pStyle w:val="BodyText2"/>
        <w:numPr>
          <w:ilvl w:val="3"/>
          <w:numId w:val="48"/>
        </w:numPr>
      </w:pPr>
      <w:r w:rsidRPr="008642D1">
        <w:t>If an employee has experienced disadvantage due to an unjustifi</w:t>
      </w:r>
      <w:r w:rsidR="00637886">
        <w:t>able</w:t>
      </w:r>
      <w:r w:rsidRPr="008642D1">
        <w:t xml:space="preserve"> action of their employer</w:t>
      </w:r>
      <w:r w:rsidR="001D50F2">
        <w:t>,</w:t>
      </w:r>
      <w:r w:rsidRPr="008642D1">
        <w:t xml:space="preserve"> this, too, can be the basis of a personal grievance under the Employment Relations Act.</w:t>
      </w:r>
      <w:r w:rsidRPr="008642D1">
        <w:rPr>
          <w:rStyle w:val="FootnoteReference"/>
        </w:rPr>
        <w:footnoteReference w:id="443"/>
      </w:r>
      <w:r w:rsidRPr="008642D1">
        <w:t xml:space="preserve"> This could include an employer’s failure to address workplace bullying.</w:t>
      </w:r>
      <w:r w:rsidRPr="008642D1">
        <w:rPr>
          <w:rStyle w:val="FootnoteReference"/>
        </w:rPr>
        <w:footnoteReference w:id="444"/>
      </w:r>
      <w:r w:rsidRPr="008642D1">
        <w:t xml:space="preserve"> </w:t>
      </w:r>
    </w:p>
    <w:p w14:paraId="3BEBB934" w14:textId="65EC5BF1" w:rsidR="00D55D88" w:rsidRPr="008642D1" w:rsidRDefault="00D55D88" w:rsidP="001E69E7">
      <w:pPr>
        <w:pStyle w:val="BodyText2"/>
        <w:numPr>
          <w:ilvl w:val="3"/>
          <w:numId w:val="48"/>
        </w:numPr>
      </w:pPr>
      <w:r w:rsidRPr="008642D1">
        <w:t>If an employer improperly shared personal information about an employee with others, this could amount to a</w:t>
      </w:r>
      <w:r w:rsidR="00570C71">
        <w:t xml:space="preserve">n interference with </w:t>
      </w:r>
      <w:r w:rsidR="00F51BA6">
        <w:t xml:space="preserve">privacy under </w:t>
      </w:r>
      <w:r w:rsidRPr="008642D1">
        <w:t>the Privacy Act 2020.</w:t>
      </w:r>
      <w:r w:rsidRPr="008642D1">
        <w:rPr>
          <w:rStyle w:val="FootnoteReference"/>
        </w:rPr>
        <w:footnoteReference w:id="445"/>
      </w:r>
      <w:r w:rsidRPr="008642D1">
        <w:t xml:space="preserve"> An employee could complain to Te Mana Mātāpono Matatapu</w:t>
      </w:r>
      <w:r w:rsidRPr="008642D1" w:rsidDel="00C07B47">
        <w:t xml:space="preserve"> </w:t>
      </w:r>
      <w:r w:rsidRPr="008642D1">
        <w:t xml:space="preserve">| Office of the Privacy Commissioner. </w:t>
      </w:r>
    </w:p>
    <w:p w14:paraId="5D2CD8E7" w14:textId="77777777" w:rsidR="00D55D88" w:rsidRPr="008642D1" w:rsidRDefault="00D55D88" w:rsidP="001E69E7">
      <w:pPr>
        <w:pStyle w:val="BodyText2"/>
        <w:numPr>
          <w:ilvl w:val="3"/>
          <w:numId w:val="48"/>
        </w:numPr>
      </w:pPr>
      <w:r w:rsidRPr="008642D1">
        <w:lastRenderedPageBreak/>
        <w:t>Employers have obligations under the Health and Safety at Work Act 2015 to ensure the health and safety of workers (so far as reasonably practicable).</w:t>
      </w:r>
      <w:r w:rsidRPr="008642D1">
        <w:rPr>
          <w:rStyle w:val="FootnoteReference"/>
        </w:rPr>
        <w:footnoteReference w:id="446"/>
      </w:r>
      <w:r w:rsidRPr="008642D1">
        <w:t xml:space="preserve"> This extends to both physical and mental health.</w:t>
      </w:r>
      <w:r w:rsidRPr="008642D1">
        <w:rPr>
          <w:rStyle w:val="FootnoteReference"/>
        </w:rPr>
        <w:footnoteReference w:id="447"/>
      </w:r>
      <w:r w:rsidRPr="008642D1">
        <w:t xml:space="preserve"> Workplace bullying can be a health and safety risk under this Act.</w:t>
      </w:r>
      <w:r w:rsidRPr="008642D1">
        <w:rPr>
          <w:rStyle w:val="FootnoteReference"/>
        </w:rPr>
        <w:footnoteReference w:id="448"/>
      </w:r>
      <w:r w:rsidRPr="008642D1">
        <w:t xml:space="preserve"> </w:t>
      </w:r>
    </w:p>
    <w:p w14:paraId="1C8A0E08" w14:textId="77777777" w:rsidR="00D55D88" w:rsidRPr="008642D1" w:rsidRDefault="00D55D88" w:rsidP="001E69E7">
      <w:pPr>
        <w:pStyle w:val="BodyText2"/>
        <w:numPr>
          <w:ilvl w:val="3"/>
          <w:numId w:val="48"/>
        </w:numPr>
      </w:pPr>
      <w:r w:rsidRPr="008642D1">
        <w:t>If an employer or co-worker sends an employee inappropriate text messages or emails or posts content about them online, the Harmful Digital Communications Act</w:t>
      </w:r>
      <w:r w:rsidRPr="008642D1">
        <w:rPr>
          <w:rFonts w:ascii="Calibri" w:hAnsi="Calibri" w:cs="Calibri"/>
        </w:rPr>
        <w:t> </w:t>
      </w:r>
      <w:r w:rsidRPr="008642D1">
        <w:t>2015 may be relevant.</w:t>
      </w:r>
    </w:p>
    <w:p w14:paraId="774902E6" w14:textId="77777777" w:rsidR="00D55D88" w:rsidRPr="008642D1" w:rsidRDefault="00D55D88" w:rsidP="001E69E7">
      <w:pPr>
        <w:pStyle w:val="BodyText2"/>
        <w:numPr>
          <w:ilvl w:val="3"/>
          <w:numId w:val="48"/>
        </w:numPr>
      </w:pPr>
      <w:r w:rsidRPr="008642D1">
        <w:t>Harassment protections may be relevant, which we discuss in Chapter 15.</w:t>
      </w:r>
    </w:p>
    <w:p w14:paraId="47012206" w14:textId="279521B1" w:rsidR="00D55D88" w:rsidRPr="008642D1" w:rsidRDefault="00D55D88" w:rsidP="00D55D88">
      <w:pPr>
        <w:pStyle w:val="BodyText"/>
      </w:pPr>
      <w:r w:rsidRPr="008642D1">
        <w:t>We would also like to understand any implications of sections 22 and 23 applying to new prohibited grounds of discrimination such as the implications for employers and co-workers. We also want to know whether any new exceptions to the provisions about employment and related contexts would be necessary and desirable to ensure the Act appropriately balances relevant rights and interests. (We discuss existing exceptions below</w:t>
      </w:r>
      <w:r w:rsidR="00A81611">
        <w:t>.</w:t>
      </w:r>
      <w:r w:rsidRPr="008642D1">
        <w:t xml:space="preserve">) </w:t>
      </w:r>
    </w:p>
    <w:p w14:paraId="7BB94673" w14:textId="07922B74" w:rsidR="00E644EF" w:rsidRPr="008642D1" w:rsidRDefault="00E644EF" w:rsidP="00E644EF">
      <w:pPr>
        <w:pStyle w:val="BodyText"/>
      </w:pPr>
      <w:r w:rsidRPr="008642D1">
        <w:t>We are aware, for example, that South Australia has an exception applying to the ground of gender identity where the discrimination is for the purposes of enforcing standards of appearance and dress reasonably required for the employment.</w:t>
      </w:r>
      <w:r w:rsidR="00045635">
        <w:rPr>
          <w:rStyle w:val="FootnoteReference"/>
        </w:rPr>
        <w:footnoteReference w:id="449"/>
      </w:r>
      <w:r w:rsidRPr="008642D1" w:rsidDel="0053776E">
        <w:t xml:space="preserve"> </w:t>
      </w:r>
      <w:r w:rsidRPr="008642D1">
        <w:t xml:space="preserve">We are not sure that such an exception would be needed in Aotearoa New Zealand as we doubt this would amount to discrimination in the first place. However, we are interested to hear submitters’ views on that or any other exceptions that may be necessary and desirable. </w:t>
      </w:r>
    </w:p>
    <w:p w14:paraId="6B7EDB06" w14:textId="77777777" w:rsidR="00D55D88" w:rsidRPr="008642D1" w:rsidRDefault="00D55D88" w:rsidP="00D55D88">
      <w:pPr>
        <w:pStyle w:val="BodyText"/>
      </w:pPr>
      <w:r w:rsidRPr="008642D1">
        <w:t>In Chapter 17, we seek feedback on whether there should be exceptions in the Human Rights Act that protect sex-differentiated activities that are done in accordance with tikanga.</w:t>
      </w:r>
    </w:p>
    <w:p w14:paraId="7CA563B2" w14:textId="77777777" w:rsidR="00D55D88" w:rsidRPr="008642D1" w:rsidRDefault="00D55D88" w:rsidP="00D55D88">
      <w:pPr>
        <w:pStyle w:val="Heading3"/>
      </w:pPr>
      <w:r w:rsidRPr="008642D1">
        <w:t>Other contexts closely related to employment — sections 36, 37 and 38</w:t>
      </w:r>
    </w:p>
    <w:p w14:paraId="6FEEA0DE" w14:textId="0EF187CF" w:rsidR="00D55D88" w:rsidRPr="008642D1" w:rsidRDefault="00D55D88" w:rsidP="00D55D88">
      <w:pPr>
        <w:pStyle w:val="BodyText"/>
      </w:pPr>
      <w:r w:rsidRPr="008642D1">
        <w:t>The Human Rights Act also has provisions applying to business partnerships, industrial and professional associations</w:t>
      </w:r>
      <w:r w:rsidRPr="008642D1" w:rsidDel="002D44F2">
        <w:t>,</w:t>
      </w:r>
      <w:r w:rsidRPr="008642D1">
        <w:t xml:space="preserve"> and qualifying bodies.</w:t>
      </w:r>
      <w:r w:rsidRPr="008642D1">
        <w:rPr>
          <w:rStyle w:val="FootnoteReference"/>
        </w:rPr>
        <w:footnoteReference w:id="450"/>
      </w:r>
      <w:r w:rsidRPr="008642D1">
        <w:t xml:space="preserve"> </w:t>
      </w:r>
    </w:p>
    <w:p w14:paraId="309E5292" w14:textId="77777777" w:rsidR="00D55D88" w:rsidRPr="008642D1" w:rsidRDefault="00D55D88" w:rsidP="00D55D88">
      <w:pPr>
        <w:pStyle w:val="BodyText"/>
      </w:pPr>
      <w:r w:rsidRPr="008642D1">
        <w:t>Section 36 of the Human Rights Act makes it unlawful, by reason of a prohibited ground of discrimination, to refuse someone a business partnership, offer them a partnership on less favourable terms and conditions, deny a business partner increased status or an increased share in the firm’s profits, expel them from the firm or subject them to any other detriment.</w:t>
      </w:r>
    </w:p>
    <w:p w14:paraId="44D2707F" w14:textId="77777777" w:rsidR="00D55D88" w:rsidRPr="008642D1" w:rsidRDefault="00D55D88" w:rsidP="00D55D88">
      <w:pPr>
        <w:pStyle w:val="BodyText"/>
      </w:pPr>
      <w:r w:rsidRPr="008642D1">
        <w:t>Section 37 applies to industrial or professional associations, which are organisations for employees, employers or members of a particular profession, trade or calling. Section 37 makes it unlawful, by reason of a prohibited ground of discrimination, for one of these organisations to refuse someone membership, offer them less favourable membership terms, benefits, facilities or services, deprive them of their membership or suspend them.</w:t>
      </w:r>
    </w:p>
    <w:p w14:paraId="5832A096" w14:textId="77777777" w:rsidR="00D55D88" w:rsidRPr="008642D1" w:rsidRDefault="00D55D88" w:rsidP="00D55D88">
      <w:pPr>
        <w:pStyle w:val="BodyText"/>
      </w:pPr>
      <w:r w:rsidRPr="008642D1">
        <w:lastRenderedPageBreak/>
        <w:t>Section 38 applies to qualifying bodies, which are bodies that confirm approvals, authorisations or qualifications needed for people to engage in a profession, trade or calling. Section 38 makes it unlawful, by reason of a prohibited ground, for a qualifying body to refuse to confer, confer on less favourable terms and conditions, withdraw or vary the terms of an approval, authorisation or qualification.</w:t>
      </w:r>
    </w:p>
    <w:p w14:paraId="29477C46" w14:textId="204D8029" w:rsidR="00D55D88" w:rsidRPr="008642D1" w:rsidRDefault="00C060C6" w:rsidP="00D55D88">
      <w:pPr>
        <w:pStyle w:val="BodyText"/>
      </w:pPr>
      <w:r w:rsidRPr="008642D1">
        <w:rPr>
          <w:noProof/>
        </w:rPr>
        <mc:AlternateContent>
          <mc:Choice Requires="wpg">
            <w:drawing>
              <wp:anchor distT="0" distB="0" distL="114300" distR="114300" simplePos="0" relativeHeight="251658319" behindDoc="1" locked="0" layoutInCell="1" allowOverlap="1" wp14:anchorId="3E85B1E1" wp14:editId="5AB98B46">
                <wp:simplePos x="0" y="0"/>
                <wp:positionH relativeFrom="column">
                  <wp:posOffset>-38986</wp:posOffset>
                </wp:positionH>
                <wp:positionV relativeFrom="paragraph">
                  <wp:posOffset>1202640</wp:posOffset>
                </wp:positionV>
                <wp:extent cx="5760085" cy="3793406"/>
                <wp:effectExtent l="0" t="0" r="0" b="0"/>
                <wp:wrapNone/>
                <wp:docPr id="2094513848" name="Group 2094513848" descr="Question"/>
                <wp:cNvGraphicFramePr/>
                <a:graphic xmlns:a="http://schemas.openxmlformats.org/drawingml/2006/main">
                  <a:graphicData uri="http://schemas.microsoft.com/office/word/2010/wordprocessingGroup">
                    <wpg:wgp>
                      <wpg:cNvGrpSpPr/>
                      <wpg:grpSpPr>
                        <a:xfrm>
                          <a:off x="0" y="0"/>
                          <a:ext cx="5760085" cy="3793406"/>
                          <a:chOff x="0" y="62865"/>
                          <a:chExt cx="5760085" cy="3795988"/>
                        </a:xfrm>
                      </wpg:grpSpPr>
                      <wps:wsp>
                        <wps:cNvPr id="101487098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95E759" w14:textId="77777777" w:rsidR="00A06702" w:rsidRDefault="00A06702" w:rsidP="00A06702">
                              <w:pPr>
                                <w:pStyle w:val="BoxTitle"/>
                                <w:spacing w:before="0" w:beforeAutospacing="0"/>
                              </w:pPr>
                              <w:r w:rsidRPr="007F6876">
                                <w:t>QUESTION</w:t>
                              </w:r>
                              <w:r>
                                <w:t>S</w:t>
                              </w:r>
                            </w:p>
                          </w:txbxContent>
                        </wps:txbx>
                        <wps:bodyPr rot="0" vert="horz" wrap="square" lIns="91440" tIns="0" rIns="0" bIns="45720" anchor="ctr" anchorCtr="0" upright="1">
                          <a:noAutofit/>
                        </wps:bodyPr>
                      </wps:wsp>
                      <wpg:grpSp>
                        <wpg:cNvPr id="184802273" name="Group 53"/>
                        <wpg:cNvGrpSpPr>
                          <a:grpSpLocks/>
                        </wpg:cNvGrpSpPr>
                        <wpg:grpSpPr bwMode="auto">
                          <a:xfrm>
                            <a:off x="0" y="316170"/>
                            <a:ext cx="5760085" cy="3542683"/>
                            <a:chOff x="1837" y="1791"/>
                            <a:chExt cx="9302" cy="38267"/>
                          </a:xfrm>
                        </wpg:grpSpPr>
                        <wps:wsp>
                          <wps:cNvPr id="1176630015" name="Freeform 54"/>
                          <wps:cNvSpPr>
                            <a:spLocks/>
                          </wps:cNvSpPr>
                          <wps:spPr bwMode="auto">
                            <a:xfrm>
                              <a:off x="1837" y="1791"/>
                              <a:ext cx="9302" cy="3826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375968" name="Group 595375968"/>
                        <wpg:cNvGrpSpPr/>
                        <wpg:grpSpPr>
                          <a:xfrm>
                            <a:off x="0" y="494036"/>
                            <a:ext cx="1443794" cy="252000"/>
                            <a:chOff x="-15880" y="0"/>
                            <a:chExt cx="1444379" cy="252068"/>
                          </a:xfrm>
                        </wpg:grpSpPr>
                        <wps:wsp>
                          <wps:cNvPr id="87437225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1797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D916D4" w14:textId="1326B185" w:rsidR="00A06702" w:rsidRPr="00E90B8A" w:rsidRDefault="00A06702" w:rsidP="00A06702">
                                <w:pPr>
                                  <w:pStyle w:val="BoxTitle"/>
                                  <w:spacing w:before="0" w:beforeAutospacing="0"/>
                                  <w:rPr>
                                    <w:sz w:val="18"/>
                                    <w:szCs w:val="18"/>
                                  </w:rPr>
                                </w:pPr>
                                <w:r w:rsidRPr="00E90B8A">
                                  <w:rPr>
                                    <w:sz w:val="18"/>
                                    <w:szCs w:val="18"/>
                                  </w:rPr>
                                  <w:t>Q</w:t>
                                </w:r>
                                <w:r>
                                  <w:rPr>
                                    <w:sz w:val="18"/>
                                    <w:szCs w:val="18"/>
                                  </w:rPr>
                                  <w:t>1</w:t>
                                </w:r>
                                <w:r w:rsidR="001624E5">
                                  <w:rPr>
                                    <w:sz w:val="18"/>
                                    <w:szCs w:val="18"/>
                                  </w:rPr>
                                  <w:t>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E85B1E1" id="Group 2094513848" o:spid="_x0000_s1108" alt="Question" style="position:absolute;left:0;text-align:left;margin-left:-3.05pt;margin-top:94.7pt;width:453.55pt;height:298.7pt;z-index:-251658161;mso-height-relative:margin" coordorigin=",628" coordsize="57600,37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">
                <v:shape id="Freeform 52" o:spid="_x0000_s110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095E759" w14:textId="77777777" w:rsidR="00A06702" w:rsidRDefault="00A06702" w:rsidP="00A06702">
                        <w:pPr>
                          <w:pStyle w:val="BoxTitle"/>
                          <w:spacing w:before="0" w:beforeAutospacing="0"/>
                        </w:pPr>
                        <w:r w:rsidRPr="007F6876">
                          <w:t>QUESTION</w:t>
                        </w:r>
                        <w:r>
                          <w:t>S</w:t>
                        </w:r>
                      </w:p>
                    </w:txbxContent>
                  </v:textbox>
                </v:shape>
                <v:group id="Group 53" o:spid="_x0000_s1110" style="position:absolute;top:3161;width:57600;height:35427" coordorigin="1837,1791" coordsize="9302,3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">
                  <v:shape id="Freeform 54" o:spid="_x0000_s1111" style="position:absolute;left:1837;top:1791;width:9302;height:3826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" path="m,l9354,r,7809l,7809,,e" fillcolor="#edf2ea" stroked="f">
                    <v:path arrowok="t" o:connecttype="custom" o:connectlocs="0,4900;9302,4900;9302,43167;0,43167;0,4900" o:connectangles="0,0,0,0,0"/>
                  </v:shape>
                </v:group>
                <v:group id="Group 595375968" o:spid="_x0000_s111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">
                  <v:shape id="Freeform 58" o:spid="_x0000_s111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" path="m,l1815,e" filled="f" strokecolor="#72ab6a" strokeweight=".5pt">
                    <v:path arrowok="t" o:connecttype="custom" o:connectlocs="0,0;1073495,0" o:connectangles="0,0"/>
                  </v:shape>
                  <v:shape id="Freeform 66" o:spid="_x0000_s111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1D916D4" w14:textId="1326B185" w:rsidR="00A06702" w:rsidRPr="00E90B8A" w:rsidRDefault="00A06702" w:rsidP="00A06702">
                          <w:pPr>
                            <w:pStyle w:val="BoxTitle"/>
                            <w:spacing w:before="0" w:beforeAutospacing="0"/>
                            <w:rPr>
                              <w:sz w:val="18"/>
                              <w:szCs w:val="18"/>
                            </w:rPr>
                          </w:pPr>
                          <w:r w:rsidRPr="00E90B8A">
                            <w:rPr>
                              <w:sz w:val="18"/>
                              <w:szCs w:val="18"/>
                            </w:rPr>
                            <w:t>Q</w:t>
                          </w:r>
                          <w:r>
                            <w:rPr>
                              <w:sz w:val="18"/>
                              <w:szCs w:val="18"/>
                            </w:rPr>
                            <w:t>1</w:t>
                          </w:r>
                          <w:r w:rsidR="001624E5">
                            <w:rPr>
                              <w:sz w:val="18"/>
                              <w:szCs w:val="18"/>
                            </w:rPr>
                            <w:t>5</w:t>
                          </w:r>
                        </w:p>
                      </w:txbxContent>
                    </v:textbox>
                  </v:shape>
                </v:group>
              </v:group>
            </w:pict>
          </mc:Fallback>
        </mc:AlternateContent>
      </w:r>
      <w:r w:rsidR="00D55D88" w:rsidRPr="008642D1">
        <w:t xml:space="preserve">We would like to learn whether there are any issues with these provisions relevant to this review. We have not identified any, other than an issue with gendered language in section 37(1)(c) (which we discuss in Chapter 17). We have not identified any research about the experiences of people who are transgender or non-binary or who have an innate variation of sex characteristics with respect to these areas of life. However, we welcome feedback on these issues. </w:t>
      </w:r>
    </w:p>
    <w:p w14:paraId="4A46764A" w14:textId="11872460" w:rsidR="00A06702" w:rsidRPr="008642D1" w:rsidRDefault="00A06702" w:rsidP="00CA0B56">
      <w:pPr>
        <w:pStyle w:val="QuestionBox"/>
      </w:pPr>
    </w:p>
    <w:p w14:paraId="5EFFD6FE" w14:textId="5DD8E020" w:rsidR="00A06702" w:rsidRPr="008642D1" w:rsidRDefault="00A06702" w:rsidP="00CA0B56">
      <w:pPr>
        <w:pStyle w:val="QuestionBox"/>
      </w:pPr>
    </w:p>
    <w:p w14:paraId="0DEC16A5" w14:textId="77777777" w:rsidR="009F2743" w:rsidRDefault="009F2743" w:rsidP="00550082">
      <w:pPr>
        <w:pStyle w:val="QuestionBox"/>
      </w:pPr>
      <w:r w:rsidRPr="009F2743">
        <w:t xml:space="preserve">Are the existing protections in the Human Rights Act 1993 relating to employment (and closely related contexts) sufficient to cover issues of particular concern to people who are transgender or non-binary or who have an innate variation of sex characteristics? </w:t>
      </w:r>
    </w:p>
    <w:p w14:paraId="2F373A8B" w14:textId="5A0F097E" w:rsidR="00A06702" w:rsidRPr="008642D1" w:rsidRDefault="00393311" w:rsidP="00550082">
      <w:pPr>
        <w:pStyle w:val="QuestionBox"/>
      </w:pPr>
      <w:r w:rsidRPr="008642D1">
        <w:rPr>
          <w:noProof/>
        </w:rPr>
        <mc:AlternateContent>
          <mc:Choice Requires="wpg">
            <w:drawing>
              <wp:anchor distT="0" distB="0" distL="114300" distR="114300" simplePos="0" relativeHeight="251658320" behindDoc="1" locked="0" layoutInCell="1" allowOverlap="1" wp14:anchorId="31CC7C57" wp14:editId="63580901">
                <wp:simplePos x="0" y="0"/>
                <wp:positionH relativeFrom="column">
                  <wp:posOffset>-44613</wp:posOffset>
                </wp:positionH>
                <wp:positionV relativeFrom="paragraph">
                  <wp:posOffset>181610</wp:posOffset>
                </wp:positionV>
                <wp:extent cx="1443355" cy="251460"/>
                <wp:effectExtent l="0" t="0" r="42545" b="0"/>
                <wp:wrapNone/>
                <wp:docPr id="1089132049"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59394834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13839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9060BC" w14:textId="77777777" w:rsidR="00B5721F" w:rsidRDefault="00393311" w:rsidP="00393311">
                              <w:pPr>
                                <w:pStyle w:val="BoxTitle"/>
                                <w:spacing w:before="0" w:beforeAutospacing="0"/>
                                <w:rPr>
                                  <w:sz w:val="18"/>
                                  <w:szCs w:val="18"/>
                                </w:rPr>
                              </w:pPr>
                              <w:r w:rsidRPr="00E90B8A">
                                <w:rPr>
                                  <w:sz w:val="18"/>
                                  <w:szCs w:val="18"/>
                                </w:rPr>
                                <w:t>Q</w:t>
                              </w:r>
                              <w:r w:rsidR="00740175">
                                <w:rPr>
                                  <w:sz w:val="18"/>
                                  <w:szCs w:val="18"/>
                                </w:rPr>
                                <w:t>1</w:t>
                              </w:r>
                              <w:r w:rsidR="001624E5">
                                <w:rPr>
                                  <w:sz w:val="18"/>
                                  <w:szCs w:val="18"/>
                                </w:rPr>
                                <w:t>6</w:t>
                              </w:r>
                            </w:p>
                            <w:p w14:paraId="4CAE2917" w14:textId="7FC9034B" w:rsidR="00393311" w:rsidRPr="00E90B8A" w:rsidRDefault="00393311" w:rsidP="00393311">
                              <w:pPr>
                                <w:pStyle w:val="BoxTitle"/>
                                <w:spacing w:before="0" w:beforeAutospacing="0"/>
                                <w:rPr>
                                  <w:sz w:val="18"/>
                                  <w:szCs w:val="18"/>
                                </w:rPr>
                              </w:pPr>
                              <w:r w:rsidRPr="00E90B8A">
                                <w:rPr>
                                  <w:sz w:val="18"/>
                                  <w:szCs w:val="18"/>
                                </w:rPr>
                                <w:t>Q</w:t>
                              </w:r>
                              <w:r w:rsidR="00740175">
                                <w:rPr>
                                  <w:sz w:val="18"/>
                                  <w:szCs w:val="18"/>
                                </w:rPr>
                                <w:t>17</w:t>
                              </w:r>
                            </w:p>
                          </w:txbxContent>
                        </wps:txbx>
                        <wps:bodyPr rot="0" vert="horz" wrap="square" lIns="54000" tIns="82800" rIns="91440" bIns="45720" anchor="ctr" anchorCtr="0" upright="1">
                          <a:noAutofit/>
                        </wps:bodyPr>
                      </wps:wsp>
                    </wpg:wgp>
                  </a:graphicData>
                </a:graphic>
              </wp:anchor>
            </w:drawing>
          </mc:Choice>
          <mc:Fallback>
            <w:pict>
              <v:group w14:anchorId="31CC7C57" id="_x0000_s1115" style="position:absolute;left:0;text-align:left;margin-left:-3.5pt;margin-top:14.3pt;width:113.65pt;height:19.8pt;z-index:-251658160"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">
                <v:shape id="Freeform 58" o:spid="_x0000_s111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" path="m,l1815,e" filled="f" strokecolor="#72ab6a" strokeweight=".5pt">
                  <v:path arrowok="t" o:connecttype="custom" o:connectlocs="0,0;1073495,0" o:connectangles="0,0"/>
                </v:shape>
                <v:shape id="Freeform 66" o:spid="_x0000_s111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D9060BC" w14:textId="77777777" w:rsidR="00B5721F" w:rsidRDefault="00393311" w:rsidP="00393311">
                        <w:pPr>
                          <w:pStyle w:val="BoxTitle"/>
                          <w:spacing w:before="0" w:beforeAutospacing="0"/>
                          <w:rPr>
                            <w:sz w:val="18"/>
                            <w:szCs w:val="18"/>
                          </w:rPr>
                        </w:pPr>
                        <w:r w:rsidRPr="00E90B8A">
                          <w:rPr>
                            <w:sz w:val="18"/>
                            <w:szCs w:val="18"/>
                          </w:rPr>
                          <w:t>Q</w:t>
                        </w:r>
                        <w:r w:rsidR="00740175">
                          <w:rPr>
                            <w:sz w:val="18"/>
                            <w:szCs w:val="18"/>
                          </w:rPr>
                          <w:t>1</w:t>
                        </w:r>
                        <w:r w:rsidR="001624E5">
                          <w:rPr>
                            <w:sz w:val="18"/>
                            <w:szCs w:val="18"/>
                          </w:rPr>
                          <w:t>6</w:t>
                        </w:r>
                      </w:p>
                      <w:p w14:paraId="4CAE2917" w14:textId="7FC9034B" w:rsidR="00393311" w:rsidRPr="00E90B8A" w:rsidRDefault="00393311" w:rsidP="00393311">
                        <w:pPr>
                          <w:pStyle w:val="BoxTitle"/>
                          <w:spacing w:before="0" w:beforeAutospacing="0"/>
                          <w:rPr>
                            <w:sz w:val="18"/>
                            <w:szCs w:val="18"/>
                          </w:rPr>
                        </w:pPr>
                        <w:r w:rsidRPr="00E90B8A">
                          <w:rPr>
                            <w:sz w:val="18"/>
                            <w:szCs w:val="18"/>
                          </w:rPr>
                          <w:t>Q</w:t>
                        </w:r>
                        <w:r w:rsidR="00740175">
                          <w:rPr>
                            <w:sz w:val="18"/>
                            <w:szCs w:val="18"/>
                          </w:rPr>
                          <w:t>17</w:t>
                        </w:r>
                      </w:p>
                    </w:txbxContent>
                  </v:textbox>
                </v:shape>
              </v:group>
            </w:pict>
          </mc:Fallback>
        </mc:AlternateContent>
      </w:r>
    </w:p>
    <w:p w14:paraId="17264A12" w14:textId="77777777" w:rsidR="008E3234" w:rsidRPr="008E3234" w:rsidRDefault="008E3234" w:rsidP="008E3234">
      <w:pPr>
        <w:pStyle w:val="QuestionBox"/>
      </w:pPr>
      <w:r w:rsidRPr="008E3234">
        <w:t>Do you have any practical concerns about what the employment protections in the Human Rights Act 1993 would cover if new prohibited grounds of discrimination are added to the Act?</w:t>
      </w:r>
    </w:p>
    <w:p w14:paraId="55A29A02" w14:textId="77777777" w:rsidR="00F06D1D" w:rsidRDefault="008E3234" w:rsidP="008E3234">
      <w:pPr>
        <w:pStyle w:val="QuestionBox"/>
      </w:pPr>
      <w:r w:rsidRPr="008E3234">
        <w:t>(Later in the chapter, and in Chapter 13, we discuss existing exceptions in the Act that balance relevant rights and interests. You may want to read about these before answering.)</w:t>
      </w:r>
    </w:p>
    <w:p w14:paraId="107E8147" w14:textId="31885145" w:rsidR="00A06702" w:rsidRPr="008642D1" w:rsidRDefault="0078154F" w:rsidP="00550082">
      <w:pPr>
        <w:pStyle w:val="QuestionBox"/>
      </w:pPr>
      <w:r w:rsidRPr="008642D1">
        <w:rPr>
          <w:noProof/>
        </w:rPr>
        <mc:AlternateContent>
          <mc:Choice Requires="wpg">
            <w:drawing>
              <wp:anchor distT="0" distB="0" distL="114300" distR="114300" simplePos="0" relativeHeight="251658321" behindDoc="1" locked="0" layoutInCell="1" allowOverlap="1" wp14:anchorId="7CF99612" wp14:editId="534CE28D">
                <wp:simplePos x="0" y="0"/>
                <wp:positionH relativeFrom="column">
                  <wp:posOffset>-35560</wp:posOffset>
                </wp:positionH>
                <wp:positionV relativeFrom="paragraph">
                  <wp:posOffset>158278</wp:posOffset>
                </wp:positionV>
                <wp:extent cx="1443355" cy="251460"/>
                <wp:effectExtent l="0" t="0" r="42545" b="0"/>
                <wp:wrapNone/>
                <wp:docPr id="1932149355"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28049695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11200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6E237B" w14:textId="1AEBB90E" w:rsidR="00393311" w:rsidRPr="00E90B8A" w:rsidRDefault="00393311" w:rsidP="00393311">
                              <w:pPr>
                                <w:pStyle w:val="BoxTitle"/>
                                <w:spacing w:before="0" w:beforeAutospacing="0"/>
                                <w:rPr>
                                  <w:sz w:val="18"/>
                                  <w:szCs w:val="18"/>
                                </w:rPr>
                              </w:pPr>
                              <w:r w:rsidRPr="00E90B8A">
                                <w:rPr>
                                  <w:sz w:val="18"/>
                                  <w:szCs w:val="18"/>
                                </w:rPr>
                                <w:t>Q</w:t>
                              </w:r>
                              <w:r w:rsidR="0078154F">
                                <w:rPr>
                                  <w:sz w:val="18"/>
                                  <w:szCs w:val="18"/>
                                </w:rPr>
                                <w:t>1</w:t>
                              </w:r>
                              <w:r w:rsidR="001B67F5">
                                <w:rPr>
                                  <w:sz w:val="18"/>
                                  <w:szCs w:val="18"/>
                                </w:rPr>
                                <w:t>7</w:t>
                              </w:r>
                            </w:p>
                          </w:txbxContent>
                        </wps:txbx>
                        <wps:bodyPr rot="0" vert="horz" wrap="square" lIns="54000" tIns="82800" rIns="91440" bIns="45720" anchor="ctr" anchorCtr="0" upright="1">
                          <a:noAutofit/>
                        </wps:bodyPr>
                      </wps:wsp>
                    </wpg:wgp>
                  </a:graphicData>
                </a:graphic>
              </wp:anchor>
            </w:drawing>
          </mc:Choice>
          <mc:Fallback>
            <w:pict>
              <v:group w14:anchorId="7CF99612" id="_x0000_s1118" style="position:absolute;left:0;text-align:left;margin-left:-2.8pt;margin-top:12.45pt;width:113.65pt;height:19.8pt;z-index:-251658159"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">
                <v:shape id="Freeform 58" o:spid="_x0000_s111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" path="m,l1815,e" filled="f" strokecolor="#72ab6a" strokeweight=".5pt">
                  <v:path arrowok="t" o:connecttype="custom" o:connectlocs="0,0;1073495,0" o:connectangles="0,0"/>
                </v:shape>
                <v:shape id="Freeform 66" o:spid="_x0000_s112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&#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16E237B" w14:textId="1AEBB90E" w:rsidR="00393311" w:rsidRPr="00E90B8A" w:rsidRDefault="00393311" w:rsidP="00393311">
                        <w:pPr>
                          <w:pStyle w:val="BoxTitle"/>
                          <w:spacing w:before="0" w:beforeAutospacing="0"/>
                          <w:rPr>
                            <w:sz w:val="18"/>
                            <w:szCs w:val="18"/>
                          </w:rPr>
                        </w:pPr>
                        <w:r w:rsidRPr="00E90B8A">
                          <w:rPr>
                            <w:sz w:val="18"/>
                            <w:szCs w:val="18"/>
                          </w:rPr>
                          <w:t>Q</w:t>
                        </w:r>
                        <w:r w:rsidR="0078154F">
                          <w:rPr>
                            <w:sz w:val="18"/>
                            <w:szCs w:val="18"/>
                          </w:rPr>
                          <w:t>1</w:t>
                        </w:r>
                        <w:r w:rsidR="001B67F5">
                          <w:rPr>
                            <w:sz w:val="18"/>
                            <w:szCs w:val="18"/>
                          </w:rPr>
                          <w:t>7</w:t>
                        </w:r>
                      </w:p>
                    </w:txbxContent>
                  </v:textbox>
                </v:shape>
              </v:group>
            </w:pict>
          </mc:Fallback>
        </mc:AlternateContent>
      </w:r>
    </w:p>
    <w:p w14:paraId="7680F71D" w14:textId="77777777" w:rsidR="007C277D" w:rsidRDefault="007C277D" w:rsidP="00550082">
      <w:pPr>
        <w:pStyle w:val="QuestionBox"/>
      </w:pPr>
      <w:r w:rsidRPr="007C277D">
        <w:rPr>
          <w:lang w:val="en-US"/>
        </w:rPr>
        <w:t>Are new employment exceptions desirable to accommodate any new grounds we propose?</w:t>
      </w:r>
      <w:r w:rsidRPr="007C277D">
        <w:rPr>
          <w:rFonts w:ascii="Calibri" w:hAnsi="Calibri" w:cs="Calibri"/>
        </w:rPr>
        <w:t> </w:t>
      </w:r>
    </w:p>
    <w:p w14:paraId="199AF6A3" w14:textId="77777777" w:rsidR="00D55D88" w:rsidRPr="008642D1" w:rsidRDefault="00D55D88" w:rsidP="00F3288C">
      <w:pPr>
        <w:pStyle w:val="BodyText"/>
        <w:numPr>
          <w:ilvl w:val="0"/>
          <w:numId w:val="0"/>
        </w:numPr>
        <w:ind w:left="709"/>
        <w:jc w:val="center"/>
      </w:pPr>
    </w:p>
    <w:p w14:paraId="25B08D3B" w14:textId="77777777" w:rsidR="00D55D88" w:rsidRPr="008642D1" w:rsidRDefault="00D55D88" w:rsidP="00D55D88">
      <w:pPr>
        <w:pStyle w:val="Heading2"/>
      </w:pPr>
      <w:bookmarkStart w:id="112" w:name="_Toc170302161"/>
      <w:r w:rsidRPr="008642D1">
        <w:t>Exceptions</w:t>
      </w:r>
      <w:bookmarkEnd w:id="112"/>
      <w:r w:rsidRPr="008642D1">
        <w:t xml:space="preserve"> </w:t>
      </w:r>
    </w:p>
    <w:p w14:paraId="0126CC75" w14:textId="77777777" w:rsidR="00D55D88" w:rsidRPr="008642D1" w:rsidRDefault="00D55D88" w:rsidP="00D55D88">
      <w:pPr>
        <w:pStyle w:val="BodyText"/>
      </w:pPr>
      <w:r w:rsidRPr="008642D1">
        <w:t>There are numerous exceptions in the Human Rights Act relating specifically to employment and related contexts.</w:t>
      </w:r>
      <w:r w:rsidRPr="008642D1">
        <w:rPr>
          <w:rStyle w:val="FootnoteReference"/>
        </w:rPr>
        <w:footnoteReference w:id="451"/>
      </w:r>
      <w:r w:rsidRPr="008642D1">
        <w:t xml:space="preserve"> We discuss nine of these in this chapter. Where exceptions are very similar, we group these together for discussion. </w:t>
      </w:r>
    </w:p>
    <w:p w14:paraId="487E4493" w14:textId="77777777" w:rsidR="00D55D88" w:rsidRPr="008642D1" w:rsidRDefault="00D55D88" w:rsidP="00D55D88">
      <w:pPr>
        <w:pStyle w:val="BodyText"/>
      </w:pPr>
      <w:r w:rsidRPr="008642D1">
        <w:t>The Act also contains a general exception for superannuation schemes. This is relevant to employment, but we discuss it in Chapter 15.</w:t>
      </w:r>
    </w:p>
    <w:p w14:paraId="2F198B5A" w14:textId="77777777" w:rsidR="00D55D88" w:rsidRPr="008642D1" w:rsidRDefault="00D55D88" w:rsidP="00D55D88">
      <w:pPr>
        <w:pStyle w:val="Heading3"/>
      </w:pPr>
      <w:r w:rsidRPr="008642D1">
        <w:lastRenderedPageBreak/>
        <w:t>Exceptions on which we do not seek feedback</w:t>
      </w:r>
    </w:p>
    <w:p w14:paraId="0203D9BC" w14:textId="63620C1C" w:rsidR="00D55D88" w:rsidRPr="008642D1" w:rsidRDefault="00D55D88" w:rsidP="005E1A1D">
      <w:pPr>
        <w:pStyle w:val="BodyText"/>
      </w:pPr>
      <w:r w:rsidRPr="008642D1">
        <w:t xml:space="preserve">As we discuss in Chapter 8, there are two categories of exception on which we do not seek feedback. These are exceptions that apply to all prohibited grounds (and </w:t>
      </w:r>
      <w:r w:rsidR="00514588">
        <w:t>that</w:t>
      </w:r>
      <w:r w:rsidR="00514588" w:rsidRPr="008642D1">
        <w:t xml:space="preserve"> </w:t>
      </w:r>
      <w:r w:rsidRPr="008642D1">
        <w:t>do not raise issues specific to this review) and exceptions that do not apply to sex. In the table below, we list the exceptions relevant to this chapter that fall into those two categories. We have reviewed all these exceptions and, for the reasons discussed in Chapter 8, have concluded they do not require further consideration.</w:t>
      </w:r>
    </w:p>
    <w:tbl>
      <w:tblPr>
        <w:tblStyle w:val="LCTable1"/>
        <w:tblW w:w="8363" w:type="dxa"/>
        <w:tblInd w:w="704" w:type="dxa"/>
        <w:tblLook w:val="0420" w:firstRow="1" w:lastRow="0" w:firstColumn="0" w:lastColumn="0" w:noHBand="0" w:noVBand="1"/>
      </w:tblPr>
      <w:tblGrid>
        <w:gridCol w:w="851"/>
        <w:gridCol w:w="7512"/>
      </w:tblGrid>
      <w:tr w:rsidR="00D55D88" w:rsidRPr="008642D1" w14:paraId="5D1B8451" w14:textId="77777777" w:rsidTr="00254C54">
        <w:trPr>
          <w:cnfStyle w:val="100000000000" w:firstRow="1" w:lastRow="0" w:firstColumn="0" w:lastColumn="0" w:oddVBand="0" w:evenVBand="0" w:oddHBand="0" w:evenHBand="0" w:firstRowFirstColumn="0" w:firstRowLastColumn="0" w:lastRowFirstColumn="0" w:lastRowLastColumn="0"/>
          <w:trHeight w:val="347"/>
        </w:trPr>
        <w:tc>
          <w:tcPr>
            <w:tcW w:w="8363" w:type="dxa"/>
            <w:gridSpan w:val="2"/>
          </w:tcPr>
          <w:p w14:paraId="68C4B332" w14:textId="77777777" w:rsidR="00D55D88" w:rsidRPr="008642D1" w:rsidRDefault="00D55D88">
            <w:pPr>
              <w:numPr>
                <w:ilvl w:val="1"/>
                <w:numId w:val="0"/>
              </w:numPr>
              <w:tabs>
                <w:tab w:val="left" w:pos="709"/>
              </w:tabs>
              <w:spacing w:after="120" w:line="240" w:lineRule="auto"/>
              <w:rPr>
                <w:b/>
                <w:bCs/>
                <w:color w:val="FFFFFF" w:themeColor="background1"/>
                <w:lang w:val="en-AU"/>
              </w:rPr>
            </w:pPr>
            <w:r w:rsidRPr="008642D1">
              <w:rPr>
                <w:b/>
                <w:bCs/>
                <w:color w:val="FFFFFF" w:themeColor="background1"/>
              </w:rPr>
              <w:t>Exceptions on which we do not seek feedback</w:t>
            </w:r>
          </w:p>
        </w:tc>
      </w:tr>
      <w:tr w:rsidR="00D55D88" w:rsidRPr="008642D1" w14:paraId="14A15782" w14:textId="77777777" w:rsidTr="00254C54">
        <w:trPr>
          <w:trHeight w:val="288"/>
        </w:trPr>
        <w:tc>
          <w:tcPr>
            <w:tcW w:w="8363" w:type="dxa"/>
            <w:gridSpan w:val="2"/>
          </w:tcPr>
          <w:p w14:paraId="03B011A3" w14:textId="77777777" w:rsidR="00D55D88" w:rsidRPr="008642D1" w:rsidRDefault="00D55D88">
            <w:pPr>
              <w:tabs>
                <w:tab w:val="left" w:pos="709"/>
              </w:tabs>
              <w:spacing w:after="120" w:line="288" w:lineRule="auto"/>
              <w:rPr>
                <w:rFonts w:cs="Angsana New"/>
                <w:b/>
                <w:bCs/>
                <w:color w:val="000000" w:themeColor="text1"/>
                <w:szCs w:val="18"/>
              </w:rPr>
            </w:pPr>
            <w:r w:rsidRPr="008642D1">
              <w:rPr>
                <w:b/>
                <w:bCs/>
                <w:color w:val="6BA539"/>
                <w:szCs w:val="18"/>
              </w:rPr>
              <w:t xml:space="preserve">Exceptions that apply to all grounds — should extend to any new grounds </w:t>
            </w:r>
          </w:p>
        </w:tc>
      </w:tr>
      <w:tr w:rsidR="00D55D88" w:rsidRPr="008642D1" w14:paraId="78ED6985" w14:textId="77777777" w:rsidTr="00254C54">
        <w:trPr>
          <w:trHeight w:val="288"/>
        </w:trPr>
        <w:tc>
          <w:tcPr>
            <w:tcW w:w="8363" w:type="dxa"/>
            <w:gridSpan w:val="2"/>
            <w:shd w:val="clear" w:color="auto" w:fill="F2F2F2" w:themeFill="background1" w:themeFillShade="F2"/>
          </w:tcPr>
          <w:p w14:paraId="0CA6E009" w14:textId="77777777" w:rsidR="00D55D88" w:rsidRPr="00B81231" w:rsidRDefault="00D55D88">
            <w:pPr>
              <w:numPr>
                <w:ilvl w:val="1"/>
                <w:numId w:val="0"/>
              </w:numPr>
              <w:tabs>
                <w:tab w:val="left" w:pos="709"/>
              </w:tabs>
              <w:spacing w:after="120" w:line="288" w:lineRule="auto"/>
              <w:rPr>
                <w:color w:val="6BA539"/>
                <w:szCs w:val="20"/>
              </w:rPr>
            </w:pPr>
            <w:r w:rsidRPr="00B81231">
              <w:rPr>
                <w:rFonts w:cs="Angsana New"/>
                <w:color w:val="000000" w:themeColor="text1"/>
                <w:szCs w:val="20"/>
              </w:rPr>
              <w:t>Employment</w:t>
            </w:r>
          </w:p>
        </w:tc>
      </w:tr>
      <w:tr w:rsidR="00D55D88" w:rsidRPr="008642D1" w14:paraId="3763FA7C" w14:textId="77777777" w:rsidTr="001F7AD4">
        <w:trPr>
          <w:trHeight w:val="463"/>
        </w:trPr>
        <w:tc>
          <w:tcPr>
            <w:tcW w:w="851" w:type="dxa"/>
          </w:tcPr>
          <w:p w14:paraId="46F6129F" w14:textId="77777777" w:rsidR="00D55D88" w:rsidRPr="008642D1" w:rsidRDefault="00D55D88">
            <w:pPr>
              <w:numPr>
                <w:ilvl w:val="1"/>
                <w:numId w:val="0"/>
              </w:numPr>
              <w:tabs>
                <w:tab w:val="left" w:pos="709"/>
              </w:tabs>
              <w:spacing w:after="120" w:line="288" w:lineRule="auto"/>
              <w:rPr>
                <w:rFonts w:cs="Angsana New"/>
                <w:color w:val="000000" w:themeColor="text1"/>
                <w:szCs w:val="20"/>
                <w:lang w:val="en-AU"/>
              </w:rPr>
            </w:pPr>
            <w:r w:rsidRPr="008642D1">
              <w:rPr>
                <w:rFonts w:cs="Angsana New"/>
                <w:color w:val="000000" w:themeColor="text1"/>
                <w:szCs w:val="20"/>
                <w:lang w:val="en-AU"/>
              </w:rPr>
              <w:t>24</w:t>
            </w:r>
          </w:p>
        </w:tc>
        <w:tc>
          <w:tcPr>
            <w:tcW w:w="7512" w:type="dxa"/>
          </w:tcPr>
          <w:p w14:paraId="6935289D" w14:textId="7FD08BF9" w:rsidR="00D55D88" w:rsidRPr="008642D1" w:rsidRDefault="00D55D88">
            <w:pPr>
              <w:numPr>
                <w:ilvl w:val="1"/>
                <w:numId w:val="0"/>
              </w:numPr>
              <w:tabs>
                <w:tab w:val="left" w:pos="709"/>
              </w:tabs>
              <w:spacing w:after="120" w:line="288" w:lineRule="auto"/>
              <w:rPr>
                <w:rFonts w:ascii="Metropolis" w:hAnsi="Metropolis" w:cs="Angsana New"/>
                <w:b/>
                <w:color w:val="6BA539"/>
                <w:lang w:val="en-AU"/>
              </w:rPr>
            </w:pPr>
            <w:r w:rsidRPr="008642D1">
              <w:rPr>
                <w:rFonts w:cs="Angsana New"/>
                <w:color w:val="000000" w:themeColor="text1"/>
                <w:szCs w:val="20"/>
              </w:rPr>
              <w:t>Exception for foreign ships or aircraft outside New Zealand.</w:t>
            </w:r>
          </w:p>
        </w:tc>
      </w:tr>
      <w:tr w:rsidR="00D55D88" w:rsidRPr="008642D1" w14:paraId="70BD679F" w14:textId="77777777" w:rsidTr="001F7AD4">
        <w:trPr>
          <w:trHeight w:val="489"/>
        </w:trPr>
        <w:tc>
          <w:tcPr>
            <w:tcW w:w="851" w:type="dxa"/>
          </w:tcPr>
          <w:p w14:paraId="118D2CA9" w14:textId="77777777" w:rsidR="00D55D88" w:rsidRPr="008642D1" w:rsidRDefault="00D55D88">
            <w:pPr>
              <w:numPr>
                <w:ilvl w:val="1"/>
                <w:numId w:val="0"/>
              </w:numPr>
              <w:tabs>
                <w:tab w:val="left" w:pos="709"/>
              </w:tabs>
              <w:spacing w:after="120" w:line="288" w:lineRule="auto"/>
              <w:rPr>
                <w:rFonts w:cs="Angsana New"/>
                <w:color w:val="000000" w:themeColor="text1"/>
                <w:szCs w:val="20"/>
                <w:lang w:val="en-AU"/>
              </w:rPr>
            </w:pPr>
            <w:r w:rsidRPr="008642D1">
              <w:rPr>
                <w:rFonts w:cs="Angsana New"/>
                <w:color w:val="000000" w:themeColor="text1"/>
                <w:szCs w:val="20"/>
                <w:lang w:val="en-AU"/>
              </w:rPr>
              <w:t>34</w:t>
            </w:r>
          </w:p>
        </w:tc>
        <w:tc>
          <w:tcPr>
            <w:tcW w:w="7512" w:type="dxa"/>
          </w:tcPr>
          <w:p w14:paraId="6FF6F90D" w14:textId="77777777" w:rsidR="00D55D88" w:rsidRPr="008642D1" w:rsidRDefault="00D55D88">
            <w:pPr>
              <w:numPr>
                <w:ilvl w:val="1"/>
                <w:numId w:val="0"/>
              </w:numPr>
              <w:tabs>
                <w:tab w:val="left" w:pos="709"/>
              </w:tabs>
              <w:spacing w:after="120" w:line="288" w:lineRule="auto"/>
              <w:rPr>
                <w:rFonts w:cs="Angsana New"/>
                <w:color w:val="000000" w:themeColor="text1"/>
                <w:szCs w:val="20"/>
              </w:rPr>
            </w:pPr>
            <w:r w:rsidRPr="008642D1">
              <w:rPr>
                <w:rFonts w:cs="Angsana New"/>
                <w:color w:val="000000" w:themeColor="text1"/>
                <w:szCs w:val="20"/>
              </w:rPr>
              <w:t>Exception for the Defence Force.</w:t>
            </w:r>
          </w:p>
        </w:tc>
      </w:tr>
      <w:tr w:rsidR="00D55D88" w:rsidRPr="008642D1" w14:paraId="22015757" w14:textId="77777777" w:rsidTr="00254C54">
        <w:trPr>
          <w:trHeight w:val="288"/>
        </w:trPr>
        <w:tc>
          <w:tcPr>
            <w:tcW w:w="8363" w:type="dxa"/>
            <w:gridSpan w:val="2"/>
          </w:tcPr>
          <w:p w14:paraId="2D3D415D" w14:textId="77777777" w:rsidR="00D55D88" w:rsidRPr="008642D1" w:rsidRDefault="00D55D88">
            <w:pPr>
              <w:tabs>
                <w:tab w:val="left" w:pos="709"/>
              </w:tabs>
              <w:spacing w:after="120" w:line="288" w:lineRule="auto"/>
              <w:rPr>
                <w:rFonts w:cs="Angsana New"/>
                <w:b/>
                <w:bCs/>
                <w:color w:val="000000" w:themeColor="text1"/>
                <w:szCs w:val="18"/>
              </w:rPr>
            </w:pPr>
            <w:r w:rsidRPr="008642D1">
              <w:rPr>
                <w:b/>
                <w:bCs/>
                <w:color w:val="6BA539"/>
                <w:szCs w:val="18"/>
              </w:rPr>
              <w:t xml:space="preserve">Exceptions that do not apply to discrimination on the ground of sex — should not extend to any new grounds </w:t>
            </w:r>
          </w:p>
        </w:tc>
      </w:tr>
      <w:tr w:rsidR="00D55D88" w:rsidRPr="008642D1" w14:paraId="62F5DECD" w14:textId="77777777" w:rsidTr="00254C54">
        <w:trPr>
          <w:trHeight w:val="288"/>
        </w:trPr>
        <w:tc>
          <w:tcPr>
            <w:tcW w:w="8363" w:type="dxa"/>
            <w:gridSpan w:val="2"/>
            <w:shd w:val="clear" w:color="auto" w:fill="F2F2F2" w:themeFill="background1" w:themeFillShade="F2"/>
          </w:tcPr>
          <w:p w14:paraId="2880742E" w14:textId="77777777" w:rsidR="00D55D88" w:rsidRPr="00B81231" w:rsidRDefault="00D55D88">
            <w:pPr>
              <w:numPr>
                <w:ilvl w:val="1"/>
                <w:numId w:val="0"/>
              </w:numPr>
              <w:tabs>
                <w:tab w:val="left" w:pos="709"/>
              </w:tabs>
              <w:spacing w:after="120" w:line="288" w:lineRule="auto"/>
              <w:rPr>
                <w:color w:val="6BA539"/>
                <w:szCs w:val="20"/>
              </w:rPr>
            </w:pPr>
            <w:r w:rsidRPr="00B81231">
              <w:rPr>
                <w:szCs w:val="20"/>
              </w:rPr>
              <w:t>Employment</w:t>
            </w:r>
          </w:p>
        </w:tc>
      </w:tr>
      <w:tr w:rsidR="00D55D88" w:rsidRPr="008642D1" w14:paraId="0F482638" w14:textId="77777777" w:rsidTr="001F7AD4">
        <w:trPr>
          <w:trHeight w:val="92"/>
        </w:trPr>
        <w:tc>
          <w:tcPr>
            <w:tcW w:w="851" w:type="dxa"/>
          </w:tcPr>
          <w:p w14:paraId="0D71535D" w14:textId="77777777" w:rsidR="00D55D88" w:rsidRPr="008642D1" w:rsidRDefault="00D55D88">
            <w:pPr>
              <w:numPr>
                <w:ilvl w:val="1"/>
                <w:numId w:val="0"/>
              </w:numPr>
              <w:tabs>
                <w:tab w:val="left" w:pos="709"/>
              </w:tabs>
              <w:spacing w:after="120" w:line="288" w:lineRule="auto"/>
              <w:rPr>
                <w:rFonts w:cs="Angsana New"/>
                <w:color w:val="000000" w:themeColor="text1"/>
                <w:szCs w:val="20"/>
                <w:lang w:val="en-AU"/>
              </w:rPr>
            </w:pPr>
            <w:r w:rsidRPr="008642D1">
              <w:rPr>
                <w:rFonts w:cs="Angsana New"/>
                <w:color w:val="000000" w:themeColor="text1"/>
                <w:szCs w:val="20"/>
                <w:lang w:val="en-AU"/>
              </w:rPr>
              <w:t>25</w:t>
            </w:r>
          </w:p>
        </w:tc>
        <w:tc>
          <w:tcPr>
            <w:tcW w:w="7512" w:type="dxa"/>
          </w:tcPr>
          <w:p w14:paraId="4F97D80C" w14:textId="77777777" w:rsidR="00D55D88" w:rsidRPr="008642D1" w:rsidRDefault="00D55D88">
            <w:pPr>
              <w:numPr>
                <w:ilvl w:val="1"/>
                <w:numId w:val="0"/>
              </w:numPr>
              <w:tabs>
                <w:tab w:val="left" w:pos="709"/>
              </w:tabs>
              <w:spacing w:after="120" w:line="288" w:lineRule="auto"/>
              <w:rPr>
                <w:rFonts w:cs="Angsana New"/>
                <w:color w:val="000000" w:themeColor="text1"/>
                <w:szCs w:val="20"/>
              </w:rPr>
            </w:pPr>
            <w:r w:rsidRPr="008642D1">
              <w:rPr>
                <w:rFonts w:cs="Angsana New"/>
                <w:color w:val="000000" w:themeColor="text1"/>
                <w:szCs w:val="20"/>
              </w:rPr>
              <w:t xml:space="preserve">Exception relating to national security for several grounds. </w:t>
            </w:r>
          </w:p>
        </w:tc>
      </w:tr>
      <w:tr w:rsidR="00D55D88" w:rsidRPr="008642D1" w14:paraId="231C304B" w14:textId="77777777" w:rsidTr="001F7AD4">
        <w:trPr>
          <w:trHeight w:val="87"/>
        </w:trPr>
        <w:tc>
          <w:tcPr>
            <w:tcW w:w="851" w:type="dxa"/>
          </w:tcPr>
          <w:p w14:paraId="5DEEEE5C" w14:textId="77777777" w:rsidR="00D55D88" w:rsidRPr="008642D1" w:rsidRDefault="00D55D88">
            <w:pPr>
              <w:numPr>
                <w:ilvl w:val="1"/>
                <w:numId w:val="0"/>
              </w:numPr>
              <w:tabs>
                <w:tab w:val="left" w:pos="709"/>
              </w:tabs>
              <w:spacing w:after="120" w:line="288" w:lineRule="auto"/>
              <w:rPr>
                <w:rFonts w:cs="Angsana New"/>
                <w:color w:val="000000" w:themeColor="text1"/>
                <w:szCs w:val="20"/>
                <w:lang w:val="en-AU"/>
              </w:rPr>
            </w:pPr>
            <w:r w:rsidRPr="008642D1">
              <w:rPr>
                <w:rFonts w:cs="Angsana New"/>
                <w:color w:val="000000" w:themeColor="text1"/>
                <w:szCs w:val="20"/>
                <w:lang w:val="en-AU"/>
              </w:rPr>
              <w:t>29</w:t>
            </w:r>
          </w:p>
        </w:tc>
        <w:tc>
          <w:tcPr>
            <w:tcW w:w="7512" w:type="dxa"/>
          </w:tcPr>
          <w:p w14:paraId="323B2C38" w14:textId="77777777" w:rsidR="00D55D88" w:rsidRPr="008642D1" w:rsidRDefault="00D55D88">
            <w:pPr>
              <w:numPr>
                <w:ilvl w:val="1"/>
                <w:numId w:val="0"/>
              </w:numPr>
              <w:tabs>
                <w:tab w:val="left" w:pos="709"/>
              </w:tabs>
              <w:spacing w:after="120" w:line="288" w:lineRule="auto"/>
              <w:rPr>
                <w:rFonts w:cs="Angsana New"/>
                <w:color w:val="000000" w:themeColor="text1"/>
                <w:szCs w:val="20"/>
              </w:rPr>
            </w:pPr>
            <w:r w:rsidRPr="008642D1">
              <w:rPr>
                <w:rFonts w:cs="Angsana New"/>
                <w:color w:val="000000" w:themeColor="text1"/>
                <w:szCs w:val="20"/>
              </w:rPr>
              <w:t>Exception relating</w:t>
            </w:r>
            <w:r w:rsidRPr="008642D1" w:rsidDel="00A6386D">
              <w:rPr>
                <w:rFonts w:cs="Angsana New"/>
                <w:color w:val="000000" w:themeColor="text1"/>
                <w:szCs w:val="20"/>
              </w:rPr>
              <w:t xml:space="preserve"> </w:t>
            </w:r>
            <w:r w:rsidRPr="008642D1">
              <w:rPr>
                <w:rFonts w:cs="Angsana New"/>
                <w:color w:val="000000" w:themeColor="text1"/>
                <w:szCs w:val="20"/>
              </w:rPr>
              <w:t>to disability.</w:t>
            </w:r>
          </w:p>
        </w:tc>
      </w:tr>
      <w:tr w:rsidR="00D55D88" w:rsidRPr="008642D1" w14:paraId="0892BBC2" w14:textId="77777777" w:rsidTr="001F7AD4">
        <w:trPr>
          <w:trHeight w:val="87"/>
        </w:trPr>
        <w:tc>
          <w:tcPr>
            <w:tcW w:w="851" w:type="dxa"/>
          </w:tcPr>
          <w:p w14:paraId="0B757FD2" w14:textId="77777777" w:rsidR="00D55D88" w:rsidRPr="008642D1" w:rsidRDefault="00D55D88">
            <w:pPr>
              <w:numPr>
                <w:ilvl w:val="1"/>
                <w:numId w:val="0"/>
              </w:numPr>
              <w:tabs>
                <w:tab w:val="left" w:pos="709"/>
              </w:tabs>
              <w:spacing w:after="120" w:line="288" w:lineRule="auto"/>
              <w:rPr>
                <w:rFonts w:cs="Angsana New"/>
                <w:color w:val="000000" w:themeColor="text1"/>
                <w:szCs w:val="20"/>
                <w:lang w:val="en-AU"/>
              </w:rPr>
            </w:pPr>
            <w:r w:rsidRPr="008642D1">
              <w:rPr>
                <w:rFonts w:cs="Angsana New"/>
                <w:color w:val="000000" w:themeColor="text1"/>
                <w:szCs w:val="20"/>
                <w:lang w:val="en-AU"/>
              </w:rPr>
              <w:t>30</w:t>
            </w:r>
          </w:p>
        </w:tc>
        <w:tc>
          <w:tcPr>
            <w:tcW w:w="7512" w:type="dxa"/>
          </w:tcPr>
          <w:p w14:paraId="35B55536" w14:textId="77777777" w:rsidR="00D55D88" w:rsidRPr="008642D1" w:rsidRDefault="00D55D88">
            <w:pPr>
              <w:numPr>
                <w:ilvl w:val="1"/>
                <w:numId w:val="0"/>
              </w:numPr>
              <w:tabs>
                <w:tab w:val="left" w:pos="709"/>
              </w:tabs>
              <w:spacing w:after="120" w:line="288" w:lineRule="auto"/>
              <w:rPr>
                <w:rFonts w:cs="Angsana New"/>
                <w:color w:val="000000" w:themeColor="text1"/>
                <w:szCs w:val="20"/>
              </w:rPr>
            </w:pPr>
            <w:r w:rsidRPr="008642D1">
              <w:rPr>
                <w:rFonts w:cs="Angsana New"/>
                <w:color w:val="000000" w:themeColor="text1"/>
                <w:szCs w:val="20"/>
              </w:rPr>
              <w:t>Exception relating to age where age is a genuine occupational requirement or where lower rates are paid to those under 20 years.</w:t>
            </w:r>
          </w:p>
        </w:tc>
      </w:tr>
      <w:tr w:rsidR="00D55D88" w:rsidRPr="008642D1" w14:paraId="4092D273" w14:textId="77777777" w:rsidTr="001F7AD4">
        <w:trPr>
          <w:trHeight w:val="87"/>
        </w:trPr>
        <w:tc>
          <w:tcPr>
            <w:tcW w:w="851" w:type="dxa"/>
          </w:tcPr>
          <w:p w14:paraId="0039AB5E" w14:textId="77777777" w:rsidR="00D55D88" w:rsidRPr="008642D1" w:rsidRDefault="00D55D88">
            <w:pPr>
              <w:numPr>
                <w:ilvl w:val="1"/>
                <w:numId w:val="0"/>
              </w:numPr>
              <w:tabs>
                <w:tab w:val="left" w:pos="709"/>
              </w:tabs>
              <w:spacing w:after="120" w:line="288" w:lineRule="auto"/>
              <w:rPr>
                <w:rFonts w:cs="Angsana New"/>
                <w:color w:val="000000" w:themeColor="text1"/>
                <w:szCs w:val="20"/>
                <w:lang w:val="en-AU"/>
              </w:rPr>
            </w:pPr>
            <w:r w:rsidRPr="008642D1">
              <w:rPr>
                <w:rFonts w:cs="Angsana New"/>
                <w:color w:val="000000" w:themeColor="text1"/>
                <w:szCs w:val="20"/>
                <w:lang w:val="en-AU"/>
              </w:rPr>
              <w:t>30A</w:t>
            </w:r>
          </w:p>
        </w:tc>
        <w:tc>
          <w:tcPr>
            <w:tcW w:w="7512" w:type="dxa"/>
          </w:tcPr>
          <w:p w14:paraId="3F6FD6DE" w14:textId="6F60674F" w:rsidR="00D55D88" w:rsidRPr="008642D1" w:rsidRDefault="00D55D88">
            <w:pPr>
              <w:numPr>
                <w:ilvl w:val="1"/>
                <w:numId w:val="0"/>
              </w:numPr>
              <w:tabs>
                <w:tab w:val="left" w:pos="709"/>
              </w:tabs>
              <w:spacing w:after="120" w:line="288" w:lineRule="auto"/>
              <w:rPr>
                <w:rFonts w:cs="Angsana New"/>
                <w:color w:val="000000" w:themeColor="text1"/>
                <w:szCs w:val="20"/>
              </w:rPr>
            </w:pPr>
            <w:r w:rsidRPr="008642D1">
              <w:rPr>
                <w:rFonts w:cs="Angsana New"/>
                <w:color w:val="000000" w:themeColor="text1"/>
                <w:szCs w:val="20"/>
              </w:rPr>
              <w:t>Exception relating</w:t>
            </w:r>
            <w:r w:rsidRPr="008642D1" w:rsidDel="00A6386D">
              <w:rPr>
                <w:rFonts w:cs="Angsana New"/>
                <w:color w:val="000000" w:themeColor="text1"/>
                <w:szCs w:val="20"/>
              </w:rPr>
              <w:t xml:space="preserve"> </w:t>
            </w:r>
            <w:r w:rsidRPr="008642D1">
              <w:rPr>
                <w:rFonts w:cs="Angsana New"/>
                <w:color w:val="000000" w:themeColor="text1"/>
                <w:szCs w:val="20"/>
              </w:rPr>
              <w:t>to age for historic</w:t>
            </w:r>
            <w:r w:rsidR="00005190">
              <w:rPr>
                <w:rFonts w:cs="Angsana New"/>
                <w:color w:val="000000" w:themeColor="text1"/>
                <w:szCs w:val="20"/>
              </w:rPr>
              <w:t>al</w:t>
            </w:r>
            <w:r w:rsidRPr="008642D1">
              <w:rPr>
                <w:rFonts w:cs="Angsana New"/>
                <w:color w:val="000000" w:themeColor="text1"/>
                <w:szCs w:val="20"/>
              </w:rPr>
              <w:t xml:space="preserve"> retirement benefits.</w:t>
            </w:r>
          </w:p>
        </w:tc>
      </w:tr>
      <w:tr w:rsidR="00D55D88" w:rsidRPr="008642D1" w14:paraId="6731A1E0" w14:textId="77777777" w:rsidTr="001F7AD4">
        <w:trPr>
          <w:trHeight w:val="87"/>
        </w:trPr>
        <w:tc>
          <w:tcPr>
            <w:tcW w:w="851" w:type="dxa"/>
          </w:tcPr>
          <w:p w14:paraId="5BA058CC" w14:textId="77777777" w:rsidR="00D55D88" w:rsidRPr="008642D1" w:rsidRDefault="00D55D88">
            <w:pPr>
              <w:numPr>
                <w:ilvl w:val="1"/>
                <w:numId w:val="0"/>
              </w:numPr>
              <w:tabs>
                <w:tab w:val="left" w:pos="709"/>
              </w:tabs>
              <w:spacing w:after="120" w:line="288" w:lineRule="auto"/>
              <w:rPr>
                <w:rFonts w:cs="Angsana New"/>
                <w:color w:val="000000" w:themeColor="text1"/>
                <w:szCs w:val="20"/>
                <w:lang w:val="en-AU"/>
              </w:rPr>
            </w:pPr>
            <w:r w:rsidRPr="008642D1">
              <w:rPr>
                <w:rFonts w:cs="Angsana New"/>
                <w:color w:val="000000" w:themeColor="text1"/>
                <w:szCs w:val="20"/>
                <w:lang w:val="en-AU"/>
              </w:rPr>
              <w:t>31</w:t>
            </w:r>
          </w:p>
        </w:tc>
        <w:tc>
          <w:tcPr>
            <w:tcW w:w="7512" w:type="dxa"/>
          </w:tcPr>
          <w:p w14:paraId="317B6DD7" w14:textId="77777777" w:rsidR="00D55D88" w:rsidRPr="008642D1" w:rsidRDefault="00D55D88">
            <w:pPr>
              <w:numPr>
                <w:ilvl w:val="1"/>
                <w:numId w:val="0"/>
              </w:numPr>
              <w:tabs>
                <w:tab w:val="left" w:pos="709"/>
              </w:tabs>
              <w:spacing w:after="120" w:line="288" w:lineRule="auto"/>
              <w:rPr>
                <w:rFonts w:cs="Angsana New"/>
                <w:color w:val="000000" w:themeColor="text1"/>
                <w:szCs w:val="20"/>
              </w:rPr>
            </w:pPr>
            <w:r w:rsidRPr="008642D1">
              <w:rPr>
                <w:rFonts w:cs="Angsana New"/>
                <w:color w:val="000000" w:themeColor="text1"/>
                <w:szCs w:val="20"/>
              </w:rPr>
              <w:t>Exception relating</w:t>
            </w:r>
            <w:r w:rsidRPr="008642D1" w:rsidDel="00A6386D">
              <w:rPr>
                <w:rFonts w:cs="Angsana New"/>
                <w:color w:val="000000" w:themeColor="text1"/>
                <w:szCs w:val="20"/>
              </w:rPr>
              <w:t xml:space="preserve"> </w:t>
            </w:r>
            <w:r w:rsidRPr="008642D1">
              <w:rPr>
                <w:rFonts w:cs="Angsana New"/>
                <w:color w:val="000000" w:themeColor="text1"/>
                <w:szCs w:val="20"/>
              </w:rPr>
              <w:t>to political opinion for a role of a political nature.</w:t>
            </w:r>
          </w:p>
        </w:tc>
      </w:tr>
      <w:tr w:rsidR="00D55D88" w:rsidRPr="008642D1" w14:paraId="5616B9CA" w14:textId="77777777" w:rsidTr="001F7AD4">
        <w:trPr>
          <w:trHeight w:val="87"/>
        </w:trPr>
        <w:tc>
          <w:tcPr>
            <w:tcW w:w="851" w:type="dxa"/>
          </w:tcPr>
          <w:p w14:paraId="761C073B" w14:textId="77777777" w:rsidR="00D55D88" w:rsidRPr="008642D1" w:rsidRDefault="00D55D88">
            <w:pPr>
              <w:numPr>
                <w:ilvl w:val="1"/>
                <w:numId w:val="0"/>
              </w:numPr>
              <w:tabs>
                <w:tab w:val="left" w:pos="709"/>
              </w:tabs>
              <w:spacing w:after="120" w:line="288" w:lineRule="auto"/>
              <w:rPr>
                <w:rFonts w:cs="Angsana New"/>
                <w:color w:val="000000" w:themeColor="text1"/>
                <w:szCs w:val="20"/>
                <w:lang w:val="en-AU"/>
              </w:rPr>
            </w:pPr>
            <w:r w:rsidRPr="008642D1">
              <w:rPr>
                <w:rFonts w:cs="Angsana New"/>
                <w:color w:val="000000" w:themeColor="text1"/>
                <w:szCs w:val="20"/>
                <w:lang w:val="en-AU"/>
              </w:rPr>
              <w:t>32</w:t>
            </w:r>
          </w:p>
        </w:tc>
        <w:tc>
          <w:tcPr>
            <w:tcW w:w="7512" w:type="dxa"/>
          </w:tcPr>
          <w:p w14:paraId="2C4E621D" w14:textId="77777777" w:rsidR="00D55D88" w:rsidRPr="008642D1" w:rsidRDefault="00D55D88">
            <w:pPr>
              <w:numPr>
                <w:ilvl w:val="1"/>
                <w:numId w:val="0"/>
              </w:numPr>
              <w:tabs>
                <w:tab w:val="left" w:pos="709"/>
              </w:tabs>
              <w:spacing w:after="120" w:line="288" w:lineRule="auto"/>
              <w:rPr>
                <w:rFonts w:cs="Angsana New"/>
                <w:color w:val="000000" w:themeColor="text1"/>
                <w:szCs w:val="20"/>
              </w:rPr>
            </w:pPr>
            <w:r w:rsidRPr="008642D1">
              <w:rPr>
                <w:rFonts w:cs="Angsana New"/>
                <w:color w:val="000000" w:themeColor="text1"/>
                <w:szCs w:val="20"/>
              </w:rPr>
              <w:t>Exception relating</w:t>
            </w:r>
            <w:r w:rsidRPr="008642D1" w:rsidDel="008A24C0">
              <w:rPr>
                <w:rFonts w:cs="Angsana New"/>
                <w:color w:val="000000" w:themeColor="text1"/>
                <w:szCs w:val="20"/>
              </w:rPr>
              <w:t xml:space="preserve"> </w:t>
            </w:r>
            <w:r w:rsidRPr="008642D1">
              <w:rPr>
                <w:rFonts w:cs="Angsana New"/>
                <w:color w:val="000000" w:themeColor="text1"/>
                <w:szCs w:val="20"/>
              </w:rPr>
              <w:t>to family status for relatives working together in some circumstances.</w:t>
            </w:r>
          </w:p>
        </w:tc>
      </w:tr>
      <w:tr w:rsidR="00D55D88" w:rsidRPr="008642D1" w14:paraId="4A074F5D" w14:textId="77777777" w:rsidTr="00254C54">
        <w:trPr>
          <w:trHeight w:val="87"/>
        </w:trPr>
        <w:tc>
          <w:tcPr>
            <w:tcW w:w="8363" w:type="dxa"/>
            <w:gridSpan w:val="2"/>
            <w:shd w:val="clear" w:color="auto" w:fill="F2F2F2" w:themeFill="background1" w:themeFillShade="F2"/>
          </w:tcPr>
          <w:p w14:paraId="40E2709F" w14:textId="77777777" w:rsidR="00D55D88" w:rsidRPr="00B81231" w:rsidRDefault="00D55D88">
            <w:pPr>
              <w:numPr>
                <w:ilvl w:val="1"/>
                <w:numId w:val="0"/>
              </w:numPr>
              <w:tabs>
                <w:tab w:val="left" w:pos="709"/>
              </w:tabs>
              <w:spacing w:after="120" w:line="288" w:lineRule="auto"/>
              <w:rPr>
                <w:rFonts w:cs="Angsana New"/>
                <w:color w:val="000000" w:themeColor="text1"/>
                <w:szCs w:val="20"/>
              </w:rPr>
            </w:pPr>
            <w:r w:rsidRPr="00B81231">
              <w:rPr>
                <w:rFonts w:cs="Angsana New"/>
                <w:color w:val="000000" w:themeColor="text1"/>
                <w:szCs w:val="20"/>
              </w:rPr>
              <w:t>Partnerships</w:t>
            </w:r>
          </w:p>
        </w:tc>
      </w:tr>
      <w:tr w:rsidR="00D55D88" w:rsidRPr="008642D1" w14:paraId="74BCD914" w14:textId="77777777" w:rsidTr="001F7AD4">
        <w:trPr>
          <w:trHeight w:val="87"/>
        </w:trPr>
        <w:tc>
          <w:tcPr>
            <w:tcW w:w="851" w:type="dxa"/>
          </w:tcPr>
          <w:p w14:paraId="157C8731" w14:textId="77777777" w:rsidR="00D55D88" w:rsidRPr="008642D1" w:rsidRDefault="00D55D88">
            <w:pPr>
              <w:numPr>
                <w:ilvl w:val="1"/>
                <w:numId w:val="0"/>
              </w:numPr>
              <w:tabs>
                <w:tab w:val="left" w:pos="709"/>
              </w:tabs>
              <w:spacing w:after="120" w:line="288" w:lineRule="auto"/>
              <w:rPr>
                <w:rFonts w:cs="Angsana New"/>
                <w:color w:val="000000" w:themeColor="text1"/>
                <w:szCs w:val="20"/>
                <w:lang w:val="en-AU"/>
              </w:rPr>
            </w:pPr>
            <w:r w:rsidRPr="008642D1">
              <w:rPr>
                <w:rFonts w:cs="Angsana New"/>
                <w:color w:val="000000" w:themeColor="text1"/>
                <w:szCs w:val="20"/>
                <w:lang w:val="en-AU"/>
              </w:rPr>
              <w:t>36(3)</w:t>
            </w:r>
          </w:p>
        </w:tc>
        <w:tc>
          <w:tcPr>
            <w:tcW w:w="7512" w:type="dxa"/>
          </w:tcPr>
          <w:p w14:paraId="655B258F" w14:textId="77777777" w:rsidR="00D55D88" w:rsidRPr="008642D1" w:rsidRDefault="00D55D88">
            <w:pPr>
              <w:numPr>
                <w:ilvl w:val="1"/>
                <w:numId w:val="0"/>
              </w:numPr>
              <w:tabs>
                <w:tab w:val="left" w:pos="709"/>
              </w:tabs>
              <w:spacing w:after="120" w:line="288" w:lineRule="auto"/>
              <w:rPr>
                <w:rFonts w:cs="Angsana New"/>
                <w:color w:val="000000" w:themeColor="text1"/>
                <w:szCs w:val="20"/>
              </w:rPr>
            </w:pPr>
            <w:r w:rsidRPr="008642D1">
              <w:rPr>
                <w:rFonts w:cs="Angsana New"/>
                <w:color w:val="000000" w:themeColor="text1"/>
                <w:szCs w:val="20"/>
              </w:rPr>
              <w:t>Exception relating to disability and age.</w:t>
            </w:r>
          </w:p>
        </w:tc>
      </w:tr>
      <w:tr w:rsidR="00D55D88" w:rsidRPr="008642D1" w14:paraId="62368ECF" w14:textId="77777777" w:rsidTr="001F7AD4">
        <w:trPr>
          <w:trHeight w:val="87"/>
        </w:trPr>
        <w:tc>
          <w:tcPr>
            <w:tcW w:w="851" w:type="dxa"/>
          </w:tcPr>
          <w:p w14:paraId="0BE0D752" w14:textId="77777777" w:rsidR="00D55D88" w:rsidRPr="008642D1" w:rsidRDefault="00D55D88">
            <w:pPr>
              <w:numPr>
                <w:ilvl w:val="1"/>
                <w:numId w:val="0"/>
              </w:numPr>
              <w:tabs>
                <w:tab w:val="left" w:pos="709"/>
              </w:tabs>
              <w:spacing w:after="120" w:line="288" w:lineRule="auto"/>
              <w:rPr>
                <w:rFonts w:cs="Angsana New"/>
                <w:color w:val="000000" w:themeColor="text1"/>
                <w:szCs w:val="20"/>
                <w:lang w:val="en-AU"/>
              </w:rPr>
            </w:pPr>
            <w:r w:rsidRPr="008642D1">
              <w:rPr>
                <w:rFonts w:cs="Angsana New"/>
                <w:color w:val="000000" w:themeColor="text1"/>
                <w:szCs w:val="20"/>
                <w:lang w:val="en-AU"/>
              </w:rPr>
              <w:t>36(4)</w:t>
            </w:r>
          </w:p>
        </w:tc>
        <w:tc>
          <w:tcPr>
            <w:tcW w:w="7512" w:type="dxa"/>
          </w:tcPr>
          <w:p w14:paraId="4BB10C6D" w14:textId="77777777" w:rsidR="00D55D88" w:rsidRPr="008642D1" w:rsidRDefault="00D55D88">
            <w:pPr>
              <w:numPr>
                <w:ilvl w:val="1"/>
                <w:numId w:val="0"/>
              </w:numPr>
              <w:tabs>
                <w:tab w:val="left" w:pos="709"/>
              </w:tabs>
              <w:spacing w:after="120" w:line="288" w:lineRule="auto"/>
              <w:rPr>
                <w:rFonts w:cs="Angsana New"/>
                <w:color w:val="000000" w:themeColor="text1"/>
                <w:szCs w:val="20"/>
              </w:rPr>
            </w:pPr>
            <w:r w:rsidRPr="008642D1">
              <w:rPr>
                <w:rFonts w:cs="Angsana New"/>
                <w:color w:val="000000" w:themeColor="text1"/>
                <w:szCs w:val="20"/>
              </w:rPr>
              <w:t>Exception relating</w:t>
            </w:r>
            <w:r w:rsidRPr="008642D1" w:rsidDel="00A6386D">
              <w:rPr>
                <w:rFonts w:cs="Angsana New"/>
                <w:color w:val="000000" w:themeColor="text1"/>
                <w:szCs w:val="20"/>
              </w:rPr>
              <w:t xml:space="preserve"> </w:t>
            </w:r>
            <w:r w:rsidRPr="008642D1">
              <w:rPr>
                <w:rFonts w:cs="Angsana New"/>
                <w:color w:val="000000" w:themeColor="text1"/>
                <w:szCs w:val="20"/>
              </w:rPr>
              <w:t>to disability where there is an unreasonable risk of harm.</w:t>
            </w:r>
          </w:p>
        </w:tc>
      </w:tr>
      <w:tr w:rsidR="00D55D88" w:rsidRPr="008642D1" w14:paraId="528A54E4" w14:textId="77777777" w:rsidTr="00254C54">
        <w:trPr>
          <w:trHeight w:val="87"/>
        </w:trPr>
        <w:tc>
          <w:tcPr>
            <w:tcW w:w="8363" w:type="dxa"/>
            <w:gridSpan w:val="2"/>
            <w:shd w:val="clear" w:color="auto" w:fill="F2F2F2" w:themeFill="background1" w:themeFillShade="F2"/>
          </w:tcPr>
          <w:p w14:paraId="6211738A" w14:textId="77777777" w:rsidR="00D55D88" w:rsidRPr="00B81231" w:rsidRDefault="00D55D88">
            <w:pPr>
              <w:numPr>
                <w:ilvl w:val="1"/>
                <w:numId w:val="0"/>
              </w:numPr>
              <w:tabs>
                <w:tab w:val="left" w:pos="709"/>
              </w:tabs>
              <w:spacing w:after="120" w:line="288" w:lineRule="auto"/>
              <w:rPr>
                <w:rFonts w:cs="Angsana New"/>
                <w:color w:val="000000" w:themeColor="text1"/>
                <w:szCs w:val="20"/>
              </w:rPr>
            </w:pPr>
            <w:r w:rsidRPr="00B81231">
              <w:rPr>
                <w:rFonts w:cs="Angsana New"/>
                <w:color w:val="000000" w:themeColor="text1"/>
                <w:szCs w:val="20"/>
              </w:rPr>
              <w:t>Industrial and professional associations</w:t>
            </w:r>
          </w:p>
        </w:tc>
      </w:tr>
      <w:tr w:rsidR="00D55D88" w:rsidRPr="008642D1" w14:paraId="485B0E7B" w14:textId="77777777" w:rsidTr="001F7AD4">
        <w:trPr>
          <w:trHeight w:val="87"/>
        </w:trPr>
        <w:tc>
          <w:tcPr>
            <w:tcW w:w="851" w:type="dxa"/>
          </w:tcPr>
          <w:p w14:paraId="1FE78DEA" w14:textId="77777777" w:rsidR="00D55D88" w:rsidRPr="008642D1" w:rsidRDefault="00D55D88">
            <w:pPr>
              <w:numPr>
                <w:ilvl w:val="1"/>
                <w:numId w:val="0"/>
              </w:numPr>
              <w:tabs>
                <w:tab w:val="left" w:pos="709"/>
              </w:tabs>
              <w:spacing w:after="120" w:line="288" w:lineRule="auto"/>
              <w:rPr>
                <w:rFonts w:cs="Angsana New"/>
                <w:color w:val="000000" w:themeColor="text1"/>
                <w:szCs w:val="20"/>
                <w:lang w:val="en-AU"/>
              </w:rPr>
            </w:pPr>
            <w:r w:rsidRPr="008642D1">
              <w:rPr>
                <w:rFonts w:cs="Angsana New"/>
                <w:color w:val="000000" w:themeColor="text1"/>
                <w:szCs w:val="20"/>
                <w:lang w:val="en-AU"/>
              </w:rPr>
              <w:t>37(2)</w:t>
            </w:r>
          </w:p>
        </w:tc>
        <w:tc>
          <w:tcPr>
            <w:tcW w:w="7512" w:type="dxa"/>
          </w:tcPr>
          <w:p w14:paraId="113C10BE" w14:textId="77777777" w:rsidR="00D55D88" w:rsidRPr="008642D1" w:rsidRDefault="00D55D88">
            <w:pPr>
              <w:numPr>
                <w:ilvl w:val="1"/>
                <w:numId w:val="0"/>
              </w:numPr>
              <w:tabs>
                <w:tab w:val="left" w:pos="709"/>
              </w:tabs>
              <w:spacing w:after="120" w:line="288" w:lineRule="auto"/>
              <w:rPr>
                <w:rFonts w:cs="Angsana New"/>
                <w:color w:val="000000" w:themeColor="text1"/>
                <w:szCs w:val="20"/>
              </w:rPr>
            </w:pPr>
            <w:r w:rsidRPr="008642D1">
              <w:rPr>
                <w:rFonts w:cs="Angsana New"/>
                <w:color w:val="000000" w:themeColor="text1"/>
                <w:szCs w:val="20"/>
              </w:rPr>
              <w:t>Exception that enables different fees depending on age.</w:t>
            </w:r>
          </w:p>
        </w:tc>
      </w:tr>
      <w:tr w:rsidR="00D55D88" w:rsidRPr="008642D1" w14:paraId="0A435AC5" w14:textId="77777777" w:rsidTr="001F7AD4">
        <w:trPr>
          <w:trHeight w:val="87"/>
        </w:trPr>
        <w:tc>
          <w:tcPr>
            <w:tcW w:w="851" w:type="dxa"/>
          </w:tcPr>
          <w:p w14:paraId="68476D22" w14:textId="77777777" w:rsidR="00D55D88" w:rsidRPr="008642D1" w:rsidRDefault="00D55D88">
            <w:pPr>
              <w:numPr>
                <w:ilvl w:val="1"/>
                <w:numId w:val="0"/>
              </w:numPr>
              <w:tabs>
                <w:tab w:val="left" w:pos="709"/>
              </w:tabs>
              <w:spacing w:after="120" w:line="288" w:lineRule="auto"/>
              <w:rPr>
                <w:rFonts w:cs="Angsana New"/>
                <w:color w:val="000000" w:themeColor="text1"/>
                <w:szCs w:val="20"/>
                <w:lang w:val="en-AU"/>
              </w:rPr>
            </w:pPr>
            <w:r w:rsidRPr="008642D1">
              <w:rPr>
                <w:rFonts w:cs="Angsana New"/>
                <w:color w:val="000000" w:themeColor="text1"/>
                <w:szCs w:val="20"/>
                <w:lang w:val="en-AU"/>
              </w:rPr>
              <w:t>37(2A)</w:t>
            </w:r>
          </w:p>
        </w:tc>
        <w:tc>
          <w:tcPr>
            <w:tcW w:w="7512" w:type="dxa"/>
          </w:tcPr>
          <w:p w14:paraId="17329323" w14:textId="77777777" w:rsidR="00D55D88" w:rsidRPr="008642D1" w:rsidRDefault="00D55D88">
            <w:pPr>
              <w:numPr>
                <w:ilvl w:val="1"/>
                <w:numId w:val="0"/>
              </w:numPr>
              <w:tabs>
                <w:tab w:val="left" w:pos="709"/>
              </w:tabs>
              <w:spacing w:after="120" w:line="288" w:lineRule="auto"/>
              <w:rPr>
                <w:rFonts w:cs="Angsana New"/>
                <w:color w:val="000000" w:themeColor="text1"/>
                <w:szCs w:val="20"/>
              </w:rPr>
            </w:pPr>
            <w:r w:rsidRPr="008642D1">
              <w:rPr>
                <w:rFonts w:cs="Angsana New"/>
                <w:color w:val="000000" w:themeColor="text1"/>
                <w:szCs w:val="20"/>
              </w:rPr>
              <w:t>Exception in relation to disability where there is an unreasonable risk of harm.</w:t>
            </w:r>
          </w:p>
        </w:tc>
      </w:tr>
      <w:tr w:rsidR="00D55D88" w:rsidRPr="008642D1" w14:paraId="29E4710D" w14:textId="77777777" w:rsidTr="00254C54">
        <w:trPr>
          <w:trHeight w:val="87"/>
        </w:trPr>
        <w:tc>
          <w:tcPr>
            <w:tcW w:w="8363" w:type="dxa"/>
            <w:gridSpan w:val="2"/>
            <w:shd w:val="clear" w:color="auto" w:fill="F2F2F2" w:themeFill="background1" w:themeFillShade="F2"/>
          </w:tcPr>
          <w:p w14:paraId="54FDDBC1" w14:textId="77777777" w:rsidR="00D55D88" w:rsidRPr="00B81231" w:rsidRDefault="00D55D88">
            <w:pPr>
              <w:numPr>
                <w:ilvl w:val="1"/>
                <w:numId w:val="0"/>
              </w:numPr>
              <w:tabs>
                <w:tab w:val="left" w:pos="709"/>
              </w:tabs>
              <w:spacing w:after="120" w:line="288" w:lineRule="auto"/>
              <w:rPr>
                <w:rFonts w:cs="Angsana New"/>
                <w:color w:val="000000" w:themeColor="text1"/>
                <w:szCs w:val="20"/>
              </w:rPr>
            </w:pPr>
            <w:r w:rsidRPr="00B81231">
              <w:rPr>
                <w:rFonts w:cs="Angsana New"/>
                <w:color w:val="000000" w:themeColor="text1"/>
                <w:szCs w:val="20"/>
              </w:rPr>
              <w:t>Qualifying bodies</w:t>
            </w:r>
          </w:p>
        </w:tc>
      </w:tr>
      <w:tr w:rsidR="00D55D88" w:rsidRPr="008642D1" w14:paraId="53E70067" w14:textId="77777777" w:rsidTr="001F7AD4">
        <w:trPr>
          <w:trHeight w:val="87"/>
        </w:trPr>
        <w:tc>
          <w:tcPr>
            <w:tcW w:w="851" w:type="dxa"/>
          </w:tcPr>
          <w:p w14:paraId="3BD1D5D1" w14:textId="77777777" w:rsidR="00D55D88" w:rsidRPr="008642D1" w:rsidRDefault="00D55D88">
            <w:pPr>
              <w:numPr>
                <w:ilvl w:val="1"/>
                <w:numId w:val="0"/>
              </w:numPr>
              <w:tabs>
                <w:tab w:val="left" w:pos="709"/>
              </w:tabs>
              <w:spacing w:after="120" w:line="288" w:lineRule="auto"/>
              <w:rPr>
                <w:rFonts w:cs="Angsana New"/>
                <w:color w:val="000000" w:themeColor="text1"/>
                <w:szCs w:val="20"/>
                <w:lang w:val="en-AU"/>
              </w:rPr>
            </w:pPr>
            <w:r w:rsidRPr="008642D1">
              <w:rPr>
                <w:rFonts w:cs="Angsana New"/>
                <w:color w:val="000000" w:themeColor="text1"/>
                <w:szCs w:val="20"/>
                <w:lang w:val="en-AU"/>
              </w:rPr>
              <w:t>39(2)</w:t>
            </w:r>
          </w:p>
        </w:tc>
        <w:tc>
          <w:tcPr>
            <w:tcW w:w="7512" w:type="dxa"/>
          </w:tcPr>
          <w:p w14:paraId="7C048173" w14:textId="77777777" w:rsidR="00D55D88" w:rsidRPr="008642D1" w:rsidRDefault="00D55D88">
            <w:pPr>
              <w:numPr>
                <w:ilvl w:val="1"/>
                <w:numId w:val="0"/>
              </w:numPr>
              <w:tabs>
                <w:tab w:val="left" w:pos="709"/>
              </w:tabs>
              <w:spacing w:after="120" w:line="288" w:lineRule="auto"/>
              <w:rPr>
                <w:rFonts w:cs="Angsana New"/>
                <w:color w:val="000000" w:themeColor="text1"/>
                <w:szCs w:val="20"/>
              </w:rPr>
            </w:pPr>
            <w:r w:rsidRPr="008642D1">
              <w:rPr>
                <w:rFonts w:cs="Angsana New"/>
                <w:color w:val="000000" w:themeColor="text1"/>
                <w:szCs w:val="20"/>
              </w:rPr>
              <w:t>Exception applying to disability.</w:t>
            </w:r>
          </w:p>
        </w:tc>
      </w:tr>
      <w:tr w:rsidR="00D55D88" w:rsidRPr="008642D1" w14:paraId="149577E4" w14:textId="77777777" w:rsidTr="001F7AD4">
        <w:trPr>
          <w:trHeight w:val="87"/>
        </w:trPr>
        <w:tc>
          <w:tcPr>
            <w:tcW w:w="851" w:type="dxa"/>
          </w:tcPr>
          <w:p w14:paraId="60075159" w14:textId="77777777" w:rsidR="00D55D88" w:rsidRPr="008642D1" w:rsidRDefault="00D55D88">
            <w:pPr>
              <w:numPr>
                <w:ilvl w:val="1"/>
                <w:numId w:val="0"/>
              </w:numPr>
              <w:tabs>
                <w:tab w:val="left" w:pos="709"/>
              </w:tabs>
              <w:spacing w:after="120" w:line="288" w:lineRule="auto"/>
              <w:rPr>
                <w:rFonts w:cs="Angsana New"/>
                <w:color w:val="000000" w:themeColor="text1"/>
                <w:szCs w:val="20"/>
                <w:lang w:val="en-AU"/>
              </w:rPr>
            </w:pPr>
            <w:r w:rsidRPr="008642D1">
              <w:rPr>
                <w:rFonts w:cs="Angsana New"/>
                <w:color w:val="000000" w:themeColor="text1"/>
                <w:szCs w:val="20"/>
                <w:lang w:val="en-AU"/>
              </w:rPr>
              <w:t>39(3)</w:t>
            </w:r>
          </w:p>
        </w:tc>
        <w:tc>
          <w:tcPr>
            <w:tcW w:w="7512" w:type="dxa"/>
          </w:tcPr>
          <w:p w14:paraId="13C8ACAF" w14:textId="77777777" w:rsidR="00D55D88" w:rsidRPr="008642D1" w:rsidRDefault="00D55D88">
            <w:pPr>
              <w:numPr>
                <w:ilvl w:val="1"/>
                <w:numId w:val="0"/>
              </w:numPr>
              <w:tabs>
                <w:tab w:val="left" w:pos="709"/>
              </w:tabs>
              <w:spacing w:after="120" w:line="288" w:lineRule="auto"/>
              <w:rPr>
                <w:rFonts w:cs="Angsana New"/>
                <w:color w:val="000000" w:themeColor="text1"/>
                <w:szCs w:val="20"/>
              </w:rPr>
            </w:pPr>
            <w:r w:rsidRPr="008642D1">
              <w:rPr>
                <w:rFonts w:cs="Angsana New"/>
                <w:color w:val="000000" w:themeColor="text1"/>
                <w:szCs w:val="20"/>
              </w:rPr>
              <w:t>Exception applying to age.</w:t>
            </w:r>
          </w:p>
        </w:tc>
      </w:tr>
    </w:tbl>
    <w:p w14:paraId="39DB876F" w14:textId="3DEA209A" w:rsidR="00D55D88" w:rsidRPr="008642D1" w:rsidRDefault="00D55D88" w:rsidP="00D55D88">
      <w:pPr>
        <w:pStyle w:val="Heading3"/>
        <w:rPr>
          <w:i/>
          <w:iCs/>
        </w:rPr>
      </w:pPr>
      <w:r w:rsidRPr="008642D1">
        <w:lastRenderedPageBreak/>
        <w:t>Ex</w:t>
      </w:r>
      <w:r w:rsidR="000832B2">
        <w:t>c</w:t>
      </w:r>
      <w:r w:rsidRPr="008642D1">
        <w:t>eption for work performed outside New Zealand — section 26</w:t>
      </w:r>
    </w:p>
    <w:p w14:paraId="35E77901" w14:textId="0C305978" w:rsidR="00D55D88" w:rsidRPr="008642D1" w:rsidRDefault="00D55D88" w:rsidP="00D55D88">
      <w:pPr>
        <w:pStyle w:val="BodyText"/>
      </w:pPr>
      <w:r w:rsidRPr="008642D1">
        <w:t>Section 26 of the Human Rights Act allows differential treatment in employment based on sex if the duties will be performed wholly or mainly outside New Zealand and they are ordinarily only carried out by a person of a particular sex because of that country’s laws, customs or practices. The exception also applies to religious or ethical belief and</w:t>
      </w:r>
      <w:r w:rsidRPr="008642D1" w:rsidDel="0080592F">
        <w:t xml:space="preserve"> </w:t>
      </w:r>
      <w:r w:rsidRPr="008642D1">
        <w:t>age. An example of where this exception might be relevant is where a New Zealand company sends an employee overseas for work.</w:t>
      </w:r>
    </w:p>
    <w:p w14:paraId="0C19E060" w14:textId="77777777" w:rsidR="00D55D88" w:rsidRPr="008642D1" w:rsidRDefault="00D55D88" w:rsidP="00D55D88">
      <w:pPr>
        <w:pStyle w:val="BodyText"/>
      </w:pPr>
      <w:r w:rsidRPr="008642D1">
        <w:t>The rationale for this exception is likely to be practicality and respecting the laws of other countries. Unless the exception was in place, a New Zealand employer that had employees working overseas might be unable to comply with both overseas laws, practice or customs and New Zealand law. In its report to the select committee on the Human Rights Bill, the Department of Justice referred to this exception as “a matter of commonsense”.</w:t>
      </w:r>
      <w:r w:rsidRPr="008642D1">
        <w:rPr>
          <w:rStyle w:val="FootnoteReference"/>
        </w:rPr>
        <w:footnoteReference w:id="452"/>
      </w:r>
      <w:r w:rsidRPr="008642D1">
        <w:t xml:space="preserve"> </w:t>
      </w:r>
    </w:p>
    <w:p w14:paraId="57C18184" w14:textId="474EB15C" w:rsidR="00D55D88" w:rsidRPr="008642D1" w:rsidRDefault="00D55D88" w:rsidP="00D55D88">
      <w:pPr>
        <w:pStyle w:val="BodyText"/>
      </w:pPr>
      <w:r w:rsidRPr="008642D1">
        <w:t>We know that some countries</w:t>
      </w:r>
      <w:r w:rsidRPr="008642D1" w:rsidDel="00B31FAA">
        <w:t xml:space="preserve"> </w:t>
      </w:r>
      <w:r w:rsidRPr="008642D1">
        <w:t xml:space="preserve">have laws restricting women from certain roles. According to the World Bank, there are </w:t>
      </w:r>
      <w:r w:rsidR="00ED6285">
        <w:t>45</w:t>
      </w:r>
      <w:r w:rsidR="00ED6285" w:rsidRPr="008642D1">
        <w:t xml:space="preserve"> </w:t>
      </w:r>
      <w:r w:rsidRPr="008642D1">
        <w:t xml:space="preserve">economies where women are prohibited from working in jobs </w:t>
      </w:r>
      <w:r w:rsidR="007579AD">
        <w:t xml:space="preserve">considered dangerous </w:t>
      </w:r>
      <w:r w:rsidRPr="008642D1">
        <w:t xml:space="preserve">and </w:t>
      </w:r>
      <w:r w:rsidR="007579AD">
        <w:t>59</w:t>
      </w:r>
      <w:r w:rsidRPr="008642D1">
        <w:t xml:space="preserve"> economies where women are not allowed to work in </w:t>
      </w:r>
      <w:r w:rsidR="009E6DB0">
        <w:t xml:space="preserve">certain </w:t>
      </w:r>
      <w:r w:rsidR="004365A6">
        <w:t>industri</w:t>
      </w:r>
      <w:r w:rsidR="004F6480">
        <w:t>es</w:t>
      </w:r>
      <w:r w:rsidRPr="008642D1">
        <w:t>.</w:t>
      </w:r>
      <w:r w:rsidRPr="008642D1">
        <w:rPr>
          <w:rStyle w:val="FootnoteReference"/>
        </w:rPr>
        <w:footnoteReference w:id="453"/>
      </w:r>
      <w:r w:rsidRPr="008642D1">
        <w:t xml:space="preserve"> This may explain the desirability of an exception that applies to sex. </w:t>
      </w:r>
    </w:p>
    <w:p w14:paraId="35927919" w14:textId="77777777" w:rsidR="00D55D88" w:rsidRPr="008642D1" w:rsidRDefault="00D55D88" w:rsidP="00D55D88">
      <w:pPr>
        <w:pStyle w:val="BodyText"/>
      </w:pPr>
      <w:r w:rsidRPr="008642D1">
        <w:t>We are interested to understand whether this exception should be amended to reflect</w:t>
      </w:r>
      <w:r w:rsidRPr="008642D1" w:rsidDel="001432A0">
        <w:t xml:space="preserve"> </w:t>
      </w:r>
      <w:r w:rsidRPr="008642D1">
        <w:t xml:space="preserve">any new grounds we propose. It would be helpful for us to understand whether any countries have laws, customs or practices that restrict roles to people based on factors relating to their gender identity, gender expression or sex characteristics. We do not know, for example, whether there are overseas positions that are restricted to cisgender people. </w:t>
      </w:r>
    </w:p>
    <w:p w14:paraId="3FFB7980" w14:textId="526FB6C8" w:rsidR="000C4756" w:rsidRPr="008642D1" w:rsidRDefault="00CA0B56" w:rsidP="00FF70D1">
      <w:pPr>
        <w:pStyle w:val="QuestionBox"/>
      </w:pPr>
      <w:r w:rsidRPr="008642D1">
        <w:rPr>
          <w:noProof/>
        </w:rPr>
        <mc:AlternateContent>
          <mc:Choice Requires="wpg">
            <w:drawing>
              <wp:anchor distT="0" distB="0" distL="114300" distR="114300" simplePos="0" relativeHeight="251658322" behindDoc="1" locked="0" layoutInCell="1" allowOverlap="1" wp14:anchorId="22C3F119" wp14:editId="2A714BA8">
                <wp:simplePos x="0" y="0"/>
                <wp:positionH relativeFrom="column">
                  <wp:posOffset>520</wp:posOffset>
                </wp:positionH>
                <wp:positionV relativeFrom="paragraph">
                  <wp:posOffset>5212</wp:posOffset>
                </wp:positionV>
                <wp:extent cx="5760085" cy="2173205"/>
                <wp:effectExtent l="0" t="0" r="0" b="0"/>
                <wp:wrapNone/>
                <wp:docPr id="1704791628" name="Group 1704791628" descr="Question"/>
                <wp:cNvGraphicFramePr/>
                <a:graphic xmlns:a="http://schemas.openxmlformats.org/drawingml/2006/main">
                  <a:graphicData uri="http://schemas.microsoft.com/office/word/2010/wordprocessingGroup">
                    <wpg:wgp>
                      <wpg:cNvGrpSpPr/>
                      <wpg:grpSpPr>
                        <a:xfrm>
                          <a:off x="0" y="0"/>
                          <a:ext cx="5760085" cy="2173205"/>
                          <a:chOff x="0" y="62865"/>
                          <a:chExt cx="5760085" cy="2174484"/>
                        </a:xfrm>
                      </wpg:grpSpPr>
                      <wps:wsp>
                        <wps:cNvPr id="715323828"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4D4DD0" w14:textId="77777777" w:rsidR="00CA0B56" w:rsidRDefault="00CA0B56" w:rsidP="00CA0B56">
                              <w:pPr>
                                <w:pStyle w:val="BoxTitle"/>
                                <w:spacing w:before="0" w:beforeAutospacing="0"/>
                              </w:pPr>
                              <w:r w:rsidRPr="007F6876">
                                <w:t>QUESTION</w:t>
                              </w:r>
                              <w:r>
                                <w:t>S</w:t>
                              </w:r>
                            </w:p>
                          </w:txbxContent>
                        </wps:txbx>
                        <wps:bodyPr rot="0" vert="horz" wrap="square" lIns="91440" tIns="0" rIns="0" bIns="45720" anchor="ctr" anchorCtr="0" upright="1">
                          <a:noAutofit/>
                        </wps:bodyPr>
                      </wps:wsp>
                      <wpg:grpSp>
                        <wpg:cNvPr id="2003937400" name="Group 53"/>
                        <wpg:cNvGrpSpPr>
                          <a:grpSpLocks/>
                        </wpg:cNvGrpSpPr>
                        <wpg:grpSpPr bwMode="auto">
                          <a:xfrm>
                            <a:off x="0" y="316170"/>
                            <a:ext cx="5760085" cy="1921179"/>
                            <a:chOff x="1837" y="1791"/>
                            <a:chExt cx="9302" cy="20752"/>
                          </a:xfrm>
                        </wpg:grpSpPr>
                        <wps:wsp>
                          <wps:cNvPr id="2458474" name="Freeform 54"/>
                          <wps:cNvSpPr>
                            <a:spLocks/>
                          </wps:cNvSpPr>
                          <wps:spPr bwMode="auto">
                            <a:xfrm>
                              <a:off x="1837" y="1791"/>
                              <a:ext cx="9302" cy="2075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6672234" name="Group 926672234"/>
                        <wpg:cNvGrpSpPr/>
                        <wpg:grpSpPr>
                          <a:xfrm>
                            <a:off x="0" y="494036"/>
                            <a:ext cx="1443794" cy="252000"/>
                            <a:chOff x="-15880" y="0"/>
                            <a:chExt cx="1444379" cy="252068"/>
                          </a:xfrm>
                        </wpg:grpSpPr>
                        <wps:wsp>
                          <wps:cNvPr id="90918314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18378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24A603" w14:textId="232406D4" w:rsidR="00CA0B56" w:rsidRPr="00E90B8A" w:rsidRDefault="00CA0B56" w:rsidP="00CA0B56">
                                <w:pPr>
                                  <w:pStyle w:val="BoxTitle"/>
                                  <w:spacing w:before="0" w:beforeAutospacing="0"/>
                                  <w:rPr>
                                    <w:sz w:val="18"/>
                                    <w:szCs w:val="18"/>
                                  </w:rPr>
                                </w:pPr>
                                <w:r w:rsidRPr="00E90B8A">
                                  <w:rPr>
                                    <w:sz w:val="18"/>
                                    <w:szCs w:val="18"/>
                                  </w:rPr>
                                  <w:t>Q</w:t>
                                </w:r>
                                <w:r w:rsidR="000D4BCC">
                                  <w:rPr>
                                    <w:sz w:val="18"/>
                                    <w:szCs w:val="18"/>
                                  </w:rPr>
                                  <w:t>18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2C3F119" id="Group 1704791628" o:spid="_x0000_s1121" alt="Question" style="position:absolute;left:0;text-align:left;margin-left:.05pt;margin-top:.4pt;width:453.55pt;height:171.1pt;z-index:-251658158;mso-height-relative:margin" coordorigin=",628" coordsize="57600,21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">
                <v:shape id="Freeform 52" o:spid="_x0000_s112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&#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44D4DD0" w14:textId="77777777" w:rsidR="00CA0B56" w:rsidRDefault="00CA0B56" w:rsidP="00CA0B56">
                        <w:pPr>
                          <w:pStyle w:val="BoxTitle"/>
                          <w:spacing w:before="0" w:beforeAutospacing="0"/>
                        </w:pPr>
                        <w:r w:rsidRPr="007F6876">
                          <w:t>QUESTION</w:t>
                        </w:r>
                        <w:r>
                          <w:t>S</w:t>
                        </w:r>
                      </w:p>
                    </w:txbxContent>
                  </v:textbox>
                </v:shape>
                <v:group id="Group 53" o:spid="_x0000_s1123" style="position:absolute;top:3161;width:57600;height:19212" coordorigin="1837,1791" coordsize="9302,2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">
                  <v:shape id="Freeform 54" o:spid="_x0000_s1124" style="position:absolute;left:1837;top:1791;width:9302;height:2075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" path="m,l9354,r,7809l,7809,,e" fillcolor="#edf2ea" stroked="f">
                    <v:path arrowok="t" o:connecttype="custom" o:connectlocs="0,2657;9302,2657;9302,23409;0,23409;0,2657" o:connectangles="0,0,0,0,0"/>
                  </v:shape>
                </v:group>
                <v:group id="Group 926672234" o:spid="_x0000_s112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">
                  <v:shape id="Freeform 58" o:spid="_x0000_s112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" path="m,l1815,e" filled="f" strokecolor="#72ab6a" strokeweight=".5pt">
                    <v:path arrowok="t" o:connecttype="custom" o:connectlocs="0,0;1073495,0" o:connectangles="0,0"/>
                  </v:shape>
                  <v:shape id="Freeform 66" o:spid="_x0000_s112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024A603" w14:textId="232406D4" w:rsidR="00CA0B56" w:rsidRPr="00E90B8A" w:rsidRDefault="00CA0B56" w:rsidP="00CA0B56">
                          <w:pPr>
                            <w:pStyle w:val="BoxTitle"/>
                            <w:spacing w:before="0" w:beforeAutospacing="0"/>
                            <w:rPr>
                              <w:sz w:val="18"/>
                              <w:szCs w:val="18"/>
                            </w:rPr>
                          </w:pPr>
                          <w:r w:rsidRPr="00E90B8A">
                            <w:rPr>
                              <w:sz w:val="18"/>
                              <w:szCs w:val="18"/>
                            </w:rPr>
                            <w:t>Q</w:t>
                          </w:r>
                          <w:r w:rsidR="000D4BCC">
                            <w:rPr>
                              <w:sz w:val="18"/>
                              <w:szCs w:val="18"/>
                            </w:rPr>
                            <w:t>18</w:t>
                          </w:r>
                        </w:p>
                      </w:txbxContent>
                    </v:textbox>
                  </v:shape>
                </v:group>
              </v:group>
            </w:pict>
          </mc:Fallback>
        </mc:AlternateContent>
      </w:r>
    </w:p>
    <w:p w14:paraId="62D642B9" w14:textId="77777777" w:rsidR="000C4756" w:rsidRPr="008642D1" w:rsidRDefault="000C4756" w:rsidP="00FF70D1">
      <w:pPr>
        <w:pStyle w:val="QuestionBox"/>
      </w:pPr>
    </w:p>
    <w:p w14:paraId="0E5DD078" w14:textId="77777777" w:rsidR="00883503" w:rsidRDefault="00883503" w:rsidP="00FF70D1">
      <w:pPr>
        <w:pStyle w:val="QuestionBox"/>
      </w:pPr>
      <w:r w:rsidRPr="00883503">
        <w:t>If new grounds of discrimination are added to the Human Rights Act 1993 to protect people who are transgender or non-binary or who have an innate variation of sex characteristics, should the exception in section 26 for work performed outside New Zealand be amended to reflect those new grounds?</w:t>
      </w:r>
    </w:p>
    <w:p w14:paraId="0996E8BC" w14:textId="423535CD" w:rsidR="000C4756" w:rsidRPr="008642D1" w:rsidRDefault="00393311" w:rsidP="00FF70D1">
      <w:pPr>
        <w:pStyle w:val="QuestionBox"/>
      </w:pPr>
      <w:r w:rsidRPr="008642D1">
        <w:rPr>
          <w:noProof/>
        </w:rPr>
        <mc:AlternateContent>
          <mc:Choice Requires="wpg">
            <w:drawing>
              <wp:anchor distT="0" distB="0" distL="114300" distR="114300" simplePos="0" relativeHeight="251658323" behindDoc="1" locked="0" layoutInCell="1" allowOverlap="1" wp14:anchorId="0243DC63" wp14:editId="463BE45D">
                <wp:simplePos x="0" y="0"/>
                <wp:positionH relativeFrom="column">
                  <wp:posOffset>0</wp:posOffset>
                </wp:positionH>
                <wp:positionV relativeFrom="paragraph">
                  <wp:posOffset>181800</wp:posOffset>
                </wp:positionV>
                <wp:extent cx="1443355" cy="251460"/>
                <wp:effectExtent l="0" t="0" r="42545" b="0"/>
                <wp:wrapNone/>
                <wp:docPr id="724768756"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78708084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90722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B67BCE" w14:textId="0346ABD4" w:rsidR="00393311" w:rsidRPr="00E90B8A" w:rsidRDefault="00393311" w:rsidP="00393311">
                              <w:pPr>
                                <w:pStyle w:val="BoxTitle"/>
                                <w:spacing w:before="0" w:beforeAutospacing="0"/>
                                <w:rPr>
                                  <w:sz w:val="18"/>
                                  <w:szCs w:val="18"/>
                                </w:rPr>
                              </w:pPr>
                              <w:r w:rsidRPr="00E90B8A">
                                <w:rPr>
                                  <w:sz w:val="18"/>
                                  <w:szCs w:val="18"/>
                                </w:rPr>
                                <w:t>Q</w:t>
                              </w:r>
                              <w:r w:rsidR="000D4BCC">
                                <w:rPr>
                                  <w:sz w:val="18"/>
                                  <w:szCs w:val="18"/>
                                </w:rPr>
                                <w:t>19</w:t>
                              </w:r>
                            </w:p>
                          </w:txbxContent>
                        </wps:txbx>
                        <wps:bodyPr rot="0" vert="horz" wrap="square" lIns="54000" tIns="82800" rIns="91440" bIns="45720" anchor="ctr" anchorCtr="0" upright="1">
                          <a:noAutofit/>
                        </wps:bodyPr>
                      </wps:wsp>
                    </wpg:wgp>
                  </a:graphicData>
                </a:graphic>
              </wp:anchor>
            </w:drawing>
          </mc:Choice>
          <mc:Fallback>
            <w:pict>
              <v:group w14:anchorId="0243DC63" id="_x0000_s1128" style="position:absolute;left:0;text-align:left;margin-left:0;margin-top:14.3pt;width:113.65pt;height:19.8pt;z-index:-25165815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">
                <v:shape id="Freeform 58" o:spid="_x0000_s112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" path="m,l1815,e" filled="f" strokecolor="#72ab6a" strokeweight=".5pt">
                  <v:path arrowok="t" o:connecttype="custom" o:connectlocs="0,0;1073495,0" o:connectangles="0,0"/>
                </v:shape>
                <v:shape id="Freeform 66" o:spid="_x0000_s113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7B67BCE" w14:textId="0346ABD4" w:rsidR="00393311" w:rsidRPr="00E90B8A" w:rsidRDefault="00393311" w:rsidP="00393311">
                        <w:pPr>
                          <w:pStyle w:val="BoxTitle"/>
                          <w:spacing w:before="0" w:beforeAutospacing="0"/>
                          <w:rPr>
                            <w:sz w:val="18"/>
                            <w:szCs w:val="18"/>
                          </w:rPr>
                        </w:pPr>
                        <w:r w:rsidRPr="00E90B8A">
                          <w:rPr>
                            <w:sz w:val="18"/>
                            <w:szCs w:val="18"/>
                          </w:rPr>
                          <w:t>Q</w:t>
                        </w:r>
                        <w:r w:rsidR="000D4BCC">
                          <w:rPr>
                            <w:sz w:val="18"/>
                            <w:szCs w:val="18"/>
                          </w:rPr>
                          <w:t>19</w:t>
                        </w:r>
                      </w:p>
                    </w:txbxContent>
                  </v:textbox>
                </v:shape>
              </v:group>
            </w:pict>
          </mc:Fallback>
        </mc:AlternateContent>
      </w:r>
    </w:p>
    <w:p w14:paraId="15EF856E" w14:textId="346D064E" w:rsidR="000C4756" w:rsidRPr="008642D1" w:rsidRDefault="00EA603A" w:rsidP="00FF70D1">
      <w:pPr>
        <w:pStyle w:val="QuestionBox"/>
      </w:pPr>
      <w:r w:rsidRPr="00EA603A">
        <w:t>Do you have any additional feedback on the practical implications of amending section 26?</w:t>
      </w:r>
    </w:p>
    <w:p w14:paraId="2A1571E3" w14:textId="77777777" w:rsidR="00EA603A" w:rsidRPr="008642D1" w:rsidRDefault="00EA603A" w:rsidP="00FF70D1">
      <w:pPr>
        <w:pStyle w:val="QuestionBox"/>
      </w:pPr>
    </w:p>
    <w:p w14:paraId="5FC17E27" w14:textId="77777777" w:rsidR="00D55D88" w:rsidRPr="008642D1" w:rsidRDefault="00D55D88" w:rsidP="00D55D88">
      <w:pPr>
        <w:pStyle w:val="Heading3"/>
      </w:pPr>
      <w:r w:rsidRPr="008642D1">
        <w:t>Exception for genuine occupational qualification (authenticity) — section 27(1)</w:t>
      </w:r>
    </w:p>
    <w:p w14:paraId="1D118F63" w14:textId="3F1B4C53" w:rsidR="00D55D88" w:rsidRPr="008642D1" w:rsidRDefault="00D55D88" w:rsidP="00D55D88">
      <w:pPr>
        <w:pStyle w:val="BodyText"/>
      </w:pPr>
      <w:r w:rsidRPr="008642D1">
        <w:t>Section 27(1) of the Human Rights Act allows different treatment based on sex where, for reasons of authenticity, being a particular sex is a genuine occupational qualification for the role. The exception also applies to age. The exception does not apply to other prohibited grounds. Notably, it does not apply to race</w:t>
      </w:r>
      <w:r w:rsidR="00287ADE">
        <w:t xml:space="preserve"> and it</w:t>
      </w:r>
      <w:r w:rsidRPr="008642D1">
        <w:t xml:space="preserve"> does </w:t>
      </w:r>
      <w:r w:rsidR="00287ADE">
        <w:t>not</w:t>
      </w:r>
      <w:r w:rsidRPr="008642D1">
        <w:t xml:space="preserve"> apply to </w:t>
      </w:r>
      <w:r w:rsidRPr="008642D1">
        <w:lastRenderedPageBreak/>
        <w:t>characteristics that do not have a direct connection with visual appearance such as sexual orientation or political opinion.</w:t>
      </w:r>
    </w:p>
    <w:p w14:paraId="45B68E0C" w14:textId="77777777" w:rsidR="00D55D88" w:rsidRPr="008642D1" w:rsidRDefault="00D55D88" w:rsidP="00D55D88">
      <w:pPr>
        <w:pStyle w:val="Heading4"/>
      </w:pPr>
      <w:r w:rsidRPr="008642D1">
        <w:t xml:space="preserve">Scope and rationale of the current exception </w:t>
      </w:r>
    </w:p>
    <w:p w14:paraId="07744E56" w14:textId="00C49502" w:rsidR="00D55D88" w:rsidRPr="008642D1" w:rsidRDefault="00D55D88" w:rsidP="00D55D88">
      <w:pPr>
        <w:pStyle w:val="BodyText"/>
      </w:pPr>
      <w:r w:rsidRPr="008642D1">
        <w:t>This exception contains two elements: sex must be a genuine occupational qualification and that must be for reasons of “authenticity”.</w:t>
      </w:r>
    </w:p>
    <w:p w14:paraId="13EDE2E8" w14:textId="23A1E756" w:rsidR="00D55D88" w:rsidRPr="008642D1" w:rsidRDefault="00D55D88" w:rsidP="00D55D88">
      <w:pPr>
        <w:pStyle w:val="BodyText"/>
      </w:pPr>
      <w:r w:rsidRPr="008642D1">
        <w:t xml:space="preserve">We have not located any case law on what a </w:t>
      </w:r>
      <w:r w:rsidRPr="008642D1" w:rsidDel="00287ADE">
        <w:t>“</w:t>
      </w:r>
      <w:r w:rsidRPr="008642D1">
        <w:t>genuine occupational qualification</w:t>
      </w:r>
      <w:r w:rsidRPr="008642D1" w:rsidDel="00287ADE">
        <w:t>”</w:t>
      </w:r>
      <w:r w:rsidRPr="008642D1">
        <w:t xml:space="preserve"> means in the context of section 27(1)</w:t>
      </w:r>
      <w:r w:rsidR="00C652CF">
        <w:t>,</w:t>
      </w:r>
      <w:r w:rsidRPr="008642D1">
        <w:t xml:space="preserve"> although case law on other provisions in the </w:t>
      </w:r>
      <w:r w:rsidR="00287ADE">
        <w:t xml:space="preserve">Human Rights </w:t>
      </w:r>
      <w:r w:rsidRPr="008642D1">
        <w:t>Act provides some assistance. For example, in</w:t>
      </w:r>
      <w:r w:rsidRPr="008642D1" w:rsidDel="00DE6D7D">
        <w:t xml:space="preserve"> </w:t>
      </w:r>
      <w:r w:rsidRPr="008642D1">
        <w:rPr>
          <w:i/>
          <w:iCs/>
        </w:rPr>
        <w:t>Air New Zealand Ltd v McAlister</w:t>
      </w:r>
      <w:r w:rsidRPr="008642D1">
        <w:t>,</w:t>
      </w:r>
      <w:r w:rsidRPr="008642D1">
        <w:rPr>
          <w:i/>
          <w:iCs/>
        </w:rPr>
        <w:t xml:space="preserve"> </w:t>
      </w:r>
      <w:r w:rsidR="00E66638" w:rsidRPr="008642D1">
        <w:t xml:space="preserve">Te Kōti Mana Nui | </w:t>
      </w:r>
      <w:r w:rsidRPr="008642D1">
        <w:t xml:space="preserve">Supreme Court </w:t>
      </w:r>
      <w:r w:rsidR="00582348">
        <w:t>saw</w:t>
      </w:r>
      <w:r w:rsidRPr="008642D1" w:rsidDel="001225C9">
        <w:t xml:space="preserve"> </w:t>
      </w:r>
      <w:r w:rsidRPr="008642D1">
        <w:t xml:space="preserve">an international rule about retirement age </w:t>
      </w:r>
      <w:r w:rsidR="00582348">
        <w:t>as</w:t>
      </w:r>
      <w:r w:rsidRPr="008642D1">
        <w:t xml:space="preserve"> a genuine occupational qualification because it “very substantially affected” the plaintiff’s ability to perform his duties.</w:t>
      </w:r>
      <w:r w:rsidRPr="008642D1">
        <w:rPr>
          <w:rStyle w:val="FootnoteReference"/>
        </w:rPr>
        <w:footnoteReference w:id="454"/>
      </w:r>
      <w:r w:rsidRPr="008642D1">
        <w:t xml:space="preserve"> </w:t>
      </w:r>
    </w:p>
    <w:p w14:paraId="28269176" w14:textId="080FDFB9" w:rsidR="00D55D88" w:rsidRPr="008642D1" w:rsidRDefault="00D55D88" w:rsidP="00D55D88">
      <w:pPr>
        <w:pStyle w:val="BodyText"/>
      </w:pPr>
      <w:r w:rsidRPr="008642D1">
        <w:t xml:space="preserve">The </w:t>
      </w:r>
      <w:r w:rsidR="00E66638" w:rsidRPr="008642D1">
        <w:t xml:space="preserve">Human Rights </w:t>
      </w:r>
      <w:r w:rsidRPr="008642D1">
        <w:t xml:space="preserve">Act does not define </w:t>
      </w:r>
      <w:r w:rsidRPr="008642D1" w:rsidDel="00E66638">
        <w:t>“</w:t>
      </w:r>
      <w:r w:rsidRPr="008642D1">
        <w:t>authenticity</w:t>
      </w:r>
      <w:r w:rsidRPr="008642D1" w:rsidDel="00E66638">
        <w:t>”</w:t>
      </w:r>
      <w:r w:rsidRPr="008642D1">
        <w:t xml:space="preserve"> and we have not found any case law on how the term should be interpreted in section 27(1). Dictionary definitions refer to concepts like being real, true or genuine. </w:t>
      </w:r>
    </w:p>
    <w:p w14:paraId="6AA711AA" w14:textId="77777777" w:rsidR="00D55D88" w:rsidRPr="008642D1" w:rsidRDefault="00D55D88" w:rsidP="00D55D88">
      <w:pPr>
        <w:pStyle w:val="BodyText"/>
      </w:pPr>
      <w:r w:rsidRPr="008642D1">
        <w:t>The provision is based on a similar exception in the Human Rights Commission Act 1977 (the 1977 legislation) that allowed preferential treatment based on sex where:</w:t>
      </w:r>
      <w:r w:rsidRPr="008642D1">
        <w:rPr>
          <w:rStyle w:val="FootnoteReference"/>
        </w:rPr>
        <w:footnoteReference w:id="455"/>
      </w:r>
      <w:r w:rsidRPr="008642D1">
        <w:t xml:space="preserve"> </w:t>
      </w:r>
    </w:p>
    <w:p w14:paraId="265D90A2" w14:textId="77777777" w:rsidR="00D55D88" w:rsidRPr="008642D1" w:rsidRDefault="00D55D88" w:rsidP="00D55D88">
      <w:pPr>
        <w:pStyle w:val="Quote"/>
      </w:pPr>
      <w:r w:rsidRPr="008642D1">
        <w:t xml:space="preserve">For reasons of authenticity, as in theatrical performances, posing for artists, or being a model for the display of clothes, sex is a bona fide occupational qualification for the position or employment. </w:t>
      </w:r>
    </w:p>
    <w:p w14:paraId="6E826393" w14:textId="77777777" w:rsidR="00D55D88" w:rsidRPr="008642D1" w:rsidRDefault="00D55D88" w:rsidP="00D55D88">
      <w:pPr>
        <w:pStyle w:val="BodyText"/>
      </w:pPr>
      <w:r w:rsidRPr="008642D1">
        <w:t>Although the current exception does not refer to types of jobs, the legislative history indicates it, too, was intended to apply to roles such as acting and modelling.</w:t>
      </w:r>
      <w:r w:rsidRPr="008642D1">
        <w:rPr>
          <w:rStyle w:val="FootnoteReference"/>
        </w:rPr>
        <w:footnoteReference w:id="456"/>
      </w:r>
      <w:r w:rsidRPr="008642D1">
        <w:t xml:space="preserve"> The only published complaint of which we are aware where a defendant has relied on section 27(1) involved an advertisement seeking a mature female model.</w:t>
      </w:r>
      <w:r w:rsidRPr="008642D1">
        <w:rPr>
          <w:rStyle w:val="FootnoteReference"/>
        </w:rPr>
        <w:footnoteReference w:id="457"/>
      </w:r>
    </w:p>
    <w:p w14:paraId="1B32FE9B" w14:textId="77777777" w:rsidR="00D55D88" w:rsidRPr="008642D1" w:rsidRDefault="00D55D88" w:rsidP="00B17C35">
      <w:pPr>
        <w:pStyle w:val="BodyText"/>
      </w:pPr>
      <w:r w:rsidRPr="008642D1">
        <w:t xml:space="preserve">Acting or modelling jobs might engage the issue of authenticity where the person needs to look and sound a certain way to fulfil the director’s vision. This might be because the director has a particular character in mind or because the director wants to convey a particular message to the audience. </w:t>
      </w:r>
    </w:p>
    <w:p w14:paraId="0E5E520F" w14:textId="77777777" w:rsidR="00D55D88" w:rsidRPr="008642D1" w:rsidRDefault="00D55D88" w:rsidP="00B17C35">
      <w:pPr>
        <w:pStyle w:val="BodyText"/>
      </w:pPr>
      <w:r w:rsidRPr="008642D1">
        <w:t xml:space="preserve">Beyond how someone looks and sounds, a broader approach to authenticity might see it engaged if the actor or model was well known, making it harder for them to pass to a public audience as having particular characteristics or attributes. If this was the intended scope of the exception, however, it is hard to understand why it would only apply to sex and age. It is notable, for example, that sexual orientation was not added to the exception when it was introduced as a prohibited ground of discrimination in 1993.  </w:t>
      </w:r>
    </w:p>
    <w:p w14:paraId="537EC371" w14:textId="77777777" w:rsidR="00D55D88" w:rsidRPr="008642D1" w:rsidRDefault="00D55D88" w:rsidP="00B17C35">
      <w:pPr>
        <w:pStyle w:val="BodyText"/>
      </w:pPr>
      <w:r w:rsidRPr="008642D1">
        <w:t xml:space="preserve">An even broader approach to authenticity might see it as relating to a person’s life experiences. An example might be an organisation that advocates for women in medicine and wants to have a female doctor as its director so their advocacy is seen as coming </w:t>
      </w:r>
      <w:r w:rsidRPr="008642D1">
        <w:lastRenderedPageBreak/>
        <w:t>from authentic life experience. However, that goes beyond what is signalled in the legislative history and, again, is inconsistent with the confined scope of the exception (only applying to sex and age).</w:t>
      </w:r>
    </w:p>
    <w:p w14:paraId="411CB685" w14:textId="62ACA1A6" w:rsidR="00D55D88" w:rsidRPr="008642D1" w:rsidRDefault="00D55D88" w:rsidP="00B17C35">
      <w:pPr>
        <w:pStyle w:val="BodyText"/>
      </w:pPr>
      <w:r w:rsidRPr="008642D1">
        <w:t>If there were to be a general review of the Human Rights Act, the reach of this section would benefit from clarification drawing on several useful models from legislation overseas.</w:t>
      </w:r>
      <w:r w:rsidRPr="008642D1">
        <w:rPr>
          <w:rStyle w:val="FootnoteReference"/>
        </w:rPr>
        <w:footnoteReference w:id="458"/>
      </w:r>
      <w:r w:rsidRPr="008642D1">
        <w:t xml:space="preserve"> We assume in our analysis below that the narrower approach to authenticity is the correct one </w:t>
      </w:r>
      <w:r w:rsidR="00BF7A1A">
        <w:t xml:space="preserve">— </w:t>
      </w:r>
      <w:r w:rsidRPr="008642D1">
        <w:t>that it primarily relates to how someone looks and sounds.</w:t>
      </w:r>
    </w:p>
    <w:p w14:paraId="0592D873" w14:textId="77777777" w:rsidR="00D55D88" w:rsidRPr="008642D1" w:rsidRDefault="00D55D88" w:rsidP="00D55D88">
      <w:pPr>
        <w:pStyle w:val="Heading4"/>
      </w:pPr>
      <w:r w:rsidRPr="008642D1">
        <w:t>Should the exception be amended to reflect any new grounds?</w:t>
      </w:r>
    </w:p>
    <w:p w14:paraId="0D9A961D" w14:textId="77777777" w:rsidR="00BF633A" w:rsidRDefault="00D55D88" w:rsidP="00BF633A">
      <w:pPr>
        <w:pStyle w:val="BodyText"/>
      </w:pPr>
      <w:r w:rsidRPr="008642D1">
        <w:t>We are interested to understand</w:t>
      </w:r>
      <w:r w:rsidRPr="008642D1" w:rsidDel="009B0F49">
        <w:t xml:space="preserve"> </w:t>
      </w:r>
      <w:r w:rsidRPr="008642D1">
        <w:t>whether the exception in section 27(1) should be amended to reflect any new grounds we propose. A relevant question might be whether there are any jobs where the fact someone is transgender or cisgender, or the fact they have a particular gender identity, gender expression or sex characteristics, is a genuine occupational qualification for reasons of authenticity. We have focused primarily on jobs such as acting and modelling as these were the original rationale for the exception.</w:t>
      </w:r>
    </w:p>
    <w:p w14:paraId="24B54901" w14:textId="77777777" w:rsidR="00BF633A" w:rsidRDefault="00D55D88" w:rsidP="00BF633A">
      <w:pPr>
        <w:pStyle w:val="BodyText"/>
      </w:pPr>
      <w:r w:rsidRPr="008642D1">
        <w:t>Consistent with the rationale for section 27(1) we identified, it is possible a director would only want to cast someone who visibly appears to be cisgender for the role of a cisgender man or woman</w:t>
      </w:r>
      <w:r w:rsidRPr="008642D1" w:rsidDel="008D3380">
        <w:t>,</w:t>
      </w:r>
      <w:r w:rsidRPr="008642D1">
        <w:t xml:space="preserve"> or someone who visibly appears to be transgender for the role of a transgender man or woman. Similarly, we know that some innate variations of sex characteristics relate to appearance (such as some variations affecting breast development). This might support an amendment to the exception to reflect the addition of new grounds.</w:t>
      </w:r>
    </w:p>
    <w:p w14:paraId="6D45A56C" w14:textId="53BD6AC1" w:rsidR="00D55D88" w:rsidRPr="00BF633A" w:rsidRDefault="00D55D88" w:rsidP="00BF633A">
      <w:pPr>
        <w:pStyle w:val="BodyText"/>
      </w:pPr>
      <w:r w:rsidRPr="008642D1">
        <w:t>A danger of such an extension may be that people could be rejected for roles on a broader basis than simply appearance. For example, it could lead to a situation where transgender actors are only ever cast in transgender roles without proper consideration of whether they can authentically play</w:t>
      </w:r>
      <w:r w:rsidRPr="008642D1" w:rsidDel="000D3098">
        <w:t xml:space="preserve"> </w:t>
      </w:r>
      <w:r w:rsidRPr="008642D1">
        <w:t>a cisgender character (in terms of how that character should look and sound). We understand it can be hard for transgender actors to build a career out of the very small number of transgender roles available.</w:t>
      </w:r>
      <w:r w:rsidRPr="008642D1">
        <w:rPr>
          <w:rStyle w:val="FootnoteReference"/>
        </w:rPr>
        <w:footnoteReference w:id="459"/>
      </w:r>
      <w:r w:rsidRPr="008642D1">
        <w:t xml:space="preserve"> </w:t>
      </w:r>
    </w:p>
    <w:p w14:paraId="681B89DB" w14:textId="2E1113B7" w:rsidR="003330CA" w:rsidRPr="008642D1" w:rsidRDefault="006F32B0" w:rsidP="003330CA">
      <w:pPr>
        <w:pStyle w:val="QuestionBox"/>
      </w:pPr>
      <w:r w:rsidRPr="008642D1">
        <w:rPr>
          <w:noProof/>
        </w:rPr>
        <mc:AlternateContent>
          <mc:Choice Requires="wpg">
            <w:drawing>
              <wp:anchor distT="0" distB="0" distL="114300" distR="114300" simplePos="0" relativeHeight="251658324" behindDoc="1" locked="0" layoutInCell="1" allowOverlap="1" wp14:anchorId="602E1976" wp14:editId="74BACB0C">
                <wp:simplePos x="0" y="0"/>
                <wp:positionH relativeFrom="column">
                  <wp:posOffset>7686</wp:posOffset>
                </wp:positionH>
                <wp:positionV relativeFrom="paragraph">
                  <wp:posOffset>9941</wp:posOffset>
                </wp:positionV>
                <wp:extent cx="5760085" cy="1734273"/>
                <wp:effectExtent l="0" t="0" r="0" b="0"/>
                <wp:wrapNone/>
                <wp:docPr id="604378168" name="Group 604378168" descr="Question"/>
                <wp:cNvGraphicFramePr/>
                <a:graphic xmlns:a="http://schemas.openxmlformats.org/drawingml/2006/main">
                  <a:graphicData uri="http://schemas.microsoft.com/office/word/2010/wordprocessingGroup">
                    <wpg:wgp>
                      <wpg:cNvGrpSpPr/>
                      <wpg:grpSpPr>
                        <a:xfrm>
                          <a:off x="0" y="0"/>
                          <a:ext cx="5760085" cy="1734273"/>
                          <a:chOff x="0" y="62865"/>
                          <a:chExt cx="5760085" cy="1735294"/>
                        </a:xfrm>
                      </wpg:grpSpPr>
                      <wps:wsp>
                        <wps:cNvPr id="119996581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5B7514" w14:textId="3D0C8AAA" w:rsidR="006F32B0" w:rsidRDefault="006F32B0" w:rsidP="006F32B0">
                              <w:pPr>
                                <w:pStyle w:val="BoxTitle"/>
                                <w:spacing w:before="0" w:beforeAutospacing="0"/>
                              </w:pPr>
                              <w:r w:rsidRPr="007F6876">
                                <w:t>QUESTION</w:t>
                              </w:r>
                            </w:p>
                          </w:txbxContent>
                        </wps:txbx>
                        <wps:bodyPr rot="0" vert="horz" wrap="square" lIns="91440" tIns="0" rIns="0" bIns="45720" anchor="ctr" anchorCtr="0" upright="1">
                          <a:noAutofit/>
                        </wps:bodyPr>
                      </wps:wsp>
                      <wpg:grpSp>
                        <wpg:cNvPr id="787067975" name="Group 53"/>
                        <wpg:cNvGrpSpPr>
                          <a:grpSpLocks/>
                        </wpg:cNvGrpSpPr>
                        <wpg:grpSpPr bwMode="auto">
                          <a:xfrm>
                            <a:off x="0" y="316170"/>
                            <a:ext cx="5760085" cy="1481989"/>
                            <a:chOff x="1837" y="1791"/>
                            <a:chExt cx="9302" cy="16008"/>
                          </a:xfrm>
                        </wpg:grpSpPr>
                        <wps:wsp>
                          <wps:cNvPr id="458530671" name="Freeform 54"/>
                          <wps:cNvSpPr>
                            <a:spLocks/>
                          </wps:cNvSpPr>
                          <wps:spPr bwMode="auto">
                            <a:xfrm>
                              <a:off x="1837" y="1791"/>
                              <a:ext cx="9302" cy="1600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070964" name="Group 1064070964"/>
                        <wpg:cNvGrpSpPr/>
                        <wpg:grpSpPr>
                          <a:xfrm>
                            <a:off x="0" y="494036"/>
                            <a:ext cx="1443794" cy="252000"/>
                            <a:chOff x="-15880" y="0"/>
                            <a:chExt cx="1444379" cy="252068"/>
                          </a:xfrm>
                        </wpg:grpSpPr>
                        <wps:wsp>
                          <wps:cNvPr id="178765270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61760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F926D0" w14:textId="7D162519" w:rsidR="006F32B0" w:rsidRPr="00E90B8A" w:rsidRDefault="006F32B0" w:rsidP="006F32B0">
                                <w:pPr>
                                  <w:pStyle w:val="BoxTitle"/>
                                  <w:spacing w:before="0" w:beforeAutospacing="0"/>
                                  <w:rPr>
                                    <w:sz w:val="18"/>
                                    <w:szCs w:val="18"/>
                                  </w:rPr>
                                </w:pPr>
                                <w:r w:rsidRPr="00E90B8A">
                                  <w:rPr>
                                    <w:sz w:val="18"/>
                                    <w:szCs w:val="18"/>
                                  </w:rPr>
                                  <w:t>Q</w:t>
                                </w:r>
                                <w:r w:rsidR="00377B8E">
                                  <w:rPr>
                                    <w:sz w:val="18"/>
                                    <w:szCs w:val="18"/>
                                  </w:rPr>
                                  <w:t>2</w:t>
                                </w:r>
                                <w:r w:rsidR="00B9249C">
                                  <w:rPr>
                                    <w:sz w:val="18"/>
                                    <w:szCs w:val="18"/>
                                  </w:rPr>
                                  <w:t>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02E1976" id="Group 604378168" o:spid="_x0000_s1131" alt="Question" style="position:absolute;left:0;text-align:left;margin-left:.6pt;margin-top:.8pt;width:453.55pt;height:136.55pt;z-index:-251658156;mso-height-relative:margin" coordorigin=",628" coordsize="57600,17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">
                <v:shape id="Freeform 52" o:spid="_x0000_s113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65B7514" w14:textId="3D0C8AAA" w:rsidR="006F32B0" w:rsidRDefault="006F32B0" w:rsidP="006F32B0">
                        <w:pPr>
                          <w:pStyle w:val="BoxTitle"/>
                          <w:spacing w:before="0" w:beforeAutospacing="0"/>
                        </w:pPr>
                        <w:r w:rsidRPr="007F6876">
                          <w:t>QUESTION</w:t>
                        </w:r>
                      </w:p>
                    </w:txbxContent>
                  </v:textbox>
                </v:shape>
                <v:group id="Group 53" o:spid="_x0000_s1133" style="position:absolute;top:3161;width:57600;height:14820" coordorigin="1837,1791" coordsize="9302,1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">
                  <v:shape id="Freeform 54" o:spid="_x0000_s1134" style="position:absolute;left:1837;top:1791;width:9302;height:1600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" path="m,l9354,r,7809l,7809,,e" fillcolor="#edf2ea" stroked="f">
                    <v:path arrowok="t" o:connecttype="custom" o:connectlocs="0,2050;9302,2050;9302,18058;0,18058;0,2050" o:connectangles="0,0,0,0,0"/>
                  </v:shape>
                </v:group>
                <v:group id="Group 1064070964" o:spid="_x0000_s113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">
                  <v:shape id="Freeform 58" o:spid="_x0000_s113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" path="m,l1815,e" filled="f" strokecolor="#72ab6a" strokeweight=".5pt">
                    <v:path arrowok="t" o:connecttype="custom" o:connectlocs="0,0;1073495,0" o:connectangles="0,0"/>
                  </v:shape>
                  <v:shape id="Freeform 66" o:spid="_x0000_s113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8F926D0" w14:textId="7D162519" w:rsidR="006F32B0" w:rsidRPr="00E90B8A" w:rsidRDefault="006F32B0" w:rsidP="006F32B0">
                          <w:pPr>
                            <w:pStyle w:val="BoxTitle"/>
                            <w:spacing w:before="0" w:beforeAutospacing="0"/>
                            <w:rPr>
                              <w:sz w:val="18"/>
                              <w:szCs w:val="18"/>
                            </w:rPr>
                          </w:pPr>
                          <w:r w:rsidRPr="00E90B8A">
                            <w:rPr>
                              <w:sz w:val="18"/>
                              <w:szCs w:val="18"/>
                            </w:rPr>
                            <w:t>Q</w:t>
                          </w:r>
                          <w:r w:rsidR="00377B8E">
                            <w:rPr>
                              <w:sz w:val="18"/>
                              <w:szCs w:val="18"/>
                            </w:rPr>
                            <w:t>2</w:t>
                          </w:r>
                          <w:r w:rsidR="00B9249C">
                            <w:rPr>
                              <w:sz w:val="18"/>
                              <w:szCs w:val="18"/>
                            </w:rPr>
                            <w:t>0</w:t>
                          </w:r>
                        </w:p>
                      </w:txbxContent>
                    </v:textbox>
                  </v:shape>
                </v:group>
              </v:group>
            </w:pict>
          </mc:Fallback>
        </mc:AlternateContent>
      </w:r>
    </w:p>
    <w:p w14:paraId="0F005AE1" w14:textId="77777777" w:rsidR="003330CA" w:rsidRPr="008642D1" w:rsidRDefault="003330CA" w:rsidP="003330CA">
      <w:pPr>
        <w:pStyle w:val="QuestionBox"/>
      </w:pPr>
    </w:p>
    <w:p w14:paraId="45870EE7" w14:textId="6795D638" w:rsidR="00C36E7F" w:rsidRDefault="00216EAC" w:rsidP="003330CA">
      <w:pPr>
        <w:pStyle w:val="QuestionBox"/>
      </w:pPr>
      <w:r w:rsidRPr="00216EAC">
        <w:t xml:space="preserve">If new grounds of discrimination are added to the Human Rights Act 1993 to protect people who are transgender or non-binary or who have an innate variation of sex characteristics, should the exception in section 27(1) that applies where sex is a genuine occupational qualification for reasons of authenticity be amended to reflect those new grounds? </w:t>
      </w:r>
    </w:p>
    <w:p w14:paraId="7A47FDAE" w14:textId="77777777" w:rsidR="00C36E7F" w:rsidRDefault="00C36E7F">
      <w:pPr>
        <w:widowControl w:val="0"/>
        <w:spacing w:after="200" w:line="276" w:lineRule="auto"/>
        <w:rPr>
          <w:rFonts w:eastAsia="Metropolis Light" w:cs="Times New Roman"/>
          <w:color w:val="000000" w:themeColor="text1"/>
          <w:szCs w:val="24"/>
          <w:lang w:eastAsia="en-AU"/>
        </w:rPr>
      </w:pPr>
      <w:r>
        <w:br w:type="page"/>
      </w:r>
    </w:p>
    <w:p w14:paraId="7D5CAE40" w14:textId="336E2F6E" w:rsidR="00216EAC" w:rsidRDefault="00C36E7F" w:rsidP="003330CA">
      <w:pPr>
        <w:pStyle w:val="QuestionBox"/>
      </w:pPr>
      <w:r w:rsidRPr="008642D1">
        <w:rPr>
          <w:noProof/>
        </w:rPr>
        <w:lastRenderedPageBreak/>
        <mc:AlternateContent>
          <mc:Choice Requires="wpg">
            <w:drawing>
              <wp:anchor distT="0" distB="0" distL="114300" distR="114300" simplePos="0" relativeHeight="251672717" behindDoc="1" locked="0" layoutInCell="1" allowOverlap="1" wp14:anchorId="251E64E8" wp14:editId="12646A49">
                <wp:simplePos x="0" y="0"/>
                <wp:positionH relativeFrom="column">
                  <wp:posOffset>7686</wp:posOffset>
                </wp:positionH>
                <wp:positionV relativeFrom="paragraph">
                  <wp:posOffset>5124</wp:posOffset>
                </wp:positionV>
                <wp:extent cx="5760085" cy="1024714"/>
                <wp:effectExtent l="0" t="0" r="0" b="4445"/>
                <wp:wrapNone/>
                <wp:docPr id="304971599" name="Group 304971599" descr="Questi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760085" cy="1024714"/>
                          <a:chOff x="0" y="62865"/>
                          <a:chExt cx="5760085" cy="1025313"/>
                        </a:xfrm>
                      </wpg:grpSpPr>
                      <wps:wsp>
                        <wps:cNvPr id="562923753"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B561BC" w14:textId="77777777" w:rsidR="00C36E7F" w:rsidRDefault="00C36E7F" w:rsidP="00C36E7F">
                              <w:pPr>
                                <w:pStyle w:val="BoxTitle"/>
                                <w:spacing w:before="0" w:beforeAutospacing="0"/>
                              </w:pPr>
                              <w:r w:rsidRPr="007F6876">
                                <w:t>QUESTION</w:t>
                              </w:r>
                            </w:p>
                          </w:txbxContent>
                        </wps:txbx>
                        <wps:bodyPr rot="0" vert="horz" wrap="square" lIns="91440" tIns="0" rIns="0" bIns="45720" anchor="ctr" anchorCtr="0" upright="1">
                          <a:noAutofit/>
                        </wps:bodyPr>
                      </wps:wsp>
                      <wpg:grpSp>
                        <wpg:cNvPr id="1593296534" name="Group 53"/>
                        <wpg:cNvGrpSpPr>
                          <a:grpSpLocks/>
                        </wpg:cNvGrpSpPr>
                        <wpg:grpSpPr bwMode="auto">
                          <a:xfrm>
                            <a:off x="0" y="315985"/>
                            <a:ext cx="5760085" cy="772193"/>
                            <a:chOff x="1837" y="1789"/>
                            <a:chExt cx="9302" cy="8341"/>
                          </a:xfrm>
                        </wpg:grpSpPr>
                        <wps:wsp>
                          <wps:cNvPr id="406877317" name="Freeform 54"/>
                          <wps:cNvSpPr>
                            <a:spLocks/>
                          </wps:cNvSpPr>
                          <wps:spPr bwMode="auto">
                            <a:xfrm>
                              <a:off x="1837" y="1789"/>
                              <a:ext cx="9302" cy="834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299816" name="Group 351299816"/>
                        <wpg:cNvGrpSpPr/>
                        <wpg:grpSpPr>
                          <a:xfrm>
                            <a:off x="0" y="494036"/>
                            <a:ext cx="1443794" cy="252000"/>
                            <a:chOff x="-15880" y="0"/>
                            <a:chExt cx="1444379" cy="252068"/>
                          </a:xfrm>
                        </wpg:grpSpPr>
                        <wps:wsp>
                          <wps:cNvPr id="203266526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08498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731C07" w14:textId="51444179" w:rsidR="00C36E7F" w:rsidRPr="00E90B8A" w:rsidRDefault="00C36E7F" w:rsidP="00C36E7F">
                                <w:pPr>
                                  <w:pStyle w:val="BoxTitle"/>
                                  <w:spacing w:before="0" w:beforeAutospacing="0"/>
                                  <w:rPr>
                                    <w:sz w:val="18"/>
                                    <w:szCs w:val="18"/>
                                  </w:rPr>
                                </w:pPr>
                                <w:r w:rsidRPr="00E90B8A">
                                  <w:rPr>
                                    <w:sz w:val="18"/>
                                    <w:szCs w:val="18"/>
                                  </w:rPr>
                                  <w:t>Q</w:t>
                                </w:r>
                                <w:r>
                                  <w:rPr>
                                    <w:sz w:val="18"/>
                                    <w:szCs w:val="18"/>
                                  </w:rPr>
                                  <w:t>21</w:t>
                                </w:r>
                              </w:p>
                              <w:p w14:paraId="5B06EAE5" w14:textId="77777777" w:rsidR="00C36E7F" w:rsidRPr="00E90B8A" w:rsidRDefault="00C36E7F" w:rsidP="00C36E7F">
                                <w:pPr>
                                  <w:pStyle w:val="BoxTitle"/>
                                  <w:spacing w:before="0" w:beforeAutospacing="0"/>
                                  <w:rPr>
                                    <w:sz w:val="18"/>
                                    <w:szCs w:val="18"/>
                                  </w:rPr>
                                </w:pPr>
                                <w:r w:rsidRPr="00E90B8A">
                                  <w:rPr>
                                    <w:sz w:val="18"/>
                                    <w:szCs w:val="18"/>
                                  </w:rPr>
                                  <w:t>Q</w:t>
                                </w:r>
                                <w:r>
                                  <w:rPr>
                                    <w:sz w:val="18"/>
                                    <w:szCs w:val="18"/>
                                  </w:rPr>
                                  <w:t>22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51E64E8" id="Group 304971599" o:spid="_x0000_s1138" alt="Question" style="position:absolute;left:0;text-align:left;margin-left:.6pt;margin-top:.4pt;width:453.55pt;height:80.7pt;z-index:-251643763;mso-height-relative:margin" coordorigin=",628" coordsize="57600,1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">
                <v:shape id="Freeform 52" o:spid="_x0000_s113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3B561BC" w14:textId="77777777" w:rsidR="00C36E7F" w:rsidRDefault="00C36E7F" w:rsidP="00C36E7F">
                        <w:pPr>
                          <w:pStyle w:val="BoxTitle"/>
                          <w:spacing w:before="0" w:beforeAutospacing="0"/>
                        </w:pPr>
                        <w:r w:rsidRPr="007F6876">
                          <w:t>QUESTION</w:t>
                        </w:r>
                      </w:p>
                    </w:txbxContent>
                  </v:textbox>
                </v:shape>
                <v:group id="Group 53" o:spid="_x0000_s1140" style="position:absolute;top:3159;width:57600;height:7722" coordorigin="1837,1789" coordsize="9302,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">
                  <v:shape id="Freeform 54" o:spid="_x0000_s1141" style="position:absolute;left:1837;top:1789;width:9302;height:834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" path="m,l9354,r,7809l,7809,,e" fillcolor="#edf2ea" stroked="f">
                    <v:path arrowok="t" o:connecttype="custom" o:connectlocs="0,1068;9302,1068;9302,9409;0,9409;0,1068" o:connectangles="0,0,0,0,0"/>
                  </v:shape>
                </v:group>
                <v:group id="Group 351299816" o:spid="_x0000_s114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">
                  <v:shape id="Freeform 58" o:spid="_x0000_s114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" path="m,l1815,e" filled="f" strokecolor="#72ab6a" strokeweight=".5pt">
                    <v:path arrowok="t" o:connecttype="custom" o:connectlocs="0,0;1073495,0" o:connectangles="0,0"/>
                  </v:shape>
                  <v:shape id="Freeform 66" o:spid="_x0000_s114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0731C07" w14:textId="51444179" w:rsidR="00C36E7F" w:rsidRPr="00E90B8A" w:rsidRDefault="00C36E7F" w:rsidP="00C36E7F">
                          <w:pPr>
                            <w:pStyle w:val="BoxTitle"/>
                            <w:spacing w:before="0" w:beforeAutospacing="0"/>
                            <w:rPr>
                              <w:sz w:val="18"/>
                              <w:szCs w:val="18"/>
                            </w:rPr>
                          </w:pPr>
                          <w:r w:rsidRPr="00E90B8A">
                            <w:rPr>
                              <w:sz w:val="18"/>
                              <w:szCs w:val="18"/>
                            </w:rPr>
                            <w:t>Q</w:t>
                          </w:r>
                          <w:r>
                            <w:rPr>
                              <w:sz w:val="18"/>
                              <w:szCs w:val="18"/>
                            </w:rPr>
                            <w:t>21</w:t>
                          </w:r>
                        </w:p>
                        <w:p w14:paraId="5B06EAE5" w14:textId="77777777" w:rsidR="00C36E7F" w:rsidRPr="00E90B8A" w:rsidRDefault="00C36E7F" w:rsidP="00C36E7F">
                          <w:pPr>
                            <w:pStyle w:val="BoxTitle"/>
                            <w:spacing w:before="0" w:beforeAutospacing="0"/>
                            <w:rPr>
                              <w:sz w:val="18"/>
                              <w:szCs w:val="18"/>
                            </w:rPr>
                          </w:pPr>
                          <w:r w:rsidRPr="00E90B8A">
                            <w:rPr>
                              <w:sz w:val="18"/>
                              <w:szCs w:val="18"/>
                            </w:rPr>
                            <w:t>Q</w:t>
                          </w:r>
                          <w:r>
                            <w:rPr>
                              <w:sz w:val="18"/>
                              <w:szCs w:val="18"/>
                            </w:rPr>
                            <w:t>22</w:t>
                          </w:r>
                        </w:p>
                      </w:txbxContent>
                    </v:textbox>
                  </v:shape>
                </v:group>
              </v:group>
            </w:pict>
          </mc:Fallback>
        </mc:AlternateContent>
      </w:r>
    </w:p>
    <w:p w14:paraId="2E2F589F" w14:textId="3B360D9F" w:rsidR="00B9249C" w:rsidRDefault="00B9249C" w:rsidP="003330CA">
      <w:pPr>
        <w:pStyle w:val="QuestionBox"/>
      </w:pPr>
    </w:p>
    <w:p w14:paraId="4FF52E3A" w14:textId="23603E9F" w:rsidR="003330CA" w:rsidRDefault="00A71200" w:rsidP="003330CA">
      <w:pPr>
        <w:pStyle w:val="QuestionBox"/>
      </w:pPr>
      <w:r w:rsidRPr="00A71200">
        <w:t>Do you have any additional feedback on the practical implications of amending section 27(1)?</w:t>
      </w:r>
    </w:p>
    <w:p w14:paraId="3EE1B3ED" w14:textId="77777777" w:rsidR="00C36E7F" w:rsidRPr="008642D1" w:rsidRDefault="00C36E7F" w:rsidP="003330CA">
      <w:pPr>
        <w:pStyle w:val="QuestionBox"/>
      </w:pPr>
    </w:p>
    <w:p w14:paraId="0FBD0609" w14:textId="15C2098D" w:rsidR="00D55D88" w:rsidRPr="008642D1" w:rsidRDefault="00D55D88" w:rsidP="00D55D88">
      <w:pPr>
        <w:pStyle w:val="Heading3"/>
      </w:pPr>
      <w:r w:rsidRPr="008642D1">
        <w:t xml:space="preserve">Exception for domestic employment in private households </w:t>
      </w:r>
      <w:r w:rsidR="00BF7A1A">
        <w:t xml:space="preserve">— </w:t>
      </w:r>
      <w:r w:rsidRPr="008642D1">
        <w:t>section 27(2)</w:t>
      </w:r>
    </w:p>
    <w:p w14:paraId="619D4C47" w14:textId="77777777" w:rsidR="00D55D88" w:rsidRPr="008642D1" w:rsidRDefault="00D55D88" w:rsidP="00D55D88">
      <w:pPr>
        <w:pStyle w:val="BodyText"/>
      </w:pPr>
      <w:r w:rsidRPr="008642D1">
        <w:t xml:space="preserve">Section 27(2) of the Human Rights Act allows different treatment in employment based on sex where the position is for domestic employment in a private household. The exception also applies to the grounds of religious belief, ethical belief, disability, age, political opinion and sexual orientation. There were similar exceptions in the 1977 legislation </w:t>
      </w:r>
      <w:r w:rsidRPr="008642D1">
        <w:rPr>
          <w:shd w:val="clear" w:color="auto" w:fill="FFFFFF" w:themeFill="background1"/>
        </w:rPr>
        <w:t>that applied to the grounds of sex and age.</w:t>
      </w:r>
      <w:r w:rsidRPr="008642D1">
        <w:rPr>
          <w:rStyle w:val="FootnoteReference"/>
        </w:rPr>
        <w:footnoteReference w:id="460"/>
      </w:r>
    </w:p>
    <w:p w14:paraId="6A8424CB" w14:textId="77777777" w:rsidR="00D55D88" w:rsidRPr="008642D1" w:rsidRDefault="00D55D88" w:rsidP="00D55D88">
      <w:pPr>
        <w:pStyle w:val="Heading4"/>
      </w:pPr>
      <w:r w:rsidRPr="008642D1">
        <w:t xml:space="preserve">Scope and rationale of the current exception </w:t>
      </w:r>
    </w:p>
    <w:p w14:paraId="6A847A40" w14:textId="1D3B06FB" w:rsidR="00D55D88" w:rsidRPr="008642D1" w:rsidRDefault="00D55D88" w:rsidP="00D55D88">
      <w:pPr>
        <w:pStyle w:val="BodyText"/>
      </w:pPr>
      <w:r w:rsidRPr="008642D1">
        <w:t xml:space="preserve">The term </w:t>
      </w:r>
      <w:r w:rsidRPr="008642D1" w:rsidDel="001644EA">
        <w:t>“</w:t>
      </w:r>
      <w:r w:rsidRPr="008642D1">
        <w:t>domestic</w:t>
      </w:r>
      <w:r w:rsidRPr="008642D1" w:rsidDel="001644EA">
        <w:t>”</w:t>
      </w:r>
      <w:r w:rsidRPr="008642D1">
        <w:t xml:space="preserve"> is not defined in the Act but dictionary definitions suggest it relates to the home, house or family. Domestic employment in a private household could include work as a nanny, a cleaner or a caregiver for a disabled person. </w:t>
      </w:r>
    </w:p>
    <w:p w14:paraId="7752E8C6" w14:textId="77777777" w:rsidR="00D55D88" w:rsidRPr="008642D1" w:rsidRDefault="00D55D88" w:rsidP="00D55D88">
      <w:pPr>
        <w:pStyle w:val="BodyText"/>
      </w:pPr>
      <w:r w:rsidRPr="008642D1">
        <w:t>We think the most likely rationale for the exception was designating a private sphere where the Human Rights Act does not apply. As we discussed in Chapter 4, the Act draws a line between public conduct (which it regulates) and private conduct (which it generally does not). According to the Department of Justice, the idea behind the domestic employment exception was that “some preference should be given to the privacy of a person’s home”.</w:t>
      </w:r>
      <w:r w:rsidRPr="008642D1">
        <w:rPr>
          <w:rStyle w:val="FootnoteReference"/>
        </w:rPr>
        <w:footnoteReference w:id="461"/>
      </w:r>
      <w:r w:rsidRPr="008642D1">
        <w:t xml:space="preserve"> </w:t>
      </w:r>
    </w:p>
    <w:p w14:paraId="42B8F9FA" w14:textId="50DA1E70" w:rsidR="00D55D88" w:rsidRPr="008642D1" w:rsidRDefault="00D55D88" w:rsidP="00D55D88">
      <w:pPr>
        <w:pStyle w:val="BodyText"/>
      </w:pPr>
      <w:r w:rsidRPr="008642D1">
        <w:t xml:space="preserve">If this is the rationale, it would be logical for the exception to apply to all the prohibited grounds in the </w:t>
      </w:r>
      <w:r w:rsidR="001644EA">
        <w:t xml:space="preserve">Human Rights </w:t>
      </w:r>
      <w:r w:rsidRPr="008642D1">
        <w:t>Act. Although the exception applies broadly, several current grounds are omitted.</w:t>
      </w:r>
      <w:r w:rsidRPr="008642D1">
        <w:rPr>
          <w:rStyle w:val="FootnoteReference"/>
        </w:rPr>
        <w:footnoteReference w:id="462"/>
      </w:r>
      <w:r w:rsidRPr="008642D1">
        <w:t xml:space="preserve"> The reason for this (and the logic behind which grounds are covered) is not clear to us. </w:t>
      </w:r>
    </w:p>
    <w:p w14:paraId="4D5AC403" w14:textId="77777777" w:rsidR="00D55D88" w:rsidRPr="008642D1" w:rsidRDefault="00D55D88" w:rsidP="00D55D88">
      <w:pPr>
        <w:pStyle w:val="Heading4"/>
      </w:pPr>
      <w:r w:rsidRPr="008642D1">
        <w:t>Should the exception be amended to reflect any new grounds?</w:t>
      </w:r>
    </w:p>
    <w:p w14:paraId="2E1E78EA" w14:textId="77777777" w:rsidR="00D55D88" w:rsidRPr="008642D1" w:rsidRDefault="00D55D88" w:rsidP="00D55D88">
      <w:pPr>
        <w:pStyle w:val="BodyText"/>
      </w:pPr>
      <w:r w:rsidRPr="008642D1">
        <w:t>We are interested to understand whether the exception in section 27(2) should be amended to reflect any new grounds we propose. The argument in favour of extending the exception to reflect new grounds would be based on</w:t>
      </w:r>
      <w:r w:rsidRPr="008642D1" w:rsidDel="00A05960">
        <w:t xml:space="preserve"> </w:t>
      </w:r>
      <w:r w:rsidRPr="008642D1">
        <w:t>autonomy of the private sphere</w:t>
      </w:r>
      <w:r w:rsidRPr="008642D1" w:rsidDel="00EE3262">
        <w:t xml:space="preserve"> </w:t>
      </w:r>
      <w:r w:rsidRPr="008642D1">
        <w:t xml:space="preserve">rather than there being a good reason for private employers to discriminate based on characteristics such as gender identity or being transgender. </w:t>
      </w:r>
    </w:p>
    <w:p w14:paraId="621169F8" w14:textId="164C6D38" w:rsidR="00C36E7F" w:rsidRDefault="00D55D88" w:rsidP="00D55D88">
      <w:pPr>
        <w:pStyle w:val="BodyText"/>
      </w:pPr>
      <w:r w:rsidRPr="008642D1">
        <w:t xml:space="preserve">On the other hand, as noted above, the basis on which the domestic employment exception applies to some grounds and not others is unclear to us. Given not all grounds are covered, there might be an argument for not extending the exception further in the absence of a clear rationale. We welcome feedback on this. </w:t>
      </w:r>
    </w:p>
    <w:p w14:paraId="0D06C02F" w14:textId="77777777" w:rsidR="00C36E7F" w:rsidRDefault="00C36E7F">
      <w:pPr>
        <w:widowControl w:val="0"/>
        <w:spacing w:after="200" w:line="276" w:lineRule="auto"/>
        <w:rPr>
          <w:rFonts w:eastAsia="Times New Roman" w:cs="Times New Roman"/>
          <w:color w:val="000000" w:themeColor="text1"/>
          <w:szCs w:val="24"/>
          <w:lang w:eastAsia="en-AU"/>
        </w:rPr>
      </w:pPr>
      <w:r>
        <w:br w:type="page"/>
      </w:r>
    </w:p>
    <w:p w14:paraId="74BD1F70" w14:textId="297F2965" w:rsidR="00377B8E" w:rsidRPr="008642D1" w:rsidRDefault="00A37F17" w:rsidP="00377B8E">
      <w:pPr>
        <w:pStyle w:val="QuestionBox"/>
      </w:pPr>
      <w:r w:rsidRPr="008642D1">
        <w:rPr>
          <w:noProof/>
        </w:rPr>
        <w:lastRenderedPageBreak/>
        <mc:AlternateContent>
          <mc:Choice Requires="wpg">
            <w:drawing>
              <wp:anchor distT="0" distB="0" distL="114300" distR="114300" simplePos="0" relativeHeight="251658325" behindDoc="1" locked="0" layoutInCell="1" allowOverlap="1" wp14:anchorId="0E63CA28" wp14:editId="715D8328">
                <wp:simplePos x="0" y="0"/>
                <wp:positionH relativeFrom="column">
                  <wp:posOffset>-8080</wp:posOffset>
                </wp:positionH>
                <wp:positionV relativeFrom="paragraph">
                  <wp:posOffset>-10642</wp:posOffset>
                </wp:positionV>
                <wp:extent cx="5760085" cy="2222898"/>
                <wp:effectExtent l="0" t="0" r="0" b="6350"/>
                <wp:wrapNone/>
                <wp:docPr id="1764160934" name="Group 1764160934" descr="Questi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760085" cy="2222898"/>
                          <a:chOff x="0" y="62865"/>
                          <a:chExt cx="5760085" cy="2224196"/>
                        </a:xfrm>
                      </wpg:grpSpPr>
                      <wps:wsp>
                        <wps:cNvPr id="164301379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861DF7" w14:textId="1BA3C5D3" w:rsidR="00A37F17" w:rsidRDefault="00A37F17" w:rsidP="00A37F17">
                              <w:pPr>
                                <w:pStyle w:val="BoxTitle"/>
                                <w:spacing w:before="0" w:beforeAutospacing="0"/>
                              </w:pPr>
                              <w:r w:rsidRPr="007F6876">
                                <w:t>QUESTION</w:t>
                              </w:r>
                              <w:r w:rsidR="00F557D0">
                                <w:t>S</w:t>
                              </w:r>
                            </w:p>
                          </w:txbxContent>
                        </wps:txbx>
                        <wps:bodyPr rot="0" vert="horz" wrap="square" lIns="91440" tIns="0" rIns="0" bIns="45720" anchor="ctr" anchorCtr="0" upright="1">
                          <a:noAutofit/>
                        </wps:bodyPr>
                      </wps:wsp>
                      <wpg:grpSp>
                        <wpg:cNvPr id="1051240947" name="Group 53"/>
                        <wpg:cNvGrpSpPr>
                          <a:grpSpLocks/>
                        </wpg:cNvGrpSpPr>
                        <wpg:grpSpPr bwMode="auto">
                          <a:xfrm>
                            <a:off x="0" y="315984"/>
                            <a:ext cx="5760085" cy="1971077"/>
                            <a:chOff x="1837" y="1789"/>
                            <a:chExt cx="9302" cy="21291"/>
                          </a:xfrm>
                        </wpg:grpSpPr>
                        <wps:wsp>
                          <wps:cNvPr id="347105670" name="Freeform 54"/>
                          <wps:cNvSpPr>
                            <a:spLocks/>
                          </wps:cNvSpPr>
                          <wps:spPr bwMode="auto">
                            <a:xfrm>
                              <a:off x="1837" y="1789"/>
                              <a:ext cx="9302" cy="2129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3638" name="Group 4483638"/>
                        <wpg:cNvGrpSpPr/>
                        <wpg:grpSpPr>
                          <a:xfrm>
                            <a:off x="0" y="494036"/>
                            <a:ext cx="1443794" cy="252000"/>
                            <a:chOff x="-15880" y="0"/>
                            <a:chExt cx="1444379" cy="252068"/>
                          </a:xfrm>
                        </wpg:grpSpPr>
                        <wps:wsp>
                          <wps:cNvPr id="120075877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26230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4B056A" w14:textId="25FCEB7B" w:rsidR="00A37F17" w:rsidRPr="00E90B8A" w:rsidRDefault="00A37F17" w:rsidP="00A37F17">
                                <w:pPr>
                                  <w:pStyle w:val="BoxTitle"/>
                                  <w:spacing w:before="0" w:beforeAutospacing="0"/>
                                  <w:rPr>
                                    <w:sz w:val="18"/>
                                    <w:szCs w:val="18"/>
                                  </w:rPr>
                                </w:pPr>
                                <w:r w:rsidRPr="00E90B8A">
                                  <w:rPr>
                                    <w:sz w:val="18"/>
                                    <w:szCs w:val="18"/>
                                  </w:rPr>
                                  <w:t>Q</w:t>
                                </w:r>
                                <w:r>
                                  <w:rPr>
                                    <w:sz w:val="18"/>
                                    <w:szCs w:val="18"/>
                                  </w:rPr>
                                  <w:t>2</w:t>
                                </w:r>
                                <w:r w:rsidR="00B724A9">
                                  <w:rPr>
                                    <w:sz w:val="18"/>
                                    <w:szCs w:val="18"/>
                                  </w:rPr>
                                  <w:t>2</w:t>
                                </w:r>
                              </w:p>
                              <w:p w14:paraId="6BD556F4" w14:textId="33F9F579" w:rsidR="00A37F17" w:rsidRPr="00E90B8A" w:rsidRDefault="00A37F17" w:rsidP="00A37F17">
                                <w:pPr>
                                  <w:pStyle w:val="BoxTitle"/>
                                  <w:spacing w:before="0" w:beforeAutospacing="0"/>
                                  <w:rPr>
                                    <w:sz w:val="18"/>
                                    <w:szCs w:val="18"/>
                                  </w:rPr>
                                </w:pPr>
                                <w:r w:rsidRPr="00E90B8A">
                                  <w:rPr>
                                    <w:sz w:val="18"/>
                                    <w:szCs w:val="18"/>
                                  </w:rPr>
                                  <w:t>Q</w:t>
                                </w:r>
                                <w:r>
                                  <w:rPr>
                                    <w:sz w:val="18"/>
                                    <w:szCs w:val="18"/>
                                  </w:rPr>
                                  <w:t>2</w:t>
                                </w:r>
                                <w:r w:rsidR="00B9249C">
                                  <w:rPr>
                                    <w:sz w:val="18"/>
                                    <w:szCs w:val="18"/>
                                  </w:rPr>
                                  <w:t>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E63CA28" id="Group 1764160934" o:spid="_x0000_s1145" alt="Question" style="position:absolute;left:0;text-align:left;margin-left:-.65pt;margin-top:-.85pt;width:453.55pt;height:175.05pt;z-index:-251658155;mso-height-relative:margin" coordorigin=",628" coordsize="57600,2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">
                <v:shape id="Freeform 52" o:spid="_x0000_s114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3861DF7" w14:textId="1BA3C5D3" w:rsidR="00A37F17" w:rsidRDefault="00A37F17" w:rsidP="00A37F17">
                        <w:pPr>
                          <w:pStyle w:val="BoxTitle"/>
                          <w:spacing w:before="0" w:beforeAutospacing="0"/>
                        </w:pPr>
                        <w:r w:rsidRPr="007F6876">
                          <w:t>QUESTION</w:t>
                        </w:r>
                        <w:r w:rsidR="00F557D0">
                          <w:t>S</w:t>
                        </w:r>
                      </w:p>
                    </w:txbxContent>
                  </v:textbox>
                </v:shape>
                <v:group id="Group 53" o:spid="_x0000_s1147" style="position:absolute;top:3159;width:57600;height:19711" coordorigin="1837,1789" coordsize="9302,2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">
                  <v:shape id="Freeform 54" o:spid="_x0000_s1148" style="position:absolute;left:1837;top:1789;width:9302;height:2129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" path="m,l9354,r,7809l,7809,,e" fillcolor="#edf2ea" stroked="f">
                    <v:path arrowok="t" o:connecttype="custom" o:connectlocs="0,2726;9302,2726;9302,24017;0,24017;0,2726" o:connectangles="0,0,0,0,0"/>
                  </v:shape>
                </v:group>
                <v:group id="Group 4483638" o:spid="_x0000_s114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">
                  <v:shape id="Freeform 58" o:spid="_x0000_s115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" path="m,l1815,e" filled="f" strokecolor="#72ab6a" strokeweight=".5pt">
                    <v:path arrowok="t" o:connecttype="custom" o:connectlocs="0,0;1073495,0" o:connectangles="0,0"/>
                  </v:shape>
                  <v:shape id="Freeform 66" o:spid="_x0000_s115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74B056A" w14:textId="25FCEB7B" w:rsidR="00A37F17" w:rsidRPr="00E90B8A" w:rsidRDefault="00A37F17" w:rsidP="00A37F17">
                          <w:pPr>
                            <w:pStyle w:val="BoxTitle"/>
                            <w:spacing w:before="0" w:beforeAutospacing="0"/>
                            <w:rPr>
                              <w:sz w:val="18"/>
                              <w:szCs w:val="18"/>
                            </w:rPr>
                          </w:pPr>
                          <w:r w:rsidRPr="00E90B8A">
                            <w:rPr>
                              <w:sz w:val="18"/>
                              <w:szCs w:val="18"/>
                            </w:rPr>
                            <w:t>Q</w:t>
                          </w:r>
                          <w:r>
                            <w:rPr>
                              <w:sz w:val="18"/>
                              <w:szCs w:val="18"/>
                            </w:rPr>
                            <w:t>2</w:t>
                          </w:r>
                          <w:r w:rsidR="00B724A9">
                            <w:rPr>
                              <w:sz w:val="18"/>
                              <w:szCs w:val="18"/>
                            </w:rPr>
                            <w:t>2</w:t>
                          </w:r>
                        </w:p>
                        <w:p w14:paraId="6BD556F4" w14:textId="33F9F579" w:rsidR="00A37F17" w:rsidRPr="00E90B8A" w:rsidRDefault="00A37F17" w:rsidP="00A37F17">
                          <w:pPr>
                            <w:pStyle w:val="BoxTitle"/>
                            <w:spacing w:before="0" w:beforeAutospacing="0"/>
                            <w:rPr>
                              <w:sz w:val="18"/>
                              <w:szCs w:val="18"/>
                            </w:rPr>
                          </w:pPr>
                          <w:r w:rsidRPr="00E90B8A">
                            <w:rPr>
                              <w:sz w:val="18"/>
                              <w:szCs w:val="18"/>
                            </w:rPr>
                            <w:t>Q</w:t>
                          </w:r>
                          <w:r>
                            <w:rPr>
                              <w:sz w:val="18"/>
                              <w:szCs w:val="18"/>
                            </w:rPr>
                            <w:t>2</w:t>
                          </w:r>
                          <w:r w:rsidR="00B9249C">
                            <w:rPr>
                              <w:sz w:val="18"/>
                              <w:szCs w:val="18"/>
                            </w:rPr>
                            <w:t>2</w:t>
                          </w:r>
                        </w:p>
                      </w:txbxContent>
                    </v:textbox>
                  </v:shape>
                </v:group>
              </v:group>
            </w:pict>
          </mc:Fallback>
        </mc:AlternateContent>
      </w:r>
    </w:p>
    <w:p w14:paraId="4A309A3A" w14:textId="77777777" w:rsidR="00377B8E" w:rsidRPr="008642D1" w:rsidRDefault="00377B8E" w:rsidP="00377B8E">
      <w:pPr>
        <w:pStyle w:val="QuestionBox"/>
      </w:pPr>
    </w:p>
    <w:p w14:paraId="62FFDEEA" w14:textId="3E8D9B95" w:rsidR="00A37F17" w:rsidRPr="008642D1" w:rsidRDefault="00D55D88" w:rsidP="00377B8E">
      <w:pPr>
        <w:pStyle w:val="QuestionBox"/>
      </w:pPr>
      <w:r w:rsidRPr="008642D1">
        <w:t xml:space="preserve">If new grounds of discrimination are added to the Human Rights Act </w:t>
      </w:r>
      <w:r w:rsidR="006975E7" w:rsidRPr="006975E7">
        <w:t xml:space="preserve">1993 </w:t>
      </w:r>
      <w:r w:rsidRPr="008642D1">
        <w:t>to protect people who are transgender</w:t>
      </w:r>
      <w:r w:rsidR="00846240">
        <w:t xml:space="preserve"> or</w:t>
      </w:r>
      <w:r w:rsidRPr="008642D1">
        <w:t xml:space="preserve"> non-binary or </w:t>
      </w:r>
      <w:r w:rsidR="00846240">
        <w:t xml:space="preserve">who </w:t>
      </w:r>
      <w:r w:rsidRPr="008642D1">
        <w:t xml:space="preserve">have an innate variation of sex characteristics, should the exception in section 27(2) for domestic employment in a private household </w:t>
      </w:r>
      <w:r w:rsidR="006975E7" w:rsidRPr="006975E7">
        <w:t>be amended</w:t>
      </w:r>
      <w:r w:rsidRPr="008642D1">
        <w:t xml:space="preserve"> to </w:t>
      </w:r>
      <w:r w:rsidR="006975E7" w:rsidRPr="006975E7">
        <w:t>reflect</w:t>
      </w:r>
      <w:r w:rsidRPr="008642D1">
        <w:t xml:space="preserve"> those new grounds?</w:t>
      </w:r>
    </w:p>
    <w:p w14:paraId="6E90A8AB" w14:textId="397340EC" w:rsidR="006975E7" w:rsidRPr="008642D1" w:rsidRDefault="00F557D0" w:rsidP="00377B8E">
      <w:pPr>
        <w:pStyle w:val="QuestionBox"/>
      </w:pPr>
      <w:r w:rsidRPr="008642D1">
        <w:rPr>
          <w:noProof/>
        </w:rPr>
        <mc:AlternateContent>
          <mc:Choice Requires="wpg">
            <w:drawing>
              <wp:anchor distT="0" distB="0" distL="114300" distR="114300" simplePos="0" relativeHeight="251674765" behindDoc="1" locked="0" layoutInCell="1" allowOverlap="1" wp14:anchorId="24BC39FF" wp14:editId="0B6FA4AC">
                <wp:simplePos x="0" y="0"/>
                <wp:positionH relativeFrom="column">
                  <wp:posOffset>0</wp:posOffset>
                </wp:positionH>
                <wp:positionV relativeFrom="paragraph">
                  <wp:posOffset>154831</wp:posOffset>
                </wp:positionV>
                <wp:extent cx="1443355" cy="251460"/>
                <wp:effectExtent l="0" t="0" r="42545" b="0"/>
                <wp:wrapNone/>
                <wp:docPr id="2130747679"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205858586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05561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4DA458" w14:textId="53CF1ACE" w:rsidR="00F557D0" w:rsidRPr="00E90B8A" w:rsidRDefault="00F557D0" w:rsidP="00F557D0">
                              <w:pPr>
                                <w:pStyle w:val="BoxTitle"/>
                                <w:spacing w:before="0" w:beforeAutospacing="0"/>
                                <w:rPr>
                                  <w:sz w:val="18"/>
                                  <w:szCs w:val="18"/>
                                </w:rPr>
                              </w:pPr>
                              <w:r w:rsidRPr="00E90B8A">
                                <w:rPr>
                                  <w:sz w:val="18"/>
                                  <w:szCs w:val="18"/>
                                </w:rPr>
                                <w:t>Q</w:t>
                              </w:r>
                              <w:r>
                                <w:rPr>
                                  <w:sz w:val="18"/>
                                  <w:szCs w:val="18"/>
                                </w:rPr>
                                <w:t>23</w:t>
                              </w:r>
                            </w:p>
                          </w:txbxContent>
                        </wps:txbx>
                        <wps:bodyPr rot="0" vert="horz" wrap="square" lIns="54000" tIns="82800" rIns="91440" bIns="45720" anchor="ctr" anchorCtr="0" upright="1">
                          <a:noAutofit/>
                        </wps:bodyPr>
                      </wps:wsp>
                    </wpg:wgp>
                  </a:graphicData>
                </a:graphic>
              </wp:anchor>
            </w:drawing>
          </mc:Choice>
          <mc:Fallback>
            <w:pict>
              <v:group w14:anchorId="24BC39FF" id="_x0000_s1152" style="position:absolute;left:0;text-align:left;margin-left:0;margin-top:12.2pt;width:113.65pt;height:19.8pt;z-index:-251641715"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">
                <v:shape id="Freeform 58" o:spid="_x0000_s115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" path="m,l1815,e" filled="f" strokecolor="#72ab6a" strokeweight=".5pt">
                  <v:path arrowok="t" o:connecttype="custom" o:connectlocs="0,0;1073495,0" o:connectangles="0,0"/>
                </v:shape>
                <v:shape id="Freeform 66" o:spid="_x0000_s115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34DA458" w14:textId="53CF1ACE" w:rsidR="00F557D0" w:rsidRPr="00E90B8A" w:rsidRDefault="00F557D0" w:rsidP="00F557D0">
                        <w:pPr>
                          <w:pStyle w:val="BoxTitle"/>
                          <w:spacing w:before="0" w:beforeAutospacing="0"/>
                          <w:rPr>
                            <w:sz w:val="18"/>
                            <w:szCs w:val="18"/>
                          </w:rPr>
                        </w:pPr>
                        <w:r w:rsidRPr="00E90B8A">
                          <w:rPr>
                            <w:sz w:val="18"/>
                            <w:szCs w:val="18"/>
                          </w:rPr>
                          <w:t>Q</w:t>
                        </w:r>
                        <w:r>
                          <w:rPr>
                            <w:sz w:val="18"/>
                            <w:szCs w:val="18"/>
                          </w:rPr>
                          <w:t>23</w:t>
                        </w:r>
                      </w:p>
                    </w:txbxContent>
                  </v:textbox>
                </v:shape>
              </v:group>
            </w:pict>
          </mc:Fallback>
        </mc:AlternateContent>
      </w:r>
    </w:p>
    <w:p w14:paraId="37B05984" w14:textId="6E687C3E" w:rsidR="00A37F17" w:rsidRPr="008642D1" w:rsidRDefault="001823D1" w:rsidP="00377B8E">
      <w:pPr>
        <w:pStyle w:val="QuestionBox"/>
      </w:pPr>
      <w:r w:rsidRPr="001823D1">
        <w:t>Do you have any additional feedback on the practical implications of amending section 27(2)?</w:t>
      </w:r>
    </w:p>
    <w:p w14:paraId="4CEB52A2" w14:textId="77777777" w:rsidR="001823D1" w:rsidRPr="008642D1" w:rsidRDefault="001823D1" w:rsidP="00377B8E">
      <w:pPr>
        <w:pStyle w:val="QuestionBox"/>
      </w:pPr>
    </w:p>
    <w:p w14:paraId="2CA14E85" w14:textId="77777777" w:rsidR="00D55D88" w:rsidRPr="008642D1" w:rsidRDefault="00D55D88" w:rsidP="00D55D88">
      <w:pPr>
        <w:pStyle w:val="Heading3"/>
      </w:pPr>
      <w:r w:rsidRPr="008642D1">
        <w:t>Privacy exception — section 27(3)(a)</w:t>
      </w:r>
    </w:p>
    <w:p w14:paraId="434E225A" w14:textId="77777777" w:rsidR="00D55D88" w:rsidRPr="008642D1" w:rsidRDefault="00D55D88" w:rsidP="00FF70D1">
      <w:pPr>
        <w:pStyle w:val="BodyText"/>
      </w:pPr>
      <w:r w:rsidRPr="008642D1">
        <w:t xml:space="preserve">Section 27(3)(a) of the Human Rights Act allows different treatment in employment based on sex where the position needs to be held by one sex to preserve “reasonable standards of privacy”. </w:t>
      </w:r>
    </w:p>
    <w:p w14:paraId="2788AEF6" w14:textId="77777777" w:rsidR="00D55D88" w:rsidRPr="008642D1" w:rsidRDefault="00D55D88" w:rsidP="00D55D88">
      <w:pPr>
        <w:pStyle w:val="Heading4"/>
      </w:pPr>
      <w:r w:rsidRPr="008642D1">
        <w:t xml:space="preserve">Scope and rationale of the current exception </w:t>
      </w:r>
    </w:p>
    <w:p w14:paraId="41ACEC28" w14:textId="77777777" w:rsidR="00D55D88" w:rsidRPr="008642D1" w:rsidRDefault="00D55D88" w:rsidP="00D55D88">
      <w:pPr>
        <w:pStyle w:val="BodyText"/>
      </w:pPr>
      <w:r w:rsidRPr="008642D1">
        <w:t>The provision is based on an exception in the 1977 legislation that provided:</w:t>
      </w:r>
      <w:r w:rsidRPr="008642D1">
        <w:rPr>
          <w:rStyle w:val="FootnoteReference"/>
        </w:rPr>
        <w:footnoteReference w:id="463"/>
      </w:r>
      <w:r w:rsidRPr="008642D1">
        <w:t xml:space="preserve"> </w:t>
      </w:r>
    </w:p>
    <w:p w14:paraId="21EC9DBD" w14:textId="77777777" w:rsidR="00D55D88" w:rsidRPr="008642D1" w:rsidRDefault="00D55D88" w:rsidP="00D55D88">
      <w:pPr>
        <w:pStyle w:val="Quote"/>
      </w:pPr>
      <w:r w:rsidRPr="008642D1">
        <w:t>In the case of a position such as that of attendant in a public lavatory or as a person responsible for the fitting of clothes to customers or others, the position needs to be held by one sex to preserve reasonable standards of privacy.</w:t>
      </w:r>
    </w:p>
    <w:p w14:paraId="0D6C2205" w14:textId="77777777" w:rsidR="00D55D88" w:rsidRPr="008642D1" w:rsidRDefault="00D55D88" w:rsidP="00D55D88">
      <w:pPr>
        <w:pStyle w:val="BodyText"/>
      </w:pPr>
      <w:r w:rsidRPr="008642D1">
        <w:t xml:space="preserve">Examples of job duties that we think might be relevant include: </w:t>
      </w:r>
    </w:p>
    <w:p w14:paraId="0861E2CD" w14:textId="4B458CEE" w:rsidR="00D55D88" w:rsidRPr="008642D1" w:rsidRDefault="00D55D88" w:rsidP="001E69E7">
      <w:pPr>
        <w:pStyle w:val="BodyText2"/>
        <w:numPr>
          <w:ilvl w:val="3"/>
          <w:numId w:val="52"/>
        </w:numPr>
      </w:pPr>
      <w:r w:rsidRPr="008642D1">
        <w:t>strip searches, such as those performed by a prison guard or Customs agent;</w:t>
      </w:r>
      <w:r w:rsidRPr="008642D1">
        <w:rPr>
          <w:rStyle w:val="FootnoteReference"/>
        </w:rPr>
        <w:footnoteReference w:id="464"/>
      </w:r>
    </w:p>
    <w:p w14:paraId="2E4682CE" w14:textId="77777777" w:rsidR="00D55D88" w:rsidRPr="008642D1" w:rsidRDefault="00D55D88" w:rsidP="00D55D88">
      <w:pPr>
        <w:pStyle w:val="BodyText2"/>
      </w:pPr>
      <w:r w:rsidRPr="008642D1">
        <w:t>beauty therapy services such as massage or intimate waxing;</w:t>
      </w:r>
    </w:p>
    <w:p w14:paraId="6214D261" w14:textId="77777777" w:rsidR="00D55D88" w:rsidRPr="008642D1" w:rsidRDefault="00D55D88" w:rsidP="00D55D88">
      <w:pPr>
        <w:pStyle w:val="BodyText2"/>
      </w:pPr>
      <w:r w:rsidRPr="008642D1">
        <w:t>supervision of a women-only swimming session;</w:t>
      </w:r>
    </w:p>
    <w:p w14:paraId="53D7C042" w14:textId="217E8239" w:rsidR="00D55D88" w:rsidRPr="008642D1" w:rsidRDefault="00D55D88" w:rsidP="00D55D88">
      <w:pPr>
        <w:pStyle w:val="BodyText2"/>
      </w:pPr>
      <w:r w:rsidRPr="008642D1">
        <w:t xml:space="preserve">a sonographer </w:t>
      </w:r>
      <w:r w:rsidR="00B81231">
        <w:t xml:space="preserve">carrying out </w:t>
      </w:r>
      <w:r w:rsidRPr="008642D1">
        <w:t>internal pelvic scans;</w:t>
      </w:r>
    </w:p>
    <w:p w14:paraId="16F788D5" w14:textId="77777777" w:rsidR="00D55D88" w:rsidRPr="008642D1" w:rsidRDefault="00D55D88" w:rsidP="00D55D88">
      <w:pPr>
        <w:pStyle w:val="BodyText2"/>
      </w:pPr>
      <w:r w:rsidRPr="008642D1">
        <w:t>personal care of a disabled or elderly person such as helping with showering and dressing; and</w:t>
      </w:r>
    </w:p>
    <w:p w14:paraId="31491997" w14:textId="77777777" w:rsidR="00D55D88" w:rsidRPr="008642D1" w:rsidRDefault="00D55D88" w:rsidP="00D55D88">
      <w:pPr>
        <w:pStyle w:val="BodyText2"/>
      </w:pPr>
      <w:r w:rsidRPr="008642D1">
        <w:t>fitting bras to customers in a lingerie store.</w:t>
      </w:r>
    </w:p>
    <w:p w14:paraId="5C6770E6" w14:textId="77777777" w:rsidR="00D55D88" w:rsidRPr="008642D1" w:rsidRDefault="00D55D88" w:rsidP="00BF633A">
      <w:pPr>
        <w:pStyle w:val="BodyText"/>
        <w:rPr>
          <w:b/>
          <w:bCs/>
        </w:rPr>
      </w:pPr>
      <w:r w:rsidRPr="008642D1">
        <w:t xml:space="preserve">These are situations where the employee would be interacting with an individual who is only partially clothed. In some of these situations, the employee would need to touch private areas of the person’s body. Some individuals would feel highly vulnerable in this situation and might feel more comfortable if they were interacting with an employee of a particular sex. Some individuals might also have religious beliefs that prevent them from being undressed in front of a person of the opposite sex. For example, we have read of </w:t>
      </w:r>
      <w:r w:rsidRPr="008642D1">
        <w:lastRenderedPageBreak/>
        <w:t>an instance of</w:t>
      </w:r>
      <w:r w:rsidRPr="008642D1" w:rsidDel="0048708B">
        <w:t xml:space="preserve"> </w:t>
      </w:r>
      <w:r w:rsidRPr="008642D1">
        <w:t>Muslim women requesting women-only swimming sessions at their local pool because of religious requirements that prevent men from seeing their bodies.</w:t>
      </w:r>
      <w:r w:rsidRPr="008642D1">
        <w:rPr>
          <w:rStyle w:val="FootnoteReference"/>
        </w:rPr>
        <w:footnoteReference w:id="465"/>
      </w:r>
      <w:r w:rsidRPr="008642D1">
        <w:t xml:space="preserve"> </w:t>
      </w:r>
    </w:p>
    <w:p w14:paraId="0763067E" w14:textId="21A396C4" w:rsidR="00D55D88" w:rsidRPr="008642D1" w:rsidRDefault="00D55D88" w:rsidP="00DA5C86">
      <w:pPr>
        <w:pStyle w:val="BodyText"/>
        <w:rPr>
          <w:b/>
          <w:bCs/>
        </w:rPr>
      </w:pPr>
      <w:r w:rsidRPr="008642D1">
        <w:t>We think the exception is grounded in deeply ingrained social and cultural assumptions about nudity and whether it is acceptable to expose your body to people of the same sex or who are a different sex.</w:t>
      </w:r>
      <w:r w:rsidRPr="008642D1">
        <w:rPr>
          <w:rStyle w:val="FootnoteReference"/>
        </w:rPr>
        <w:footnoteReference w:id="466"/>
      </w:r>
      <w:r w:rsidRPr="008642D1">
        <w:t xml:space="preserve"> </w:t>
      </w:r>
    </w:p>
    <w:p w14:paraId="7CFCC891" w14:textId="77777777" w:rsidR="00D55D88" w:rsidRPr="008642D1" w:rsidRDefault="00D55D88" w:rsidP="00D55D88">
      <w:pPr>
        <w:pStyle w:val="BodyText"/>
      </w:pPr>
      <w:r w:rsidRPr="008642D1">
        <w:t>This exception does not mean</w:t>
      </w:r>
      <w:r w:rsidRPr="008642D1" w:rsidDel="006935AF">
        <w:t xml:space="preserve"> </w:t>
      </w:r>
      <w:r w:rsidRPr="008642D1">
        <w:t>an employer can automatically deny someone a job</w:t>
      </w:r>
      <w:r w:rsidRPr="008642D1" w:rsidDel="003539AE">
        <w:t xml:space="preserve"> </w:t>
      </w:r>
      <w:r w:rsidRPr="008642D1">
        <w:t>just because some of the duties involve intimate contact with a person of another sex. The employer must consider whether the situation could be resolved without unreasonable disruption to them</w:t>
      </w:r>
      <w:r w:rsidRPr="008642D1" w:rsidDel="009C79C6">
        <w:t xml:space="preserve"> </w:t>
      </w:r>
      <w:r w:rsidRPr="008642D1">
        <w:t>by transferring some of the person’s duties to another employee.</w:t>
      </w:r>
      <w:r w:rsidRPr="008642D1">
        <w:rPr>
          <w:rStyle w:val="FootnoteReference"/>
        </w:rPr>
        <w:footnoteReference w:id="467"/>
      </w:r>
      <w:r w:rsidRPr="008642D1">
        <w:t xml:space="preserve"> For example, a male beauty therapist might carry out manicures and facials on all customers but not intimate waxing on women. </w:t>
      </w:r>
    </w:p>
    <w:p w14:paraId="08A756BE" w14:textId="69C6FADA" w:rsidR="00D55D88" w:rsidRPr="008642D1" w:rsidRDefault="00D55D88" w:rsidP="00D55D88">
      <w:pPr>
        <w:pStyle w:val="BodyText"/>
      </w:pPr>
      <w:r w:rsidRPr="008642D1">
        <w:t xml:space="preserve">In some situations, an alternative to restricting particular duties to employees of one sex might be to make a chaperone available. For example, Pacific Radiology </w:t>
      </w:r>
      <w:r w:rsidR="00692200">
        <w:t>provides a chap</w:t>
      </w:r>
      <w:r w:rsidR="004C04AB">
        <w:t xml:space="preserve">erone </w:t>
      </w:r>
      <w:r w:rsidRPr="008642D1">
        <w:t>when a transvaginal scan is carried out by a male sonographer.</w:t>
      </w:r>
      <w:r w:rsidRPr="008642D1">
        <w:rPr>
          <w:rStyle w:val="FootnoteReference"/>
        </w:rPr>
        <w:footnoteReference w:id="468"/>
      </w:r>
      <w:r w:rsidRPr="008642D1">
        <w:t xml:space="preserve"> </w:t>
      </w:r>
    </w:p>
    <w:p w14:paraId="16B77870" w14:textId="77777777" w:rsidR="00D55D88" w:rsidRPr="008642D1" w:rsidRDefault="00D55D88" w:rsidP="00D55D88">
      <w:pPr>
        <w:pStyle w:val="BodyText"/>
      </w:pPr>
      <w:r w:rsidRPr="008642D1">
        <w:t>We think</w:t>
      </w:r>
      <w:r w:rsidRPr="008642D1" w:rsidDel="000D5071">
        <w:t xml:space="preserve"> </w:t>
      </w:r>
      <w:r w:rsidRPr="008642D1">
        <w:t>the scope of this exception could be clearer as the concept of “reasonable standards of privacy” could be interpreted as applying more widely than just in situations involving nudity.</w:t>
      </w:r>
      <w:r w:rsidRPr="008642D1">
        <w:rPr>
          <w:rStyle w:val="FootnoteReference"/>
        </w:rPr>
        <w:footnoteReference w:id="469"/>
      </w:r>
      <w:r w:rsidRPr="008642D1">
        <w:t xml:space="preserve"> This is an issue that could be considered on a general review of the Human Rights Act. </w:t>
      </w:r>
    </w:p>
    <w:p w14:paraId="17942A1F" w14:textId="77777777" w:rsidR="00D55D88" w:rsidRPr="008642D1" w:rsidRDefault="00D55D88" w:rsidP="00D55D88">
      <w:pPr>
        <w:pStyle w:val="Heading4"/>
      </w:pPr>
      <w:r w:rsidRPr="008642D1">
        <w:t>Should the exception be amended</w:t>
      </w:r>
      <w:r w:rsidRPr="008642D1" w:rsidDel="00FA5F50">
        <w:t xml:space="preserve"> </w:t>
      </w:r>
      <w:r w:rsidRPr="008642D1">
        <w:t xml:space="preserve">to reflect any new grounds? </w:t>
      </w:r>
    </w:p>
    <w:p w14:paraId="2A209B0A" w14:textId="77777777" w:rsidR="00D55D88" w:rsidRPr="008642D1" w:rsidRDefault="00D55D88" w:rsidP="00D55D88">
      <w:pPr>
        <w:pStyle w:val="BodyText"/>
      </w:pPr>
      <w:r w:rsidRPr="008642D1">
        <w:t>We are interested to understand whether the exception in section 27(3)(a) should be amended to reflect any new grounds we propose. We think the issue here is whether the exception should be amended to clarify people are entitled to treat someone differently based on their sex characteristics or sex assigned at birth. The argument in favour of amending the exception is that there may be situations where a person is not comfortable with someone of a different sex assigned at birth or</w:t>
      </w:r>
      <w:r w:rsidRPr="008642D1" w:rsidDel="00826C27">
        <w:t xml:space="preserve"> </w:t>
      </w:r>
      <w:r w:rsidRPr="008642D1">
        <w:t>sex characteristics providing them with very personal and private services. If the rationale for the exception is to allow the individual to feel comfortable in a highly private situation, an exception might be justified even if the person’s lack of comfort is based on prudishness, irrational fear or prejudice. Control over the extent to which others have access to one’s naked body has been described as a core aspect of the right to privacy we discussed in Chapter 4.</w:t>
      </w:r>
      <w:r w:rsidRPr="008642D1">
        <w:rPr>
          <w:rStyle w:val="FootnoteReference"/>
        </w:rPr>
        <w:footnoteReference w:id="470"/>
      </w:r>
    </w:p>
    <w:p w14:paraId="3FE895D1" w14:textId="2213517F" w:rsidR="00D55D88" w:rsidRPr="008642D1" w:rsidRDefault="00D55D88" w:rsidP="00D55D88">
      <w:pPr>
        <w:pStyle w:val="BodyText"/>
      </w:pPr>
      <w:r w:rsidRPr="008642D1">
        <w:t>On the other hand, as we explained in Chapter 8, a general concern with which we need to grapple is the potential for exceptions that turn on sex characteristics or sex assigned at birth</w:t>
      </w:r>
      <w:r w:rsidRPr="008642D1" w:rsidDel="00CB028A">
        <w:t xml:space="preserve"> </w:t>
      </w:r>
      <w:r w:rsidRPr="008642D1">
        <w:t xml:space="preserve">to create privacy issues of their own. That concern is clearly present here. Extending the exception in this way may result in employers asking job applicants to </w:t>
      </w:r>
      <w:r w:rsidRPr="008642D1">
        <w:lastRenderedPageBreak/>
        <w:t>disclose information about their sex assigned at birth</w:t>
      </w:r>
      <w:r w:rsidRPr="008642D1" w:rsidDel="00526061">
        <w:t xml:space="preserve"> </w:t>
      </w:r>
      <w:r w:rsidRPr="008642D1">
        <w:t>or sex characteristics</w:t>
      </w:r>
      <w:r w:rsidRPr="008642D1" w:rsidDel="00020080">
        <w:t>,</w:t>
      </w:r>
      <w:r w:rsidRPr="008642D1">
        <w:t xml:space="preserve"> or asking employees to disclose such information to clients. It could also lead to employers making assumptions about clients’ discomfort with gender diversity. </w:t>
      </w:r>
    </w:p>
    <w:p w14:paraId="54F30B79" w14:textId="40554D6F" w:rsidR="00361532" w:rsidRPr="008642D1" w:rsidRDefault="004E0ECB" w:rsidP="00361532">
      <w:pPr>
        <w:pStyle w:val="QuestionBox"/>
      </w:pPr>
      <w:r w:rsidRPr="008642D1">
        <w:rPr>
          <w:noProof/>
        </w:rPr>
        <mc:AlternateContent>
          <mc:Choice Requires="wpg">
            <w:drawing>
              <wp:anchor distT="0" distB="0" distL="114300" distR="114300" simplePos="0" relativeHeight="251658327" behindDoc="1" locked="0" layoutInCell="1" allowOverlap="1" wp14:anchorId="238882F4" wp14:editId="6663C798">
                <wp:simplePos x="0" y="0"/>
                <wp:positionH relativeFrom="column">
                  <wp:posOffset>520</wp:posOffset>
                </wp:positionH>
                <wp:positionV relativeFrom="paragraph">
                  <wp:posOffset>4305</wp:posOffset>
                </wp:positionV>
                <wp:extent cx="5760085" cy="2173205"/>
                <wp:effectExtent l="0" t="0" r="0" b="0"/>
                <wp:wrapNone/>
                <wp:docPr id="1940562315" name="Group 1940562315" descr="Question"/>
                <wp:cNvGraphicFramePr/>
                <a:graphic xmlns:a="http://schemas.openxmlformats.org/drawingml/2006/main">
                  <a:graphicData uri="http://schemas.microsoft.com/office/word/2010/wordprocessingGroup">
                    <wpg:wgp>
                      <wpg:cNvGrpSpPr/>
                      <wpg:grpSpPr>
                        <a:xfrm>
                          <a:off x="0" y="0"/>
                          <a:ext cx="5760085" cy="2173205"/>
                          <a:chOff x="0" y="62865"/>
                          <a:chExt cx="5760085" cy="2174484"/>
                        </a:xfrm>
                      </wpg:grpSpPr>
                      <wps:wsp>
                        <wps:cNvPr id="208262329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392200" w14:textId="77777777" w:rsidR="004E0ECB" w:rsidRDefault="004E0ECB" w:rsidP="004E0ECB">
                              <w:pPr>
                                <w:pStyle w:val="BoxTitle"/>
                                <w:spacing w:before="0" w:beforeAutospacing="0"/>
                              </w:pPr>
                              <w:r w:rsidRPr="007F6876">
                                <w:t>QUESTION</w:t>
                              </w:r>
                              <w:r>
                                <w:t>S</w:t>
                              </w:r>
                            </w:p>
                          </w:txbxContent>
                        </wps:txbx>
                        <wps:bodyPr rot="0" vert="horz" wrap="square" lIns="91440" tIns="0" rIns="0" bIns="45720" anchor="ctr" anchorCtr="0" upright="1">
                          <a:noAutofit/>
                        </wps:bodyPr>
                      </wps:wsp>
                      <wpg:grpSp>
                        <wpg:cNvPr id="1246635526" name="Group 53"/>
                        <wpg:cNvGrpSpPr>
                          <a:grpSpLocks/>
                        </wpg:cNvGrpSpPr>
                        <wpg:grpSpPr bwMode="auto">
                          <a:xfrm>
                            <a:off x="0" y="316170"/>
                            <a:ext cx="5760085" cy="1921179"/>
                            <a:chOff x="1837" y="1791"/>
                            <a:chExt cx="9302" cy="20752"/>
                          </a:xfrm>
                        </wpg:grpSpPr>
                        <wps:wsp>
                          <wps:cNvPr id="298144874" name="Freeform 54"/>
                          <wps:cNvSpPr>
                            <a:spLocks/>
                          </wps:cNvSpPr>
                          <wps:spPr bwMode="auto">
                            <a:xfrm>
                              <a:off x="1837" y="1791"/>
                              <a:ext cx="9302" cy="2075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7025989" name="Group 1897025989"/>
                        <wpg:cNvGrpSpPr/>
                        <wpg:grpSpPr>
                          <a:xfrm>
                            <a:off x="0" y="494036"/>
                            <a:ext cx="1443794" cy="252000"/>
                            <a:chOff x="-15880" y="0"/>
                            <a:chExt cx="1444379" cy="252068"/>
                          </a:xfrm>
                        </wpg:grpSpPr>
                        <wps:wsp>
                          <wps:cNvPr id="183984044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07381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0384AD" w14:textId="7D667AF8" w:rsidR="004E0ECB" w:rsidRPr="00E90B8A" w:rsidRDefault="004E0ECB" w:rsidP="004E0ECB">
                                <w:pPr>
                                  <w:pStyle w:val="BoxTitle"/>
                                  <w:spacing w:before="0" w:beforeAutospacing="0"/>
                                  <w:rPr>
                                    <w:sz w:val="18"/>
                                    <w:szCs w:val="18"/>
                                  </w:rPr>
                                </w:pPr>
                                <w:r w:rsidRPr="00E90B8A">
                                  <w:rPr>
                                    <w:sz w:val="18"/>
                                    <w:szCs w:val="18"/>
                                  </w:rPr>
                                  <w:t>Q</w:t>
                                </w:r>
                                <w:r w:rsidR="00443B96">
                                  <w:rPr>
                                    <w:sz w:val="18"/>
                                    <w:szCs w:val="18"/>
                                  </w:rPr>
                                  <w:t>2</w:t>
                                </w:r>
                                <w:r w:rsidR="00975F65">
                                  <w:rPr>
                                    <w:sz w:val="18"/>
                                    <w:szCs w:val="18"/>
                                  </w:rPr>
                                  <w:t>4</w:t>
                                </w:r>
                              </w:p>
                              <w:p w14:paraId="0BB92B2A" w14:textId="478F92E7" w:rsidR="004E0ECB" w:rsidRPr="00E90B8A" w:rsidRDefault="004E0ECB" w:rsidP="004E0ECB">
                                <w:pPr>
                                  <w:pStyle w:val="BoxTitle"/>
                                  <w:spacing w:before="0" w:beforeAutospacing="0"/>
                                  <w:rPr>
                                    <w:sz w:val="18"/>
                                    <w:szCs w:val="18"/>
                                  </w:rPr>
                                </w:pPr>
                                <w:r w:rsidRPr="00E90B8A">
                                  <w:rPr>
                                    <w:sz w:val="18"/>
                                    <w:szCs w:val="18"/>
                                  </w:rPr>
                                  <w:t>Q</w:t>
                                </w:r>
                                <w:r w:rsidR="00443B96">
                                  <w:rPr>
                                    <w:sz w:val="18"/>
                                    <w:szCs w:val="18"/>
                                  </w:rPr>
                                  <w:t>2</w:t>
                                </w:r>
                                <w:r w:rsidR="00B9249C">
                                  <w:rPr>
                                    <w:sz w:val="18"/>
                                    <w:szCs w:val="18"/>
                                  </w:rPr>
                                  <w:t>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38882F4" id="Group 1940562315" o:spid="_x0000_s1155" alt="Question" style="position:absolute;left:0;text-align:left;margin-left:.05pt;margin-top:.35pt;width:453.55pt;height:171.1pt;z-index:-251658153;mso-height-relative:margin" coordorigin=",628" coordsize="57600,21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">
                <v:shape id="Freeform 52" o:spid="_x0000_s115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E392200" w14:textId="77777777" w:rsidR="004E0ECB" w:rsidRDefault="004E0ECB" w:rsidP="004E0ECB">
                        <w:pPr>
                          <w:pStyle w:val="BoxTitle"/>
                          <w:spacing w:before="0" w:beforeAutospacing="0"/>
                        </w:pPr>
                        <w:r w:rsidRPr="007F6876">
                          <w:t>QUESTION</w:t>
                        </w:r>
                        <w:r>
                          <w:t>S</w:t>
                        </w:r>
                      </w:p>
                    </w:txbxContent>
                  </v:textbox>
                </v:shape>
                <v:group id="Group 53" o:spid="_x0000_s1157" style="position:absolute;top:3161;width:57600;height:19212" coordorigin="1837,1791" coordsize="9302,2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">
                  <v:shape id="Freeform 54" o:spid="_x0000_s1158" style="position:absolute;left:1837;top:1791;width:9302;height:2075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" path="m,l9354,r,7809l,7809,,e" fillcolor="#edf2ea" stroked="f">
                    <v:path arrowok="t" o:connecttype="custom" o:connectlocs="0,2657;9302,2657;9302,23409;0,23409;0,2657" o:connectangles="0,0,0,0,0"/>
                  </v:shape>
                </v:group>
                <v:group id="Group 1897025989" o:spid="_x0000_s115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">
                  <v:shape id="Freeform 58" o:spid="_x0000_s116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" path="m,l1815,e" filled="f" strokecolor="#72ab6a" strokeweight=".5pt">
                    <v:path arrowok="t" o:connecttype="custom" o:connectlocs="0,0;1073495,0" o:connectangles="0,0"/>
                  </v:shape>
                  <v:shape id="Freeform 66" o:spid="_x0000_s116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A0384AD" w14:textId="7D667AF8" w:rsidR="004E0ECB" w:rsidRPr="00E90B8A" w:rsidRDefault="004E0ECB" w:rsidP="004E0ECB">
                          <w:pPr>
                            <w:pStyle w:val="BoxTitle"/>
                            <w:spacing w:before="0" w:beforeAutospacing="0"/>
                            <w:rPr>
                              <w:sz w:val="18"/>
                              <w:szCs w:val="18"/>
                            </w:rPr>
                          </w:pPr>
                          <w:r w:rsidRPr="00E90B8A">
                            <w:rPr>
                              <w:sz w:val="18"/>
                              <w:szCs w:val="18"/>
                            </w:rPr>
                            <w:t>Q</w:t>
                          </w:r>
                          <w:r w:rsidR="00443B96">
                            <w:rPr>
                              <w:sz w:val="18"/>
                              <w:szCs w:val="18"/>
                            </w:rPr>
                            <w:t>2</w:t>
                          </w:r>
                          <w:r w:rsidR="00975F65">
                            <w:rPr>
                              <w:sz w:val="18"/>
                              <w:szCs w:val="18"/>
                            </w:rPr>
                            <w:t>4</w:t>
                          </w:r>
                        </w:p>
                        <w:p w14:paraId="0BB92B2A" w14:textId="478F92E7" w:rsidR="004E0ECB" w:rsidRPr="00E90B8A" w:rsidRDefault="004E0ECB" w:rsidP="004E0ECB">
                          <w:pPr>
                            <w:pStyle w:val="BoxTitle"/>
                            <w:spacing w:before="0" w:beforeAutospacing="0"/>
                            <w:rPr>
                              <w:sz w:val="18"/>
                              <w:szCs w:val="18"/>
                            </w:rPr>
                          </w:pPr>
                          <w:r w:rsidRPr="00E90B8A">
                            <w:rPr>
                              <w:sz w:val="18"/>
                              <w:szCs w:val="18"/>
                            </w:rPr>
                            <w:t>Q</w:t>
                          </w:r>
                          <w:r w:rsidR="00443B96">
                            <w:rPr>
                              <w:sz w:val="18"/>
                              <w:szCs w:val="18"/>
                            </w:rPr>
                            <w:t>2</w:t>
                          </w:r>
                          <w:r w:rsidR="00B9249C">
                            <w:rPr>
                              <w:sz w:val="18"/>
                              <w:szCs w:val="18"/>
                            </w:rPr>
                            <w:t>4</w:t>
                          </w:r>
                        </w:p>
                      </w:txbxContent>
                    </v:textbox>
                  </v:shape>
                </v:group>
              </v:group>
            </w:pict>
          </mc:Fallback>
        </mc:AlternateContent>
      </w:r>
    </w:p>
    <w:p w14:paraId="207C901D" w14:textId="77777777" w:rsidR="00980482" w:rsidRPr="008642D1" w:rsidRDefault="00980482" w:rsidP="00361532">
      <w:pPr>
        <w:pStyle w:val="QuestionBox"/>
      </w:pPr>
    </w:p>
    <w:p w14:paraId="53E45E17" w14:textId="77777777" w:rsidR="00EE3EE3" w:rsidRDefault="00EE3EE3" w:rsidP="00361532">
      <w:pPr>
        <w:pStyle w:val="QuestionBox"/>
      </w:pPr>
      <w:r w:rsidRPr="00EE3EE3">
        <w:t xml:space="preserve">If new grounds of discrimination are added to the Human Rights Act 1993 to protect people who are transgender or non-binary or who have an innate variation of sex characteristics, should the privacy exception in section 27(3)(a) be amended to reflect those new grounds? </w:t>
      </w:r>
    </w:p>
    <w:p w14:paraId="5432F4CB" w14:textId="02ECDCEF" w:rsidR="00980482" w:rsidRPr="008642D1" w:rsidRDefault="00DE39E6" w:rsidP="00361532">
      <w:pPr>
        <w:pStyle w:val="QuestionBox"/>
      </w:pPr>
      <w:r w:rsidRPr="008642D1">
        <w:rPr>
          <w:noProof/>
        </w:rPr>
        <mc:AlternateContent>
          <mc:Choice Requires="wpg">
            <w:drawing>
              <wp:anchor distT="0" distB="0" distL="114300" distR="114300" simplePos="0" relativeHeight="251658328" behindDoc="1" locked="0" layoutInCell="1" allowOverlap="1" wp14:anchorId="4D28B16B" wp14:editId="5222DB84">
                <wp:simplePos x="0" y="0"/>
                <wp:positionH relativeFrom="column">
                  <wp:posOffset>0</wp:posOffset>
                </wp:positionH>
                <wp:positionV relativeFrom="paragraph">
                  <wp:posOffset>181800</wp:posOffset>
                </wp:positionV>
                <wp:extent cx="1443355" cy="251460"/>
                <wp:effectExtent l="0" t="0" r="42545" b="0"/>
                <wp:wrapNone/>
                <wp:docPr id="493867216"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89610321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86369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D9C9EF" w14:textId="0C3D705B" w:rsidR="00DE39E6" w:rsidRPr="00E90B8A" w:rsidRDefault="00DE39E6" w:rsidP="00DE39E6">
                              <w:pPr>
                                <w:pStyle w:val="BoxTitle"/>
                                <w:spacing w:before="0" w:beforeAutospacing="0"/>
                                <w:rPr>
                                  <w:sz w:val="18"/>
                                  <w:szCs w:val="18"/>
                                </w:rPr>
                              </w:pPr>
                              <w:r w:rsidRPr="00E90B8A">
                                <w:rPr>
                                  <w:sz w:val="18"/>
                                  <w:szCs w:val="18"/>
                                </w:rPr>
                                <w:t>Q</w:t>
                              </w:r>
                              <w:r w:rsidR="00443B96">
                                <w:rPr>
                                  <w:sz w:val="18"/>
                                  <w:szCs w:val="18"/>
                                </w:rPr>
                                <w:t>2</w:t>
                              </w:r>
                              <w:r w:rsidR="00470D71">
                                <w:rPr>
                                  <w:sz w:val="18"/>
                                  <w:szCs w:val="18"/>
                                </w:rPr>
                                <w:t>5</w:t>
                              </w:r>
                            </w:p>
                            <w:p w14:paraId="154FD5D5" w14:textId="2405DC1B" w:rsidR="00DE39E6" w:rsidRPr="00E90B8A" w:rsidRDefault="00DE39E6" w:rsidP="00DE39E6">
                              <w:pPr>
                                <w:pStyle w:val="BoxTitle"/>
                                <w:spacing w:before="0" w:beforeAutospacing="0"/>
                                <w:rPr>
                                  <w:sz w:val="18"/>
                                  <w:szCs w:val="18"/>
                                </w:rPr>
                              </w:pPr>
                              <w:r w:rsidRPr="00E90B8A">
                                <w:rPr>
                                  <w:sz w:val="18"/>
                                  <w:szCs w:val="18"/>
                                </w:rPr>
                                <w:t>Q</w:t>
                              </w:r>
                              <w:r w:rsidR="00443B96">
                                <w:rPr>
                                  <w:sz w:val="18"/>
                                  <w:szCs w:val="18"/>
                                </w:rPr>
                                <w:t>2</w:t>
                              </w:r>
                              <w:r w:rsidR="00B9249C">
                                <w:rPr>
                                  <w:sz w:val="18"/>
                                  <w:szCs w:val="18"/>
                                </w:rPr>
                                <w:t>5</w:t>
                              </w:r>
                            </w:p>
                          </w:txbxContent>
                        </wps:txbx>
                        <wps:bodyPr rot="0" vert="horz" wrap="square" lIns="54000" tIns="82800" rIns="91440" bIns="45720" anchor="ctr" anchorCtr="0" upright="1">
                          <a:noAutofit/>
                        </wps:bodyPr>
                      </wps:wsp>
                    </wpg:wgp>
                  </a:graphicData>
                </a:graphic>
              </wp:anchor>
            </w:drawing>
          </mc:Choice>
          <mc:Fallback>
            <w:pict>
              <v:group w14:anchorId="4D28B16B" id="_x0000_s1162" style="position:absolute;left:0;text-align:left;margin-left:0;margin-top:14.3pt;width:113.65pt;height:19.8pt;z-index:-251658152"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">
                <v:shape id="Freeform 58" o:spid="_x0000_s116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" path="m,l1815,e" filled="f" strokecolor="#72ab6a" strokeweight=".5pt">
                  <v:path arrowok="t" o:connecttype="custom" o:connectlocs="0,0;1073495,0" o:connectangles="0,0"/>
                </v:shape>
                <v:shape id="Freeform 66" o:spid="_x0000_s116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FD9C9EF" w14:textId="0C3D705B" w:rsidR="00DE39E6" w:rsidRPr="00E90B8A" w:rsidRDefault="00DE39E6" w:rsidP="00DE39E6">
                        <w:pPr>
                          <w:pStyle w:val="BoxTitle"/>
                          <w:spacing w:before="0" w:beforeAutospacing="0"/>
                          <w:rPr>
                            <w:sz w:val="18"/>
                            <w:szCs w:val="18"/>
                          </w:rPr>
                        </w:pPr>
                        <w:r w:rsidRPr="00E90B8A">
                          <w:rPr>
                            <w:sz w:val="18"/>
                            <w:szCs w:val="18"/>
                          </w:rPr>
                          <w:t>Q</w:t>
                        </w:r>
                        <w:r w:rsidR="00443B96">
                          <w:rPr>
                            <w:sz w:val="18"/>
                            <w:szCs w:val="18"/>
                          </w:rPr>
                          <w:t>2</w:t>
                        </w:r>
                        <w:r w:rsidR="00470D71">
                          <w:rPr>
                            <w:sz w:val="18"/>
                            <w:szCs w:val="18"/>
                          </w:rPr>
                          <w:t>5</w:t>
                        </w:r>
                      </w:p>
                      <w:p w14:paraId="154FD5D5" w14:textId="2405DC1B" w:rsidR="00DE39E6" w:rsidRPr="00E90B8A" w:rsidRDefault="00DE39E6" w:rsidP="00DE39E6">
                        <w:pPr>
                          <w:pStyle w:val="BoxTitle"/>
                          <w:spacing w:before="0" w:beforeAutospacing="0"/>
                          <w:rPr>
                            <w:sz w:val="18"/>
                            <w:szCs w:val="18"/>
                          </w:rPr>
                        </w:pPr>
                        <w:r w:rsidRPr="00E90B8A">
                          <w:rPr>
                            <w:sz w:val="18"/>
                            <w:szCs w:val="18"/>
                          </w:rPr>
                          <w:t>Q</w:t>
                        </w:r>
                        <w:r w:rsidR="00443B96">
                          <w:rPr>
                            <w:sz w:val="18"/>
                            <w:szCs w:val="18"/>
                          </w:rPr>
                          <w:t>2</w:t>
                        </w:r>
                        <w:r w:rsidR="00B9249C">
                          <w:rPr>
                            <w:sz w:val="18"/>
                            <w:szCs w:val="18"/>
                          </w:rPr>
                          <w:t>5</w:t>
                        </w:r>
                      </w:p>
                    </w:txbxContent>
                  </v:textbox>
                </v:shape>
              </v:group>
            </w:pict>
          </mc:Fallback>
        </mc:AlternateContent>
      </w:r>
    </w:p>
    <w:p w14:paraId="69988371" w14:textId="46D6B6E8" w:rsidR="00980482" w:rsidRPr="008642D1" w:rsidRDefault="00C73654" w:rsidP="00980482">
      <w:pPr>
        <w:pStyle w:val="QuestionBox"/>
      </w:pPr>
      <w:r w:rsidRPr="00C73654">
        <w:t>Do you have any additional feedback on the practical implications of amending section 27(3)(a)?</w:t>
      </w:r>
    </w:p>
    <w:p w14:paraId="140397D9" w14:textId="77777777" w:rsidR="00C73654" w:rsidRPr="008642D1" w:rsidRDefault="00C73654" w:rsidP="00980482">
      <w:pPr>
        <w:pStyle w:val="QuestionBox"/>
      </w:pPr>
    </w:p>
    <w:p w14:paraId="2BD80B7A" w14:textId="77777777" w:rsidR="00D55D88" w:rsidRPr="008642D1" w:rsidRDefault="00D55D88" w:rsidP="00D55D88">
      <w:pPr>
        <w:pStyle w:val="Heading3"/>
      </w:pPr>
      <w:r w:rsidRPr="008642D1">
        <w:t>Exceptions for employer-provided accommodation — sections 27(3)(b) and 27(5)</w:t>
      </w:r>
    </w:p>
    <w:p w14:paraId="1A3D0D9B" w14:textId="77777777" w:rsidR="00D55D88" w:rsidRPr="008642D1" w:rsidRDefault="00D55D88" w:rsidP="00D55D88">
      <w:pPr>
        <w:pStyle w:val="BodyText"/>
      </w:pPr>
      <w:r w:rsidRPr="008642D1">
        <w:t xml:space="preserve">In some situations, the nature and location of employment means that employees need to live in accommodation provided by the employer. An example might be where the employment is on a small island or a ship. Section 27(3)(b) of the Human Rights Act allows different treatment on the grounds of sex if the only premises available are not equipped with separate sleeping accommodation for each sex and it is not reasonable to expect the employer to equip the premises with separate accommodation or to provide separate premises for each sex. </w:t>
      </w:r>
    </w:p>
    <w:p w14:paraId="333FB552" w14:textId="77777777" w:rsidR="00D55D88" w:rsidRPr="008642D1" w:rsidRDefault="00D55D88" w:rsidP="00D55D88">
      <w:pPr>
        <w:pStyle w:val="BodyText"/>
      </w:pPr>
      <w:r w:rsidRPr="008642D1">
        <w:t>Some jobs allow the person to live in employer-provided premises as a term or condition of employment. Section 27(5) of the Human Rights Act allows an employer to omit to apply that term or condition to employees of a particular sex if, in all the circumstances, it is not reasonably practicable for the employer to provide accommodation.</w:t>
      </w:r>
    </w:p>
    <w:p w14:paraId="2E1BE59B" w14:textId="77777777" w:rsidR="00D55D88" w:rsidRPr="008642D1" w:rsidRDefault="00D55D88" w:rsidP="00D55D88">
      <w:pPr>
        <w:pStyle w:val="Heading4"/>
      </w:pPr>
      <w:r w:rsidRPr="008642D1">
        <w:t xml:space="preserve">Scope and rationale of the current exceptions </w:t>
      </w:r>
    </w:p>
    <w:p w14:paraId="7F44247A" w14:textId="77777777" w:rsidR="00D55D88" w:rsidRPr="008642D1" w:rsidRDefault="00D55D88" w:rsidP="00D55D88">
      <w:pPr>
        <w:pStyle w:val="BodyText"/>
      </w:pPr>
      <w:r w:rsidRPr="008642D1">
        <w:t>These exceptions are modelled on provisions in the 1977 legislation.</w:t>
      </w:r>
      <w:r w:rsidRPr="008642D1">
        <w:rPr>
          <w:rStyle w:val="FootnoteReference"/>
        </w:rPr>
        <w:footnoteReference w:id="471"/>
      </w:r>
      <w:r w:rsidRPr="008642D1">
        <w:t xml:space="preserve"> At that time, the Minister of Justice gave the example of homes for female nurses as a situation where it might not be practicable to provide accommodation for each sex.</w:t>
      </w:r>
      <w:r w:rsidRPr="008642D1">
        <w:rPr>
          <w:rStyle w:val="FootnoteReference"/>
        </w:rPr>
        <w:footnoteReference w:id="472"/>
      </w:r>
      <w:r w:rsidRPr="008642D1">
        <w:t xml:space="preserve"> Other situations we can think of where an employer might provide accommodation include seasonal work, cruise ships, the armed forces, live-in support roles and boarding schools. </w:t>
      </w:r>
    </w:p>
    <w:p w14:paraId="74384CDC" w14:textId="77777777" w:rsidR="00D55D88" w:rsidRPr="008642D1" w:rsidRDefault="00D55D88" w:rsidP="00D55D88">
      <w:pPr>
        <w:pStyle w:val="BodyText"/>
      </w:pPr>
      <w:r w:rsidRPr="008642D1">
        <w:t xml:space="preserve">These exceptions have reasonableness requirements built into them. An employer could only rely on the exception if they could prove it was not reasonable to provide suitable accommodation for the employee. </w:t>
      </w:r>
    </w:p>
    <w:p w14:paraId="2EE98D88" w14:textId="77777777" w:rsidR="00D55D88" w:rsidRPr="008642D1" w:rsidRDefault="00D55D88" w:rsidP="00D55D88">
      <w:pPr>
        <w:pStyle w:val="Heading4"/>
      </w:pPr>
      <w:r w:rsidRPr="008642D1">
        <w:t>Should these exceptions be amended</w:t>
      </w:r>
      <w:r w:rsidRPr="008642D1" w:rsidDel="00526061">
        <w:t xml:space="preserve"> </w:t>
      </w:r>
      <w:r w:rsidRPr="008642D1">
        <w:t>to reflect any new grounds?</w:t>
      </w:r>
    </w:p>
    <w:p w14:paraId="50E76CC0" w14:textId="14C9A4F9" w:rsidR="00D55D88" w:rsidRPr="008642D1" w:rsidRDefault="00D55D88" w:rsidP="00D55D88">
      <w:pPr>
        <w:pStyle w:val="BodyText"/>
      </w:pPr>
      <w:r w:rsidRPr="008642D1">
        <w:t xml:space="preserve">We are interested to understand whether the exceptions in sections 27(3)(b) and 27(5) should be amended to reflect any new grounds we propose. It would be helpful for us to </w:t>
      </w:r>
      <w:r w:rsidRPr="008642D1">
        <w:lastRenderedPageBreak/>
        <w:t>understand better whether there is a current need for an accommodation exception. It may be that shared sleeping quarters (such as bunkrooms) are less common than they were in the 1970s. Larger employers may also have developed policies on housing employees who are transgender or non-binary or who have an innate variation of sex characteristics (an example is Te Ope Kātua o Aotearoa | New Zealand Defence Force).</w:t>
      </w:r>
      <w:r w:rsidRPr="008642D1">
        <w:rPr>
          <w:rStyle w:val="FootnoteReference"/>
        </w:rPr>
        <w:footnoteReference w:id="473"/>
      </w:r>
    </w:p>
    <w:p w14:paraId="5943F37D" w14:textId="77777777" w:rsidR="00D55D88" w:rsidRPr="008642D1" w:rsidRDefault="00D55D88" w:rsidP="00D55D88">
      <w:pPr>
        <w:pStyle w:val="BodyText"/>
      </w:pPr>
      <w:r w:rsidRPr="008642D1">
        <w:t xml:space="preserve">We are interested to know whether there could nevertheless be situations where employers have difficulty in providing appropriate accommodation for employees who are transgender or non-binary or who have an innate variation of sex characteristics. </w:t>
      </w:r>
    </w:p>
    <w:p w14:paraId="1EE0F846" w14:textId="77777777" w:rsidR="00D55D88" w:rsidRPr="008642D1" w:rsidRDefault="00D55D88" w:rsidP="00D55D88">
      <w:pPr>
        <w:pStyle w:val="BodyText"/>
      </w:pPr>
      <w:r w:rsidRPr="008642D1">
        <w:t xml:space="preserve">If that is the basis for an extension, it may not be engaged by all possible grounds. For example, we can envisage a situation where an employer has difficulty in providing accommodation for a non-binary employee who does not want to stay in a men’s or women’s bunkroom. It seems less likely that accommodation issues would arise due to someone’s gender expression or whether they have an innate variation of sex characteristics.  </w:t>
      </w:r>
    </w:p>
    <w:p w14:paraId="4630A981" w14:textId="142220A5" w:rsidR="00DE39E6" w:rsidRPr="008642D1" w:rsidRDefault="00E629F7" w:rsidP="00DE39E6">
      <w:pPr>
        <w:pStyle w:val="QuestionBox"/>
      </w:pPr>
      <w:r w:rsidRPr="008642D1">
        <w:rPr>
          <w:noProof/>
        </w:rPr>
        <mc:AlternateContent>
          <mc:Choice Requires="wpg">
            <w:drawing>
              <wp:anchor distT="0" distB="0" distL="114300" distR="114300" simplePos="0" relativeHeight="251658244" behindDoc="1" locked="0" layoutInCell="1" allowOverlap="1" wp14:anchorId="7C4B1B20" wp14:editId="6BF35AE0">
                <wp:simplePos x="0" y="0"/>
                <wp:positionH relativeFrom="column">
                  <wp:posOffset>-2773</wp:posOffset>
                </wp:positionH>
                <wp:positionV relativeFrom="paragraph">
                  <wp:posOffset>-2226</wp:posOffset>
                </wp:positionV>
                <wp:extent cx="5760085" cy="2163767"/>
                <wp:effectExtent l="0" t="0" r="0" b="8255"/>
                <wp:wrapNone/>
                <wp:docPr id="711788527" name="Group 711788527" descr="Question"/>
                <wp:cNvGraphicFramePr/>
                <a:graphic xmlns:a="http://schemas.openxmlformats.org/drawingml/2006/main">
                  <a:graphicData uri="http://schemas.microsoft.com/office/word/2010/wordprocessingGroup">
                    <wpg:wgp>
                      <wpg:cNvGrpSpPr/>
                      <wpg:grpSpPr>
                        <a:xfrm>
                          <a:off x="0" y="0"/>
                          <a:ext cx="5760085" cy="2163767"/>
                          <a:chOff x="0" y="62865"/>
                          <a:chExt cx="5760085" cy="2165041"/>
                        </a:xfrm>
                      </wpg:grpSpPr>
                      <wps:wsp>
                        <wps:cNvPr id="61641128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5FD27C" w14:textId="77777777" w:rsidR="00E629F7" w:rsidRDefault="00E629F7" w:rsidP="00E629F7">
                              <w:pPr>
                                <w:pStyle w:val="BoxTitle"/>
                                <w:spacing w:before="0" w:beforeAutospacing="0"/>
                              </w:pPr>
                              <w:r w:rsidRPr="007F6876">
                                <w:t>QUESTION</w:t>
                              </w:r>
                              <w:r>
                                <w:t>S</w:t>
                              </w:r>
                            </w:p>
                          </w:txbxContent>
                        </wps:txbx>
                        <wps:bodyPr rot="0" vert="horz" wrap="square" lIns="91440" tIns="0" rIns="0" bIns="45720" anchor="ctr" anchorCtr="0" upright="1">
                          <a:noAutofit/>
                        </wps:bodyPr>
                      </wps:wsp>
                      <wpg:grpSp>
                        <wpg:cNvPr id="585844330" name="Group 53"/>
                        <wpg:cNvGrpSpPr>
                          <a:grpSpLocks/>
                        </wpg:cNvGrpSpPr>
                        <wpg:grpSpPr bwMode="auto">
                          <a:xfrm>
                            <a:off x="0" y="316170"/>
                            <a:ext cx="5760085" cy="1911736"/>
                            <a:chOff x="1837" y="1791"/>
                            <a:chExt cx="9302" cy="20650"/>
                          </a:xfrm>
                        </wpg:grpSpPr>
                        <wps:wsp>
                          <wps:cNvPr id="352905646" name="Freeform 54"/>
                          <wps:cNvSpPr>
                            <a:spLocks/>
                          </wps:cNvSpPr>
                          <wps:spPr bwMode="auto">
                            <a:xfrm>
                              <a:off x="1837" y="1791"/>
                              <a:ext cx="9302" cy="2065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2061026" name="Group 1192061026"/>
                        <wpg:cNvGrpSpPr/>
                        <wpg:grpSpPr>
                          <a:xfrm>
                            <a:off x="0" y="494036"/>
                            <a:ext cx="1443794" cy="252000"/>
                            <a:chOff x="-15880" y="0"/>
                            <a:chExt cx="1444379" cy="252068"/>
                          </a:xfrm>
                        </wpg:grpSpPr>
                        <wps:wsp>
                          <wps:cNvPr id="91208837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18161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271B78" w14:textId="2B50CD44" w:rsidR="00E629F7" w:rsidRPr="00E90B8A" w:rsidRDefault="00E629F7" w:rsidP="00E629F7">
                                <w:pPr>
                                  <w:pStyle w:val="BoxTitle"/>
                                  <w:spacing w:before="0" w:beforeAutospacing="0"/>
                                  <w:rPr>
                                    <w:sz w:val="18"/>
                                    <w:szCs w:val="18"/>
                                  </w:rPr>
                                </w:pPr>
                                <w:r w:rsidRPr="00E90B8A">
                                  <w:rPr>
                                    <w:sz w:val="18"/>
                                    <w:szCs w:val="18"/>
                                  </w:rPr>
                                  <w:t>Q</w:t>
                                </w:r>
                                <w:r w:rsidR="00443B96">
                                  <w:rPr>
                                    <w:sz w:val="18"/>
                                    <w:szCs w:val="18"/>
                                  </w:rPr>
                                  <w:t>2</w:t>
                                </w:r>
                                <w:r w:rsidR="00F3058E">
                                  <w:rPr>
                                    <w:sz w:val="18"/>
                                    <w:szCs w:val="18"/>
                                  </w:rPr>
                                  <w:t>6</w:t>
                                </w:r>
                              </w:p>
                              <w:p w14:paraId="083C4DC1" w14:textId="31248C4C" w:rsidR="00E629F7" w:rsidRPr="00E90B8A" w:rsidRDefault="00E629F7" w:rsidP="00E629F7">
                                <w:pPr>
                                  <w:pStyle w:val="BoxTitle"/>
                                  <w:spacing w:before="0" w:beforeAutospacing="0"/>
                                  <w:rPr>
                                    <w:sz w:val="18"/>
                                    <w:szCs w:val="18"/>
                                  </w:rPr>
                                </w:pPr>
                                <w:r w:rsidRPr="00E90B8A">
                                  <w:rPr>
                                    <w:sz w:val="18"/>
                                    <w:szCs w:val="18"/>
                                  </w:rPr>
                                  <w:t>Q</w:t>
                                </w:r>
                                <w:r w:rsidR="00443B96">
                                  <w:rPr>
                                    <w:sz w:val="18"/>
                                    <w:szCs w:val="18"/>
                                  </w:rPr>
                                  <w:t>2</w:t>
                                </w:r>
                                <w:r w:rsidR="00B9249C">
                                  <w:rPr>
                                    <w:sz w:val="18"/>
                                    <w:szCs w:val="18"/>
                                  </w:rPr>
                                  <w:t>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C4B1B20" id="Group 711788527" o:spid="_x0000_s1165" alt="Question" style="position:absolute;left:0;text-align:left;margin-left:-.2pt;margin-top:-.2pt;width:453.55pt;height:170.4pt;z-index:-251658236;mso-height-relative:margin" coordorigin=",628" coordsize="57600,2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">
                <v:shape id="Freeform 52" o:spid="_x0000_s116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95FD27C" w14:textId="77777777" w:rsidR="00E629F7" w:rsidRDefault="00E629F7" w:rsidP="00E629F7">
                        <w:pPr>
                          <w:pStyle w:val="BoxTitle"/>
                          <w:spacing w:before="0" w:beforeAutospacing="0"/>
                        </w:pPr>
                        <w:r w:rsidRPr="007F6876">
                          <w:t>QUESTION</w:t>
                        </w:r>
                        <w:r>
                          <w:t>S</w:t>
                        </w:r>
                      </w:p>
                    </w:txbxContent>
                  </v:textbox>
                </v:shape>
                <v:group id="Group 53" o:spid="_x0000_s1167" style="position:absolute;top:3161;width:57600;height:19118" coordorigin="1837,1791" coordsize="9302,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">
                  <v:shape id="Freeform 54" o:spid="_x0000_s1168" style="position:absolute;left:1837;top:1791;width:9302;height:2065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" path="m,l9354,r,7809l,7809,,e" fillcolor="#edf2ea" stroked="f">
                    <v:path arrowok="t" o:connecttype="custom" o:connectlocs="0,2644;9302,2644;9302,23294;0,23294;0,2644" o:connectangles="0,0,0,0,0"/>
                  </v:shape>
                </v:group>
                <v:group id="Group 1192061026" o:spid="_x0000_s116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">
                  <v:shape id="Freeform 58" o:spid="_x0000_s117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" path="m,l1815,e" filled="f" strokecolor="#72ab6a" strokeweight=".5pt">
                    <v:path arrowok="t" o:connecttype="custom" o:connectlocs="0,0;1073495,0" o:connectangles="0,0"/>
                  </v:shape>
                  <v:shape id="Freeform 66" o:spid="_x0000_s117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2271B78" w14:textId="2B50CD44" w:rsidR="00E629F7" w:rsidRPr="00E90B8A" w:rsidRDefault="00E629F7" w:rsidP="00E629F7">
                          <w:pPr>
                            <w:pStyle w:val="BoxTitle"/>
                            <w:spacing w:before="0" w:beforeAutospacing="0"/>
                            <w:rPr>
                              <w:sz w:val="18"/>
                              <w:szCs w:val="18"/>
                            </w:rPr>
                          </w:pPr>
                          <w:r w:rsidRPr="00E90B8A">
                            <w:rPr>
                              <w:sz w:val="18"/>
                              <w:szCs w:val="18"/>
                            </w:rPr>
                            <w:t>Q</w:t>
                          </w:r>
                          <w:r w:rsidR="00443B96">
                            <w:rPr>
                              <w:sz w:val="18"/>
                              <w:szCs w:val="18"/>
                            </w:rPr>
                            <w:t>2</w:t>
                          </w:r>
                          <w:r w:rsidR="00F3058E">
                            <w:rPr>
                              <w:sz w:val="18"/>
                              <w:szCs w:val="18"/>
                            </w:rPr>
                            <w:t>6</w:t>
                          </w:r>
                        </w:p>
                        <w:p w14:paraId="083C4DC1" w14:textId="31248C4C" w:rsidR="00E629F7" w:rsidRPr="00E90B8A" w:rsidRDefault="00E629F7" w:rsidP="00E629F7">
                          <w:pPr>
                            <w:pStyle w:val="BoxTitle"/>
                            <w:spacing w:before="0" w:beforeAutospacing="0"/>
                            <w:rPr>
                              <w:sz w:val="18"/>
                              <w:szCs w:val="18"/>
                            </w:rPr>
                          </w:pPr>
                          <w:r w:rsidRPr="00E90B8A">
                            <w:rPr>
                              <w:sz w:val="18"/>
                              <w:szCs w:val="18"/>
                            </w:rPr>
                            <w:t>Q</w:t>
                          </w:r>
                          <w:r w:rsidR="00443B96">
                            <w:rPr>
                              <w:sz w:val="18"/>
                              <w:szCs w:val="18"/>
                            </w:rPr>
                            <w:t>2</w:t>
                          </w:r>
                          <w:r w:rsidR="00B9249C">
                            <w:rPr>
                              <w:sz w:val="18"/>
                              <w:szCs w:val="18"/>
                            </w:rPr>
                            <w:t>6</w:t>
                          </w:r>
                        </w:p>
                      </w:txbxContent>
                    </v:textbox>
                  </v:shape>
                </v:group>
              </v:group>
            </w:pict>
          </mc:Fallback>
        </mc:AlternateContent>
      </w:r>
    </w:p>
    <w:p w14:paraId="5C6CB4A6" w14:textId="77777777" w:rsidR="00DE39E6" w:rsidRPr="008642D1" w:rsidRDefault="00DE39E6" w:rsidP="00DE39E6">
      <w:pPr>
        <w:pStyle w:val="QuestionBox"/>
      </w:pPr>
    </w:p>
    <w:p w14:paraId="7A2896AF" w14:textId="77777777" w:rsidR="00027EE8" w:rsidRDefault="00027EE8" w:rsidP="00DE39E6">
      <w:pPr>
        <w:pStyle w:val="QuestionBox"/>
      </w:pPr>
      <w:r w:rsidRPr="00027EE8">
        <w:t xml:space="preserve">If new grounds of discrimination are added to the Human Rights Act 1993 to protect people who are transgender or non-binary or who have an innate variation of sex characteristics, should the exceptions in sections 27(3)(b) and 27(5) for employer-provided accommodation be amended to reflect those new grounds? </w:t>
      </w:r>
    </w:p>
    <w:p w14:paraId="30697A10" w14:textId="09C58915" w:rsidR="00DE39E6" w:rsidRPr="008642D1" w:rsidRDefault="00442232" w:rsidP="00DE39E6">
      <w:pPr>
        <w:pStyle w:val="QuestionBox"/>
      </w:pPr>
      <w:r w:rsidRPr="008642D1">
        <w:rPr>
          <w:noProof/>
        </w:rPr>
        <mc:AlternateContent>
          <mc:Choice Requires="wpg">
            <w:drawing>
              <wp:anchor distT="0" distB="0" distL="114300" distR="114300" simplePos="0" relativeHeight="251658329" behindDoc="1" locked="0" layoutInCell="1" allowOverlap="1" wp14:anchorId="051F3CD8" wp14:editId="1A3A0D33">
                <wp:simplePos x="0" y="0"/>
                <wp:positionH relativeFrom="column">
                  <wp:posOffset>0</wp:posOffset>
                </wp:positionH>
                <wp:positionV relativeFrom="paragraph">
                  <wp:posOffset>169735</wp:posOffset>
                </wp:positionV>
                <wp:extent cx="1443355" cy="251460"/>
                <wp:effectExtent l="0" t="0" r="42545" b="0"/>
                <wp:wrapNone/>
                <wp:docPr id="1911707559"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39408711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91976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8B9A38" w14:textId="4F29C510" w:rsidR="00442232" w:rsidRPr="00E90B8A" w:rsidRDefault="00442232" w:rsidP="00442232">
                              <w:pPr>
                                <w:pStyle w:val="BoxTitle"/>
                                <w:spacing w:before="0" w:beforeAutospacing="0"/>
                                <w:rPr>
                                  <w:sz w:val="18"/>
                                  <w:szCs w:val="18"/>
                                </w:rPr>
                              </w:pPr>
                              <w:r w:rsidRPr="00E90B8A">
                                <w:rPr>
                                  <w:sz w:val="18"/>
                                  <w:szCs w:val="18"/>
                                </w:rPr>
                                <w:t>Q</w:t>
                              </w:r>
                              <w:r w:rsidR="00443B96">
                                <w:rPr>
                                  <w:sz w:val="18"/>
                                  <w:szCs w:val="18"/>
                                </w:rPr>
                                <w:t>2</w:t>
                              </w:r>
                              <w:r w:rsidR="00F3058E">
                                <w:rPr>
                                  <w:sz w:val="18"/>
                                  <w:szCs w:val="18"/>
                                </w:rPr>
                                <w:t>7</w:t>
                              </w:r>
                            </w:p>
                            <w:p w14:paraId="655829B9" w14:textId="1155BEF6" w:rsidR="00442232" w:rsidRPr="00E90B8A" w:rsidRDefault="00442232" w:rsidP="00442232">
                              <w:pPr>
                                <w:pStyle w:val="BoxTitle"/>
                                <w:spacing w:before="0" w:beforeAutospacing="0"/>
                                <w:rPr>
                                  <w:sz w:val="18"/>
                                  <w:szCs w:val="18"/>
                                </w:rPr>
                              </w:pPr>
                              <w:r w:rsidRPr="00E90B8A">
                                <w:rPr>
                                  <w:sz w:val="18"/>
                                  <w:szCs w:val="18"/>
                                </w:rPr>
                                <w:t>Q</w:t>
                              </w:r>
                              <w:r w:rsidR="00443B96">
                                <w:rPr>
                                  <w:sz w:val="18"/>
                                  <w:szCs w:val="18"/>
                                </w:rPr>
                                <w:t>2</w:t>
                              </w:r>
                              <w:r w:rsidR="00B9249C">
                                <w:rPr>
                                  <w:sz w:val="18"/>
                                  <w:szCs w:val="18"/>
                                </w:rPr>
                                <w:t>7</w:t>
                              </w:r>
                            </w:p>
                          </w:txbxContent>
                        </wps:txbx>
                        <wps:bodyPr rot="0" vert="horz" wrap="square" lIns="54000" tIns="82800" rIns="91440" bIns="45720" anchor="ctr" anchorCtr="0" upright="1">
                          <a:noAutofit/>
                        </wps:bodyPr>
                      </wps:wsp>
                    </wpg:wgp>
                  </a:graphicData>
                </a:graphic>
              </wp:anchor>
            </w:drawing>
          </mc:Choice>
          <mc:Fallback>
            <w:pict>
              <v:group w14:anchorId="051F3CD8" id="_x0000_s1172" style="position:absolute;left:0;text-align:left;margin-left:0;margin-top:13.35pt;width:113.65pt;height:19.8pt;z-index:-25165815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">
                <v:shape id="Freeform 58" o:spid="_x0000_s117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" path="m,l1815,e" filled="f" strokecolor="#72ab6a" strokeweight=".5pt">
                  <v:path arrowok="t" o:connecttype="custom" o:connectlocs="0,0;1073495,0" o:connectangles="0,0"/>
                </v:shape>
                <v:shape id="Freeform 66" o:spid="_x0000_s117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18B9A38" w14:textId="4F29C510" w:rsidR="00442232" w:rsidRPr="00E90B8A" w:rsidRDefault="00442232" w:rsidP="00442232">
                        <w:pPr>
                          <w:pStyle w:val="BoxTitle"/>
                          <w:spacing w:before="0" w:beforeAutospacing="0"/>
                          <w:rPr>
                            <w:sz w:val="18"/>
                            <w:szCs w:val="18"/>
                          </w:rPr>
                        </w:pPr>
                        <w:r w:rsidRPr="00E90B8A">
                          <w:rPr>
                            <w:sz w:val="18"/>
                            <w:szCs w:val="18"/>
                          </w:rPr>
                          <w:t>Q</w:t>
                        </w:r>
                        <w:r w:rsidR="00443B96">
                          <w:rPr>
                            <w:sz w:val="18"/>
                            <w:szCs w:val="18"/>
                          </w:rPr>
                          <w:t>2</w:t>
                        </w:r>
                        <w:r w:rsidR="00F3058E">
                          <w:rPr>
                            <w:sz w:val="18"/>
                            <w:szCs w:val="18"/>
                          </w:rPr>
                          <w:t>7</w:t>
                        </w:r>
                      </w:p>
                      <w:p w14:paraId="655829B9" w14:textId="1155BEF6" w:rsidR="00442232" w:rsidRPr="00E90B8A" w:rsidRDefault="00442232" w:rsidP="00442232">
                        <w:pPr>
                          <w:pStyle w:val="BoxTitle"/>
                          <w:spacing w:before="0" w:beforeAutospacing="0"/>
                          <w:rPr>
                            <w:sz w:val="18"/>
                            <w:szCs w:val="18"/>
                          </w:rPr>
                        </w:pPr>
                        <w:r w:rsidRPr="00E90B8A">
                          <w:rPr>
                            <w:sz w:val="18"/>
                            <w:szCs w:val="18"/>
                          </w:rPr>
                          <w:t>Q</w:t>
                        </w:r>
                        <w:r w:rsidR="00443B96">
                          <w:rPr>
                            <w:sz w:val="18"/>
                            <w:szCs w:val="18"/>
                          </w:rPr>
                          <w:t>2</w:t>
                        </w:r>
                        <w:r w:rsidR="00B9249C">
                          <w:rPr>
                            <w:sz w:val="18"/>
                            <w:szCs w:val="18"/>
                          </w:rPr>
                          <w:t>7</w:t>
                        </w:r>
                      </w:p>
                    </w:txbxContent>
                  </v:textbox>
                </v:shape>
              </v:group>
            </w:pict>
          </mc:Fallback>
        </mc:AlternateContent>
      </w:r>
    </w:p>
    <w:p w14:paraId="17DEA885" w14:textId="5303CF8A" w:rsidR="00DE39E6" w:rsidRPr="008642D1" w:rsidRDefault="00D162C9" w:rsidP="00DE39E6">
      <w:pPr>
        <w:pStyle w:val="QuestionBox"/>
      </w:pPr>
      <w:r w:rsidRPr="00D162C9">
        <w:t>Do you have any additional feedback on the practical implications of amending sections 27(3)(b) and 27(5)?</w:t>
      </w:r>
    </w:p>
    <w:p w14:paraId="6F300DE4" w14:textId="77777777" w:rsidR="00D162C9" w:rsidRPr="008642D1" w:rsidRDefault="00D162C9" w:rsidP="00DE39E6">
      <w:pPr>
        <w:pStyle w:val="QuestionBox"/>
      </w:pPr>
    </w:p>
    <w:p w14:paraId="76E0B4AF" w14:textId="77777777" w:rsidR="00D55D88" w:rsidRPr="008642D1" w:rsidRDefault="00D55D88" w:rsidP="00D55D88">
      <w:pPr>
        <w:pStyle w:val="Heading3"/>
      </w:pPr>
      <w:r w:rsidRPr="008642D1">
        <w:t>Exception for counsellor on highly personal matters — section 27(4)</w:t>
      </w:r>
    </w:p>
    <w:p w14:paraId="258082F4" w14:textId="77777777" w:rsidR="00D55D88" w:rsidRPr="008642D1" w:rsidRDefault="00D55D88" w:rsidP="00D55D88">
      <w:pPr>
        <w:pStyle w:val="BodyText"/>
      </w:pPr>
      <w:r w:rsidRPr="008642D1">
        <w:t>The Human Rights Act allows different treatment in employment based on sex, race, ethnic or national origins, or sexual orientation where the position is for a counsellor on highly personal matters such as sexual matters or the prevention of violence.</w:t>
      </w:r>
      <w:r w:rsidRPr="008642D1">
        <w:rPr>
          <w:rStyle w:val="FootnoteReference"/>
        </w:rPr>
        <w:footnoteReference w:id="474"/>
      </w:r>
      <w:r w:rsidRPr="008642D1">
        <w:t xml:space="preserve"> An example might be a rape crisis centre that only hires female counsellors.  </w:t>
      </w:r>
    </w:p>
    <w:p w14:paraId="4E2C9B56" w14:textId="77777777" w:rsidR="00D55D88" w:rsidRPr="008642D1" w:rsidRDefault="00D55D88" w:rsidP="00D55D88">
      <w:pPr>
        <w:pStyle w:val="Heading4"/>
      </w:pPr>
      <w:r w:rsidRPr="008642D1">
        <w:t xml:space="preserve">Scope and rationale of the current exception </w:t>
      </w:r>
    </w:p>
    <w:p w14:paraId="20502423" w14:textId="77777777" w:rsidR="00D55D88" w:rsidRPr="008642D1" w:rsidRDefault="00D55D88" w:rsidP="00D55D88">
      <w:pPr>
        <w:pStyle w:val="BodyText"/>
      </w:pPr>
      <w:r w:rsidRPr="008642D1">
        <w:t xml:space="preserve">The likely rationale for this exception is that a client needs to feel comfortable with a counsellor so they can discuss highly personal and sensitive matters with them. Some clients may feel more comfortable with a counsellor of the same sex, race or sexual orientation. An organisation may therefore need to hire counsellors based on these grounds to meet the needs of their clients. </w:t>
      </w:r>
    </w:p>
    <w:p w14:paraId="3D8709CA" w14:textId="77777777" w:rsidR="00D55D88" w:rsidRPr="008642D1" w:rsidRDefault="00D55D88" w:rsidP="00D55D88">
      <w:pPr>
        <w:pStyle w:val="Heading4"/>
      </w:pPr>
      <w:r w:rsidRPr="008642D1">
        <w:lastRenderedPageBreak/>
        <w:t>Should the exception be amended to reflect any new grounds?</w:t>
      </w:r>
    </w:p>
    <w:p w14:paraId="008F5145" w14:textId="550AE535" w:rsidR="00D55D88" w:rsidRPr="008642D1" w:rsidRDefault="00D55D88" w:rsidP="00D55D88">
      <w:pPr>
        <w:pStyle w:val="BodyText"/>
      </w:pPr>
      <w:r w:rsidRPr="008642D1">
        <w:t>We can see the logic for extending this rationale to potential new grounds. It is possible that a person who is transgender or non-binary or who has an innate variation of sex characteristics would prefer a counsellor who is similarly situated. It is also possible that a cisgender woman who has experienced sexual violence might want counselling from another cisgender woman. It seems less likely that a client would seek a counsellor with a particular gender expression or who does not have an innate variation of sex characteristics.</w:t>
      </w:r>
    </w:p>
    <w:p w14:paraId="79F5EF31" w14:textId="1BB41A27" w:rsidR="00DE39E6" w:rsidRPr="008642D1" w:rsidRDefault="00DA1EDC" w:rsidP="00DE39E6">
      <w:pPr>
        <w:pStyle w:val="QuestionBox"/>
      </w:pPr>
      <w:r w:rsidRPr="008642D1">
        <w:rPr>
          <w:noProof/>
        </w:rPr>
        <mc:AlternateContent>
          <mc:Choice Requires="wpg">
            <w:drawing>
              <wp:anchor distT="0" distB="0" distL="114300" distR="114300" simplePos="0" relativeHeight="251655165" behindDoc="1" locked="0" layoutInCell="1" allowOverlap="1" wp14:anchorId="675C02A9" wp14:editId="06815046">
                <wp:simplePos x="0" y="0"/>
                <wp:positionH relativeFrom="column">
                  <wp:posOffset>0</wp:posOffset>
                </wp:positionH>
                <wp:positionV relativeFrom="paragraph">
                  <wp:posOffset>-635</wp:posOffset>
                </wp:positionV>
                <wp:extent cx="5760085" cy="2226945"/>
                <wp:effectExtent l="0" t="0" r="0" b="1905"/>
                <wp:wrapNone/>
                <wp:docPr id="423463502" name="Group 423463502" descr="Question"/>
                <wp:cNvGraphicFramePr/>
                <a:graphic xmlns:a="http://schemas.openxmlformats.org/drawingml/2006/main">
                  <a:graphicData uri="http://schemas.microsoft.com/office/word/2010/wordprocessingGroup">
                    <wpg:wgp>
                      <wpg:cNvGrpSpPr/>
                      <wpg:grpSpPr>
                        <a:xfrm>
                          <a:off x="0" y="0"/>
                          <a:ext cx="5760085" cy="2226945"/>
                          <a:chOff x="0" y="62865"/>
                          <a:chExt cx="5760085" cy="2229105"/>
                        </a:xfrm>
                      </wpg:grpSpPr>
                      <wps:wsp>
                        <wps:cNvPr id="1944978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2227A0" w14:textId="77777777" w:rsidR="00DA1EDC" w:rsidRDefault="00DA1EDC" w:rsidP="00DA1EDC">
                              <w:pPr>
                                <w:pStyle w:val="BoxTitle"/>
                                <w:spacing w:before="0" w:beforeAutospacing="0"/>
                              </w:pPr>
                              <w:r w:rsidRPr="007F6876">
                                <w:t>QUESTION</w:t>
                              </w:r>
                              <w:r>
                                <w:t>S</w:t>
                              </w:r>
                            </w:p>
                          </w:txbxContent>
                        </wps:txbx>
                        <wps:bodyPr rot="0" vert="horz" wrap="square" lIns="91440" tIns="0" rIns="0" bIns="45720" anchor="ctr" anchorCtr="0" upright="1">
                          <a:noAutofit/>
                        </wps:bodyPr>
                      </wps:wsp>
                      <wpg:grpSp>
                        <wpg:cNvPr id="1784262434" name="Group 53"/>
                        <wpg:cNvGrpSpPr>
                          <a:grpSpLocks/>
                        </wpg:cNvGrpSpPr>
                        <wpg:grpSpPr bwMode="auto">
                          <a:xfrm>
                            <a:off x="0" y="316170"/>
                            <a:ext cx="5760085" cy="1975800"/>
                            <a:chOff x="1837" y="1791"/>
                            <a:chExt cx="9302" cy="21342"/>
                          </a:xfrm>
                        </wpg:grpSpPr>
                        <wps:wsp>
                          <wps:cNvPr id="1190837049" name="Freeform 54"/>
                          <wps:cNvSpPr>
                            <a:spLocks/>
                          </wps:cNvSpPr>
                          <wps:spPr bwMode="auto">
                            <a:xfrm>
                              <a:off x="1837" y="1791"/>
                              <a:ext cx="9302" cy="2134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9470335" name="Group 1739470335"/>
                        <wpg:cNvGrpSpPr/>
                        <wpg:grpSpPr>
                          <a:xfrm>
                            <a:off x="0" y="494036"/>
                            <a:ext cx="1443794" cy="252000"/>
                            <a:chOff x="-15880" y="0"/>
                            <a:chExt cx="1444379" cy="252068"/>
                          </a:xfrm>
                        </wpg:grpSpPr>
                        <wps:wsp>
                          <wps:cNvPr id="27511145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26364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56FA9F" w14:textId="77777777" w:rsidR="00DA1EDC" w:rsidRDefault="00DA1EDC" w:rsidP="00DA1EDC">
                                <w:pPr>
                                  <w:pStyle w:val="BoxTitle"/>
                                  <w:spacing w:before="0" w:beforeAutospacing="0"/>
                                  <w:rPr>
                                    <w:sz w:val="18"/>
                                    <w:szCs w:val="18"/>
                                  </w:rPr>
                                </w:pPr>
                                <w:r w:rsidRPr="00E90B8A">
                                  <w:rPr>
                                    <w:sz w:val="18"/>
                                    <w:szCs w:val="18"/>
                                  </w:rPr>
                                  <w:t>Q</w:t>
                                </w:r>
                                <w:r>
                                  <w:rPr>
                                    <w:sz w:val="18"/>
                                    <w:szCs w:val="18"/>
                                  </w:rPr>
                                  <w:t>28</w:t>
                                </w:r>
                              </w:p>
                              <w:p w14:paraId="51D962E7" w14:textId="77777777" w:rsidR="00DA1EDC" w:rsidRPr="00E90B8A" w:rsidRDefault="00DA1EDC" w:rsidP="00DA1EDC">
                                <w:pPr>
                                  <w:pStyle w:val="BoxTitle"/>
                                  <w:spacing w:before="0" w:beforeAutospacing="0"/>
                                  <w:rPr>
                                    <w:sz w:val="18"/>
                                    <w:szCs w:val="18"/>
                                  </w:rPr>
                                </w:pPr>
                                <w:r w:rsidRPr="00E90B8A">
                                  <w:rPr>
                                    <w:sz w:val="18"/>
                                    <w:szCs w:val="18"/>
                                  </w:rPr>
                                  <w:t>Q</w:t>
                                </w:r>
                                <w:r>
                                  <w:rPr>
                                    <w:sz w:val="18"/>
                                    <w:szCs w:val="18"/>
                                  </w:rPr>
                                  <w:t>30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75C02A9" id="Group 423463502" o:spid="_x0000_s1175" alt="Question" style="position:absolute;left:0;text-align:left;margin-left:0;margin-top:-.05pt;width:453.55pt;height:175.35pt;z-index:-251661315;mso-height-relative:margin" coordorigin=",628" coordsize="57600,2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">
                <v:shape id="Freeform 52" o:spid="_x0000_s117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12227A0" w14:textId="77777777" w:rsidR="00DA1EDC" w:rsidRDefault="00DA1EDC" w:rsidP="00DA1EDC">
                        <w:pPr>
                          <w:pStyle w:val="BoxTitle"/>
                          <w:spacing w:before="0" w:beforeAutospacing="0"/>
                        </w:pPr>
                        <w:r w:rsidRPr="007F6876">
                          <w:t>QUESTION</w:t>
                        </w:r>
                        <w:r>
                          <w:t>S</w:t>
                        </w:r>
                      </w:p>
                    </w:txbxContent>
                  </v:textbox>
                </v:shape>
                <v:group id="Group 53" o:spid="_x0000_s1177" style="position:absolute;top:3161;width:57600;height:19758" coordorigin="1837,1791" coordsize="9302,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">
                  <v:shape id="Freeform 54" o:spid="_x0000_s1178" style="position:absolute;left:1837;top:1791;width:9302;height:2134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" path="m,l9354,r,7809l,7809,,e" fillcolor="#edf2ea" stroked="f">
                    <v:path arrowok="t" o:connecttype="custom" o:connectlocs="0,2733;9302,2733;9302,24075;0,24075;0,2733" o:connectangles="0,0,0,0,0"/>
                  </v:shape>
                </v:group>
                <v:group id="Group 1739470335" o:spid="_x0000_s117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">
                  <v:shape id="Freeform 58" o:spid="_x0000_s118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" path="m,l1815,e" filled="f" strokecolor="#72ab6a" strokeweight=".5pt">
                    <v:path arrowok="t" o:connecttype="custom" o:connectlocs="0,0;1073495,0" o:connectangles="0,0"/>
                  </v:shape>
                  <v:shape id="Freeform 66" o:spid="_x0000_s118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656FA9F" w14:textId="77777777" w:rsidR="00DA1EDC" w:rsidRDefault="00DA1EDC" w:rsidP="00DA1EDC">
                          <w:pPr>
                            <w:pStyle w:val="BoxTitle"/>
                            <w:spacing w:before="0" w:beforeAutospacing="0"/>
                            <w:rPr>
                              <w:sz w:val="18"/>
                              <w:szCs w:val="18"/>
                            </w:rPr>
                          </w:pPr>
                          <w:r w:rsidRPr="00E90B8A">
                            <w:rPr>
                              <w:sz w:val="18"/>
                              <w:szCs w:val="18"/>
                            </w:rPr>
                            <w:t>Q</w:t>
                          </w:r>
                          <w:r>
                            <w:rPr>
                              <w:sz w:val="18"/>
                              <w:szCs w:val="18"/>
                            </w:rPr>
                            <w:t>28</w:t>
                          </w:r>
                        </w:p>
                        <w:p w14:paraId="51D962E7" w14:textId="77777777" w:rsidR="00DA1EDC" w:rsidRPr="00E90B8A" w:rsidRDefault="00DA1EDC" w:rsidP="00DA1EDC">
                          <w:pPr>
                            <w:pStyle w:val="BoxTitle"/>
                            <w:spacing w:before="0" w:beforeAutospacing="0"/>
                            <w:rPr>
                              <w:sz w:val="18"/>
                              <w:szCs w:val="18"/>
                            </w:rPr>
                          </w:pPr>
                          <w:r w:rsidRPr="00E90B8A">
                            <w:rPr>
                              <w:sz w:val="18"/>
                              <w:szCs w:val="18"/>
                            </w:rPr>
                            <w:t>Q</w:t>
                          </w:r>
                          <w:r>
                            <w:rPr>
                              <w:sz w:val="18"/>
                              <w:szCs w:val="18"/>
                            </w:rPr>
                            <w:t>30</w:t>
                          </w:r>
                        </w:p>
                      </w:txbxContent>
                    </v:textbox>
                  </v:shape>
                </v:group>
              </v:group>
            </w:pict>
          </mc:Fallback>
        </mc:AlternateContent>
      </w:r>
    </w:p>
    <w:p w14:paraId="106E25F9" w14:textId="77777777" w:rsidR="00656DA3" w:rsidRDefault="00656DA3" w:rsidP="00DE39E6">
      <w:pPr>
        <w:pStyle w:val="QuestionBox"/>
      </w:pPr>
    </w:p>
    <w:p w14:paraId="2AEE41EC" w14:textId="77777777" w:rsidR="00656DA3" w:rsidRDefault="00656DA3" w:rsidP="00DE39E6">
      <w:pPr>
        <w:pStyle w:val="QuestionBox"/>
      </w:pPr>
      <w:r w:rsidRPr="00656DA3">
        <w:t>If new grounds of discrimination are added to the Human Rights Act 1993 to protect people who are transgender or non-binary or who have an innate variation of sex characteristics, should the exception in section 27(4) for counsellors on highly personal matters be amended to reflect those new grounds?</w:t>
      </w:r>
    </w:p>
    <w:p w14:paraId="17E7BB53" w14:textId="79B835A0" w:rsidR="00DE39E6" w:rsidRPr="008642D1" w:rsidRDefault="00656DA3" w:rsidP="00DE39E6">
      <w:pPr>
        <w:pStyle w:val="QuestionBox"/>
      </w:pPr>
      <w:r w:rsidRPr="00656DA3">
        <w:t xml:space="preserve"> </w:t>
      </w:r>
      <w:r w:rsidR="00442232" w:rsidRPr="008642D1">
        <w:rPr>
          <w:noProof/>
        </w:rPr>
        <mc:AlternateContent>
          <mc:Choice Requires="wpg">
            <w:drawing>
              <wp:anchor distT="0" distB="0" distL="114300" distR="114300" simplePos="0" relativeHeight="251658330" behindDoc="1" locked="0" layoutInCell="1" allowOverlap="1" wp14:anchorId="18AEB855" wp14:editId="6161B294">
                <wp:simplePos x="0" y="0"/>
                <wp:positionH relativeFrom="column">
                  <wp:posOffset>0</wp:posOffset>
                </wp:positionH>
                <wp:positionV relativeFrom="paragraph">
                  <wp:posOffset>169924</wp:posOffset>
                </wp:positionV>
                <wp:extent cx="1443355" cy="251460"/>
                <wp:effectExtent l="0" t="0" r="42545" b="0"/>
                <wp:wrapNone/>
                <wp:docPr id="1287579027"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39792537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53011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F4AFDE" w14:textId="77777777" w:rsidR="00B335C2" w:rsidRDefault="00442232" w:rsidP="00442232">
                              <w:pPr>
                                <w:pStyle w:val="BoxTitle"/>
                                <w:spacing w:before="0" w:beforeAutospacing="0"/>
                                <w:rPr>
                                  <w:sz w:val="18"/>
                                  <w:szCs w:val="18"/>
                                </w:rPr>
                              </w:pPr>
                              <w:r w:rsidRPr="00E90B8A">
                                <w:rPr>
                                  <w:sz w:val="18"/>
                                  <w:szCs w:val="18"/>
                                </w:rPr>
                                <w:t>Q</w:t>
                              </w:r>
                              <w:r w:rsidR="00BB5402">
                                <w:rPr>
                                  <w:sz w:val="18"/>
                                  <w:szCs w:val="18"/>
                                </w:rPr>
                                <w:t>29</w:t>
                              </w:r>
                            </w:p>
                            <w:p w14:paraId="3E07BF20" w14:textId="3728A2A7" w:rsidR="00442232" w:rsidRPr="00E90B8A" w:rsidRDefault="00442232" w:rsidP="00442232">
                              <w:pPr>
                                <w:pStyle w:val="BoxTitle"/>
                                <w:spacing w:before="0" w:beforeAutospacing="0"/>
                                <w:rPr>
                                  <w:sz w:val="18"/>
                                  <w:szCs w:val="18"/>
                                </w:rPr>
                              </w:pPr>
                              <w:r w:rsidRPr="00E90B8A">
                                <w:rPr>
                                  <w:sz w:val="18"/>
                                  <w:szCs w:val="18"/>
                                </w:rPr>
                                <w:t>Q</w:t>
                              </w:r>
                              <w:r>
                                <w:rPr>
                                  <w:sz w:val="18"/>
                                  <w:szCs w:val="18"/>
                                </w:rPr>
                                <w:t>3</w:t>
                              </w:r>
                              <w:r w:rsidR="00443B96">
                                <w:rPr>
                                  <w:sz w:val="18"/>
                                  <w:szCs w:val="18"/>
                                </w:rPr>
                                <w:t>1</w:t>
                              </w:r>
                            </w:p>
                          </w:txbxContent>
                        </wps:txbx>
                        <wps:bodyPr rot="0" vert="horz" wrap="square" lIns="54000" tIns="82800" rIns="91440" bIns="45720" anchor="ctr" anchorCtr="0" upright="1">
                          <a:noAutofit/>
                        </wps:bodyPr>
                      </wps:wsp>
                    </wpg:wgp>
                  </a:graphicData>
                </a:graphic>
              </wp:anchor>
            </w:drawing>
          </mc:Choice>
          <mc:Fallback>
            <w:pict>
              <v:group w14:anchorId="18AEB855" id="_x0000_s1182" style="position:absolute;left:0;text-align:left;margin-left:0;margin-top:13.4pt;width:113.65pt;height:19.8pt;z-index:-251658150"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">
                <v:shape id="Freeform 58" o:spid="_x0000_s118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" path="m,l1815,e" filled="f" strokecolor="#72ab6a" strokeweight=".5pt">
                  <v:path arrowok="t" o:connecttype="custom" o:connectlocs="0,0;1073495,0" o:connectangles="0,0"/>
                </v:shape>
                <v:shape id="Freeform 66" o:spid="_x0000_s118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CF4AFDE" w14:textId="77777777" w:rsidR="00B335C2" w:rsidRDefault="00442232" w:rsidP="00442232">
                        <w:pPr>
                          <w:pStyle w:val="BoxTitle"/>
                          <w:spacing w:before="0" w:beforeAutospacing="0"/>
                          <w:rPr>
                            <w:sz w:val="18"/>
                            <w:szCs w:val="18"/>
                          </w:rPr>
                        </w:pPr>
                        <w:r w:rsidRPr="00E90B8A">
                          <w:rPr>
                            <w:sz w:val="18"/>
                            <w:szCs w:val="18"/>
                          </w:rPr>
                          <w:t>Q</w:t>
                        </w:r>
                        <w:r w:rsidR="00BB5402">
                          <w:rPr>
                            <w:sz w:val="18"/>
                            <w:szCs w:val="18"/>
                          </w:rPr>
                          <w:t>29</w:t>
                        </w:r>
                      </w:p>
                      <w:p w14:paraId="3E07BF20" w14:textId="3728A2A7" w:rsidR="00442232" w:rsidRPr="00E90B8A" w:rsidRDefault="00442232" w:rsidP="00442232">
                        <w:pPr>
                          <w:pStyle w:val="BoxTitle"/>
                          <w:spacing w:before="0" w:beforeAutospacing="0"/>
                          <w:rPr>
                            <w:sz w:val="18"/>
                            <w:szCs w:val="18"/>
                          </w:rPr>
                        </w:pPr>
                        <w:r w:rsidRPr="00E90B8A">
                          <w:rPr>
                            <w:sz w:val="18"/>
                            <w:szCs w:val="18"/>
                          </w:rPr>
                          <w:t>Q</w:t>
                        </w:r>
                        <w:r>
                          <w:rPr>
                            <w:sz w:val="18"/>
                            <w:szCs w:val="18"/>
                          </w:rPr>
                          <w:t>3</w:t>
                        </w:r>
                        <w:r w:rsidR="00443B96">
                          <w:rPr>
                            <w:sz w:val="18"/>
                            <w:szCs w:val="18"/>
                          </w:rPr>
                          <w:t>1</w:t>
                        </w:r>
                      </w:p>
                    </w:txbxContent>
                  </v:textbox>
                </v:shape>
              </v:group>
            </w:pict>
          </mc:Fallback>
        </mc:AlternateContent>
      </w:r>
    </w:p>
    <w:p w14:paraId="0EE96B9C" w14:textId="798B725E" w:rsidR="00DE39E6" w:rsidRDefault="0094210D" w:rsidP="00DE39E6">
      <w:pPr>
        <w:pStyle w:val="QuestionBox"/>
      </w:pPr>
      <w:r w:rsidRPr="0094210D">
        <w:t>Do you have any additional feedback on the practical implications of amending section 27(4)?</w:t>
      </w:r>
    </w:p>
    <w:p w14:paraId="6D2FD9FD" w14:textId="77777777" w:rsidR="00BB5402" w:rsidRPr="008642D1" w:rsidRDefault="00BB5402" w:rsidP="00DE39E6">
      <w:pPr>
        <w:pStyle w:val="QuestionBox"/>
      </w:pPr>
    </w:p>
    <w:p w14:paraId="63D680EA" w14:textId="77777777" w:rsidR="00D55D88" w:rsidRPr="008642D1" w:rsidRDefault="00D55D88" w:rsidP="00D55D88">
      <w:pPr>
        <w:pStyle w:val="Heading3"/>
      </w:pPr>
      <w:r w:rsidRPr="008642D1">
        <w:t>Exceptions for organised religion — sections 28(1) and 39(1)</w:t>
      </w:r>
    </w:p>
    <w:p w14:paraId="371C7407" w14:textId="77777777" w:rsidR="00D55D88" w:rsidRPr="008642D1" w:rsidRDefault="00D55D88" w:rsidP="00D55D88">
      <w:pPr>
        <w:pStyle w:val="BodyText"/>
      </w:pPr>
      <w:r w:rsidRPr="008642D1">
        <w:t>Section 28(1) of the Human Rights Act allows different treatment in employment based on sex where the position is for the purposes of an organised religion and is limited to one sex to comply with that religion’s doctrines, rules or established customs. An example might be a position as a Catholic priest or bishop that can only be filled by a man.</w:t>
      </w:r>
    </w:p>
    <w:p w14:paraId="599BF89F" w14:textId="77777777" w:rsidR="00D55D88" w:rsidRPr="008642D1" w:rsidRDefault="00D55D88" w:rsidP="00D55D88">
      <w:pPr>
        <w:pStyle w:val="BodyText"/>
      </w:pPr>
      <w:r w:rsidRPr="008642D1">
        <w:t>There is a related exception in section 39(1) that applies to qualifying bodies. This exception can be relied on when an authorisation or qualification that is needed for an organised religion is limited to persons of one sex or to persons of that religious belief to comply with the doctrines, rules or established customs of that religion.</w:t>
      </w:r>
    </w:p>
    <w:p w14:paraId="4F9DE1EC" w14:textId="77777777" w:rsidR="00D55D88" w:rsidRPr="008642D1" w:rsidRDefault="00D55D88" w:rsidP="00D55D88">
      <w:pPr>
        <w:pStyle w:val="Heading4"/>
      </w:pPr>
      <w:r w:rsidRPr="008642D1">
        <w:t>Scope and rationale of current exceptions</w:t>
      </w:r>
    </w:p>
    <w:p w14:paraId="76F105BB" w14:textId="77777777" w:rsidR="00D55D88" w:rsidRPr="008642D1" w:rsidRDefault="00D55D88" w:rsidP="00D55D88">
      <w:pPr>
        <w:pStyle w:val="BodyText"/>
      </w:pPr>
      <w:r w:rsidRPr="008642D1">
        <w:t>These exceptions are based on provisions in the 1977 legislation.</w:t>
      </w:r>
      <w:r w:rsidRPr="008642D1">
        <w:rPr>
          <w:rStyle w:val="FootnoteReference"/>
        </w:rPr>
        <w:footnoteReference w:id="475"/>
      </w:r>
    </w:p>
    <w:p w14:paraId="1775BF76" w14:textId="701439E9" w:rsidR="00D55D88" w:rsidRPr="008642D1" w:rsidRDefault="00D55D88" w:rsidP="00D55D88">
      <w:pPr>
        <w:pStyle w:val="BodyText"/>
      </w:pPr>
      <w:r w:rsidRPr="008642D1">
        <w:t>The likely rationale for these exceptions is protecting the right to freedom of religion.</w:t>
      </w:r>
      <w:r w:rsidRPr="008642D1">
        <w:rPr>
          <w:rStyle w:val="FootnoteReference"/>
        </w:rPr>
        <w:footnoteReference w:id="476"/>
      </w:r>
      <w:r w:rsidRPr="008642D1">
        <w:t xml:space="preserve"> Te Taraipiunara Mana Tangata</w:t>
      </w:r>
      <w:r w:rsidRPr="008642D1" w:rsidDel="00A961CD">
        <w:t xml:space="preserve"> </w:t>
      </w:r>
      <w:r w:rsidRPr="008642D1">
        <w:t>| Human Rights Review Tribunal has described the purpose of section 39(1) as being “to preserve the institutional autonomy of organised religions in relation to their decisions concerning the appointment of clergy and ministers”.</w:t>
      </w:r>
      <w:r w:rsidRPr="008642D1">
        <w:rPr>
          <w:rStyle w:val="FootnoteReference"/>
        </w:rPr>
        <w:footnoteReference w:id="477"/>
      </w:r>
      <w:r w:rsidRPr="008642D1">
        <w:t xml:space="preserve"> It has </w:t>
      </w:r>
      <w:r w:rsidRPr="008642D1">
        <w:lastRenderedPageBreak/>
        <w:t>commented that “[a]n aspect of religious liberty as a collective right is the right of a church to choose its own ministers and leaders”</w:t>
      </w:r>
      <w:r w:rsidR="00562FF6">
        <w:t>.</w:t>
      </w:r>
      <w:r w:rsidRPr="008642D1">
        <w:rPr>
          <w:rStyle w:val="FootnoteReference"/>
        </w:rPr>
        <w:footnoteReference w:id="478"/>
      </w:r>
      <w:r w:rsidRPr="008642D1">
        <w:t xml:space="preserve"> </w:t>
      </w:r>
    </w:p>
    <w:p w14:paraId="1B3ED455" w14:textId="77777777" w:rsidR="00D55D88" w:rsidRPr="008642D1" w:rsidRDefault="00D55D88" w:rsidP="00D55D88">
      <w:pPr>
        <w:pStyle w:val="Heading4"/>
      </w:pPr>
      <w:r w:rsidRPr="008642D1">
        <w:t>Should the exceptions be amended to reflect any new grounds?</w:t>
      </w:r>
    </w:p>
    <w:p w14:paraId="546478C6" w14:textId="77777777" w:rsidR="00D55D88" w:rsidRPr="008642D1" w:rsidRDefault="00D55D88" w:rsidP="00D55D88">
      <w:pPr>
        <w:pStyle w:val="BodyText"/>
      </w:pPr>
      <w:r w:rsidRPr="008642D1">
        <w:t>We are interested to understand whether the exceptions in sections 28(1) and 39(1) should be amended to reflect</w:t>
      </w:r>
      <w:r w:rsidRPr="008642D1" w:rsidDel="00F1342F">
        <w:t xml:space="preserve"> </w:t>
      </w:r>
      <w:r w:rsidRPr="008642D1">
        <w:t>any new grounds we propose. It would be helpful for us to understand better whether there are organised religions in Aotearoa New Zealand that exclude people from religious office based on the fact they are transgender or their gender identity, gender expression or sex characteristics. Our current understanding is there may be some religions that do not allow people whose gender identity is different from their sex assigned at birth to be appointed to religious office. We are not aware of</w:t>
      </w:r>
      <w:r w:rsidRPr="008642D1" w:rsidDel="000E1197">
        <w:t xml:space="preserve"> </w:t>
      </w:r>
      <w:r w:rsidRPr="008642D1">
        <w:t xml:space="preserve">any religions that expressly exclude people who identify outside the gender binary from religious office (although they may be effectively excluded where roles are limited to one sex). </w:t>
      </w:r>
    </w:p>
    <w:p w14:paraId="2D7A311A" w14:textId="77777777" w:rsidR="00D55D88" w:rsidRPr="008642D1" w:rsidRDefault="00D55D88" w:rsidP="00D55D88">
      <w:pPr>
        <w:pStyle w:val="BodyText"/>
      </w:pPr>
      <w:r w:rsidRPr="008642D1">
        <w:t xml:space="preserve">We doubt it is appropriate for us to revisit the balance reached in sections 28(1) and 39(1) of the Human Rights Act between freedom from discrimination and freedom of religion in this review. For that reason, we tend towards the view that this exception will need to cover any new grounds we propose. </w:t>
      </w:r>
    </w:p>
    <w:p w14:paraId="421C5B6C" w14:textId="15331AB1" w:rsidR="00DE39E6" w:rsidRPr="008642D1" w:rsidRDefault="00E629F7" w:rsidP="00DE39E6">
      <w:pPr>
        <w:pStyle w:val="QuestionBox"/>
      </w:pPr>
      <w:r w:rsidRPr="008642D1">
        <w:rPr>
          <w:noProof/>
        </w:rPr>
        <mc:AlternateContent>
          <mc:Choice Requires="wpg">
            <w:drawing>
              <wp:anchor distT="0" distB="0" distL="114300" distR="114300" simplePos="0" relativeHeight="251658242" behindDoc="1" locked="0" layoutInCell="1" allowOverlap="1" wp14:anchorId="6493A9E7" wp14:editId="6D91329E">
                <wp:simplePos x="0" y="0"/>
                <wp:positionH relativeFrom="column">
                  <wp:posOffset>-2773</wp:posOffset>
                </wp:positionH>
                <wp:positionV relativeFrom="paragraph">
                  <wp:posOffset>1547</wp:posOffset>
                </wp:positionV>
                <wp:extent cx="5760085" cy="2173205"/>
                <wp:effectExtent l="0" t="0" r="0" b="0"/>
                <wp:wrapNone/>
                <wp:docPr id="718618185" name="Group 718618185" descr="Question"/>
                <wp:cNvGraphicFramePr/>
                <a:graphic xmlns:a="http://schemas.openxmlformats.org/drawingml/2006/main">
                  <a:graphicData uri="http://schemas.microsoft.com/office/word/2010/wordprocessingGroup">
                    <wpg:wgp>
                      <wpg:cNvGrpSpPr/>
                      <wpg:grpSpPr>
                        <a:xfrm>
                          <a:off x="0" y="0"/>
                          <a:ext cx="5760085" cy="2173205"/>
                          <a:chOff x="0" y="62865"/>
                          <a:chExt cx="5760085" cy="2174484"/>
                        </a:xfrm>
                      </wpg:grpSpPr>
                      <wps:wsp>
                        <wps:cNvPr id="2111053907"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267373" w14:textId="77777777" w:rsidR="00E629F7" w:rsidRDefault="00E629F7" w:rsidP="00E629F7">
                              <w:pPr>
                                <w:pStyle w:val="BoxTitle"/>
                                <w:spacing w:before="0" w:beforeAutospacing="0"/>
                              </w:pPr>
                              <w:r w:rsidRPr="007F6876">
                                <w:t>QUESTION</w:t>
                              </w:r>
                              <w:r>
                                <w:t>S</w:t>
                              </w:r>
                            </w:p>
                          </w:txbxContent>
                        </wps:txbx>
                        <wps:bodyPr rot="0" vert="horz" wrap="square" lIns="91440" tIns="0" rIns="0" bIns="45720" anchor="ctr" anchorCtr="0" upright="1">
                          <a:noAutofit/>
                        </wps:bodyPr>
                      </wps:wsp>
                      <wpg:grpSp>
                        <wpg:cNvPr id="746517276" name="Group 53"/>
                        <wpg:cNvGrpSpPr>
                          <a:grpSpLocks/>
                        </wpg:cNvGrpSpPr>
                        <wpg:grpSpPr bwMode="auto">
                          <a:xfrm>
                            <a:off x="0" y="316170"/>
                            <a:ext cx="5760085" cy="1921179"/>
                            <a:chOff x="1837" y="1791"/>
                            <a:chExt cx="9302" cy="20752"/>
                          </a:xfrm>
                        </wpg:grpSpPr>
                        <wps:wsp>
                          <wps:cNvPr id="1459411850" name="Freeform 54"/>
                          <wps:cNvSpPr>
                            <a:spLocks/>
                          </wps:cNvSpPr>
                          <wps:spPr bwMode="auto">
                            <a:xfrm>
                              <a:off x="1837" y="1791"/>
                              <a:ext cx="9302" cy="2075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6059912" name="Group 1986059912"/>
                        <wpg:cNvGrpSpPr/>
                        <wpg:grpSpPr>
                          <a:xfrm>
                            <a:off x="0" y="494036"/>
                            <a:ext cx="1443794" cy="252000"/>
                            <a:chOff x="-15880" y="0"/>
                            <a:chExt cx="1444379" cy="252068"/>
                          </a:xfrm>
                        </wpg:grpSpPr>
                        <wps:wsp>
                          <wps:cNvPr id="88443595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79071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9C3A78" w14:textId="77777777" w:rsidR="00B335C2" w:rsidRDefault="00E629F7" w:rsidP="00E629F7">
                                <w:pPr>
                                  <w:pStyle w:val="BoxTitle"/>
                                  <w:spacing w:before="0" w:beforeAutospacing="0"/>
                                  <w:rPr>
                                    <w:sz w:val="18"/>
                                    <w:szCs w:val="18"/>
                                  </w:rPr>
                                </w:pPr>
                                <w:r w:rsidRPr="00E90B8A">
                                  <w:rPr>
                                    <w:sz w:val="18"/>
                                    <w:szCs w:val="18"/>
                                  </w:rPr>
                                  <w:t>Q</w:t>
                                </w:r>
                                <w:r w:rsidR="00442232">
                                  <w:rPr>
                                    <w:sz w:val="18"/>
                                    <w:szCs w:val="18"/>
                                  </w:rPr>
                                  <w:t>3</w:t>
                                </w:r>
                                <w:r w:rsidR="00BB5402">
                                  <w:rPr>
                                    <w:sz w:val="18"/>
                                    <w:szCs w:val="18"/>
                                  </w:rPr>
                                  <w:t>0</w:t>
                                </w:r>
                              </w:p>
                              <w:p w14:paraId="74F0AC6B" w14:textId="420BB143" w:rsidR="00E629F7" w:rsidRPr="00E90B8A" w:rsidRDefault="00E629F7" w:rsidP="00E629F7">
                                <w:pPr>
                                  <w:pStyle w:val="BoxTitle"/>
                                  <w:spacing w:before="0" w:beforeAutospacing="0"/>
                                  <w:rPr>
                                    <w:sz w:val="18"/>
                                    <w:szCs w:val="18"/>
                                  </w:rPr>
                                </w:pPr>
                                <w:r w:rsidRPr="00E90B8A">
                                  <w:rPr>
                                    <w:sz w:val="18"/>
                                    <w:szCs w:val="18"/>
                                  </w:rPr>
                                  <w:t>Q</w:t>
                                </w:r>
                                <w:r w:rsidR="00442232">
                                  <w:rPr>
                                    <w:sz w:val="18"/>
                                    <w:szCs w:val="18"/>
                                  </w:rPr>
                                  <w:t>3</w:t>
                                </w:r>
                                <w:r w:rsidR="009D0313">
                                  <w:rPr>
                                    <w:sz w:val="18"/>
                                    <w:szCs w:val="18"/>
                                  </w:rPr>
                                  <w:t>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493A9E7" id="Group 718618185" o:spid="_x0000_s1185" alt="Question" style="position:absolute;left:0;text-align:left;margin-left:-.2pt;margin-top:.1pt;width:453.55pt;height:171.1pt;z-index:-251658238;mso-height-relative:margin" coordorigin=",628" coordsize="57600,21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">
                <v:shape id="Freeform 52" o:spid="_x0000_s118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8267373" w14:textId="77777777" w:rsidR="00E629F7" w:rsidRDefault="00E629F7" w:rsidP="00E629F7">
                        <w:pPr>
                          <w:pStyle w:val="BoxTitle"/>
                          <w:spacing w:before="0" w:beforeAutospacing="0"/>
                        </w:pPr>
                        <w:r w:rsidRPr="007F6876">
                          <w:t>QUESTION</w:t>
                        </w:r>
                        <w:r>
                          <w:t>S</w:t>
                        </w:r>
                      </w:p>
                    </w:txbxContent>
                  </v:textbox>
                </v:shape>
                <v:group id="Group 53" o:spid="_x0000_s1187" style="position:absolute;top:3161;width:57600;height:19212" coordorigin="1837,1791" coordsize="9302,2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">
                  <v:shape id="Freeform 54" o:spid="_x0000_s1188" style="position:absolute;left:1837;top:1791;width:9302;height:2075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" path="m,l9354,r,7809l,7809,,e" fillcolor="#edf2ea" stroked="f">
                    <v:path arrowok="t" o:connecttype="custom" o:connectlocs="0,2657;9302,2657;9302,23409;0,23409;0,2657" o:connectangles="0,0,0,0,0"/>
                  </v:shape>
                </v:group>
                <v:group id="Group 1986059912" o:spid="_x0000_s118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">
                  <v:shape id="Freeform 58" o:spid="_x0000_s119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" path="m,l1815,e" filled="f" strokecolor="#72ab6a" strokeweight=".5pt">
                    <v:path arrowok="t" o:connecttype="custom" o:connectlocs="0,0;1073495,0" o:connectangles="0,0"/>
                  </v:shape>
                  <v:shape id="Freeform 66" o:spid="_x0000_s119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&#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59C3A78" w14:textId="77777777" w:rsidR="00B335C2" w:rsidRDefault="00E629F7" w:rsidP="00E629F7">
                          <w:pPr>
                            <w:pStyle w:val="BoxTitle"/>
                            <w:spacing w:before="0" w:beforeAutospacing="0"/>
                            <w:rPr>
                              <w:sz w:val="18"/>
                              <w:szCs w:val="18"/>
                            </w:rPr>
                          </w:pPr>
                          <w:r w:rsidRPr="00E90B8A">
                            <w:rPr>
                              <w:sz w:val="18"/>
                              <w:szCs w:val="18"/>
                            </w:rPr>
                            <w:t>Q</w:t>
                          </w:r>
                          <w:r w:rsidR="00442232">
                            <w:rPr>
                              <w:sz w:val="18"/>
                              <w:szCs w:val="18"/>
                            </w:rPr>
                            <w:t>3</w:t>
                          </w:r>
                          <w:r w:rsidR="00BB5402">
                            <w:rPr>
                              <w:sz w:val="18"/>
                              <w:szCs w:val="18"/>
                            </w:rPr>
                            <w:t>0</w:t>
                          </w:r>
                        </w:p>
                        <w:p w14:paraId="74F0AC6B" w14:textId="420BB143" w:rsidR="00E629F7" w:rsidRPr="00E90B8A" w:rsidRDefault="00E629F7" w:rsidP="00E629F7">
                          <w:pPr>
                            <w:pStyle w:val="BoxTitle"/>
                            <w:spacing w:before="0" w:beforeAutospacing="0"/>
                            <w:rPr>
                              <w:sz w:val="18"/>
                              <w:szCs w:val="18"/>
                            </w:rPr>
                          </w:pPr>
                          <w:r w:rsidRPr="00E90B8A">
                            <w:rPr>
                              <w:sz w:val="18"/>
                              <w:szCs w:val="18"/>
                            </w:rPr>
                            <w:t>Q</w:t>
                          </w:r>
                          <w:r w:rsidR="00442232">
                            <w:rPr>
                              <w:sz w:val="18"/>
                              <w:szCs w:val="18"/>
                            </w:rPr>
                            <w:t>3</w:t>
                          </w:r>
                          <w:r w:rsidR="009D0313">
                            <w:rPr>
                              <w:sz w:val="18"/>
                              <w:szCs w:val="18"/>
                            </w:rPr>
                            <w:t>2</w:t>
                          </w:r>
                        </w:p>
                      </w:txbxContent>
                    </v:textbox>
                  </v:shape>
                </v:group>
              </v:group>
            </w:pict>
          </mc:Fallback>
        </mc:AlternateContent>
      </w:r>
    </w:p>
    <w:p w14:paraId="7E08BDBB" w14:textId="77777777" w:rsidR="00DE39E6" w:rsidRPr="008642D1" w:rsidRDefault="00DE39E6" w:rsidP="00DE39E6">
      <w:pPr>
        <w:pStyle w:val="QuestionBox"/>
      </w:pPr>
    </w:p>
    <w:p w14:paraId="2103F4E7" w14:textId="77777777" w:rsidR="00C04A3F" w:rsidRDefault="00C04A3F" w:rsidP="00DE39E6">
      <w:pPr>
        <w:pStyle w:val="QuestionBox"/>
      </w:pPr>
      <w:r w:rsidRPr="00C04A3F">
        <w:t xml:space="preserve">If new grounds of discrimination are added to the Human Rights Act 1993 to protect people who are transgender or non-binary or who have an innate variation of sex characteristics, should the exceptions in sections 28(1) and 39(1) for organised religion be amended to reflect those new grounds? </w:t>
      </w:r>
    </w:p>
    <w:p w14:paraId="78A7C176" w14:textId="5F60D623" w:rsidR="00DE39E6" w:rsidRPr="008642D1" w:rsidRDefault="00442232" w:rsidP="00DE39E6">
      <w:pPr>
        <w:pStyle w:val="QuestionBox"/>
      </w:pPr>
      <w:r w:rsidRPr="008642D1">
        <w:rPr>
          <w:noProof/>
        </w:rPr>
        <mc:AlternateContent>
          <mc:Choice Requires="wpg">
            <w:drawing>
              <wp:anchor distT="0" distB="0" distL="114300" distR="114300" simplePos="0" relativeHeight="251658331" behindDoc="1" locked="0" layoutInCell="1" allowOverlap="1" wp14:anchorId="25553530" wp14:editId="6BF13BFF">
                <wp:simplePos x="0" y="0"/>
                <wp:positionH relativeFrom="column">
                  <wp:posOffset>0</wp:posOffset>
                </wp:positionH>
                <wp:positionV relativeFrom="paragraph">
                  <wp:posOffset>181800</wp:posOffset>
                </wp:positionV>
                <wp:extent cx="1443355" cy="251460"/>
                <wp:effectExtent l="0" t="0" r="42545" b="0"/>
                <wp:wrapNone/>
                <wp:docPr id="1798774209"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78200253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07634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336A6F" w14:textId="77777777" w:rsidR="00B335C2" w:rsidRDefault="00442232" w:rsidP="00442232">
                              <w:pPr>
                                <w:pStyle w:val="BoxTitle"/>
                                <w:spacing w:before="0" w:beforeAutospacing="0"/>
                                <w:rPr>
                                  <w:sz w:val="18"/>
                                  <w:szCs w:val="18"/>
                                </w:rPr>
                              </w:pPr>
                              <w:r w:rsidRPr="00E90B8A">
                                <w:rPr>
                                  <w:sz w:val="18"/>
                                  <w:szCs w:val="18"/>
                                </w:rPr>
                                <w:t>Q</w:t>
                              </w:r>
                              <w:r>
                                <w:rPr>
                                  <w:sz w:val="18"/>
                                  <w:szCs w:val="18"/>
                                </w:rPr>
                                <w:t>3</w:t>
                              </w:r>
                              <w:r w:rsidR="00BB5402">
                                <w:rPr>
                                  <w:sz w:val="18"/>
                                  <w:szCs w:val="18"/>
                                </w:rPr>
                                <w:t>1</w:t>
                              </w:r>
                            </w:p>
                            <w:p w14:paraId="425C1B8F" w14:textId="657BF358" w:rsidR="00442232" w:rsidRPr="00E90B8A" w:rsidRDefault="00442232" w:rsidP="00442232">
                              <w:pPr>
                                <w:pStyle w:val="BoxTitle"/>
                                <w:spacing w:before="0" w:beforeAutospacing="0"/>
                                <w:rPr>
                                  <w:sz w:val="18"/>
                                  <w:szCs w:val="18"/>
                                </w:rPr>
                              </w:pPr>
                              <w:r w:rsidRPr="00E90B8A">
                                <w:rPr>
                                  <w:sz w:val="18"/>
                                  <w:szCs w:val="18"/>
                                </w:rPr>
                                <w:t>Q</w:t>
                              </w:r>
                              <w:r>
                                <w:rPr>
                                  <w:sz w:val="18"/>
                                  <w:szCs w:val="18"/>
                                </w:rPr>
                                <w:t>3</w:t>
                              </w:r>
                              <w:r w:rsidR="009D0313">
                                <w:rPr>
                                  <w:sz w:val="18"/>
                                  <w:szCs w:val="18"/>
                                </w:rPr>
                                <w:t>3</w:t>
                              </w:r>
                            </w:p>
                          </w:txbxContent>
                        </wps:txbx>
                        <wps:bodyPr rot="0" vert="horz" wrap="square" lIns="54000" tIns="82800" rIns="91440" bIns="45720" anchor="ctr" anchorCtr="0" upright="1">
                          <a:noAutofit/>
                        </wps:bodyPr>
                      </wps:wsp>
                    </wpg:wgp>
                  </a:graphicData>
                </a:graphic>
              </wp:anchor>
            </w:drawing>
          </mc:Choice>
          <mc:Fallback>
            <w:pict>
              <v:group w14:anchorId="25553530" id="_x0000_s1192" style="position:absolute;left:0;text-align:left;margin-left:0;margin-top:14.3pt;width:113.65pt;height:19.8pt;z-index:-251658149"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">
                <v:shape id="Freeform 58" o:spid="_x0000_s119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" path="m,l1815,e" filled="f" strokecolor="#72ab6a" strokeweight=".5pt">
                  <v:path arrowok="t" o:connecttype="custom" o:connectlocs="0,0;1073495,0" o:connectangles="0,0"/>
                </v:shape>
                <v:shape id="Freeform 66" o:spid="_x0000_s119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F336A6F" w14:textId="77777777" w:rsidR="00B335C2" w:rsidRDefault="00442232" w:rsidP="00442232">
                        <w:pPr>
                          <w:pStyle w:val="BoxTitle"/>
                          <w:spacing w:before="0" w:beforeAutospacing="0"/>
                          <w:rPr>
                            <w:sz w:val="18"/>
                            <w:szCs w:val="18"/>
                          </w:rPr>
                        </w:pPr>
                        <w:r w:rsidRPr="00E90B8A">
                          <w:rPr>
                            <w:sz w:val="18"/>
                            <w:szCs w:val="18"/>
                          </w:rPr>
                          <w:t>Q</w:t>
                        </w:r>
                        <w:r>
                          <w:rPr>
                            <w:sz w:val="18"/>
                            <w:szCs w:val="18"/>
                          </w:rPr>
                          <w:t>3</w:t>
                        </w:r>
                        <w:r w:rsidR="00BB5402">
                          <w:rPr>
                            <w:sz w:val="18"/>
                            <w:szCs w:val="18"/>
                          </w:rPr>
                          <w:t>1</w:t>
                        </w:r>
                      </w:p>
                      <w:p w14:paraId="425C1B8F" w14:textId="657BF358" w:rsidR="00442232" w:rsidRPr="00E90B8A" w:rsidRDefault="00442232" w:rsidP="00442232">
                        <w:pPr>
                          <w:pStyle w:val="BoxTitle"/>
                          <w:spacing w:before="0" w:beforeAutospacing="0"/>
                          <w:rPr>
                            <w:sz w:val="18"/>
                            <w:szCs w:val="18"/>
                          </w:rPr>
                        </w:pPr>
                        <w:r w:rsidRPr="00E90B8A">
                          <w:rPr>
                            <w:sz w:val="18"/>
                            <w:szCs w:val="18"/>
                          </w:rPr>
                          <w:t>Q</w:t>
                        </w:r>
                        <w:r>
                          <w:rPr>
                            <w:sz w:val="18"/>
                            <w:szCs w:val="18"/>
                          </w:rPr>
                          <w:t>3</w:t>
                        </w:r>
                        <w:r w:rsidR="009D0313">
                          <w:rPr>
                            <w:sz w:val="18"/>
                            <w:szCs w:val="18"/>
                          </w:rPr>
                          <w:t>3</w:t>
                        </w:r>
                      </w:p>
                    </w:txbxContent>
                  </v:textbox>
                </v:shape>
              </v:group>
            </w:pict>
          </mc:Fallback>
        </mc:AlternateContent>
      </w:r>
    </w:p>
    <w:p w14:paraId="17E9BA49" w14:textId="505AE1BC" w:rsidR="00DE39E6" w:rsidRDefault="000E4C82" w:rsidP="00DE39E6">
      <w:pPr>
        <w:pStyle w:val="QuestionBox"/>
      </w:pPr>
      <w:r w:rsidRPr="000E4C82">
        <w:t>Do you have any additional feedback on the practical implications of amending sections 28(1) and 39(1)?</w:t>
      </w:r>
    </w:p>
    <w:p w14:paraId="017803BD" w14:textId="77777777" w:rsidR="00BB5402" w:rsidRPr="008642D1" w:rsidRDefault="00BB5402" w:rsidP="00DE39E6">
      <w:pPr>
        <w:pStyle w:val="QuestionBox"/>
      </w:pPr>
    </w:p>
    <w:p w14:paraId="39198CC3" w14:textId="6D854B83" w:rsidR="00D55D88" w:rsidRPr="008642D1" w:rsidRDefault="00D55D88" w:rsidP="00D55D88">
      <w:pPr>
        <w:pStyle w:val="Heading2"/>
      </w:pPr>
      <w:bookmarkStart w:id="113" w:name="_Toc170302162"/>
      <w:r w:rsidRPr="008642D1">
        <w:t>Implications of th</w:t>
      </w:r>
      <w:r w:rsidR="00EF433C">
        <w:t>is</w:t>
      </w:r>
      <w:r w:rsidRPr="008642D1">
        <w:t xml:space="preserve"> review for the Employment Relations Act 2000</w:t>
      </w:r>
      <w:bookmarkEnd w:id="113"/>
    </w:p>
    <w:p w14:paraId="2439ECBC" w14:textId="5F3951C9" w:rsidR="00D55D88" w:rsidRPr="008642D1" w:rsidRDefault="00D55D88" w:rsidP="00D55D88">
      <w:pPr>
        <w:pStyle w:val="BodyText"/>
      </w:pPr>
      <w:r w:rsidRPr="008642D1">
        <w:t>As we mentioned earlier in this chapter, under the Employment Relations Act, an employee can take a personal grievance if they experience various forms of discrimination in employment. One element of the definition of discrimination contained in the Employment Relations Act is that the discrimination must be “by reason directly or indirectly” of one of the “prohibited grounds of discrimination set out in section 21(1) of the Human Rights Act”.</w:t>
      </w:r>
      <w:r w:rsidRPr="008642D1">
        <w:rPr>
          <w:rStyle w:val="FootnoteReference"/>
        </w:rPr>
        <w:footnoteReference w:id="479"/>
      </w:r>
      <w:r w:rsidRPr="008642D1">
        <w:t xml:space="preserve"> The Employment Relations Act then replicates the prohibited grounds contained in section 21.</w:t>
      </w:r>
      <w:r w:rsidRPr="008642D1">
        <w:rPr>
          <w:rStyle w:val="FootnoteReference"/>
        </w:rPr>
        <w:footnoteReference w:id="480"/>
      </w:r>
    </w:p>
    <w:p w14:paraId="5D3B9E3E" w14:textId="77777777" w:rsidR="00D55D88" w:rsidRPr="008642D1" w:rsidRDefault="00D55D88" w:rsidP="00D55D88">
      <w:pPr>
        <w:pStyle w:val="BodyText"/>
      </w:pPr>
      <w:r w:rsidRPr="008642D1">
        <w:lastRenderedPageBreak/>
        <w:t>If section 21 of the Human Rights Act is amended, a consequential amendment to the Employment Relations Act will be required to update that list of prohibited grounds. Otherwise, there would be an internal inconsistency in the Employment Relations Act — it would refer to the “prohibited grounds of discrimination set out in section 21” but then replicate an incomplete list.</w:t>
      </w:r>
    </w:p>
    <w:p w14:paraId="5332A855" w14:textId="77777777" w:rsidR="00D55D88" w:rsidRPr="008642D1" w:rsidRDefault="00D55D88" w:rsidP="00D55D88">
      <w:pPr>
        <w:pStyle w:val="BodyText"/>
      </w:pPr>
      <w:r w:rsidRPr="008642D1">
        <w:t>All but one of the employment exceptions in the Human Rights Act apply to discrimination under the Employment Relations Act as well.</w:t>
      </w:r>
      <w:r w:rsidRPr="008642D1">
        <w:rPr>
          <w:rStyle w:val="FootnoteReference"/>
        </w:rPr>
        <w:footnoteReference w:id="481"/>
      </w:r>
      <w:r w:rsidRPr="008642D1">
        <w:t xml:space="preserve"> Therefore, if any of the employment exceptions in Part 2 of the Human Rights Act are amended to apply to new grounds, this will also affect discrimination claims under the Employment Relations Act. If any </w:t>
      </w:r>
      <w:r w:rsidRPr="008642D1">
        <w:rPr>
          <w:i/>
          <w:iCs/>
        </w:rPr>
        <w:t>new</w:t>
      </w:r>
      <w:r w:rsidRPr="008642D1">
        <w:t xml:space="preserve"> employment exceptions are added to the Human Rights Act, it would need to be decided whether to amend the Employment Relations Act to ensure those exceptions also apply. </w:t>
      </w:r>
    </w:p>
    <w:p w14:paraId="5970AFBA" w14:textId="77777777" w:rsidR="00D55D88" w:rsidRPr="008642D1" w:rsidRDefault="00D55D88" w:rsidP="00D55D88">
      <w:pPr>
        <w:pStyle w:val="BodyText"/>
      </w:pPr>
      <w:r w:rsidRPr="008642D1">
        <w:t>We note that the protections from employment discrimination in the Employment Relations Act apply in slightly narrower circumstances than those in the Human Rights Act. For example, they do not apply to independent contractors, volunteers or prospective employees.</w:t>
      </w:r>
      <w:r w:rsidRPr="008642D1">
        <w:rPr>
          <w:rStyle w:val="FootnoteReference"/>
        </w:rPr>
        <w:t xml:space="preserve"> </w:t>
      </w:r>
      <w:r w:rsidRPr="008642D1">
        <w:t xml:space="preserve"> </w:t>
      </w:r>
    </w:p>
    <w:p w14:paraId="53124D28" w14:textId="77777777" w:rsidR="00D55D88" w:rsidRPr="008642D1" w:rsidRDefault="00D55D88" w:rsidP="00D55D88">
      <w:pPr>
        <w:pStyle w:val="BodyText"/>
      </w:pPr>
      <w:r w:rsidRPr="008642D1">
        <w:t>The Employment Relations Act does, however, provide a parallel set of remedies (alongside those available in the Human Rights Act) for employees who experience workplace discrimination. Instead of complaining to Te Kāhui Tika Tangata | Human Rights Commission (and, subsequently, the Human Rights Review Tribunal), they can choose to lodge a personal grievance with Te Ratonga Ahumana Taimahi</w:t>
      </w:r>
      <w:r w:rsidRPr="008642D1" w:rsidDel="00982B2E">
        <w:t xml:space="preserve"> </w:t>
      </w:r>
      <w:r w:rsidRPr="008642D1">
        <w:t>| Employment Relations Authority.</w:t>
      </w:r>
      <w:r w:rsidRPr="008642D1">
        <w:rPr>
          <w:rStyle w:val="FootnoteReference"/>
        </w:rPr>
        <w:footnoteReference w:id="482"/>
      </w:r>
    </w:p>
    <w:p w14:paraId="0026E887" w14:textId="77777777" w:rsidR="00D55D88" w:rsidRPr="008642D1" w:rsidRDefault="00D55D88" w:rsidP="00D55D88">
      <w:pPr>
        <w:pStyle w:val="BodyText"/>
      </w:pPr>
      <w:r w:rsidRPr="008642D1">
        <w:t xml:space="preserve">We are interested in feedback about whether there are other implications of this review for the Employment Relations Act that we have not understood or difficulties we have not identified. </w:t>
      </w:r>
    </w:p>
    <w:p w14:paraId="6FB33338" w14:textId="77777777" w:rsidR="00D55D88" w:rsidRPr="008642D1" w:rsidRDefault="00D55D88" w:rsidP="00D55D88">
      <w:pPr>
        <w:pStyle w:val="BodyText"/>
      </w:pPr>
      <w:r w:rsidRPr="008642D1">
        <w:t xml:space="preserve">Although our review is largely limited to the Human Rights Act, we may make recommendations about any consequential amendments that would be needed to the Employment Relations Act. </w:t>
      </w:r>
    </w:p>
    <w:p w14:paraId="48C0E3AE" w14:textId="21773E9D" w:rsidR="00D55D88" w:rsidRPr="008642D1" w:rsidRDefault="00D55D88" w:rsidP="00D55D88">
      <w:pPr>
        <w:pStyle w:val="BodyText"/>
      </w:pPr>
      <w:r w:rsidRPr="008642D1">
        <w:t xml:space="preserve">It is also possible that consequential amendments to the Employment Relations Act would have implications for other employment legislation. For example, the Equal Pay Act 1972 says that, if </w:t>
      </w:r>
      <w:r w:rsidR="00560856">
        <w:t xml:space="preserve">a </w:t>
      </w:r>
      <w:r w:rsidRPr="008642D1">
        <w:t xml:space="preserve">term </w:t>
      </w:r>
      <w:r w:rsidR="00A31D48">
        <w:t>or</w:t>
      </w:r>
      <w:r w:rsidRPr="008642D1">
        <w:t xml:space="preserve"> expression in that Act </w:t>
      </w:r>
      <w:r w:rsidR="00560856">
        <w:t>is</w:t>
      </w:r>
      <w:r w:rsidRPr="008642D1">
        <w:t xml:space="preserve"> undefined, </w:t>
      </w:r>
      <w:r w:rsidR="00560856">
        <w:t>it</w:t>
      </w:r>
      <w:r w:rsidRPr="008642D1">
        <w:t xml:space="preserve"> </w:t>
      </w:r>
      <w:r w:rsidR="00560856">
        <w:t>has</w:t>
      </w:r>
      <w:r w:rsidRPr="008642D1">
        <w:t xml:space="preserve"> the meaning in the Employment Relations Act.</w:t>
      </w:r>
      <w:r w:rsidRPr="008642D1">
        <w:rPr>
          <w:rStyle w:val="FootnoteReference"/>
        </w:rPr>
        <w:footnoteReference w:id="483"/>
      </w:r>
      <w:r w:rsidRPr="008642D1">
        <w:t xml:space="preserve"> </w:t>
      </w:r>
    </w:p>
    <w:p w14:paraId="2AEB6780" w14:textId="1E7C7A02" w:rsidR="00D55D88" w:rsidRPr="008642D1" w:rsidRDefault="007B7513" w:rsidP="00D55D88">
      <w:pPr>
        <w:pStyle w:val="BodyText"/>
        <w:numPr>
          <w:ilvl w:val="0"/>
          <w:numId w:val="0"/>
        </w:numPr>
        <w:tabs>
          <w:tab w:val="clear" w:pos="709"/>
        </w:tabs>
        <w:ind w:left="709" w:hanging="709"/>
      </w:pPr>
      <w:r w:rsidRPr="008642D1">
        <w:rPr>
          <w:noProof/>
        </w:rPr>
        <mc:AlternateContent>
          <mc:Choice Requires="wpg">
            <w:drawing>
              <wp:anchor distT="0" distB="0" distL="114300" distR="114300" simplePos="0" relativeHeight="251658332" behindDoc="1" locked="0" layoutInCell="1" allowOverlap="1" wp14:anchorId="2861683C" wp14:editId="10D1F6C5">
                <wp:simplePos x="0" y="0"/>
                <wp:positionH relativeFrom="column">
                  <wp:posOffset>520</wp:posOffset>
                </wp:positionH>
                <wp:positionV relativeFrom="paragraph">
                  <wp:posOffset>-1138</wp:posOffset>
                </wp:positionV>
                <wp:extent cx="5760085" cy="1009448"/>
                <wp:effectExtent l="0" t="0" r="0" b="635"/>
                <wp:wrapNone/>
                <wp:docPr id="1453981150" name="Group 1453981150" descr="Questi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760085" cy="1009448"/>
                          <a:chOff x="0" y="62865"/>
                          <a:chExt cx="5760085" cy="1010037"/>
                        </a:xfrm>
                      </wpg:grpSpPr>
                      <wps:wsp>
                        <wps:cNvPr id="11806260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C09263" w14:textId="77777777" w:rsidR="007B7513" w:rsidRDefault="007B7513" w:rsidP="007B7513">
                              <w:pPr>
                                <w:pStyle w:val="BoxTitle"/>
                                <w:spacing w:before="0" w:beforeAutospacing="0"/>
                              </w:pPr>
                              <w:r w:rsidRPr="007F6876">
                                <w:t>QUESTION</w:t>
                              </w:r>
                            </w:p>
                          </w:txbxContent>
                        </wps:txbx>
                        <wps:bodyPr rot="0" vert="horz" wrap="square" lIns="91440" tIns="0" rIns="0" bIns="45720" anchor="ctr" anchorCtr="0" upright="1">
                          <a:noAutofit/>
                        </wps:bodyPr>
                      </wps:wsp>
                      <wpg:grpSp>
                        <wpg:cNvPr id="1866535117" name="Group 53"/>
                        <wpg:cNvGrpSpPr>
                          <a:grpSpLocks/>
                        </wpg:cNvGrpSpPr>
                        <wpg:grpSpPr bwMode="auto">
                          <a:xfrm>
                            <a:off x="0" y="316077"/>
                            <a:ext cx="5760085" cy="756825"/>
                            <a:chOff x="1837" y="1790"/>
                            <a:chExt cx="9302" cy="8175"/>
                          </a:xfrm>
                        </wpg:grpSpPr>
                        <wps:wsp>
                          <wps:cNvPr id="1674834788" name="Freeform 54"/>
                          <wps:cNvSpPr>
                            <a:spLocks/>
                          </wps:cNvSpPr>
                          <wps:spPr bwMode="auto">
                            <a:xfrm>
                              <a:off x="1837" y="1790"/>
                              <a:ext cx="9302" cy="817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1344635" name="Group 1961344635"/>
                        <wpg:cNvGrpSpPr/>
                        <wpg:grpSpPr>
                          <a:xfrm>
                            <a:off x="0" y="494036"/>
                            <a:ext cx="1443794" cy="252000"/>
                            <a:chOff x="-15880" y="0"/>
                            <a:chExt cx="1444379" cy="252068"/>
                          </a:xfrm>
                        </wpg:grpSpPr>
                        <wps:wsp>
                          <wps:cNvPr id="7164149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34790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4A4903" w14:textId="77777777" w:rsidR="00B335C2" w:rsidRDefault="007B7513" w:rsidP="007B7513">
                                <w:pPr>
                                  <w:pStyle w:val="BoxTitle"/>
                                  <w:spacing w:before="0" w:beforeAutospacing="0"/>
                                  <w:rPr>
                                    <w:sz w:val="18"/>
                                    <w:szCs w:val="18"/>
                                  </w:rPr>
                                </w:pPr>
                                <w:r w:rsidRPr="00E90B8A">
                                  <w:rPr>
                                    <w:sz w:val="18"/>
                                    <w:szCs w:val="18"/>
                                  </w:rPr>
                                  <w:t>Q</w:t>
                                </w:r>
                                <w:r>
                                  <w:rPr>
                                    <w:sz w:val="18"/>
                                    <w:szCs w:val="18"/>
                                  </w:rPr>
                                  <w:t>3</w:t>
                                </w:r>
                                <w:r w:rsidR="00BB5402">
                                  <w:rPr>
                                    <w:sz w:val="18"/>
                                    <w:szCs w:val="18"/>
                                  </w:rPr>
                                  <w:t>2</w:t>
                                </w:r>
                              </w:p>
                              <w:p w14:paraId="28EE9CF9" w14:textId="5286FAA4" w:rsidR="007B7513" w:rsidRPr="00E90B8A" w:rsidRDefault="007B7513" w:rsidP="007B7513">
                                <w:pPr>
                                  <w:pStyle w:val="BoxTitle"/>
                                  <w:spacing w:before="0" w:beforeAutospacing="0"/>
                                  <w:rPr>
                                    <w:sz w:val="18"/>
                                    <w:szCs w:val="18"/>
                                  </w:rPr>
                                </w:pPr>
                                <w:r w:rsidRPr="00E90B8A">
                                  <w:rPr>
                                    <w:sz w:val="18"/>
                                    <w:szCs w:val="18"/>
                                  </w:rPr>
                                  <w:t>Q</w:t>
                                </w:r>
                                <w:r>
                                  <w:rPr>
                                    <w:sz w:val="18"/>
                                    <w:szCs w:val="18"/>
                                  </w:rPr>
                                  <w:t>3</w:t>
                                </w:r>
                                <w:r w:rsidR="009D0313">
                                  <w:rPr>
                                    <w:sz w:val="18"/>
                                    <w:szCs w:val="18"/>
                                  </w:rPr>
                                  <w:t>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861683C" id="Group 1453981150" o:spid="_x0000_s1195" alt="Question" style="position:absolute;left:0;text-align:left;margin-left:.05pt;margin-top:-.1pt;width:453.55pt;height:79.5pt;z-index:-251658148;mso-height-relative:margin" coordorigin=",628" coordsize="57600,1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">
                <v:shape id="Freeform 52" o:spid="_x0000_s119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FC09263" w14:textId="77777777" w:rsidR="007B7513" w:rsidRDefault="007B7513" w:rsidP="007B7513">
                        <w:pPr>
                          <w:pStyle w:val="BoxTitle"/>
                          <w:spacing w:before="0" w:beforeAutospacing="0"/>
                        </w:pPr>
                        <w:r w:rsidRPr="007F6876">
                          <w:t>QUESTION</w:t>
                        </w:r>
                      </w:p>
                    </w:txbxContent>
                  </v:textbox>
                </v:shape>
                <v:group id="Group 53" o:spid="_x0000_s1197" style="position:absolute;top:3160;width:57600;height:7569" coordorigin="1837,1790" coordsize="9302,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">
                  <v:shape id="Freeform 54" o:spid="_x0000_s1198" style="position:absolute;left:1837;top:1790;width:9302;height:817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" path="m,l9354,r,7809l,7809,,e" fillcolor="#edf2ea" stroked="f">
                    <v:path arrowok="t" o:connecttype="custom" o:connectlocs="0,1047;9302,1047;9302,9222;0,9222;0,1047" o:connectangles="0,0,0,0,0"/>
                  </v:shape>
                </v:group>
                <v:group id="Group 1961344635" o:spid="_x0000_s119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">
                  <v:shape id="Freeform 58" o:spid="_x0000_s120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" path="m,l1815,e" filled="f" strokecolor="#72ab6a" strokeweight=".5pt">
                    <v:path arrowok="t" o:connecttype="custom" o:connectlocs="0,0;1073495,0" o:connectangles="0,0"/>
                  </v:shape>
                  <v:shape id="Freeform 66" o:spid="_x0000_s120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F4A4903" w14:textId="77777777" w:rsidR="00B335C2" w:rsidRDefault="007B7513" w:rsidP="007B7513">
                          <w:pPr>
                            <w:pStyle w:val="BoxTitle"/>
                            <w:spacing w:before="0" w:beforeAutospacing="0"/>
                            <w:rPr>
                              <w:sz w:val="18"/>
                              <w:szCs w:val="18"/>
                            </w:rPr>
                          </w:pPr>
                          <w:r w:rsidRPr="00E90B8A">
                            <w:rPr>
                              <w:sz w:val="18"/>
                              <w:szCs w:val="18"/>
                            </w:rPr>
                            <w:t>Q</w:t>
                          </w:r>
                          <w:r>
                            <w:rPr>
                              <w:sz w:val="18"/>
                              <w:szCs w:val="18"/>
                            </w:rPr>
                            <w:t>3</w:t>
                          </w:r>
                          <w:r w:rsidR="00BB5402">
                            <w:rPr>
                              <w:sz w:val="18"/>
                              <w:szCs w:val="18"/>
                            </w:rPr>
                            <w:t>2</w:t>
                          </w:r>
                        </w:p>
                        <w:p w14:paraId="28EE9CF9" w14:textId="5286FAA4" w:rsidR="007B7513" w:rsidRPr="00E90B8A" w:rsidRDefault="007B7513" w:rsidP="007B7513">
                          <w:pPr>
                            <w:pStyle w:val="BoxTitle"/>
                            <w:spacing w:before="0" w:beforeAutospacing="0"/>
                            <w:rPr>
                              <w:sz w:val="18"/>
                              <w:szCs w:val="18"/>
                            </w:rPr>
                          </w:pPr>
                          <w:r w:rsidRPr="00E90B8A">
                            <w:rPr>
                              <w:sz w:val="18"/>
                              <w:szCs w:val="18"/>
                            </w:rPr>
                            <w:t>Q</w:t>
                          </w:r>
                          <w:r>
                            <w:rPr>
                              <w:sz w:val="18"/>
                              <w:szCs w:val="18"/>
                            </w:rPr>
                            <w:t>3</w:t>
                          </w:r>
                          <w:r w:rsidR="009D0313">
                            <w:rPr>
                              <w:sz w:val="18"/>
                              <w:szCs w:val="18"/>
                            </w:rPr>
                            <w:t>4</w:t>
                          </w:r>
                        </w:p>
                      </w:txbxContent>
                    </v:textbox>
                  </v:shape>
                </v:group>
              </v:group>
            </w:pict>
          </mc:Fallback>
        </mc:AlternateContent>
      </w:r>
    </w:p>
    <w:p w14:paraId="4BCAEC76" w14:textId="77777777" w:rsidR="00442232" w:rsidRPr="008642D1" w:rsidRDefault="00442232" w:rsidP="00D55D88">
      <w:pPr>
        <w:pStyle w:val="BodyText"/>
        <w:numPr>
          <w:ilvl w:val="0"/>
          <w:numId w:val="0"/>
        </w:numPr>
        <w:tabs>
          <w:tab w:val="clear" w:pos="709"/>
        </w:tabs>
        <w:ind w:left="709" w:hanging="709"/>
      </w:pPr>
    </w:p>
    <w:p w14:paraId="0E3846C2" w14:textId="34A07DEC" w:rsidR="00174F89" w:rsidRPr="008642D1" w:rsidRDefault="00E7135F" w:rsidP="00E7135F">
      <w:pPr>
        <w:pStyle w:val="QuestionBox"/>
      </w:pPr>
      <w:r w:rsidRPr="00E7135F">
        <w:t>Do you have any feedback about the</w:t>
      </w:r>
      <w:r w:rsidR="00D55D88" w:rsidRPr="008642D1">
        <w:t xml:space="preserve"> implications of this review for the Employment Relations Act</w:t>
      </w:r>
      <w:r w:rsidRPr="00E7135F">
        <w:t xml:space="preserve"> 2000?</w:t>
      </w:r>
    </w:p>
    <w:p w14:paraId="29392C12" w14:textId="77777777" w:rsidR="007B7513" w:rsidRPr="008642D1" w:rsidRDefault="007B7513" w:rsidP="00174F89">
      <w:pPr>
        <w:pStyle w:val="BodyText"/>
        <w:numPr>
          <w:ilvl w:val="0"/>
          <w:numId w:val="0"/>
        </w:numPr>
        <w:ind w:left="709" w:hanging="709"/>
      </w:pPr>
    </w:p>
    <w:p w14:paraId="1FFF2FC2" w14:textId="6603574E" w:rsidR="00174F89" w:rsidRPr="008642D1" w:rsidRDefault="00174F89" w:rsidP="00174F89">
      <w:pPr>
        <w:pStyle w:val="BodyText"/>
        <w:numPr>
          <w:ilvl w:val="0"/>
          <w:numId w:val="0"/>
        </w:numPr>
        <w:ind w:left="709" w:hanging="709"/>
      </w:pPr>
      <w:r w:rsidRPr="008642D1">
        <w:rPr>
          <w:rFonts w:eastAsiaTheme="minorHAnsi"/>
          <w:noProof/>
          <w:lang w:eastAsia="en-NZ"/>
        </w:rPr>
        <mc:AlternateContent>
          <mc:Choice Requires="wpg">
            <w:drawing>
              <wp:anchor distT="0" distB="0" distL="114300" distR="114300" simplePos="0" relativeHeight="251658288" behindDoc="1" locked="0" layoutInCell="1" allowOverlap="1" wp14:anchorId="3F696D61" wp14:editId="4A95F39C">
                <wp:simplePos x="0" y="0"/>
                <wp:positionH relativeFrom="page">
                  <wp:posOffset>1080135</wp:posOffset>
                </wp:positionH>
                <wp:positionV relativeFrom="paragraph">
                  <wp:posOffset>304610</wp:posOffset>
                </wp:positionV>
                <wp:extent cx="1799590" cy="1270"/>
                <wp:effectExtent l="0" t="19050" r="10160" b="17780"/>
                <wp:wrapNone/>
                <wp:docPr id="1384301102" name="Group 138430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1724810077"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47D5C9" id="Group 1384301102" o:spid="_x0000_s1026" style="position:absolute;margin-left:85.05pt;margin-top:24pt;width:141.7pt;height:.1pt;z-index:-251658192;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" path="m,l2097,e" filled="f" strokecolor="#72ab6a" strokeweight="3pt">
                  <v:path arrowok="t" o:connecttype="custom" o:connectlocs="0,0;2097,0" o:connectangles="0,0"/>
                </v:shape>
                <w10:wrap anchorx="page"/>
              </v:group>
            </w:pict>
          </mc:Fallback>
        </mc:AlternateContent>
      </w:r>
    </w:p>
    <w:p w14:paraId="7EBAF985" w14:textId="77777777" w:rsidR="00174F89" w:rsidRPr="008642D1" w:rsidRDefault="00174F89" w:rsidP="00174F89">
      <w:pPr>
        <w:pStyle w:val="BodyText"/>
        <w:numPr>
          <w:ilvl w:val="0"/>
          <w:numId w:val="0"/>
        </w:numPr>
        <w:ind w:left="709"/>
      </w:pPr>
    </w:p>
    <w:p w14:paraId="1BD7F08F" w14:textId="77777777" w:rsidR="007B7513" w:rsidRPr="008642D1" w:rsidRDefault="007B7513" w:rsidP="00174F89">
      <w:pPr>
        <w:pStyle w:val="BodyText"/>
        <w:numPr>
          <w:ilvl w:val="0"/>
          <w:numId w:val="0"/>
        </w:numPr>
        <w:ind w:left="709"/>
        <w:sectPr w:rsidR="007B7513" w:rsidRPr="008642D1" w:rsidSect="00174F89">
          <w:headerReference w:type="default" r:id="rId49"/>
          <w:footerReference w:type="even" r:id="rId50"/>
          <w:footnotePr>
            <w:numRestart w:val="eachSect"/>
          </w:footnotePr>
          <w:pgSz w:w="11920" w:h="16840"/>
          <w:pgMar w:top="1134" w:right="1134" w:bottom="1134" w:left="1701" w:header="499" w:footer="46" w:gutter="0"/>
          <w:cols w:space="720"/>
          <w:docGrid w:linePitch="272"/>
        </w:sectPr>
      </w:pPr>
    </w:p>
    <w:p w14:paraId="46345193" w14:textId="68F6BADB" w:rsidR="00174F89" w:rsidRPr="008642D1" w:rsidRDefault="00174F89" w:rsidP="00174F89">
      <w:pPr>
        <w:pStyle w:val="HEADING2topchapter-notinTOC"/>
      </w:pPr>
      <w:r w:rsidRPr="008642D1">
        <w:lastRenderedPageBreak/>
        <w:t>CHAPTER 1</w:t>
      </w:r>
      <w:r w:rsidR="00D15AFA" w:rsidRPr="008642D1">
        <w:t>0</w:t>
      </w:r>
    </w:p>
    <w:p w14:paraId="602A5402" w14:textId="77777777" w:rsidR="00174F89" w:rsidRPr="008642D1" w:rsidRDefault="00174F89" w:rsidP="00174F89">
      <w:pPr>
        <w:spacing w:line="200" w:lineRule="exact"/>
        <w:rPr>
          <w:szCs w:val="20"/>
        </w:rPr>
      </w:pPr>
      <w:r w:rsidRPr="008642D1">
        <w:rPr>
          <w:noProof/>
          <w:lang w:eastAsia="en-NZ"/>
        </w:rPr>
        <mc:AlternateContent>
          <mc:Choice Requires="wpg">
            <w:drawing>
              <wp:anchor distT="0" distB="0" distL="114300" distR="114300" simplePos="0" relativeHeight="251658272" behindDoc="1" locked="0" layoutInCell="1" allowOverlap="1" wp14:anchorId="75AF8B8C" wp14:editId="6A897EEE">
                <wp:simplePos x="0" y="0"/>
                <wp:positionH relativeFrom="page">
                  <wp:posOffset>1076325</wp:posOffset>
                </wp:positionH>
                <wp:positionV relativeFrom="paragraph">
                  <wp:posOffset>6350</wp:posOffset>
                </wp:positionV>
                <wp:extent cx="1332230" cy="1270"/>
                <wp:effectExtent l="0" t="19050" r="1270" b="17780"/>
                <wp:wrapNone/>
                <wp:docPr id="1738244795" name="Group 1738244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449215618"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5CF20" id="Group 1738244795" o:spid="_x0000_s1026" style="position:absolute;margin-left:84.75pt;margin-top:.5pt;width:104.9pt;height:.1pt;z-index:-251658208;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EU/AIAAN8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52E5C83D" w14:textId="77777777" w:rsidR="00174F89" w:rsidRPr="008642D1" w:rsidRDefault="00174F89" w:rsidP="00DF306B">
      <w:pPr>
        <w:pStyle w:val="Heading1"/>
        <w:numPr>
          <w:ilvl w:val="0"/>
          <w:numId w:val="24"/>
        </w:numPr>
      </w:pPr>
      <w:bookmarkStart w:id="114" w:name="_Toc166844446"/>
      <w:bookmarkStart w:id="115" w:name="_Toc170302163"/>
      <w:r w:rsidRPr="008642D1">
        <w:rPr>
          <w:rFonts w:eastAsia="Metropolis Black"/>
        </w:rPr>
        <w:t>Goods, services, facilities and places</w:t>
      </w:r>
      <w:bookmarkEnd w:id="114"/>
      <w:bookmarkEnd w:id="115"/>
    </w:p>
    <w:p w14:paraId="543F9B22" w14:textId="77777777" w:rsidR="00174F89" w:rsidRPr="008642D1" w:rsidRDefault="00174F89" w:rsidP="00174F89">
      <w:pPr>
        <w:spacing w:line="200" w:lineRule="exact"/>
        <w:rPr>
          <w:szCs w:val="20"/>
        </w:rPr>
      </w:pPr>
      <w:r w:rsidRPr="008642D1">
        <w:rPr>
          <w:noProof/>
          <w:lang w:eastAsia="en-NZ"/>
        </w:rPr>
        <mc:AlternateContent>
          <mc:Choice Requires="wpg">
            <w:drawing>
              <wp:anchor distT="0" distB="0" distL="114300" distR="114300" simplePos="0" relativeHeight="251658271" behindDoc="1" locked="0" layoutInCell="1" allowOverlap="1" wp14:anchorId="37D76114" wp14:editId="5CB41654">
                <wp:simplePos x="0" y="0"/>
                <wp:positionH relativeFrom="page">
                  <wp:posOffset>1087427</wp:posOffset>
                </wp:positionH>
                <wp:positionV relativeFrom="paragraph">
                  <wp:posOffset>71755</wp:posOffset>
                </wp:positionV>
                <wp:extent cx="1332230" cy="1270"/>
                <wp:effectExtent l="0" t="19050" r="1270" b="17780"/>
                <wp:wrapNone/>
                <wp:docPr id="1388510637" name="Group 1388510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028286160"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F640A" id="Group 1388510637" o:spid="_x0000_s1026" style="position:absolute;margin-left:85.6pt;margin-top:5.65pt;width:104.9pt;height:.1pt;z-index:-251658209;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&#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272F526D" w14:textId="77777777" w:rsidR="00174F89" w:rsidRPr="008642D1" w:rsidRDefault="00174F89" w:rsidP="00174F89"/>
    <w:p w14:paraId="5D79E8BA" w14:textId="77777777" w:rsidR="00174F89" w:rsidRPr="008642D1" w:rsidRDefault="00174F89" w:rsidP="00174F89">
      <w:pPr>
        <w:pStyle w:val="Heading2"/>
        <w:rPr>
          <w:rFonts w:eastAsia="Metropolis Black"/>
        </w:rPr>
      </w:pPr>
      <w:bookmarkStart w:id="116" w:name="_Toc166844447"/>
      <w:bookmarkStart w:id="117" w:name="_Toc170302164"/>
      <w:r w:rsidRPr="008642D1">
        <w:t>Introduction</w:t>
      </w:r>
      <w:bookmarkEnd w:id="116"/>
      <w:bookmarkEnd w:id="117"/>
    </w:p>
    <w:p w14:paraId="46EADF6E" w14:textId="6F5621B2" w:rsidR="00C07E13" w:rsidRPr="008642D1" w:rsidRDefault="00C07E13" w:rsidP="00C07E13">
      <w:pPr>
        <w:pStyle w:val="BodyText"/>
      </w:pPr>
      <w:r w:rsidRPr="008642D1">
        <w:t>In this chapter</w:t>
      </w:r>
      <w:r w:rsidR="00F73235">
        <w:t>,</w:t>
      </w:r>
      <w:r w:rsidRPr="008642D1">
        <w:t xml:space="preserve"> we discuss the protections in Part 2 of the Human Rights Act 1993 that relate to access to places and vehicles</w:t>
      </w:r>
      <w:r w:rsidRPr="008642D1" w:rsidDel="004413DA">
        <w:t>,</w:t>
      </w:r>
      <w:r w:rsidRPr="008642D1">
        <w:t xml:space="preserve"> and to provision of goods, services and facilities. These are found in sections 42 and 44. We seek feedback on the implications for sections</w:t>
      </w:r>
      <w:r w:rsidRPr="008642D1">
        <w:rPr>
          <w:rFonts w:ascii="Calibri" w:hAnsi="Calibri" w:cs="Calibri"/>
        </w:rPr>
        <w:t> </w:t>
      </w:r>
      <w:r w:rsidRPr="008642D1">
        <w:t xml:space="preserve">42 and 44 of adding new prohibited grounds of discrimination to the Human Rights Act. We also identify three exceptions for discussion and feedback. </w:t>
      </w:r>
    </w:p>
    <w:p w14:paraId="3B8A5EDF" w14:textId="77777777" w:rsidR="00C07E13" w:rsidRPr="008642D1" w:rsidRDefault="00C07E13" w:rsidP="00C07E13">
      <w:pPr>
        <w:pStyle w:val="BodyText"/>
      </w:pPr>
      <w:r w:rsidRPr="008642D1">
        <w:rPr>
          <w:rFonts w:eastAsiaTheme="minorHAnsi"/>
        </w:rPr>
        <w:t xml:space="preserve">Where access to goods, services, facilities or places is controlled by a government department or is considered to be a government function, Part 1A of the Human Rights Act will apply instead. We discuss Part 1A in Chapter 16. </w:t>
      </w:r>
    </w:p>
    <w:p w14:paraId="466657AB" w14:textId="77777777" w:rsidR="00C07E13" w:rsidRPr="008642D1" w:rsidRDefault="00C07E13" w:rsidP="00C07E13">
      <w:pPr>
        <w:pStyle w:val="BodyText"/>
      </w:pPr>
      <w:r w:rsidRPr="008642D1">
        <w:t>We recommend reading this chapter alongside Chapter 8, which explains our approach to reviewing Part 2 of the Human Rights Act.</w:t>
      </w:r>
    </w:p>
    <w:p w14:paraId="5F3E1FF9" w14:textId="77777777" w:rsidR="00C07E13" w:rsidRPr="008642D1" w:rsidRDefault="00C07E13" w:rsidP="00C07E13">
      <w:pPr>
        <w:pStyle w:val="Heading2"/>
      </w:pPr>
      <w:bookmarkStart w:id="118" w:name="_Toc170302165"/>
      <w:r w:rsidRPr="008642D1">
        <w:t>Scope of protection</w:t>
      </w:r>
      <w:bookmarkEnd w:id="118"/>
      <w:r w:rsidRPr="008642D1">
        <w:t xml:space="preserve"> </w:t>
      </w:r>
    </w:p>
    <w:p w14:paraId="6D5D8007" w14:textId="16FCA4A7" w:rsidR="00C07E13" w:rsidRPr="008642D1" w:rsidRDefault="00C07E13" w:rsidP="00C07E13">
      <w:pPr>
        <w:pStyle w:val="BodyText"/>
      </w:pPr>
      <w:r w:rsidRPr="008642D1">
        <w:t xml:space="preserve">Together, sections 42 and 44 apply to discrimination in access to goods, services, facilities and places by private </w:t>
      </w:r>
      <w:r w:rsidR="0071619E">
        <w:t>individuals</w:t>
      </w:r>
      <w:r w:rsidR="0071619E" w:rsidRPr="008642D1">
        <w:t xml:space="preserve"> </w:t>
      </w:r>
      <w:r w:rsidRPr="008642D1">
        <w:t>or organisations. There is considerable overlap between the two sections.</w:t>
      </w:r>
    </w:p>
    <w:p w14:paraId="37056DF3" w14:textId="77777777" w:rsidR="00C07E13" w:rsidRPr="008642D1" w:rsidRDefault="00C07E13" w:rsidP="00C07E13">
      <w:pPr>
        <w:pStyle w:val="Heading3"/>
      </w:pPr>
      <w:r w:rsidRPr="008642D1">
        <w:t>Access by the public to places, vehicles and facilities — section 42</w:t>
      </w:r>
    </w:p>
    <w:p w14:paraId="6657E236" w14:textId="77777777" w:rsidR="00C07E13" w:rsidRPr="008642D1" w:rsidRDefault="00C07E13" w:rsidP="00C07E13">
      <w:pPr>
        <w:pStyle w:val="BodyText"/>
      </w:pPr>
      <w:r w:rsidRPr="008642D1">
        <w:t>Section 42 prohibits discrimination in access by the public to places, vehicles and associated facilities. The section makes it unlawful to do the following based on a prohibited ground:</w:t>
      </w:r>
    </w:p>
    <w:p w14:paraId="548E10C6" w14:textId="3E506A37" w:rsidR="00C07E13" w:rsidRPr="008642D1" w:rsidRDefault="00C07E13" w:rsidP="001E69E7">
      <w:pPr>
        <w:pStyle w:val="BodyText2"/>
        <w:numPr>
          <w:ilvl w:val="3"/>
          <w:numId w:val="53"/>
        </w:numPr>
      </w:pPr>
      <w:r w:rsidRPr="008642D1" w:rsidDel="00C648CB">
        <w:t>r</w:t>
      </w:r>
      <w:r w:rsidRPr="008642D1">
        <w:t xml:space="preserve">efuse to allow someone to access or use any place or vehicle </w:t>
      </w:r>
      <w:r w:rsidR="00C648CB">
        <w:t>that</w:t>
      </w:r>
      <w:r w:rsidR="00C648CB" w:rsidRPr="008642D1">
        <w:t xml:space="preserve"> </w:t>
      </w:r>
      <w:r w:rsidRPr="008642D1">
        <w:t>members of the public can access or use</w:t>
      </w:r>
      <w:r w:rsidRPr="008642D1" w:rsidDel="00C648CB">
        <w:t>;</w:t>
      </w:r>
      <w:r w:rsidRPr="008642D1">
        <w:t xml:space="preserve"> </w:t>
      </w:r>
    </w:p>
    <w:p w14:paraId="69266FFE" w14:textId="768FA7C4" w:rsidR="00C07E13" w:rsidRPr="008642D1" w:rsidRDefault="00C07E13" w:rsidP="00C07E13">
      <w:pPr>
        <w:pStyle w:val="BodyText2"/>
      </w:pPr>
      <w:r w:rsidRPr="008642D1" w:rsidDel="00C648CB">
        <w:t>r</w:t>
      </w:r>
      <w:r w:rsidRPr="008642D1">
        <w:t xml:space="preserve">efuse to allow someone to use facilities </w:t>
      </w:r>
      <w:r w:rsidR="00C648CB">
        <w:t>that</w:t>
      </w:r>
      <w:r w:rsidR="00C648CB" w:rsidRPr="008642D1">
        <w:t xml:space="preserve"> </w:t>
      </w:r>
      <w:r w:rsidRPr="008642D1">
        <w:t>members of the public can use in that place or vehicle</w:t>
      </w:r>
      <w:r w:rsidRPr="008642D1" w:rsidDel="00C648CB">
        <w:t>; or</w:t>
      </w:r>
      <w:r w:rsidRPr="008642D1">
        <w:t xml:space="preserve"> </w:t>
      </w:r>
    </w:p>
    <w:p w14:paraId="02A34AFA" w14:textId="020524AA" w:rsidR="00C07E13" w:rsidRPr="008642D1" w:rsidRDefault="00C07E13" w:rsidP="00C07E13">
      <w:pPr>
        <w:pStyle w:val="BodyText2"/>
      </w:pPr>
      <w:r w:rsidRPr="008642D1" w:rsidDel="00C648CB">
        <w:t>r</w:t>
      </w:r>
      <w:r w:rsidRPr="008642D1">
        <w:t>equire someone to leave or stop using that place, vehicle or facility.</w:t>
      </w:r>
    </w:p>
    <w:p w14:paraId="4D801B48" w14:textId="4D3AD0B4" w:rsidR="00C07E13" w:rsidRPr="008642D1" w:rsidRDefault="00C07E13" w:rsidP="00C07E13">
      <w:pPr>
        <w:pStyle w:val="BodyText"/>
      </w:pPr>
      <w:r w:rsidRPr="008642D1">
        <w:t>This section applies to places like supermarkets, gyms, restaurants, pools and shopping centres, to transport such as charter buses, aeroplanes and taxis</w:t>
      </w:r>
      <w:r w:rsidRPr="008642D1" w:rsidDel="00C648CB">
        <w:t>,</w:t>
      </w:r>
      <w:r w:rsidRPr="008642D1">
        <w:t xml:space="preserve"> and to facilities within these places or vehicles. </w:t>
      </w:r>
    </w:p>
    <w:p w14:paraId="46A3776B" w14:textId="4C0AF421" w:rsidR="00C07E13" w:rsidRPr="008642D1" w:rsidRDefault="00C07E13" w:rsidP="00C07E13">
      <w:pPr>
        <w:pStyle w:val="BodyText"/>
      </w:pPr>
      <w:r w:rsidRPr="008642D1">
        <w:lastRenderedPageBreak/>
        <w:t>A notable feature of section 42 is that it applies to “any person” who carries out one of the prohibited activities. In theory, it could be a member of the public who is preventing another from using or accessing a place, vehicle or facility. Another notable feature is that, under section 134 of the Act, activity that is unlawful under section 42 also amounts to a criminal offence.</w:t>
      </w:r>
      <w:r w:rsidRPr="008642D1">
        <w:rPr>
          <w:rStyle w:val="FootnoteReference"/>
        </w:rPr>
        <w:footnoteReference w:id="484"/>
      </w:r>
      <w:r w:rsidRPr="008642D1">
        <w:t xml:space="preserve"> We are not aware of any cases where a prosecution has been brought under section 134 nor under the equivalent provision in earlier legislation.</w:t>
      </w:r>
      <w:r w:rsidRPr="008642D1">
        <w:rPr>
          <w:rStyle w:val="FootnoteReference"/>
        </w:rPr>
        <w:footnoteReference w:id="485"/>
      </w:r>
    </w:p>
    <w:p w14:paraId="082921AF" w14:textId="77777777" w:rsidR="00C07E13" w:rsidRPr="008642D1" w:rsidRDefault="00C07E13" w:rsidP="00C07E13">
      <w:pPr>
        <w:pStyle w:val="Heading3"/>
      </w:pPr>
      <w:r w:rsidRPr="008642D1">
        <w:t xml:space="preserve">Provision of goods, facilities or services — section 44 </w:t>
      </w:r>
    </w:p>
    <w:p w14:paraId="2CFDF9F0" w14:textId="612D80AF" w:rsidR="00C07E13" w:rsidRPr="008642D1" w:rsidRDefault="00C07E13" w:rsidP="00C07E13">
      <w:pPr>
        <w:pStyle w:val="BodyText"/>
      </w:pPr>
      <w:r w:rsidRPr="008642D1">
        <w:t xml:space="preserve">Section 44 of the Human Rights Act applies when a person supplies goods, facilities or services to the public or to any section of the public. The reference to </w:t>
      </w:r>
      <w:r w:rsidRPr="008642D1" w:rsidDel="00C648CB">
        <w:t>“</w:t>
      </w:r>
      <w:r w:rsidRPr="008642D1">
        <w:t>facilities</w:t>
      </w:r>
      <w:r w:rsidRPr="008642D1" w:rsidDel="00C648CB">
        <w:t>”</w:t>
      </w:r>
      <w:r w:rsidRPr="008642D1">
        <w:t xml:space="preserve"> means section 44 overlaps with section 42</w:t>
      </w:r>
      <w:r w:rsidR="00C648CB">
        <w:t>,</w:t>
      </w:r>
      <w:r w:rsidRPr="008642D1">
        <w:t xml:space="preserve"> </w:t>
      </w:r>
      <w:r w:rsidR="00C648CB">
        <w:t>b</w:t>
      </w:r>
      <w:r w:rsidRPr="008642D1">
        <w:t>ut the facilities referred to in section 44 can also be for banking, insurance, grants, loans, credit or finance.</w:t>
      </w:r>
      <w:r w:rsidRPr="008642D1">
        <w:rPr>
          <w:rStyle w:val="FootnoteReference"/>
        </w:rPr>
        <w:footnoteReference w:id="486"/>
      </w:r>
      <w:r w:rsidRPr="008642D1">
        <w:t xml:space="preserve"> </w:t>
      </w:r>
    </w:p>
    <w:p w14:paraId="266A2AFB" w14:textId="28B994AB" w:rsidR="00C07E13" w:rsidRPr="008642D1" w:rsidRDefault="00C07E13" w:rsidP="00C07E13">
      <w:pPr>
        <w:pStyle w:val="BodyText"/>
      </w:pPr>
      <w:r w:rsidRPr="008642D1">
        <w:t xml:space="preserve">It is unlawful to refuse or fail on demand to provide a person with goods, facilities or services by reason of a prohibited ground of discrimination. It is also unlawful to treat a person less favourably in connection with the provision of goods, facilities or services than would otherwise be the case by reason of a prohibited ground.  </w:t>
      </w:r>
    </w:p>
    <w:p w14:paraId="51FF9AE7" w14:textId="48B6B01B" w:rsidR="00C07E13" w:rsidRPr="008642D1" w:rsidRDefault="00C07E13" w:rsidP="00C07E13">
      <w:pPr>
        <w:pStyle w:val="BodyText"/>
      </w:pPr>
      <w:r w:rsidRPr="008642D1">
        <w:t xml:space="preserve">This section applies to businesses such as shops, restaurants, healthcare providers, banks, insurers, gyms and sports centres. </w:t>
      </w:r>
    </w:p>
    <w:p w14:paraId="55E660D7" w14:textId="1014E82F" w:rsidR="00C07E13" w:rsidRPr="008642D1" w:rsidRDefault="00C07E13" w:rsidP="00C07E13">
      <w:pPr>
        <w:pStyle w:val="BodyText"/>
      </w:pPr>
      <w:r w:rsidRPr="008642D1">
        <w:t xml:space="preserve">Two features of section 44 provide some limitations. One is that the goods, facilities or services must be provided “to the public or any section of the public”. As we discussed in Chapter 8, it may be unclear whether a group of people is a </w:t>
      </w:r>
      <w:r w:rsidRPr="008642D1" w:rsidDel="00C648CB">
        <w:t>“</w:t>
      </w:r>
      <w:r w:rsidRPr="008642D1">
        <w:t>section of the public</w:t>
      </w:r>
      <w:r w:rsidRPr="008642D1" w:rsidDel="00C648CB">
        <w:t>”</w:t>
      </w:r>
      <w:r w:rsidRPr="008642D1">
        <w:t>.</w:t>
      </w:r>
    </w:p>
    <w:p w14:paraId="021DF88B" w14:textId="0FFECDED" w:rsidR="00C07E13" w:rsidRPr="008642D1" w:rsidRDefault="00C07E13" w:rsidP="00C07E13">
      <w:pPr>
        <w:pStyle w:val="BodyText"/>
      </w:pPr>
      <w:r w:rsidRPr="008642D1">
        <w:t>A second feature is that section 44 has limited application to members’ clubs. It only applies when a club (or its branch or affiliate) grants privileges to members of another club, branch or affiliate.</w:t>
      </w:r>
      <w:r w:rsidRPr="008642D1">
        <w:rPr>
          <w:rStyle w:val="FootnoteReference"/>
        </w:rPr>
        <w:footnoteReference w:id="487"/>
      </w:r>
      <w:r w:rsidRPr="008642D1">
        <w:t xml:space="preserve"> Otherwise, section 44 does not apply to membership of a club or to the provision of services or facilities to club members.</w:t>
      </w:r>
      <w:r w:rsidRPr="008642D1">
        <w:rPr>
          <w:rStyle w:val="FootnoteReference"/>
        </w:rPr>
        <w:footnoteReference w:id="488"/>
      </w:r>
      <w:r w:rsidRPr="008642D1">
        <w:t xml:space="preserve"> The clubs exception was first introduced into New Zealand’s anti-discrimination legislation in 1977 with the apparent rationale of ensuring that single-sex clubs could continue.</w:t>
      </w:r>
      <w:r w:rsidRPr="008642D1">
        <w:rPr>
          <w:rStyle w:val="FootnoteReference"/>
        </w:rPr>
        <w:footnoteReference w:id="489"/>
      </w:r>
      <w:r w:rsidRPr="008642D1">
        <w:t xml:space="preserve"> We are not reviewing the clubs exception as it applies to all prohibited grounds and reflects an underlying policy trade-off that we do not think is open to us to revisit in this review. </w:t>
      </w:r>
    </w:p>
    <w:p w14:paraId="52D49734" w14:textId="77777777" w:rsidR="00C07E13" w:rsidRPr="008642D1" w:rsidRDefault="00C07E13" w:rsidP="00C07E13">
      <w:pPr>
        <w:pStyle w:val="Heading3"/>
      </w:pPr>
      <w:r w:rsidRPr="008642D1">
        <w:t>Is the scope of protection sufficient?</w:t>
      </w:r>
    </w:p>
    <w:p w14:paraId="40B99443" w14:textId="360BDE22" w:rsidR="00C07E13" w:rsidRPr="008642D1" w:rsidRDefault="00C07E13" w:rsidP="00C07E13">
      <w:pPr>
        <w:pStyle w:val="BodyText"/>
      </w:pPr>
      <w:r w:rsidRPr="008642D1">
        <w:rPr>
          <w:rFonts w:eastAsiaTheme="minorEastAsia"/>
        </w:rPr>
        <w:t>We are interested to understand whether the scope of sections 42 and 44 is sufficient to capture issues of particular concern to people who are transgender or non-binary or who have an innate variation of sex characteristics in relation to public access to goods, services, facilities and places. As we discussed in Chapter 3, we understand these issues include being discriminated against in shops and restaurants or when seeking health</w:t>
      </w:r>
      <w:r w:rsidR="00650A3C">
        <w:rPr>
          <w:rFonts w:eastAsiaTheme="minorEastAsia"/>
        </w:rPr>
        <w:t xml:space="preserve"> </w:t>
      </w:r>
      <w:r w:rsidRPr="008642D1">
        <w:rPr>
          <w:rFonts w:eastAsiaTheme="minorEastAsia"/>
        </w:rPr>
        <w:t xml:space="preserve">care, being prevented from using a bathroom or changing room, being unable to participate in a sports team that aligns with a person’s gender and being discriminated against when </w:t>
      </w:r>
      <w:r w:rsidRPr="008642D1">
        <w:rPr>
          <w:rFonts w:eastAsiaTheme="minorEastAsia"/>
        </w:rPr>
        <w:lastRenderedPageBreak/>
        <w:t>on a street or in a public place. We think sections 42 and 44 are likely to cover these forms of discrimination (although their application to competitive sports and access to bathrooms and changing rooms is constrained by exceptions that we discuss in later chapters).</w:t>
      </w:r>
    </w:p>
    <w:p w14:paraId="2A79AE2D" w14:textId="0A93BC3A" w:rsidR="00C07E13" w:rsidRPr="008642D1" w:rsidRDefault="00C07E13" w:rsidP="00C07E13">
      <w:pPr>
        <w:pStyle w:val="BodyText"/>
      </w:pPr>
      <w:r w:rsidRPr="008642D1">
        <w:t xml:space="preserve">We would also like to learn </w:t>
      </w:r>
      <w:r w:rsidR="00EC333F">
        <w:t>about</w:t>
      </w:r>
      <w:r w:rsidR="003A3E7F">
        <w:t xml:space="preserve"> </w:t>
      </w:r>
      <w:r w:rsidRPr="008642D1">
        <w:t xml:space="preserve">any other implications for sections 42 and 44 of adding new prohibited grounds of discrimination. For example, we want to understand the implications for businesses, and we want to know whether any new exceptions to section 42 and 44 would be desirable to ensure the </w:t>
      </w:r>
      <w:r w:rsidR="003A3E7F">
        <w:t xml:space="preserve">Human Rights </w:t>
      </w:r>
      <w:r w:rsidRPr="008642D1">
        <w:t>Act appropriately balances relevant rights and interests. We have not thought of any but welcome feedback on this issue. (We discuss existing exceptions below</w:t>
      </w:r>
      <w:r w:rsidR="003A3E7F">
        <w:t>.</w:t>
      </w:r>
      <w:r w:rsidRPr="008642D1">
        <w:t>)</w:t>
      </w:r>
    </w:p>
    <w:p w14:paraId="19EEAD7E" w14:textId="286B60EA" w:rsidR="00AC5F42" w:rsidRPr="008642D1" w:rsidRDefault="00AF77AC" w:rsidP="00AC5F42">
      <w:pPr>
        <w:pStyle w:val="QuestionBox"/>
      </w:pPr>
      <w:r w:rsidRPr="008642D1">
        <w:rPr>
          <w:noProof/>
        </w:rPr>
        <mc:AlternateContent>
          <mc:Choice Requires="wpg">
            <w:drawing>
              <wp:anchor distT="0" distB="0" distL="114300" distR="114300" simplePos="0" relativeHeight="251658241" behindDoc="1" locked="0" layoutInCell="1" allowOverlap="1" wp14:anchorId="3A71CBAC" wp14:editId="0A9EAAF2">
                <wp:simplePos x="0" y="0"/>
                <wp:positionH relativeFrom="column">
                  <wp:posOffset>-2773</wp:posOffset>
                </wp:positionH>
                <wp:positionV relativeFrom="paragraph">
                  <wp:posOffset>1924</wp:posOffset>
                </wp:positionV>
                <wp:extent cx="5760085" cy="3793385"/>
                <wp:effectExtent l="0" t="0" r="0" b="0"/>
                <wp:wrapNone/>
                <wp:docPr id="1810619742" name="Group 1810619742" descr="Question"/>
                <wp:cNvGraphicFramePr/>
                <a:graphic xmlns:a="http://schemas.openxmlformats.org/drawingml/2006/main">
                  <a:graphicData uri="http://schemas.microsoft.com/office/word/2010/wordprocessingGroup">
                    <wpg:wgp>
                      <wpg:cNvGrpSpPr/>
                      <wpg:grpSpPr>
                        <a:xfrm>
                          <a:off x="0" y="0"/>
                          <a:ext cx="5760085" cy="3793385"/>
                          <a:chOff x="0" y="62865"/>
                          <a:chExt cx="5760085" cy="3795618"/>
                        </a:xfrm>
                      </wpg:grpSpPr>
                      <wps:wsp>
                        <wps:cNvPr id="110173365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59E6D6" w14:textId="77777777" w:rsidR="00AF77AC" w:rsidRDefault="00AF77AC" w:rsidP="00AF77AC">
                              <w:pPr>
                                <w:pStyle w:val="BoxTitle"/>
                                <w:spacing w:before="0" w:beforeAutospacing="0"/>
                              </w:pPr>
                              <w:r w:rsidRPr="007F6876">
                                <w:t>QUESTION</w:t>
                              </w:r>
                              <w:r>
                                <w:t>S</w:t>
                              </w:r>
                            </w:p>
                          </w:txbxContent>
                        </wps:txbx>
                        <wps:bodyPr rot="0" vert="horz" wrap="square" lIns="91440" tIns="0" rIns="0" bIns="45720" anchor="ctr" anchorCtr="0" upright="1">
                          <a:noAutofit/>
                        </wps:bodyPr>
                      </wps:wsp>
                      <wpg:grpSp>
                        <wpg:cNvPr id="1290236942" name="Group 53"/>
                        <wpg:cNvGrpSpPr>
                          <a:grpSpLocks/>
                        </wpg:cNvGrpSpPr>
                        <wpg:grpSpPr bwMode="auto">
                          <a:xfrm>
                            <a:off x="0" y="316170"/>
                            <a:ext cx="5760085" cy="3542313"/>
                            <a:chOff x="1837" y="1791"/>
                            <a:chExt cx="9302" cy="38263"/>
                          </a:xfrm>
                        </wpg:grpSpPr>
                        <wps:wsp>
                          <wps:cNvPr id="542528566" name="Freeform 54"/>
                          <wps:cNvSpPr>
                            <a:spLocks/>
                          </wps:cNvSpPr>
                          <wps:spPr bwMode="auto">
                            <a:xfrm>
                              <a:off x="1837" y="1791"/>
                              <a:ext cx="9302" cy="3826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043706" name="Group 256043706"/>
                        <wpg:cNvGrpSpPr/>
                        <wpg:grpSpPr>
                          <a:xfrm>
                            <a:off x="0" y="494036"/>
                            <a:ext cx="1443794" cy="252000"/>
                            <a:chOff x="-15880" y="0"/>
                            <a:chExt cx="1444379" cy="252068"/>
                          </a:xfrm>
                        </wpg:grpSpPr>
                        <wps:wsp>
                          <wps:cNvPr id="38263354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74351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CEB435" w14:textId="4D679775" w:rsidR="00AF77AC" w:rsidRPr="00E90B8A" w:rsidRDefault="00AF77AC" w:rsidP="00AF77AC">
                                <w:pPr>
                                  <w:pStyle w:val="BoxTitle"/>
                                  <w:spacing w:before="0" w:beforeAutospacing="0"/>
                                  <w:rPr>
                                    <w:sz w:val="18"/>
                                    <w:szCs w:val="18"/>
                                  </w:rPr>
                                </w:pPr>
                                <w:r w:rsidRPr="00E90B8A">
                                  <w:rPr>
                                    <w:sz w:val="18"/>
                                    <w:szCs w:val="18"/>
                                  </w:rPr>
                                  <w:t>Q</w:t>
                                </w:r>
                                <w:r w:rsidR="009D0313">
                                  <w:rPr>
                                    <w:sz w:val="18"/>
                                    <w:szCs w:val="18"/>
                                  </w:rPr>
                                  <w:t>3</w:t>
                                </w:r>
                                <w:r w:rsidR="0099389A">
                                  <w:rPr>
                                    <w:sz w:val="18"/>
                                    <w:szCs w:val="18"/>
                                  </w:rPr>
                                  <w:t>3</w:t>
                                </w:r>
                              </w:p>
                              <w:p w14:paraId="6E014986" w14:textId="08DA3277" w:rsidR="00AF77AC" w:rsidRPr="00E90B8A" w:rsidRDefault="00AF77AC" w:rsidP="00AF77AC">
                                <w:pPr>
                                  <w:pStyle w:val="BoxTitle"/>
                                  <w:spacing w:before="0" w:beforeAutospacing="0"/>
                                  <w:rPr>
                                    <w:sz w:val="18"/>
                                    <w:szCs w:val="18"/>
                                  </w:rPr>
                                </w:pPr>
                                <w:r w:rsidRPr="00E90B8A">
                                  <w:rPr>
                                    <w:sz w:val="18"/>
                                    <w:szCs w:val="18"/>
                                  </w:rPr>
                                  <w:t>Q</w:t>
                                </w:r>
                                <w:r w:rsidR="009D0313">
                                  <w:rPr>
                                    <w:sz w:val="18"/>
                                    <w:szCs w:val="18"/>
                                  </w:rPr>
                                  <w:t>3</w:t>
                                </w:r>
                                <w:r w:rsidR="00B53BF9">
                                  <w:rPr>
                                    <w:sz w:val="18"/>
                                    <w:szCs w:val="18"/>
                                  </w:rPr>
                                  <w:t>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A71CBAC" id="Group 1810619742" o:spid="_x0000_s1202" alt="Question" style="position:absolute;left:0;text-align:left;margin-left:-.2pt;margin-top:.15pt;width:453.55pt;height:298.7pt;z-index:-251658239;mso-height-relative:margin" coordorigin=",628" coordsize="57600,37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">
                <v:shape id="Freeform 52" o:spid="_x0000_s120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D59E6D6" w14:textId="77777777" w:rsidR="00AF77AC" w:rsidRDefault="00AF77AC" w:rsidP="00AF77AC">
                        <w:pPr>
                          <w:pStyle w:val="BoxTitle"/>
                          <w:spacing w:before="0" w:beforeAutospacing="0"/>
                        </w:pPr>
                        <w:r w:rsidRPr="007F6876">
                          <w:t>QUESTION</w:t>
                        </w:r>
                        <w:r>
                          <w:t>S</w:t>
                        </w:r>
                      </w:p>
                    </w:txbxContent>
                  </v:textbox>
                </v:shape>
                <v:group id="Group 53" o:spid="_x0000_s1204" style="position:absolute;top:3161;width:57600;height:35423" coordorigin="1837,1791" coordsize="9302,3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">
                  <v:shape id="Freeform 54" o:spid="_x0000_s1205" style="position:absolute;left:1837;top:1791;width:9302;height:3826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" path="m,l9354,r,7809l,7809,,e" fillcolor="#edf2ea" stroked="f">
                    <v:path arrowok="t" o:connecttype="custom" o:connectlocs="0,4900;9302,4900;9302,43163;0,43163;0,4900" o:connectangles="0,0,0,0,0"/>
                  </v:shape>
                </v:group>
                <v:group id="Group 256043706" o:spid="_x0000_s120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">
                  <v:shape id="Freeform 58" o:spid="_x0000_s120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" path="m,l1815,e" filled="f" strokecolor="#72ab6a" strokeweight=".5pt">
                    <v:path arrowok="t" o:connecttype="custom" o:connectlocs="0,0;1073495,0" o:connectangles="0,0"/>
                  </v:shape>
                  <v:shape id="Freeform 66" o:spid="_x0000_s120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5CEB435" w14:textId="4D679775" w:rsidR="00AF77AC" w:rsidRPr="00E90B8A" w:rsidRDefault="00AF77AC" w:rsidP="00AF77AC">
                          <w:pPr>
                            <w:pStyle w:val="BoxTitle"/>
                            <w:spacing w:before="0" w:beforeAutospacing="0"/>
                            <w:rPr>
                              <w:sz w:val="18"/>
                              <w:szCs w:val="18"/>
                            </w:rPr>
                          </w:pPr>
                          <w:r w:rsidRPr="00E90B8A">
                            <w:rPr>
                              <w:sz w:val="18"/>
                              <w:szCs w:val="18"/>
                            </w:rPr>
                            <w:t>Q</w:t>
                          </w:r>
                          <w:r w:rsidR="009D0313">
                            <w:rPr>
                              <w:sz w:val="18"/>
                              <w:szCs w:val="18"/>
                            </w:rPr>
                            <w:t>3</w:t>
                          </w:r>
                          <w:r w:rsidR="0099389A">
                            <w:rPr>
                              <w:sz w:val="18"/>
                              <w:szCs w:val="18"/>
                            </w:rPr>
                            <w:t>3</w:t>
                          </w:r>
                        </w:p>
                        <w:p w14:paraId="6E014986" w14:textId="08DA3277" w:rsidR="00AF77AC" w:rsidRPr="00E90B8A" w:rsidRDefault="00AF77AC" w:rsidP="00AF77AC">
                          <w:pPr>
                            <w:pStyle w:val="BoxTitle"/>
                            <w:spacing w:before="0" w:beforeAutospacing="0"/>
                            <w:rPr>
                              <w:sz w:val="18"/>
                              <w:szCs w:val="18"/>
                            </w:rPr>
                          </w:pPr>
                          <w:r w:rsidRPr="00E90B8A">
                            <w:rPr>
                              <w:sz w:val="18"/>
                              <w:szCs w:val="18"/>
                            </w:rPr>
                            <w:t>Q</w:t>
                          </w:r>
                          <w:r w:rsidR="009D0313">
                            <w:rPr>
                              <w:sz w:val="18"/>
                              <w:szCs w:val="18"/>
                            </w:rPr>
                            <w:t>3</w:t>
                          </w:r>
                          <w:r w:rsidR="00B53BF9">
                            <w:rPr>
                              <w:sz w:val="18"/>
                              <w:szCs w:val="18"/>
                            </w:rPr>
                            <w:t>3</w:t>
                          </w:r>
                        </w:p>
                      </w:txbxContent>
                    </v:textbox>
                  </v:shape>
                </v:group>
              </v:group>
            </w:pict>
          </mc:Fallback>
        </mc:AlternateContent>
      </w:r>
    </w:p>
    <w:p w14:paraId="4B70378D" w14:textId="77777777" w:rsidR="00AC5F42" w:rsidRPr="008642D1" w:rsidRDefault="00AC5F42" w:rsidP="00AC5F42">
      <w:pPr>
        <w:pStyle w:val="QuestionBox"/>
      </w:pPr>
    </w:p>
    <w:p w14:paraId="6FE98C82" w14:textId="77777777" w:rsidR="009C4BDF" w:rsidRDefault="009C4BDF" w:rsidP="009C4BDF">
      <w:pPr>
        <w:pStyle w:val="QuestionBox"/>
      </w:pPr>
      <w:r w:rsidRPr="0020319A">
        <w:t xml:space="preserve">Are the existing protections in the Human Rights Act 1993 </w:t>
      </w:r>
      <w:r w:rsidRPr="004008AC">
        <w:t xml:space="preserve">relating to goods, services, facilities and places </w:t>
      </w:r>
      <w:r w:rsidRPr="0020319A">
        <w:t xml:space="preserve">sufficient to cover issues of particular concern to people who are transgender or non-binary or who have an innate variation of sex characteristics? </w:t>
      </w:r>
    </w:p>
    <w:p w14:paraId="1D9C1E48" w14:textId="35E59BDD" w:rsidR="00AC5F42" w:rsidRPr="008642D1" w:rsidRDefault="00C44753" w:rsidP="00AC5F42">
      <w:pPr>
        <w:pStyle w:val="QuestionBox"/>
      </w:pPr>
      <w:r w:rsidRPr="008642D1">
        <w:rPr>
          <w:noProof/>
        </w:rPr>
        <mc:AlternateContent>
          <mc:Choice Requires="wpg">
            <w:drawing>
              <wp:anchor distT="0" distB="0" distL="114300" distR="114300" simplePos="0" relativeHeight="251658333" behindDoc="1" locked="0" layoutInCell="1" allowOverlap="1" wp14:anchorId="09F87EDC" wp14:editId="5D1B0947">
                <wp:simplePos x="0" y="0"/>
                <wp:positionH relativeFrom="column">
                  <wp:posOffset>0</wp:posOffset>
                </wp:positionH>
                <wp:positionV relativeFrom="paragraph">
                  <wp:posOffset>181800</wp:posOffset>
                </wp:positionV>
                <wp:extent cx="1443355" cy="251460"/>
                <wp:effectExtent l="0" t="0" r="42545" b="0"/>
                <wp:wrapNone/>
                <wp:docPr id="2133681891"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95554397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6375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99C3CD" w14:textId="6E352D47" w:rsidR="00C44753" w:rsidRPr="00E90B8A" w:rsidRDefault="00C44753" w:rsidP="00C44753">
                              <w:pPr>
                                <w:pStyle w:val="BoxTitle"/>
                                <w:spacing w:before="0" w:beforeAutospacing="0"/>
                                <w:rPr>
                                  <w:sz w:val="18"/>
                                  <w:szCs w:val="18"/>
                                </w:rPr>
                              </w:pPr>
                              <w:r w:rsidRPr="00E90B8A">
                                <w:rPr>
                                  <w:sz w:val="18"/>
                                  <w:szCs w:val="18"/>
                                </w:rPr>
                                <w:t>Q</w:t>
                              </w:r>
                              <w:r w:rsidR="009D0313">
                                <w:rPr>
                                  <w:sz w:val="18"/>
                                  <w:szCs w:val="18"/>
                                </w:rPr>
                                <w:t>3</w:t>
                              </w:r>
                              <w:r w:rsidR="0099389A">
                                <w:rPr>
                                  <w:sz w:val="18"/>
                                  <w:szCs w:val="18"/>
                                </w:rPr>
                                <w:t>4</w:t>
                              </w:r>
                            </w:p>
                            <w:p w14:paraId="001B0903" w14:textId="55E418D7" w:rsidR="00C44753" w:rsidRPr="00E90B8A" w:rsidRDefault="00C44753" w:rsidP="00C44753">
                              <w:pPr>
                                <w:pStyle w:val="BoxTitle"/>
                                <w:spacing w:before="0" w:beforeAutospacing="0"/>
                                <w:rPr>
                                  <w:sz w:val="18"/>
                                  <w:szCs w:val="18"/>
                                </w:rPr>
                              </w:pPr>
                              <w:r w:rsidRPr="00E90B8A">
                                <w:rPr>
                                  <w:sz w:val="18"/>
                                  <w:szCs w:val="18"/>
                                </w:rPr>
                                <w:t>Q</w:t>
                              </w:r>
                              <w:r w:rsidR="009D0313">
                                <w:rPr>
                                  <w:sz w:val="18"/>
                                  <w:szCs w:val="18"/>
                                </w:rPr>
                                <w:t>3</w:t>
                              </w:r>
                              <w:r w:rsidR="00B53BF9">
                                <w:rPr>
                                  <w:sz w:val="18"/>
                                  <w:szCs w:val="18"/>
                                </w:rPr>
                                <w:t>4</w:t>
                              </w:r>
                            </w:p>
                          </w:txbxContent>
                        </wps:txbx>
                        <wps:bodyPr rot="0" vert="horz" wrap="square" lIns="54000" tIns="82800" rIns="91440" bIns="45720" anchor="ctr" anchorCtr="0" upright="1">
                          <a:noAutofit/>
                        </wps:bodyPr>
                      </wps:wsp>
                    </wpg:wgp>
                  </a:graphicData>
                </a:graphic>
              </wp:anchor>
            </w:drawing>
          </mc:Choice>
          <mc:Fallback>
            <w:pict>
              <v:group w14:anchorId="09F87EDC" id="_x0000_s1209" style="position:absolute;left:0;text-align:left;margin-left:0;margin-top:14.3pt;width:113.65pt;height:19.8pt;z-index:-25165814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">
                <v:shape id="Freeform 58" o:spid="_x0000_s121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" path="m,l1815,e" filled="f" strokecolor="#72ab6a" strokeweight=".5pt">
                  <v:path arrowok="t" o:connecttype="custom" o:connectlocs="0,0;1073495,0" o:connectangles="0,0"/>
                </v:shape>
                <v:shape id="Freeform 66" o:spid="_x0000_s121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A99C3CD" w14:textId="6E352D47" w:rsidR="00C44753" w:rsidRPr="00E90B8A" w:rsidRDefault="00C44753" w:rsidP="00C44753">
                        <w:pPr>
                          <w:pStyle w:val="BoxTitle"/>
                          <w:spacing w:before="0" w:beforeAutospacing="0"/>
                          <w:rPr>
                            <w:sz w:val="18"/>
                            <w:szCs w:val="18"/>
                          </w:rPr>
                        </w:pPr>
                        <w:r w:rsidRPr="00E90B8A">
                          <w:rPr>
                            <w:sz w:val="18"/>
                            <w:szCs w:val="18"/>
                          </w:rPr>
                          <w:t>Q</w:t>
                        </w:r>
                        <w:r w:rsidR="009D0313">
                          <w:rPr>
                            <w:sz w:val="18"/>
                            <w:szCs w:val="18"/>
                          </w:rPr>
                          <w:t>3</w:t>
                        </w:r>
                        <w:r w:rsidR="0099389A">
                          <w:rPr>
                            <w:sz w:val="18"/>
                            <w:szCs w:val="18"/>
                          </w:rPr>
                          <w:t>4</w:t>
                        </w:r>
                      </w:p>
                      <w:p w14:paraId="001B0903" w14:textId="55E418D7" w:rsidR="00C44753" w:rsidRPr="00E90B8A" w:rsidRDefault="00C44753" w:rsidP="00C44753">
                        <w:pPr>
                          <w:pStyle w:val="BoxTitle"/>
                          <w:spacing w:before="0" w:beforeAutospacing="0"/>
                          <w:rPr>
                            <w:sz w:val="18"/>
                            <w:szCs w:val="18"/>
                          </w:rPr>
                        </w:pPr>
                        <w:r w:rsidRPr="00E90B8A">
                          <w:rPr>
                            <w:sz w:val="18"/>
                            <w:szCs w:val="18"/>
                          </w:rPr>
                          <w:t>Q</w:t>
                        </w:r>
                        <w:r w:rsidR="009D0313">
                          <w:rPr>
                            <w:sz w:val="18"/>
                            <w:szCs w:val="18"/>
                          </w:rPr>
                          <w:t>3</w:t>
                        </w:r>
                        <w:r w:rsidR="00B53BF9">
                          <w:rPr>
                            <w:sz w:val="18"/>
                            <w:szCs w:val="18"/>
                          </w:rPr>
                          <w:t>4</w:t>
                        </w:r>
                      </w:p>
                    </w:txbxContent>
                  </v:textbox>
                </v:shape>
              </v:group>
            </w:pict>
          </mc:Fallback>
        </mc:AlternateContent>
      </w:r>
    </w:p>
    <w:p w14:paraId="56DE4F20" w14:textId="4772D116" w:rsidR="00A81E81" w:rsidRPr="00A81E81" w:rsidRDefault="00A81E81" w:rsidP="00A81E81">
      <w:pPr>
        <w:pStyle w:val="QuestionBox"/>
      </w:pPr>
      <w:r w:rsidRPr="00A81E81">
        <w:t>Do you have any practical concerns about what the protections for goods, services, facilities and places in the Human Rights Act 1993 would cover if new prohibited grounds of discrimination are added to the Act?</w:t>
      </w:r>
    </w:p>
    <w:p w14:paraId="2AA80357" w14:textId="77777777" w:rsidR="00A81E81" w:rsidRDefault="00A81E81" w:rsidP="00A81E81">
      <w:pPr>
        <w:pStyle w:val="QuestionBox"/>
      </w:pPr>
      <w:r w:rsidRPr="00A81E81">
        <w:t>(Later in the chapter, and in Chapters 13 and 14, we discuss existing exceptions in the Act that balance relevant rights and interests. You may want to read about these before answering.)</w:t>
      </w:r>
    </w:p>
    <w:p w14:paraId="54A43C20" w14:textId="7DCFDEEC" w:rsidR="00AC5F42" w:rsidRPr="008642D1" w:rsidRDefault="00C44753" w:rsidP="00AC5F42">
      <w:pPr>
        <w:pStyle w:val="QuestionBox"/>
      </w:pPr>
      <w:r w:rsidRPr="008642D1">
        <w:rPr>
          <w:noProof/>
        </w:rPr>
        <mc:AlternateContent>
          <mc:Choice Requires="wpg">
            <w:drawing>
              <wp:anchor distT="0" distB="0" distL="114300" distR="114300" simplePos="0" relativeHeight="251658334" behindDoc="1" locked="0" layoutInCell="1" allowOverlap="1" wp14:anchorId="21CBA429" wp14:editId="0E9710D0">
                <wp:simplePos x="0" y="0"/>
                <wp:positionH relativeFrom="column">
                  <wp:posOffset>0</wp:posOffset>
                </wp:positionH>
                <wp:positionV relativeFrom="paragraph">
                  <wp:posOffset>181800</wp:posOffset>
                </wp:positionV>
                <wp:extent cx="1443355" cy="251460"/>
                <wp:effectExtent l="0" t="0" r="42545" b="0"/>
                <wp:wrapNone/>
                <wp:docPr id="293504917"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209860594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29411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ABDAD8" w14:textId="11B6B2CB" w:rsidR="00C44753" w:rsidRPr="00E90B8A" w:rsidRDefault="00C44753" w:rsidP="00C44753">
                              <w:pPr>
                                <w:pStyle w:val="BoxTitle"/>
                                <w:spacing w:before="0" w:beforeAutospacing="0"/>
                                <w:rPr>
                                  <w:sz w:val="18"/>
                                  <w:szCs w:val="18"/>
                                </w:rPr>
                              </w:pPr>
                              <w:r w:rsidRPr="00E90B8A">
                                <w:rPr>
                                  <w:sz w:val="18"/>
                                  <w:szCs w:val="18"/>
                                </w:rPr>
                                <w:t>Q</w:t>
                              </w:r>
                              <w:r w:rsidR="009D0313">
                                <w:rPr>
                                  <w:sz w:val="18"/>
                                  <w:szCs w:val="18"/>
                                </w:rPr>
                                <w:t>3</w:t>
                              </w:r>
                              <w:r w:rsidR="0007295D">
                                <w:rPr>
                                  <w:sz w:val="18"/>
                                  <w:szCs w:val="18"/>
                                </w:rPr>
                                <w:t>5</w:t>
                              </w:r>
                            </w:p>
                            <w:p w14:paraId="713FD2AA" w14:textId="67F96530" w:rsidR="00C44753" w:rsidRPr="00E90B8A" w:rsidRDefault="00C44753" w:rsidP="00C44753">
                              <w:pPr>
                                <w:pStyle w:val="BoxTitle"/>
                                <w:spacing w:before="0" w:beforeAutospacing="0"/>
                                <w:rPr>
                                  <w:sz w:val="18"/>
                                  <w:szCs w:val="18"/>
                                </w:rPr>
                              </w:pPr>
                              <w:r w:rsidRPr="00E90B8A">
                                <w:rPr>
                                  <w:sz w:val="18"/>
                                  <w:szCs w:val="18"/>
                                </w:rPr>
                                <w:t>Q</w:t>
                              </w:r>
                              <w:r w:rsidR="009D0313">
                                <w:rPr>
                                  <w:sz w:val="18"/>
                                  <w:szCs w:val="18"/>
                                </w:rPr>
                                <w:t>3</w:t>
                              </w:r>
                              <w:r w:rsidR="00B53BF9">
                                <w:rPr>
                                  <w:sz w:val="18"/>
                                  <w:szCs w:val="18"/>
                                </w:rPr>
                                <w:t>5</w:t>
                              </w:r>
                            </w:p>
                          </w:txbxContent>
                        </wps:txbx>
                        <wps:bodyPr rot="0" vert="horz" wrap="square" lIns="54000" tIns="82800" rIns="91440" bIns="45720" anchor="ctr" anchorCtr="0" upright="1">
                          <a:noAutofit/>
                        </wps:bodyPr>
                      </wps:wsp>
                    </wpg:wgp>
                  </a:graphicData>
                </a:graphic>
              </wp:anchor>
            </w:drawing>
          </mc:Choice>
          <mc:Fallback>
            <w:pict>
              <v:group w14:anchorId="21CBA429" id="_x0000_s1212" style="position:absolute;left:0;text-align:left;margin-left:0;margin-top:14.3pt;width:113.65pt;height:19.8pt;z-index:-251658146"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">
                <v:shape id="Freeform 58" o:spid="_x0000_s121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" path="m,l1815,e" filled="f" strokecolor="#72ab6a" strokeweight=".5pt">
                  <v:path arrowok="t" o:connecttype="custom" o:connectlocs="0,0;1073495,0" o:connectangles="0,0"/>
                </v:shape>
                <v:shape id="Freeform 66" o:spid="_x0000_s121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5ABDAD8" w14:textId="11B6B2CB" w:rsidR="00C44753" w:rsidRPr="00E90B8A" w:rsidRDefault="00C44753" w:rsidP="00C44753">
                        <w:pPr>
                          <w:pStyle w:val="BoxTitle"/>
                          <w:spacing w:before="0" w:beforeAutospacing="0"/>
                          <w:rPr>
                            <w:sz w:val="18"/>
                            <w:szCs w:val="18"/>
                          </w:rPr>
                        </w:pPr>
                        <w:r w:rsidRPr="00E90B8A">
                          <w:rPr>
                            <w:sz w:val="18"/>
                            <w:szCs w:val="18"/>
                          </w:rPr>
                          <w:t>Q</w:t>
                        </w:r>
                        <w:r w:rsidR="009D0313">
                          <w:rPr>
                            <w:sz w:val="18"/>
                            <w:szCs w:val="18"/>
                          </w:rPr>
                          <w:t>3</w:t>
                        </w:r>
                        <w:r w:rsidR="0007295D">
                          <w:rPr>
                            <w:sz w:val="18"/>
                            <w:szCs w:val="18"/>
                          </w:rPr>
                          <w:t>5</w:t>
                        </w:r>
                      </w:p>
                      <w:p w14:paraId="713FD2AA" w14:textId="67F96530" w:rsidR="00C44753" w:rsidRPr="00E90B8A" w:rsidRDefault="00C44753" w:rsidP="00C44753">
                        <w:pPr>
                          <w:pStyle w:val="BoxTitle"/>
                          <w:spacing w:before="0" w:beforeAutospacing="0"/>
                          <w:rPr>
                            <w:sz w:val="18"/>
                            <w:szCs w:val="18"/>
                          </w:rPr>
                        </w:pPr>
                        <w:r w:rsidRPr="00E90B8A">
                          <w:rPr>
                            <w:sz w:val="18"/>
                            <w:szCs w:val="18"/>
                          </w:rPr>
                          <w:t>Q</w:t>
                        </w:r>
                        <w:r w:rsidR="009D0313">
                          <w:rPr>
                            <w:sz w:val="18"/>
                            <w:szCs w:val="18"/>
                          </w:rPr>
                          <w:t>3</w:t>
                        </w:r>
                        <w:r w:rsidR="00B53BF9">
                          <w:rPr>
                            <w:sz w:val="18"/>
                            <w:szCs w:val="18"/>
                          </w:rPr>
                          <w:t>5</w:t>
                        </w:r>
                      </w:p>
                    </w:txbxContent>
                  </v:textbox>
                </v:shape>
              </v:group>
            </w:pict>
          </mc:Fallback>
        </mc:AlternateContent>
      </w:r>
    </w:p>
    <w:p w14:paraId="4096C633" w14:textId="77777777" w:rsidR="00D84304" w:rsidRDefault="00D84304" w:rsidP="00AC5F42">
      <w:pPr>
        <w:pStyle w:val="QuestionBox"/>
      </w:pPr>
      <w:r w:rsidRPr="00D84304">
        <w:rPr>
          <w:lang w:val="en-US"/>
        </w:rPr>
        <w:t>Are new exceptions relating to access to goods, services, facilities or places desirable to accommodate any new grounds we propose?</w:t>
      </w:r>
      <w:r w:rsidRPr="00D84304">
        <w:rPr>
          <w:rFonts w:ascii="Calibri" w:hAnsi="Calibri" w:cs="Calibri"/>
        </w:rPr>
        <w:t> </w:t>
      </w:r>
    </w:p>
    <w:p w14:paraId="77045DF2" w14:textId="77777777" w:rsidR="00AC5F42" w:rsidRPr="008642D1" w:rsidRDefault="00AC5F42" w:rsidP="00AC5F42">
      <w:pPr>
        <w:pStyle w:val="QuestionBox"/>
      </w:pPr>
    </w:p>
    <w:p w14:paraId="28BBE119" w14:textId="77777777" w:rsidR="00C07E13" w:rsidRPr="008642D1" w:rsidRDefault="00C07E13" w:rsidP="00C07E13">
      <w:pPr>
        <w:pStyle w:val="Heading2"/>
      </w:pPr>
      <w:bookmarkStart w:id="119" w:name="_Toc170302166"/>
      <w:r w:rsidRPr="008642D1">
        <w:t>Exceptions</w:t>
      </w:r>
      <w:bookmarkEnd w:id="119"/>
      <w:r w:rsidRPr="008642D1">
        <w:t xml:space="preserve">  </w:t>
      </w:r>
    </w:p>
    <w:p w14:paraId="4AB73507" w14:textId="77777777" w:rsidR="00C07E13" w:rsidRPr="008642D1" w:rsidRDefault="00C07E13" w:rsidP="00C07E13">
      <w:pPr>
        <w:pStyle w:val="BodyText"/>
        <w:tabs>
          <w:tab w:val="num" w:pos="709"/>
        </w:tabs>
      </w:pPr>
      <w:r w:rsidRPr="008642D1">
        <w:t xml:space="preserve">In the sections below, we discuss three exceptions in the Human Rights Act that relate to section 44 (provision of goods, services and facilities). Other exceptions relating to single-sex facilities and competitive sport are discussed in Chapters 13 and 14. </w:t>
      </w:r>
    </w:p>
    <w:p w14:paraId="717A292D" w14:textId="77777777" w:rsidR="00C07E13" w:rsidRPr="008642D1" w:rsidRDefault="00C07E13" w:rsidP="00C07E13">
      <w:pPr>
        <w:pStyle w:val="Heading3"/>
        <w:rPr>
          <w:b w:val="0"/>
        </w:rPr>
      </w:pPr>
      <w:r w:rsidRPr="008642D1">
        <w:t>Exceptions on which we do not seek feedback</w:t>
      </w:r>
    </w:p>
    <w:p w14:paraId="768AA92B" w14:textId="1D345BDA" w:rsidR="00D11C0C" w:rsidRDefault="00C07E13" w:rsidP="00C07E13">
      <w:pPr>
        <w:pStyle w:val="BodyText"/>
      </w:pPr>
      <w:r w:rsidRPr="008642D1">
        <w:t xml:space="preserve">As we discussed in Chapter 8, there are two categories of specific exception on which we do not seek feedback. These are exceptions that apply to all grounds (and </w:t>
      </w:r>
      <w:r w:rsidR="008123C7">
        <w:t>that</w:t>
      </w:r>
      <w:r w:rsidR="008123C7" w:rsidRPr="008642D1">
        <w:t xml:space="preserve"> </w:t>
      </w:r>
      <w:r w:rsidRPr="008642D1">
        <w:t xml:space="preserve">do not raise issues specific to this review) and exceptions that do not apply to sex. In the table below, we list the exceptions relevant to this chapter that fall into those two categories. We have reviewed all these exceptions but do not discuss them further. </w:t>
      </w:r>
    </w:p>
    <w:p w14:paraId="473584C1" w14:textId="77777777" w:rsidR="00D11C0C" w:rsidRDefault="00D11C0C">
      <w:pPr>
        <w:widowControl w:val="0"/>
        <w:spacing w:after="200" w:line="276" w:lineRule="auto"/>
        <w:rPr>
          <w:rFonts w:eastAsia="Times New Roman" w:cs="Times New Roman"/>
          <w:color w:val="000000" w:themeColor="text1"/>
          <w:szCs w:val="24"/>
          <w:lang w:eastAsia="en-AU"/>
        </w:rPr>
      </w:pPr>
      <w:r>
        <w:br w:type="page"/>
      </w:r>
    </w:p>
    <w:tbl>
      <w:tblPr>
        <w:tblStyle w:val="LCTable"/>
        <w:tblW w:w="8363" w:type="dxa"/>
        <w:tblInd w:w="704" w:type="dxa"/>
        <w:tblLook w:val="0420" w:firstRow="1" w:lastRow="0" w:firstColumn="0" w:lastColumn="0" w:noHBand="0" w:noVBand="1"/>
      </w:tblPr>
      <w:tblGrid>
        <w:gridCol w:w="1356"/>
        <w:gridCol w:w="7007"/>
      </w:tblGrid>
      <w:tr w:rsidR="00C07E13" w:rsidRPr="008642D1" w14:paraId="5947D532" w14:textId="77777777" w:rsidTr="00B54E75">
        <w:trPr>
          <w:cnfStyle w:val="100000000000" w:firstRow="1" w:lastRow="0" w:firstColumn="0" w:lastColumn="0" w:oddVBand="0" w:evenVBand="0" w:oddHBand="0" w:evenHBand="0" w:firstRowFirstColumn="0" w:firstRowLastColumn="0" w:lastRowFirstColumn="0" w:lastRowLastColumn="0"/>
          <w:trHeight w:val="347"/>
        </w:trPr>
        <w:tc>
          <w:tcPr>
            <w:tcW w:w="8363" w:type="dxa"/>
            <w:gridSpan w:val="2"/>
          </w:tcPr>
          <w:p w14:paraId="4088C058" w14:textId="77777777" w:rsidR="00C07E13" w:rsidRPr="008642D1" w:rsidRDefault="00C07E13">
            <w:pPr>
              <w:spacing w:after="60" w:line="240" w:lineRule="auto"/>
              <w:rPr>
                <w:rFonts w:cs="Angsana New"/>
                <w:b/>
                <w:bCs/>
                <w:szCs w:val="18"/>
                <w:lang w:val="en-AU"/>
              </w:rPr>
            </w:pPr>
            <w:r w:rsidRPr="008642D1">
              <w:rPr>
                <w:rFonts w:cs="Angsana New"/>
                <w:b/>
                <w:bCs/>
                <w:szCs w:val="18"/>
              </w:rPr>
              <w:lastRenderedPageBreak/>
              <w:t>Exceptions on which we do not seek feedback</w:t>
            </w:r>
          </w:p>
        </w:tc>
      </w:tr>
      <w:tr w:rsidR="00C07E13" w:rsidRPr="008642D1" w14:paraId="056FB2C9" w14:textId="77777777" w:rsidTr="00B54E75">
        <w:trPr>
          <w:trHeight w:val="347"/>
        </w:trPr>
        <w:tc>
          <w:tcPr>
            <w:tcW w:w="8363" w:type="dxa"/>
            <w:gridSpan w:val="2"/>
          </w:tcPr>
          <w:p w14:paraId="33CAC837" w14:textId="77777777" w:rsidR="00C07E13" w:rsidRPr="003021EB" w:rsidRDefault="00C07E13">
            <w:pPr>
              <w:spacing w:after="60" w:line="240" w:lineRule="auto"/>
              <w:rPr>
                <w:rFonts w:cs="Angsana New"/>
                <w:b/>
                <w:bCs/>
                <w:szCs w:val="18"/>
              </w:rPr>
            </w:pPr>
            <w:r w:rsidRPr="003021EB">
              <w:rPr>
                <w:rFonts w:ascii="Metropolis" w:hAnsi="Metropolis" w:cs="Angsana New"/>
                <w:b/>
                <w:bCs/>
                <w:color w:val="6BA539"/>
                <w:szCs w:val="18"/>
              </w:rPr>
              <w:t xml:space="preserve">Exceptions that apply to all grounds — should extend to any new grounds </w:t>
            </w:r>
          </w:p>
        </w:tc>
      </w:tr>
      <w:tr w:rsidR="00C07E13" w:rsidRPr="008642D1" w14:paraId="5F0239C8" w14:textId="77777777" w:rsidTr="00B54E75">
        <w:trPr>
          <w:trHeight w:val="155"/>
        </w:trPr>
        <w:tc>
          <w:tcPr>
            <w:tcW w:w="8363" w:type="dxa"/>
            <w:gridSpan w:val="2"/>
            <w:shd w:val="clear" w:color="auto" w:fill="F2F2F2" w:themeFill="background1" w:themeFillShade="F2"/>
          </w:tcPr>
          <w:p w14:paraId="292A8377" w14:textId="77777777" w:rsidR="00C07E13" w:rsidRPr="003021EB" w:rsidRDefault="00C07E13">
            <w:pPr>
              <w:spacing w:after="60" w:line="260" w:lineRule="atLeast"/>
              <w:rPr>
                <w:rFonts w:cs="Angsana New"/>
                <w:szCs w:val="18"/>
                <w:lang w:val="en-AU"/>
              </w:rPr>
            </w:pPr>
            <w:r w:rsidRPr="003021EB">
              <w:rPr>
                <w:rFonts w:cs="Angsana New"/>
                <w:szCs w:val="18"/>
                <w:lang w:val="en-AU"/>
              </w:rPr>
              <w:t>Provision of goods and services</w:t>
            </w:r>
          </w:p>
        </w:tc>
      </w:tr>
      <w:tr w:rsidR="00C07E13" w:rsidRPr="008642D1" w14:paraId="73E948C5" w14:textId="77777777" w:rsidTr="00B54E75">
        <w:trPr>
          <w:trHeight w:val="751"/>
        </w:trPr>
        <w:tc>
          <w:tcPr>
            <w:tcW w:w="1356" w:type="dxa"/>
          </w:tcPr>
          <w:p w14:paraId="736F876B" w14:textId="77777777" w:rsidR="00C07E13" w:rsidRPr="008642D1" w:rsidRDefault="00C07E13">
            <w:pPr>
              <w:spacing w:after="60" w:line="260" w:lineRule="atLeast"/>
              <w:rPr>
                <w:rFonts w:cs="Angsana New"/>
                <w:szCs w:val="18"/>
                <w:lang w:val="en-AU"/>
              </w:rPr>
            </w:pPr>
            <w:r w:rsidRPr="008642D1">
              <w:rPr>
                <w:rFonts w:cs="Angsana New"/>
                <w:szCs w:val="18"/>
                <w:lang w:val="en-AU"/>
              </w:rPr>
              <w:t>44(4)</w:t>
            </w:r>
          </w:p>
        </w:tc>
        <w:tc>
          <w:tcPr>
            <w:tcW w:w="7007" w:type="dxa"/>
          </w:tcPr>
          <w:p w14:paraId="18AB04F1" w14:textId="09AB3FA1" w:rsidR="00C07E13" w:rsidRPr="008642D1" w:rsidRDefault="00C07E13">
            <w:pPr>
              <w:spacing w:after="60" w:line="260" w:lineRule="atLeast"/>
              <w:rPr>
                <w:rFonts w:ascii="Metropolis" w:hAnsi="Metropolis" w:cs="Angsana New"/>
                <w:b/>
                <w:color w:val="6BA539"/>
                <w:szCs w:val="18"/>
                <w:lang w:val="en-AU"/>
              </w:rPr>
            </w:pPr>
            <w:r w:rsidRPr="008642D1">
              <w:rPr>
                <w:rFonts w:cs="Angsana New"/>
                <w:szCs w:val="18"/>
                <w:lang w:val="en-AU"/>
              </w:rPr>
              <w:t>Exception for membership of clubs and for goods and services provided to members of a club.</w:t>
            </w:r>
          </w:p>
        </w:tc>
      </w:tr>
      <w:tr w:rsidR="00C07E13" w:rsidRPr="008642D1" w14:paraId="3CEB98E7" w14:textId="77777777" w:rsidTr="00B54E75">
        <w:trPr>
          <w:trHeight w:val="579"/>
        </w:trPr>
        <w:tc>
          <w:tcPr>
            <w:tcW w:w="8363" w:type="dxa"/>
            <w:gridSpan w:val="2"/>
          </w:tcPr>
          <w:p w14:paraId="5799A8BF" w14:textId="77777777" w:rsidR="00C07E13" w:rsidRPr="003021EB" w:rsidRDefault="00C07E13">
            <w:pPr>
              <w:spacing w:after="60" w:line="260" w:lineRule="atLeast"/>
              <w:rPr>
                <w:rFonts w:cs="Angsana New"/>
                <w:b/>
                <w:bCs/>
                <w:szCs w:val="18"/>
                <w:lang w:val="en-AU"/>
              </w:rPr>
            </w:pPr>
            <w:r w:rsidRPr="003021EB">
              <w:rPr>
                <w:rFonts w:ascii="Metropolis" w:hAnsi="Metropolis" w:cs="Angsana New"/>
                <w:b/>
                <w:bCs/>
                <w:color w:val="6BA539"/>
                <w:szCs w:val="18"/>
              </w:rPr>
              <w:t xml:space="preserve">Exceptions that do not apply to discrimination on the ground of sex — should not extend to any new grounds </w:t>
            </w:r>
          </w:p>
        </w:tc>
      </w:tr>
      <w:tr w:rsidR="00C07E13" w:rsidRPr="008642D1" w14:paraId="34558ADD" w14:textId="77777777" w:rsidTr="00B54E75">
        <w:trPr>
          <w:trHeight w:val="431"/>
        </w:trPr>
        <w:tc>
          <w:tcPr>
            <w:tcW w:w="8363" w:type="dxa"/>
            <w:gridSpan w:val="2"/>
            <w:shd w:val="clear" w:color="auto" w:fill="F2F2F2" w:themeFill="background1" w:themeFillShade="F2"/>
          </w:tcPr>
          <w:p w14:paraId="3555B6E0" w14:textId="77777777" w:rsidR="00C07E13" w:rsidRPr="003021EB" w:rsidRDefault="00C07E13">
            <w:pPr>
              <w:spacing w:after="60" w:line="260" w:lineRule="atLeast"/>
              <w:rPr>
                <w:rFonts w:cs="Angsana New"/>
                <w:color w:val="6BA539"/>
                <w:szCs w:val="18"/>
              </w:rPr>
            </w:pPr>
            <w:r w:rsidRPr="003021EB">
              <w:rPr>
                <w:rFonts w:cs="Angsana New"/>
                <w:szCs w:val="18"/>
              </w:rPr>
              <w:t>Access to places, vehicles and facilities</w:t>
            </w:r>
          </w:p>
        </w:tc>
      </w:tr>
      <w:tr w:rsidR="00C07E13" w:rsidRPr="008642D1" w14:paraId="23EFC623" w14:textId="77777777" w:rsidTr="00B54E75">
        <w:trPr>
          <w:trHeight w:val="155"/>
        </w:trPr>
        <w:tc>
          <w:tcPr>
            <w:tcW w:w="1356" w:type="dxa"/>
          </w:tcPr>
          <w:p w14:paraId="50BD11CE" w14:textId="77777777" w:rsidR="00C07E13" w:rsidRPr="008642D1" w:rsidRDefault="00C07E13">
            <w:pPr>
              <w:spacing w:after="60" w:line="260" w:lineRule="atLeast"/>
              <w:rPr>
                <w:rFonts w:cs="Angsana New"/>
                <w:szCs w:val="18"/>
                <w:lang w:val="en-AU"/>
              </w:rPr>
            </w:pPr>
            <w:r w:rsidRPr="008642D1">
              <w:rPr>
                <w:rFonts w:cs="Angsana New"/>
                <w:szCs w:val="18"/>
                <w:lang w:val="en-AU"/>
              </w:rPr>
              <w:t>43(2) and (4)</w:t>
            </w:r>
          </w:p>
        </w:tc>
        <w:tc>
          <w:tcPr>
            <w:tcW w:w="7007" w:type="dxa"/>
          </w:tcPr>
          <w:p w14:paraId="0060FDA8" w14:textId="77777777" w:rsidR="00C07E13" w:rsidRPr="008642D1" w:rsidRDefault="00C07E13">
            <w:pPr>
              <w:spacing w:after="60" w:line="260" w:lineRule="atLeast"/>
              <w:rPr>
                <w:rFonts w:cs="Angsana New"/>
                <w:szCs w:val="18"/>
                <w:lang w:val="en-AU"/>
              </w:rPr>
            </w:pPr>
            <w:r w:rsidRPr="008642D1">
              <w:rPr>
                <w:rFonts w:cs="Angsana New"/>
                <w:szCs w:val="18"/>
                <w:lang w:val="en-AU"/>
              </w:rPr>
              <w:t>Exception relating to disability.</w:t>
            </w:r>
          </w:p>
        </w:tc>
      </w:tr>
      <w:tr w:rsidR="00C07E13" w:rsidRPr="008642D1" w14:paraId="147C2F41" w14:textId="77777777" w:rsidTr="00B54E75">
        <w:trPr>
          <w:trHeight w:val="155"/>
        </w:trPr>
        <w:tc>
          <w:tcPr>
            <w:tcW w:w="8363" w:type="dxa"/>
            <w:gridSpan w:val="2"/>
            <w:shd w:val="clear" w:color="auto" w:fill="F2F2F2" w:themeFill="background1" w:themeFillShade="F2"/>
          </w:tcPr>
          <w:p w14:paraId="4090F7B8" w14:textId="77777777" w:rsidR="00C07E13" w:rsidRPr="003021EB" w:rsidRDefault="00C07E13">
            <w:pPr>
              <w:spacing w:after="60" w:line="260" w:lineRule="atLeast"/>
              <w:rPr>
                <w:rFonts w:cs="Angsana New"/>
                <w:szCs w:val="18"/>
                <w:lang w:val="en-AU"/>
              </w:rPr>
            </w:pPr>
            <w:r w:rsidRPr="003021EB">
              <w:rPr>
                <w:rFonts w:cs="Angsana New"/>
                <w:szCs w:val="18"/>
                <w:lang w:val="en-AU"/>
              </w:rPr>
              <w:t>Provision of goods and services</w:t>
            </w:r>
          </w:p>
        </w:tc>
      </w:tr>
      <w:tr w:rsidR="00C07E13" w:rsidRPr="008642D1" w14:paraId="71F35EA5" w14:textId="77777777" w:rsidTr="00B54E75">
        <w:trPr>
          <w:trHeight w:val="155"/>
        </w:trPr>
        <w:tc>
          <w:tcPr>
            <w:tcW w:w="1356" w:type="dxa"/>
          </w:tcPr>
          <w:p w14:paraId="7B2D892E" w14:textId="77777777" w:rsidR="00C07E13" w:rsidRPr="008642D1" w:rsidRDefault="00C07E13">
            <w:pPr>
              <w:spacing w:after="60" w:line="260" w:lineRule="atLeast"/>
              <w:rPr>
                <w:rFonts w:cs="Angsana New"/>
                <w:szCs w:val="18"/>
                <w:lang w:val="en-AU"/>
              </w:rPr>
            </w:pPr>
            <w:r w:rsidRPr="008642D1">
              <w:rPr>
                <w:rFonts w:cs="Angsana New"/>
                <w:szCs w:val="18"/>
              </w:rPr>
              <w:t>49(3)</w:t>
            </w:r>
          </w:p>
        </w:tc>
        <w:tc>
          <w:tcPr>
            <w:tcW w:w="7007" w:type="dxa"/>
          </w:tcPr>
          <w:p w14:paraId="1CF4AF3C" w14:textId="77777777" w:rsidR="00C07E13" w:rsidRPr="008642D1" w:rsidRDefault="00C07E13">
            <w:pPr>
              <w:spacing w:after="60" w:line="260" w:lineRule="atLeast"/>
              <w:rPr>
                <w:rFonts w:cs="Angsana New"/>
                <w:szCs w:val="18"/>
                <w:lang w:val="en-AU"/>
              </w:rPr>
            </w:pPr>
            <w:r w:rsidRPr="008642D1">
              <w:rPr>
                <w:rFonts w:cs="Angsana New"/>
                <w:szCs w:val="18"/>
              </w:rPr>
              <w:t xml:space="preserve">Exception for competitive sport relating to disability where risk of harm. </w:t>
            </w:r>
          </w:p>
        </w:tc>
      </w:tr>
      <w:tr w:rsidR="00C07E13" w:rsidRPr="008642D1" w14:paraId="33EA4815" w14:textId="77777777" w:rsidTr="00B54E75">
        <w:trPr>
          <w:trHeight w:val="155"/>
        </w:trPr>
        <w:tc>
          <w:tcPr>
            <w:tcW w:w="1356" w:type="dxa"/>
          </w:tcPr>
          <w:p w14:paraId="2082D595" w14:textId="77777777" w:rsidR="00C07E13" w:rsidRPr="008642D1" w:rsidRDefault="00C07E13">
            <w:pPr>
              <w:spacing w:after="60" w:line="260" w:lineRule="atLeast"/>
              <w:rPr>
                <w:rFonts w:cs="Angsana New"/>
                <w:szCs w:val="18"/>
                <w:lang w:val="en-AU"/>
              </w:rPr>
            </w:pPr>
            <w:r w:rsidRPr="008642D1">
              <w:rPr>
                <w:rFonts w:cs="Angsana New"/>
                <w:szCs w:val="18"/>
              </w:rPr>
              <w:t>49(4)</w:t>
            </w:r>
          </w:p>
        </w:tc>
        <w:tc>
          <w:tcPr>
            <w:tcW w:w="7007" w:type="dxa"/>
          </w:tcPr>
          <w:p w14:paraId="56486F7F" w14:textId="77777777" w:rsidR="00C07E13" w:rsidRPr="008642D1" w:rsidRDefault="00C07E13">
            <w:pPr>
              <w:spacing w:after="60" w:line="260" w:lineRule="atLeast"/>
              <w:rPr>
                <w:rFonts w:cs="Angsana New"/>
                <w:szCs w:val="18"/>
                <w:lang w:val="en-AU"/>
              </w:rPr>
            </w:pPr>
            <w:r w:rsidRPr="008642D1">
              <w:rPr>
                <w:rFonts w:cs="Angsana New"/>
                <w:szCs w:val="18"/>
              </w:rPr>
              <w:t>Exception for competitive sport relating to disability and age.</w:t>
            </w:r>
          </w:p>
        </w:tc>
      </w:tr>
      <w:tr w:rsidR="00C07E13" w:rsidRPr="008642D1" w14:paraId="7E35782F" w14:textId="77777777" w:rsidTr="00B54E75">
        <w:trPr>
          <w:trHeight w:val="153"/>
        </w:trPr>
        <w:tc>
          <w:tcPr>
            <w:tcW w:w="1356" w:type="dxa"/>
          </w:tcPr>
          <w:p w14:paraId="3DDC2B84" w14:textId="77777777" w:rsidR="00C07E13" w:rsidRPr="008642D1" w:rsidRDefault="00C07E13">
            <w:pPr>
              <w:spacing w:after="60" w:line="260" w:lineRule="atLeast"/>
              <w:rPr>
                <w:rFonts w:cs="Angsana New"/>
                <w:szCs w:val="18"/>
                <w:lang w:val="en-AU"/>
              </w:rPr>
            </w:pPr>
            <w:r w:rsidRPr="008642D1">
              <w:rPr>
                <w:rFonts w:cs="Angsana New"/>
                <w:szCs w:val="18"/>
                <w:lang w:val="en-AU"/>
              </w:rPr>
              <w:t>50</w:t>
            </w:r>
          </w:p>
        </w:tc>
        <w:tc>
          <w:tcPr>
            <w:tcW w:w="7007" w:type="dxa"/>
          </w:tcPr>
          <w:p w14:paraId="427E3148" w14:textId="77777777" w:rsidR="00C07E13" w:rsidRPr="008642D1" w:rsidRDefault="00C07E13">
            <w:pPr>
              <w:spacing w:after="60" w:line="260" w:lineRule="atLeast"/>
              <w:rPr>
                <w:rFonts w:cs="Angsana New"/>
                <w:szCs w:val="18"/>
                <w:lang w:val="en-AU"/>
              </w:rPr>
            </w:pPr>
            <w:r w:rsidRPr="008642D1">
              <w:rPr>
                <w:rFonts w:cs="Angsana New"/>
                <w:szCs w:val="18"/>
                <w:lang w:val="en-AU"/>
              </w:rPr>
              <w:t>Exception for travel services relating to age.</w:t>
            </w:r>
          </w:p>
        </w:tc>
      </w:tr>
      <w:tr w:rsidR="00C07E13" w:rsidRPr="008642D1" w14:paraId="60507BC9" w14:textId="77777777" w:rsidTr="00B54E75">
        <w:trPr>
          <w:trHeight w:val="153"/>
        </w:trPr>
        <w:tc>
          <w:tcPr>
            <w:tcW w:w="1356" w:type="dxa"/>
          </w:tcPr>
          <w:p w14:paraId="6450ABE4" w14:textId="77777777" w:rsidR="00C07E13" w:rsidRPr="008642D1" w:rsidRDefault="00C07E13">
            <w:pPr>
              <w:spacing w:after="60" w:line="260" w:lineRule="atLeast"/>
              <w:rPr>
                <w:rFonts w:cs="Angsana New"/>
                <w:szCs w:val="18"/>
                <w:lang w:val="en-AU"/>
              </w:rPr>
            </w:pPr>
            <w:r w:rsidRPr="008642D1">
              <w:rPr>
                <w:rFonts w:cs="Angsana New"/>
                <w:szCs w:val="18"/>
                <w:lang w:val="en-AU"/>
              </w:rPr>
              <w:t>51</w:t>
            </w:r>
          </w:p>
        </w:tc>
        <w:tc>
          <w:tcPr>
            <w:tcW w:w="7007" w:type="dxa"/>
          </w:tcPr>
          <w:p w14:paraId="05DF3DBF" w14:textId="77777777" w:rsidR="00C07E13" w:rsidRPr="008642D1" w:rsidRDefault="00C07E13">
            <w:pPr>
              <w:spacing w:after="60" w:line="260" w:lineRule="atLeast"/>
              <w:rPr>
                <w:rFonts w:cs="Angsana New"/>
                <w:szCs w:val="18"/>
                <w:lang w:val="en-AU"/>
              </w:rPr>
            </w:pPr>
            <w:r w:rsidRPr="008642D1">
              <w:rPr>
                <w:rFonts w:cs="Angsana New"/>
                <w:szCs w:val="18"/>
                <w:lang w:val="en-AU"/>
              </w:rPr>
              <w:t>Exception for reduced rate relating to age, disability and employment status.</w:t>
            </w:r>
          </w:p>
        </w:tc>
      </w:tr>
      <w:tr w:rsidR="00C07E13" w:rsidRPr="008642D1" w14:paraId="085EFEB8" w14:textId="77777777" w:rsidTr="00B54E75">
        <w:trPr>
          <w:trHeight w:val="153"/>
        </w:trPr>
        <w:tc>
          <w:tcPr>
            <w:tcW w:w="1356" w:type="dxa"/>
          </w:tcPr>
          <w:p w14:paraId="0AA9BF17" w14:textId="77777777" w:rsidR="00C07E13" w:rsidRPr="008642D1" w:rsidRDefault="00C07E13">
            <w:pPr>
              <w:spacing w:after="60" w:line="260" w:lineRule="atLeast"/>
              <w:rPr>
                <w:rFonts w:cs="Angsana New"/>
                <w:szCs w:val="18"/>
                <w:lang w:val="en-AU"/>
              </w:rPr>
            </w:pPr>
            <w:r w:rsidRPr="008642D1">
              <w:rPr>
                <w:rFonts w:cs="Angsana New"/>
                <w:szCs w:val="18"/>
                <w:lang w:val="en-AU"/>
              </w:rPr>
              <w:t>52</w:t>
            </w:r>
          </w:p>
        </w:tc>
        <w:tc>
          <w:tcPr>
            <w:tcW w:w="7007" w:type="dxa"/>
          </w:tcPr>
          <w:p w14:paraId="2D148C81" w14:textId="77777777" w:rsidR="00C07E13" w:rsidRPr="008642D1" w:rsidRDefault="00C07E13">
            <w:pPr>
              <w:spacing w:after="60" w:line="260" w:lineRule="atLeast"/>
              <w:rPr>
                <w:rFonts w:cs="Angsana New"/>
                <w:szCs w:val="18"/>
                <w:lang w:val="en-AU"/>
              </w:rPr>
            </w:pPr>
            <w:r w:rsidRPr="008642D1">
              <w:rPr>
                <w:rFonts w:cs="Angsana New"/>
                <w:szCs w:val="18"/>
                <w:lang w:val="en-AU"/>
              </w:rPr>
              <w:t>Exception relating to disability.</w:t>
            </w:r>
          </w:p>
        </w:tc>
      </w:tr>
    </w:tbl>
    <w:p w14:paraId="3F5E81C1" w14:textId="77777777" w:rsidR="00C07E13" w:rsidRPr="008642D1" w:rsidRDefault="00C07E13" w:rsidP="00C07E13">
      <w:pPr>
        <w:pStyle w:val="BodyText"/>
        <w:numPr>
          <w:ilvl w:val="0"/>
          <w:numId w:val="0"/>
        </w:numPr>
        <w:ind w:left="709"/>
      </w:pPr>
    </w:p>
    <w:p w14:paraId="27A4A9B3" w14:textId="77777777" w:rsidR="00C07E13" w:rsidRPr="008642D1" w:rsidRDefault="00C07E13" w:rsidP="00C07E13">
      <w:pPr>
        <w:pStyle w:val="Heading3"/>
      </w:pPr>
      <w:r w:rsidRPr="008642D1">
        <w:t xml:space="preserve">Courses and counselling exception — section 45 </w:t>
      </w:r>
    </w:p>
    <w:p w14:paraId="730EF0AC" w14:textId="77777777" w:rsidR="00C07E13" w:rsidRPr="008642D1" w:rsidRDefault="00C07E13" w:rsidP="00C07E13">
      <w:pPr>
        <w:pStyle w:val="BodyText"/>
      </w:pPr>
      <w:r w:rsidRPr="008642D1">
        <w:t xml:space="preserve">If courses or counselling involve highly personal matters such as sexual matters or violence prevention, section 45 of the Human Rights Act allows these to be limited to persons of a particular sex, race, ethnic or national origin, or sexual orientation. </w:t>
      </w:r>
    </w:p>
    <w:p w14:paraId="1F33DC9D" w14:textId="77777777" w:rsidR="00C07E13" w:rsidRPr="008642D1" w:rsidRDefault="00C07E13" w:rsidP="00C07E13">
      <w:pPr>
        <w:pStyle w:val="BodyText"/>
      </w:pPr>
      <w:r w:rsidRPr="008642D1">
        <w:t>There is a similar exception in section 59 that allows an educational establishment to hold or provide counselling of this kind. Our discussion on whether to amend section 45 to reflect new grounds applies equally to that exception.</w:t>
      </w:r>
    </w:p>
    <w:p w14:paraId="23A33CB1" w14:textId="77777777" w:rsidR="00C07E13" w:rsidRPr="008642D1" w:rsidRDefault="00C07E13" w:rsidP="00C07E13">
      <w:pPr>
        <w:pStyle w:val="Heading4"/>
      </w:pPr>
      <w:r w:rsidRPr="008642D1">
        <w:t>Scope and rationale of the current exception</w:t>
      </w:r>
    </w:p>
    <w:p w14:paraId="485C1AFB" w14:textId="77777777" w:rsidR="00C07E13" w:rsidRPr="008642D1" w:rsidRDefault="00C07E13" w:rsidP="00C07E13">
      <w:pPr>
        <w:pStyle w:val="BodyText"/>
      </w:pPr>
      <w:r w:rsidRPr="008642D1">
        <w:t>We have found it hard to determine the rationale for section 45. The legislative history provides only limited information on why the exception was introduced in 1993 and the previous legislation did not contain a comparable provision.</w:t>
      </w:r>
    </w:p>
    <w:p w14:paraId="1083F05E" w14:textId="77777777" w:rsidR="00C07E13" w:rsidRPr="008642D1" w:rsidRDefault="00C07E13" w:rsidP="00C07E13">
      <w:pPr>
        <w:pStyle w:val="BodyText"/>
      </w:pPr>
      <w:r w:rsidRPr="008642D1">
        <w:t xml:space="preserve">One possibility is that the exception anticipates situations with multiple participants such as courses and group counselling. Examples might be a course on sexuality and healthy relationships or a group therapy class for survivors of sexual abuse. In these circumstances, the rationale for an exception might be to enable participants to feel comfortable and participate freely. There might be public interests served by securing attendance at such courses in certain circumstances (for example, a course for offenders on living without violence) and in securing full therapeutic benefits. </w:t>
      </w:r>
    </w:p>
    <w:p w14:paraId="30A9102E" w14:textId="77777777" w:rsidR="00C07E13" w:rsidRPr="008642D1" w:rsidRDefault="00C07E13" w:rsidP="00C07E13">
      <w:pPr>
        <w:pStyle w:val="BodyText"/>
      </w:pPr>
      <w:r w:rsidRPr="008642D1">
        <w:lastRenderedPageBreak/>
        <w:t>The legislative history suggests this was the likely rationale for section 45. In 1990, the Department of Justice indicated that a new exception should be drafted “to cover the holding of courses, or the provision of counselling, on matters which are of common interest to a group and which are of some intimacy”. It gave as examples “sexual matters of any kind and anger management”.</w:t>
      </w:r>
      <w:r w:rsidRPr="008642D1">
        <w:rPr>
          <w:rStyle w:val="FootnoteReference"/>
        </w:rPr>
        <w:footnoteReference w:id="490"/>
      </w:r>
      <w:r w:rsidRPr="008642D1">
        <w:t xml:space="preserve">  </w:t>
      </w:r>
    </w:p>
    <w:p w14:paraId="60DE79DE" w14:textId="77777777" w:rsidR="00C07E13" w:rsidRPr="008642D1" w:rsidRDefault="00C07E13" w:rsidP="00C07E13">
      <w:pPr>
        <w:pStyle w:val="BodyText"/>
      </w:pPr>
      <w:r w:rsidRPr="008642D1">
        <w:t xml:space="preserve">If this is the sole rationale, however, one would expect the exception to apply solely to group courses or counselling. The language of the exception is broader than that. </w:t>
      </w:r>
    </w:p>
    <w:p w14:paraId="51F62C96" w14:textId="77777777" w:rsidR="00C07E13" w:rsidRPr="008642D1" w:rsidRDefault="00C07E13" w:rsidP="00C07E13">
      <w:pPr>
        <w:pStyle w:val="BodyText"/>
      </w:pPr>
      <w:r w:rsidRPr="008642D1">
        <w:t>Another possible rationale (which could also be relevant to individual counselling) might relate to expertise and specialisation. For example, a counsellor might have specific expertise in counselling migrant and refugee women from particular communities. If that is the rationale, however, we wonder if the exception is even needed. A counsellor who lacks necessary expertise would have an ethical obligation to refuse to provide the service and/or to refer elsewhere.</w:t>
      </w:r>
      <w:r w:rsidRPr="008642D1">
        <w:rPr>
          <w:color w:val="262626" w:themeColor="text1" w:themeTint="D9"/>
          <w:sz w:val="18"/>
          <w:vertAlign w:val="superscript"/>
        </w:rPr>
        <w:footnoteReference w:id="491"/>
      </w:r>
      <w:r w:rsidRPr="008642D1">
        <w:t xml:space="preserve"> We are aware of a case where Te Taraipiunara Mana Tangata | Human Rights Review Tribunal found a health provider did not breach the Human Rights Act by declining to provide treatment to a patient where this was contrary to their professional obligations.</w:t>
      </w:r>
      <w:r w:rsidRPr="008642D1">
        <w:rPr>
          <w:color w:val="262626" w:themeColor="text1" w:themeTint="D9"/>
          <w:sz w:val="18"/>
          <w:vertAlign w:val="superscript"/>
        </w:rPr>
        <w:footnoteReference w:id="492"/>
      </w:r>
      <w:r w:rsidRPr="008642D1">
        <w:t xml:space="preserve"> </w:t>
      </w:r>
    </w:p>
    <w:p w14:paraId="6C1968C1" w14:textId="77777777" w:rsidR="00C07E13" w:rsidRPr="008642D1" w:rsidRDefault="00C07E13" w:rsidP="00C07E13">
      <w:pPr>
        <w:pStyle w:val="Heading4"/>
      </w:pPr>
      <w:r w:rsidRPr="008642D1">
        <w:t xml:space="preserve">Should the exception be amended to reflect any new grounds? </w:t>
      </w:r>
    </w:p>
    <w:p w14:paraId="25D4B464" w14:textId="77777777" w:rsidR="00C07E13" w:rsidRPr="008642D1" w:rsidRDefault="00C07E13" w:rsidP="00715446">
      <w:pPr>
        <w:pStyle w:val="BodyText"/>
      </w:pPr>
      <w:r w:rsidRPr="008642D1">
        <w:t>One argument for amending the exception to reflect new prohibited grounds of discrimination is that some people who are transgender or non-binary or who have an innate variation of sex characteristics might feel more comfortable discussing highly personal topics with people from the same community, and some counsellors may specialise in providing counselling to these groups. Some organisations already have counselling and courses tailored for these groups. For example, OutLine has counsellors who specialise in “rainbow-affirming counselling” and InsideOUT Kōaro holds a course on respectful relationships that is designed to support rainbow rangatahi (young people).</w:t>
      </w:r>
      <w:r w:rsidRPr="008642D1">
        <w:rPr>
          <w:rStyle w:val="FootnoteReference"/>
        </w:rPr>
        <w:footnoteReference w:id="493"/>
      </w:r>
      <w:r w:rsidRPr="008642D1">
        <w:t xml:space="preserve"> </w:t>
      </w:r>
    </w:p>
    <w:p w14:paraId="6C1938F7" w14:textId="77777777" w:rsidR="00C07E13" w:rsidRPr="008642D1" w:rsidRDefault="00C07E13" w:rsidP="00715446">
      <w:pPr>
        <w:pStyle w:val="BodyText"/>
      </w:pPr>
      <w:r w:rsidRPr="008642D1">
        <w:t>Depending on the wording of any new grounds, extending the exception might also allow courses and counselling to be restricted to people who are cisgender. It is possible some cisgender men or women might prefer to attend a course or counselling on highly personal matters with other cisgender men or women. For example, some cisgender female survivors of sexual violence may prefer to attend a course with other cisgender women. It is also possible a counsellor might feel they have insufficient expertise to assist a client who is transgender or non-binary or who has an innate variation of sex characteristics with particular issues.</w:t>
      </w:r>
    </w:p>
    <w:p w14:paraId="1EAB575D" w14:textId="153CCF8F" w:rsidR="00C07E13" w:rsidRPr="008642D1" w:rsidRDefault="00C07E13" w:rsidP="00715446">
      <w:pPr>
        <w:pStyle w:val="BodyText"/>
      </w:pPr>
      <w:r w:rsidRPr="008642D1">
        <w:t>An argument against extending the exception is that, if courses and counselling were</w:t>
      </w:r>
      <w:r w:rsidRPr="008642D1" w:rsidDel="00D96436">
        <w:t xml:space="preserve"> </w:t>
      </w:r>
      <w:r w:rsidRPr="008642D1">
        <w:t xml:space="preserve">limited to cisgender people, this might well make it difficult for transgender and non-binary </w:t>
      </w:r>
      <w:r w:rsidRPr="008642D1">
        <w:lastRenderedPageBreak/>
        <w:t xml:space="preserve">people to access services — particularly where they do not live in a major city. Research has found that transgender and non-binary people can face barriers in getting </w:t>
      </w:r>
      <w:r w:rsidR="00AD52C5" w:rsidRPr="008642D1">
        <w:rPr>
          <w:noProof/>
        </w:rPr>
        <mc:AlternateContent>
          <mc:Choice Requires="wpg">
            <w:drawing>
              <wp:anchor distT="0" distB="0" distL="114300" distR="114300" simplePos="0" relativeHeight="251658339" behindDoc="1" locked="0" layoutInCell="1" allowOverlap="1" wp14:anchorId="20ED7EA0" wp14:editId="18B31ED4">
                <wp:simplePos x="0" y="0"/>
                <wp:positionH relativeFrom="column">
                  <wp:posOffset>-2773</wp:posOffset>
                </wp:positionH>
                <wp:positionV relativeFrom="paragraph">
                  <wp:posOffset>456860</wp:posOffset>
                </wp:positionV>
                <wp:extent cx="5760085" cy="2172832"/>
                <wp:effectExtent l="0" t="0" r="0" b="0"/>
                <wp:wrapNone/>
                <wp:docPr id="2107096405" name="Group 2107096405" descr="Questi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760085" cy="2172832"/>
                          <a:chOff x="0" y="62865"/>
                          <a:chExt cx="5760085" cy="2174575"/>
                        </a:xfrm>
                      </wpg:grpSpPr>
                      <wps:wsp>
                        <wps:cNvPr id="185090279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A0799B" w14:textId="77777777" w:rsidR="00AF2429" w:rsidRDefault="00AD52C5" w:rsidP="00AD52C5">
                              <w:pPr>
                                <w:pStyle w:val="BoxTitle"/>
                                <w:spacing w:before="0" w:beforeAutospacing="0"/>
                              </w:pPr>
                              <w:r w:rsidRPr="007F6876">
                                <w:t>QUESTION</w:t>
                              </w:r>
                              <w:r w:rsidR="00C01716">
                                <w:t>S</w:t>
                              </w:r>
                            </w:p>
                            <w:p w14:paraId="2341D226" w14:textId="04393B31" w:rsidR="00AD52C5" w:rsidRDefault="00AD52C5" w:rsidP="00AD52C5">
                              <w:pPr>
                                <w:pStyle w:val="BoxTitle"/>
                                <w:spacing w:before="0" w:beforeAutospacing="0"/>
                              </w:pPr>
                              <w:r w:rsidRPr="007F6876">
                                <w:t>QUESTION</w:t>
                              </w:r>
                            </w:p>
                          </w:txbxContent>
                        </wps:txbx>
                        <wps:bodyPr rot="0" vert="horz" wrap="square" lIns="91440" tIns="0" rIns="0" bIns="45720" anchor="ctr" anchorCtr="0" upright="1">
                          <a:noAutofit/>
                        </wps:bodyPr>
                      </wps:wsp>
                      <wpg:grpSp>
                        <wpg:cNvPr id="2015184387" name="Group 53"/>
                        <wpg:cNvGrpSpPr>
                          <a:grpSpLocks/>
                        </wpg:cNvGrpSpPr>
                        <wpg:grpSpPr bwMode="auto">
                          <a:xfrm>
                            <a:off x="0" y="316077"/>
                            <a:ext cx="5760085" cy="1921363"/>
                            <a:chOff x="1837" y="1790"/>
                            <a:chExt cx="9302" cy="20754"/>
                          </a:xfrm>
                        </wpg:grpSpPr>
                        <wps:wsp>
                          <wps:cNvPr id="1120898001" name="Freeform 54"/>
                          <wps:cNvSpPr>
                            <a:spLocks/>
                          </wps:cNvSpPr>
                          <wps:spPr bwMode="auto">
                            <a:xfrm>
                              <a:off x="1837" y="1790"/>
                              <a:ext cx="9302" cy="2075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7750362" name="Group 1417750362"/>
                        <wpg:cNvGrpSpPr/>
                        <wpg:grpSpPr>
                          <a:xfrm>
                            <a:off x="0" y="494036"/>
                            <a:ext cx="1443794" cy="252000"/>
                            <a:chOff x="-15880" y="0"/>
                            <a:chExt cx="1444379" cy="252068"/>
                          </a:xfrm>
                        </wpg:grpSpPr>
                        <wps:wsp>
                          <wps:cNvPr id="67696223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15297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2363D0" w14:textId="77777777" w:rsidR="00C03FE8" w:rsidRDefault="00AD52C5" w:rsidP="00AD52C5">
                                <w:pPr>
                                  <w:pStyle w:val="BoxTitle"/>
                                  <w:spacing w:before="0" w:beforeAutospacing="0"/>
                                  <w:rPr>
                                    <w:sz w:val="18"/>
                                    <w:szCs w:val="18"/>
                                  </w:rPr>
                                </w:pPr>
                                <w:r w:rsidRPr="00E90B8A">
                                  <w:rPr>
                                    <w:sz w:val="18"/>
                                    <w:szCs w:val="18"/>
                                  </w:rPr>
                                  <w:t>Q</w:t>
                                </w:r>
                                <w:r w:rsidR="00380ACB">
                                  <w:rPr>
                                    <w:sz w:val="18"/>
                                    <w:szCs w:val="18"/>
                                  </w:rPr>
                                  <w:t>3</w:t>
                                </w:r>
                                <w:r w:rsidR="0027057D">
                                  <w:rPr>
                                    <w:sz w:val="18"/>
                                    <w:szCs w:val="18"/>
                                  </w:rPr>
                                  <w:t>6</w:t>
                                </w:r>
                              </w:p>
                              <w:p w14:paraId="3D9A409B" w14:textId="6271A713" w:rsidR="00AF2429" w:rsidRDefault="00AD52C5" w:rsidP="00AD52C5">
                                <w:pPr>
                                  <w:pStyle w:val="BoxTitle"/>
                                  <w:spacing w:before="0" w:beforeAutospacing="0"/>
                                  <w:rPr>
                                    <w:sz w:val="18"/>
                                    <w:szCs w:val="18"/>
                                  </w:rPr>
                                </w:pPr>
                                <w:r w:rsidRPr="00E90B8A">
                                  <w:rPr>
                                    <w:sz w:val="18"/>
                                    <w:szCs w:val="18"/>
                                  </w:rPr>
                                  <w:t>Q</w:t>
                                </w:r>
                                <w:r w:rsidR="00380ACB">
                                  <w:rPr>
                                    <w:sz w:val="18"/>
                                    <w:szCs w:val="18"/>
                                  </w:rPr>
                                  <w:t>3</w:t>
                                </w:r>
                                <w:r w:rsidR="00C01716">
                                  <w:rPr>
                                    <w:sz w:val="18"/>
                                    <w:szCs w:val="18"/>
                                  </w:rPr>
                                  <w:t>8</w:t>
                                </w:r>
                              </w:p>
                              <w:p w14:paraId="119791B1" w14:textId="77777777" w:rsidR="00AD52C5" w:rsidRPr="00E90B8A" w:rsidRDefault="00AD52C5" w:rsidP="00AD52C5">
                                <w:pPr>
                                  <w:pStyle w:val="BoxTitle"/>
                                  <w:spacing w:before="0" w:beforeAutospacing="0"/>
                                  <w:rPr>
                                    <w:sz w:val="18"/>
                                    <w:szCs w:val="18"/>
                                  </w:rPr>
                                </w:pPr>
                                <w:r w:rsidRPr="00E90B8A">
                                  <w:rPr>
                                    <w:sz w:val="18"/>
                                    <w:szCs w:val="18"/>
                                  </w:rPr>
                                  <w:t>Q</w:t>
                                </w:r>
                                <w:r w:rsidR="00380ACB">
                                  <w:rPr>
                                    <w:sz w:val="18"/>
                                    <w:szCs w:val="18"/>
                                  </w:rPr>
                                  <w:t>39</w:t>
                                </w:r>
                              </w:p>
                              <w:p w14:paraId="255BB6B4" w14:textId="772CED46" w:rsidR="00AD52C5" w:rsidRPr="00E90B8A" w:rsidRDefault="00AD52C5" w:rsidP="00AD52C5">
                                <w:pPr>
                                  <w:pStyle w:val="BoxTitle"/>
                                  <w:spacing w:before="0" w:beforeAutospacing="0"/>
                                  <w:rPr>
                                    <w:sz w:val="18"/>
                                    <w:szCs w:val="18"/>
                                  </w:rPr>
                                </w:pPr>
                                <w:r w:rsidRPr="00E90B8A">
                                  <w:rPr>
                                    <w:sz w:val="18"/>
                                    <w:szCs w:val="18"/>
                                  </w:rPr>
                                  <w:t>Q</w:t>
                                </w:r>
                                <w:r w:rsidR="00380ACB">
                                  <w:rPr>
                                    <w:sz w:val="18"/>
                                    <w:szCs w:val="18"/>
                                  </w:rPr>
                                  <w:t>3</w:t>
                                </w:r>
                                <w:r w:rsidR="0007295D">
                                  <w:rPr>
                                    <w:sz w:val="18"/>
                                    <w:szCs w:val="18"/>
                                  </w:rPr>
                                  <w:t>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0ED7EA0" id="Group 2107096405" o:spid="_x0000_s1215" alt="Question" style="position:absolute;left:0;text-align:left;margin-left:-.2pt;margin-top:35.95pt;width:453.55pt;height:171.1pt;z-index:-251658141;mso-height-relative:margin" coordorigin=",628" coordsize="57600,21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">
                <v:shape id="Freeform 52" o:spid="_x0000_s121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2A0799B" w14:textId="77777777" w:rsidR="00AF2429" w:rsidRDefault="00AD52C5" w:rsidP="00AD52C5">
                        <w:pPr>
                          <w:pStyle w:val="BoxTitle"/>
                          <w:spacing w:before="0" w:beforeAutospacing="0"/>
                        </w:pPr>
                        <w:r w:rsidRPr="007F6876">
                          <w:t>QUESTION</w:t>
                        </w:r>
                        <w:r w:rsidR="00C01716">
                          <w:t>S</w:t>
                        </w:r>
                      </w:p>
                      <w:p w14:paraId="2341D226" w14:textId="04393B31" w:rsidR="00AD52C5" w:rsidRDefault="00AD52C5" w:rsidP="00AD52C5">
                        <w:pPr>
                          <w:pStyle w:val="BoxTitle"/>
                          <w:spacing w:before="0" w:beforeAutospacing="0"/>
                        </w:pPr>
                        <w:r w:rsidRPr="007F6876">
                          <w:t>QUESTION</w:t>
                        </w:r>
                      </w:p>
                    </w:txbxContent>
                  </v:textbox>
                </v:shape>
                <v:group id="Group 53" o:spid="_x0000_s1217" style="position:absolute;top:3160;width:57600;height:19214" coordorigin="1837,1790" coordsize="9302,2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">
                  <v:shape id="Freeform 54" o:spid="_x0000_s1218" style="position:absolute;left:1837;top:1790;width:9302;height:2075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" path="m,l9354,r,7809l,7809,,e" fillcolor="#edf2ea" stroked="f">
                    <v:path arrowok="t" o:connecttype="custom" o:connectlocs="0,2658;9302,2658;9302,23412;0,23412;0,2658" o:connectangles="0,0,0,0,0"/>
                  </v:shape>
                </v:group>
                <v:group id="Group 1417750362" o:spid="_x0000_s121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">
                  <v:shape id="Freeform 58" o:spid="_x0000_s122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" path="m,l1815,e" filled="f" strokecolor="#72ab6a" strokeweight=".5pt">
                    <v:path arrowok="t" o:connecttype="custom" o:connectlocs="0,0;1073495,0" o:connectangles="0,0"/>
                  </v:shape>
                  <v:shape id="Freeform 66" o:spid="_x0000_s122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D2363D0" w14:textId="77777777" w:rsidR="00C03FE8" w:rsidRDefault="00AD52C5" w:rsidP="00AD52C5">
                          <w:pPr>
                            <w:pStyle w:val="BoxTitle"/>
                            <w:spacing w:before="0" w:beforeAutospacing="0"/>
                            <w:rPr>
                              <w:sz w:val="18"/>
                              <w:szCs w:val="18"/>
                            </w:rPr>
                          </w:pPr>
                          <w:r w:rsidRPr="00E90B8A">
                            <w:rPr>
                              <w:sz w:val="18"/>
                              <w:szCs w:val="18"/>
                            </w:rPr>
                            <w:t>Q</w:t>
                          </w:r>
                          <w:r w:rsidR="00380ACB">
                            <w:rPr>
                              <w:sz w:val="18"/>
                              <w:szCs w:val="18"/>
                            </w:rPr>
                            <w:t>3</w:t>
                          </w:r>
                          <w:r w:rsidR="0027057D">
                            <w:rPr>
                              <w:sz w:val="18"/>
                              <w:szCs w:val="18"/>
                            </w:rPr>
                            <w:t>6</w:t>
                          </w:r>
                        </w:p>
                        <w:p w14:paraId="3D9A409B" w14:textId="6271A713" w:rsidR="00AF2429" w:rsidRDefault="00AD52C5" w:rsidP="00AD52C5">
                          <w:pPr>
                            <w:pStyle w:val="BoxTitle"/>
                            <w:spacing w:before="0" w:beforeAutospacing="0"/>
                            <w:rPr>
                              <w:sz w:val="18"/>
                              <w:szCs w:val="18"/>
                            </w:rPr>
                          </w:pPr>
                          <w:r w:rsidRPr="00E90B8A">
                            <w:rPr>
                              <w:sz w:val="18"/>
                              <w:szCs w:val="18"/>
                            </w:rPr>
                            <w:t>Q</w:t>
                          </w:r>
                          <w:r w:rsidR="00380ACB">
                            <w:rPr>
                              <w:sz w:val="18"/>
                              <w:szCs w:val="18"/>
                            </w:rPr>
                            <w:t>3</w:t>
                          </w:r>
                          <w:r w:rsidR="00C01716">
                            <w:rPr>
                              <w:sz w:val="18"/>
                              <w:szCs w:val="18"/>
                            </w:rPr>
                            <w:t>8</w:t>
                          </w:r>
                        </w:p>
                        <w:p w14:paraId="119791B1" w14:textId="77777777" w:rsidR="00AD52C5" w:rsidRPr="00E90B8A" w:rsidRDefault="00AD52C5" w:rsidP="00AD52C5">
                          <w:pPr>
                            <w:pStyle w:val="BoxTitle"/>
                            <w:spacing w:before="0" w:beforeAutospacing="0"/>
                            <w:rPr>
                              <w:sz w:val="18"/>
                              <w:szCs w:val="18"/>
                            </w:rPr>
                          </w:pPr>
                          <w:r w:rsidRPr="00E90B8A">
                            <w:rPr>
                              <w:sz w:val="18"/>
                              <w:szCs w:val="18"/>
                            </w:rPr>
                            <w:t>Q</w:t>
                          </w:r>
                          <w:r w:rsidR="00380ACB">
                            <w:rPr>
                              <w:sz w:val="18"/>
                              <w:szCs w:val="18"/>
                            </w:rPr>
                            <w:t>39</w:t>
                          </w:r>
                        </w:p>
                        <w:p w14:paraId="255BB6B4" w14:textId="772CED46" w:rsidR="00AD52C5" w:rsidRPr="00E90B8A" w:rsidRDefault="00AD52C5" w:rsidP="00AD52C5">
                          <w:pPr>
                            <w:pStyle w:val="BoxTitle"/>
                            <w:spacing w:before="0" w:beforeAutospacing="0"/>
                            <w:rPr>
                              <w:sz w:val="18"/>
                              <w:szCs w:val="18"/>
                            </w:rPr>
                          </w:pPr>
                          <w:r w:rsidRPr="00E90B8A">
                            <w:rPr>
                              <w:sz w:val="18"/>
                              <w:szCs w:val="18"/>
                            </w:rPr>
                            <w:t>Q</w:t>
                          </w:r>
                          <w:r w:rsidR="00380ACB">
                            <w:rPr>
                              <w:sz w:val="18"/>
                              <w:szCs w:val="18"/>
                            </w:rPr>
                            <w:t>3</w:t>
                          </w:r>
                          <w:r w:rsidR="0007295D">
                            <w:rPr>
                              <w:sz w:val="18"/>
                              <w:szCs w:val="18"/>
                            </w:rPr>
                            <w:t>6</w:t>
                          </w:r>
                        </w:p>
                      </w:txbxContent>
                    </v:textbox>
                  </v:shape>
                </v:group>
              </v:group>
            </w:pict>
          </mc:Fallback>
        </mc:AlternateContent>
      </w:r>
      <w:r w:rsidRPr="008642D1">
        <w:t xml:space="preserve">professional help when they experience partner </w:t>
      </w:r>
      <w:r w:rsidR="00874F2C">
        <w:t>or</w:t>
      </w:r>
      <w:r w:rsidRPr="008642D1">
        <w:t xml:space="preserve"> sexual violence.</w:t>
      </w:r>
      <w:r w:rsidRPr="008642D1">
        <w:rPr>
          <w:color w:val="262626" w:themeColor="text1" w:themeTint="D9"/>
          <w:sz w:val="18"/>
          <w:vertAlign w:val="superscript"/>
        </w:rPr>
        <w:footnoteReference w:id="494"/>
      </w:r>
    </w:p>
    <w:p w14:paraId="5EE4950F" w14:textId="5DCE6B58" w:rsidR="00B54E75" w:rsidRPr="008642D1" w:rsidRDefault="00B54E75" w:rsidP="00B54E75">
      <w:pPr>
        <w:pStyle w:val="QuestionBox"/>
      </w:pPr>
    </w:p>
    <w:p w14:paraId="1D05EC13" w14:textId="77777777" w:rsidR="00B54E75" w:rsidRPr="008642D1" w:rsidRDefault="00B54E75" w:rsidP="00B54E75">
      <w:pPr>
        <w:pStyle w:val="QuestionBox"/>
      </w:pPr>
    </w:p>
    <w:p w14:paraId="5BD3EAED" w14:textId="02AF6D6D" w:rsidR="00473467" w:rsidRDefault="007838A0" w:rsidP="00473467">
      <w:pPr>
        <w:pStyle w:val="QuestionBox"/>
      </w:pPr>
      <w:r w:rsidRPr="007838A0">
        <w:t>If new grounds of discrimination are added to the Human Rights Act 1993 to protect people who are transgender or non-binary or who have an innate variation of sex characteristics, should the courses and counselling exception in section 45 be amended to reflect those new grounds?</w:t>
      </w:r>
    </w:p>
    <w:p w14:paraId="56D2E4F3" w14:textId="23B845D6" w:rsidR="00473467" w:rsidRDefault="00C01716" w:rsidP="00B54E75">
      <w:pPr>
        <w:pStyle w:val="QuestionBox"/>
      </w:pPr>
      <w:r w:rsidRPr="008642D1">
        <w:rPr>
          <w:noProof/>
        </w:rPr>
        <mc:AlternateContent>
          <mc:Choice Requires="wpg">
            <w:drawing>
              <wp:anchor distT="0" distB="0" distL="114300" distR="114300" simplePos="0" relativeHeight="251658340" behindDoc="1" locked="0" layoutInCell="1" allowOverlap="1" wp14:anchorId="526EC04E" wp14:editId="7DB12946">
                <wp:simplePos x="0" y="0"/>
                <wp:positionH relativeFrom="column">
                  <wp:posOffset>0</wp:posOffset>
                </wp:positionH>
                <wp:positionV relativeFrom="paragraph">
                  <wp:posOffset>180812</wp:posOffset>
                </wp:positionV>
                <wp:extent cx="1443355" cy="251460"/>
                <wp:effectExtent l="0" t="0" r="42545" b="0"/>
                <wp:wrapNone/>
                <wp:docPr id="1504403640"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01659911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35407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D7EE32" w14:textId="77777777" w:rsidR="00C03FE8" w:rsidRDefault="00473467" w:rsidP="00473467">
                              <w:pPr>
                                <w:pStyle w:val="BoxTitle"/>
                                <w:spacing w:before="0" w:beforeAutospacing="0"/>
                                <w:rPr>
                                  <w:sz w:val="18"/>
                                  <w:szCs w:val="18"/>
                                </w:rPr>
                              </w:pPr>
                              <w:r w:rsidRPr="00E90B8A">
                                <w:rPr>
                                  <w:sz w:val="18"/>
                                  <w:szCs w:val="18"/>
                                </w:rPr>
                                <w:t>Q</w:t>
                              </w:r>
                              <w:r>
                                <w:rPr>
                                  <w:sz w:val="18"/>
                                  <w:szCs w:val="18"/>
                                </w:rPr>
                                <w:t>3</w:t>
                              </w:r>
                              <w:r w:rsidR="0027057D">
                                <w:rPr>
                                  <w:sz w:val="18"/>
                                  <w:szCs w:val="18"/>
                                </w:rPr>
                                <w:t>7</w:t>
                              </w:r>
                            </w:p>
                            <w:p w14:paraId="2040BD5D" w14:textId="11B8E939" w:rsidR="00473467" w:rsidRPr="00E90B8A" w:rsidRDefault="00473467" w:rsidP="00473467">
                              <w:pPr>
                                <w:pStyle w:val="BoxTitle"/>
                                <w:spacing w:before="0" w:beforeAutospacing="0"/>
                                <w:rPr>
                                  <w:sz w:val="18"/>
                                  <w:szCs w:val="18"/>
                                </w:rPr>
                              </w:pPr>
                              <w:r w:rsidRPr="00E90B8A">
                                <w:rPr>
                                  <w:sz w:val="18"/>
                                  <w:szCs w:val="18"/>
                                </w:rPr>
                                <w:t>Q</w:t>
                              </w:r>
                              <w:r>
                                <w:rPr>
                                  <w:sz w:val="18"/>
                                  <w:szCs w:val="18"/>
                                </w:rPr>
                                <w:t>3</w:t>
                              </w:r>
                              <w:r w:rsidR="00C01716">
                                <w:rPr>
                                  <w:sz w:val="18"/>
                                  <w:szCs w:val="18"/>
                                </w:rPr>
                                <w:t>9</w:t>
                              </w:r>
                            </w:p>
                          </w:txbxContent>
                        </wps:txbx>
                        <wps:bodyPr rot="0" vert="horz" wrap="square" lIns="54000" tIns="82800" rIns="91440" bIns="45720" anchor="ctr" anchorCtr="0" upright="1">
                          <a:noAutofit/>
                        </wps:bodyPr>
                      </wps:wsp>
                    </wpg:wgp>
                  </a:graphicData>
                </a:graphic>
              </wp:anchor>
            </w:drawing>
          </mc:Choice>
          <mc:Fallback>
            <w:pict>
              <v:group w14:anchorId="526EC04E" id="_x0000_s1222" style="position:absolute;left:0;text-align:left;margin-left:0;margin-top:14.25pt;width:113.65pt;height:19.8pt;z-index:-251658140"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">
                <v:shape id="Freeform 58" o:spid="_x0000_s122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" path="m,l1815,e" filled="f" strokecolor="#72ab6a" strokeweight=".5pt">
                  <v:path arrowok="t" o:connecttype="custom" o:connectlocs="0,0;1073495,0" o:connectangles="0,0"/>
                </v:shape>
                <v:shape id="Freeform 66" o:spid="_x0000_s122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DD7EE32" w14:textId="77777777" w:rsidR="00C03FE8" w:rsidRDefault="00473467" w:rsidP="00473467">
                        <w:pPr>
                          <w:pStyle w:val="BoxTitle"/>
                          <w:spacing w:before="0" w:beforeAutospacing="0"/>
                          <w:rPr>
                            <w:sz w:val="18"/>
                            <w:szCs w:val="18"/>
                          </w:rPr>
                        </w:pPr>
                        <w:r w:rsidRPr="00E90B8A">
                          <w:rPr>
                            <w:sz w:val="18"/>
                            <w:szCs w:val="18"/>
                          </w:rPr>
                          <w:t>Q</w:t>
                        </w:r>
                        <w:r>
                          <w:rPr>
                            <w:sz w:val="18"/>
                            <w:szCs w:val="18"/>
                          </w:rPr>
                          <w:t>3</w:t>
                        </w:r>
                        <w:r w:rsidR="0027057D">
                          <w:rPr>
                            <w:sz w:val="18"/>
                            <w:szCs w:val="18"/>
                          </w:rPr>
                          <w:t>7</w:t>
                        </w:r>
                      </w:p>
                      <w:p w14:paraId="2040BD5D" w14:textId="11B8E939" w:rsidR="00473467" w:rsidRPr="00E90B8A" w:rsidRDefault="00473467" w:rsidP="00473467">
                        <w:pPr>
                          <w:pStyle w:val="BoxTitle"/>
                          <w:spacing w:before="0" w:beforeAutospacing="0"/>
                          <w:rPr>
                            <w:sz w:val="18"/>
                            <w:szCs w:val="18"/>
                          </w:rPr>
                        </w:pPr>
                        <w:r w:rsidRPr="00E90B8A">
                          <w:rPr>
                            <w:sz w:val="18"/>
                            <w:szCs w:val="18"/>
                          </w:rPr>
                          <w:t>Q</w:t>
                        </w:r>
                        <w:r>
                          <w:rPr>
                            <w:sz w:val="18"/>
                            <w:szCs w:val="18"/>
                          </w:rPr>
                          <w:t>3</w:t>
                        </w:r>
                        <w:r w:rsidR="00C01716">
                          <w:rPr>
                            <w:sz w:val="18"/>
                            <w:szCs w:val="18"/>
                          </w:rPr>
                          <w:t>9</w:t>
                        </w:r>
                      </w:p>
                    </w:txbxContent>
                  </v:textbox>
                </v:shape>
              </v:group>
            </w:pict>
          </mc:Fallback>
        </mc:AlternateContent>
      </w:r>
    </w:p>
    <w:p w14:paraId="51330434" w14:textId="34CD767F" w:rsidR="00473467" w:rsidRDefault="00473467" w:rsidP="00B54E75">
      <w:pPr>
        <w:pStyle w:val="QuestionBox"/>
      </w:pPr>
      <w:r w:rsidRPr="00473467">
        <w:t>Do you have any additional feedback on the practical implications of amending section 45?</w:t>
      </w:r>
    </w:p>
    <w:p w14:paraId="5552150E" w14:textId="77777777" w:rsidR="00B54E75" w:rsidRPr="008642D1" w:rsidRDefault="00B54E75" w:rsidP="00B54E75">
      <w:pPr>
        <w:pStyle w:val="QuestionBox"/>
      </w:pPr>
    </w:p>
    <w:p w14:paraId="68CEB2EF" w14:textId="77777777" w:rsidR="00C07E13" w:rsidRPr="008642D1" w:rsidRDefault="00C07E13" w:rsidP="00C07E13">
      <w:pPr>
        <w:pStyle w:val="Heading3"/>
      </w:pPr>
      <w:r w:rsidRPr="008642D1">
        <w:t xml:space="preserve">Skill exception — section 47 </w:t>
      </w:r>
    </w:p>
    <w:p w14:paraId="5CB376AE" w14:textId="22E80BAB" w:rsidR="00C07E13" w:rsidRPr="008642D1" w:rsidRDefault="00C07E13" w:rsidP="00C07E13">
      <w:pPr>
        <w:pStyle w:val="BodyText"/>
      </w:pPr>
      <w:r w:rsidRPr="008642D1">
        <w:t>There is an exception in section 47 of the Human Rights Act that applies where the nature of a skill varies depending on whether it is exercised in relation to men or to women. In this situation, a person does not breach the Act if they exercise the skill in relation to one sex only, in accordance with their normal practice.</w:t>
      </w:r>
    </w:p>
    <w:p w14:paraId="6BDCD4B7" w14:textId="77777777" w:rsidR="00C07E13" w:rsidRPr="008642D1" w:rsidRDefault="00C07E13" w:rsidP="00C07E13">
      <w:pPr>
        <w:pStyle w:val="Heading4"/>
      </w:pPr>
      <w:r w:rsidRPr="008642D1">
        <w:t>Scope and rationale of the current exception</w:t>
      </w:r>
    </w:p>
    <w:p w14:paraId="11D952B7" w14:textId="6186D0F6" w:rsidR="00C07E13" w:rsidRPr="008642D1" w:rsidRDefault="00C07E13" w:rsidP="00C07E13">
      <w:pPr>
        <w:pStyle w:val="BodyText"/>
      </w:pPr>
      <w:r w:rsidRPr="008642D1">
        <w:t>The Human Rights Commission Act 1977 (the 1977 legislation) had a very similar exception, with the provision listing the example of hairdressing.</w:t>
      </w:r>
      <w:r w:rsidRPr="008642D1">
        <w:rPr>
          <w:rStyle w:val="FootnoteReference"/>
        </w:rPr>
        <w:footnoteReference w:id="495"/>
      </w:r>
      <w:r w:rsidRPr="008642D1">
        <w:t xml:space="preserve"> Other examples of where the current exception might apply include a beauty salon that offers services such as waxing or laser hair removal to women but not men and a tailor who specialises in men’s suits. </w:t>
      </w:r>
    </w:p>
    <w:p w14:paraId="5946EF0D" w14:textId="0EFCEAF8" w:rsidR="00C07E13" w:rsidRPr="008642D1" w:rsidRDefault="00C07E13" w:rsidP="00C07E13">
      <w:pPr>
        <w:pStyle w:val="BodyText"/>
      </w:pPr>
      <w:r w:rsidRPr="008642D1">
        <w:t>One possible rationale for this exception might be to allow professionals to develop expertise in particular kinds of services. However, the legislative history from the 1970s suggests this exception also reflects ideas about practicability, custom and common</w:t>
      </w:r>
      <w:r w:rsidR="0062475F">
        <w:t xml:space="preserve"> </w:t>
      </w:r>
      <w:r w:rsidRPr="008642D1">
        <w:t>sense.</w:t>
      </w:r>
      <w:r w:rsidRPr="008642D1">
        <w:rPr>
          <w:rStyle w:val="FootnoteReference"/>
        </w:rPr>
        <w:footnoteReference w:id="496"/>
      </w:r>
      <w:r w:rsidRPr="008642D1">
        <w:t xml:space="preserve"> In the 1970s (and perhaps even the 1990s)</w:t>
      </w:r>
      <w:r w:rsidR="00C47816">
        <w:t>,</w:t>
      </w:r>
      <w:r w:rsidRPr="008642D1">
        <w:t xml:space="preserve"> it was simply seen as absurd to suggest that certain industries such as hairdressing should be prevented from providing single-sex services.</w:t>
      </w:r>
    </w:p>
    <w:p w14:paraId="114DA4E2" w14:textId="5662B697" w:rsidR="00C07E13" w:rsidRPr="008642D1" w:rsidRDefault="00C07E13" w:rsidP="00C07E13">
      <w:pPr>
        <w:pStyle w:val="BodyText"/>
      </w:pPr>
      <w:r w:rsidRPr="008642D1">
        <w:t xml:space="preserve">Separate considerations might apply to the provision of intimate services such as massage or </w:t>
      </w:r>
      <w:r w:rsidR="00C47816">
        <w:t>intimate</w:t>
      </w:r>
      <w:r w:rsidR="00C47816" w:rsidRPr="008642D1">
        <w:t xml:space="preserve"> </w:t>
      </w:r>
      <w:r w:rsidRPr="008642D1">
        <w:t xml:space="preserve">waxing. In those situations, an additional rationale might be the comfort and privacy rights of the provider. In some cases, a person’s religious beliefs may also be relevant. </w:t>
      </w:r>
    </w:p>
    <w:p w14:paraId="6ABB3FCD" w14:textId="77777777" w:rsidR="00C07E13" w:rsidRPr="008642D1" w:rsidRDefault="00C07E13" w:rsidP="00C07E13">
      <w:pPr>
        <w:pStyle w:val="Heading4"/>
      </w:pPr>
      <w:r w:rsidRPr="008642D1">
        <w:lastRenderedPageBreak/>
        <w:t>Should the exception be amended to reflect any new grounds?</w:t>
      </w:r>
    </w:p>
    <w:p w14:paraId="2C8B832D" w14:textId="77777777" w:rsidR="00C07E13" w:rsidRPr="008642D1" w:rsidRDefault="00C07E13" w:rsidP="00C07E13">
      <w:pPr>
        <w:pStyle w:val="BodyText"/>
      </w:pPr>
      <w:r w:rsidRPr="008642D1">
        <w:t xml:space="preserve">We do not think section 47 has aged very well. We doubt that a crude division of services between men and women is now sufficient to underlie a skills-based exception. For example, while we think a barber should be entitled to decline to cut long hair based on their expertise, we do not think this justifies a refusal to serve a woman or non-binary person who happens to want a buzz cut. </w:t>
      </w:r>
    </w:p>
    <w:p w14:paraId="7F3417CE" w14:textId="371E9386" w:rsidR="00C07E13" w:rsidRPr="008642D1" w:rsidRDefault="00C07E13" w:rsidP="00C07E13">
      <w:pPr>
        <w:pStyle w:val="BodyText"/>
      </w:pPr>
      <w:r w:rsidRPr="008642D1">
        <w:t>In some cases (such as assumptions around hairstyles) the rationale for section 47 seems to be about gender expression rather than sex. In others (such as intimate waxing) it may be more about sex characteristics.</w:t>
      </w:r>
    </w:p>
    <w:p w14:paraId="0C823E76" w14:textId="53D33F2E" w:rsidR="00C07E13" w:rsidRPr="008642D1" w:rsidRDefault="00C07E13" w:rsidP="00C07E13">
      <w:pPr>
        <w:pStyle w:val="BodyText"/>
      </w:pPr>
      <w:r w:rsidRPr="008642D1">
        <w:t>We need to consider what should happen to section 47 should new prohibited grounds be added to the Human Rights Act. We see some merit in removing section 47 altogether as we doubt it is needed. It seems unlikely that a hairdresser or barber who only offered certain types of haircuts or a tailor who only made certain types of suits would be in breach of the Act so long as they supplied these services to any customer who wanted them. However, we think removing an existing exception is outside the scope of our review and would need to await a general review of the Human Rights Act. Therefore, we are not presenting this as an option for consultation.</w:t>
      </w:r>
    </w:p>
    <w:p w14:paraId="7BA2FBD2" w14:textId="29EA0A67" w:rsidR="00C07E13" w:rsidRPr="008642D1" w:rsidRDefault="00C07E13" w:rsidP="00C07E13">
      <w:pPr>
        <w:pStyle w:val="BodyText"/>
      </w:pPr>
      <w:r w:rsidRPr="008642D1">
        <w:t>One option that might be more achievable within the scope of this review would be to replace section 47 with a narrower exception stating that, where a skill differs depending on a person’s sex characteristics, a person does not breach the Human Rights Act by only offering a service in relation to persons with particular sex characteristics. The term sex characteristics is broad and can include both primary sex characteristics such as genitals and secondary sex characteristics such as breast development and body hair. This might, for example, authorise a beauty</w:t>
      </w:r>
      <w:r w:rsidRPr="008642D1" w:rsidDel="0014308F">
        <w:t xml:space="preserve"> </w:t>
      </w:r>
      <w:r w:rsidRPr="008642D1">
        <w:t xml:space="preserve">salon to offer intimate waxing in relation to some parts of the body and not others. </w:t>
      </w:r>
    </w:p>
    <w:p w14:paraId="36A3A804" w14:textId="77777777" w:rsidR="00C07E13" w:rsidRPr="008642D1" w:rsidRDefault="00C07E13" w:rsidP="00C07E13">
      <w:pPr>
        <w:pStyle w:val="BodyText"/>
      </w:pPr>
      <w:r w:rsidRPr="008642D1">
        <w:t>A second option would be to replace the exception with one that applies to services where the customer is fully or partially unclothed. This would allow providers to set their own comfort level in intimate situations. In other intimate contexts, the law recognises that it is important for individuals to set their own boundaries.</w:t>
      </w:r>
      <w:r w:rsidRPr="008642D1">
        <w:rPr>
          <w:rStyle w:val="FootnoteReference"/>
        </w:rPr>
        <w:footnoteReference w:id="497"/>
      </w:r>
      <w:r w:rsidRPr="008642D1">
        <w:t xml:space="preserve"> We consider such an exception would need to be restricted to contexts such as beauty therapy rather than settings such as hospitals or aged care facilities. </w:t>
      </w:r>
    </w:p>
    <w:p w14:paraId="3F717DB1" w14:textId="4DB9B833" w:rsidR="00C07E13" w:rsidRPr="008642D1" w:rsidRDefault="00C07E13" w:rsidP="00C07E13">
      <w:pPr>
        <w:pStyle w:val="BodyText"/>
      </w:pPr>
      <w:r w:rsidRPr="008642D1">
        <w:t>We appreciate the options that we propose in relation to this exception go further than simply adding (or not) new prohibited grounds. This is because we think the assumptions on which this exception are grounded have dated particularly poorly.</w:t>
      </w:r>
    </w:p>
    <w:p w14:paraId="5A42BD2C" w14:textId="68DC6A98" w:rsidR="00256E3D" w:rsidRPr="008642D1" w:rsidRDefault="00256E3D" w:rsidP="00256E3D">
      <w:pPr>
        <w:pStyle w:val="QuestionBox"/>
      </w:pPr>
      <w:r w:rsidRPr="008642D1">
        <w:rPr>
          <w:noProof/>
        </w:rPr>
        <mc:AlternateContent>
          <mc:Choice Requires="wpg">
            <w:drawing>
              <wp:anchor distT="0" distB="0" distL="114300" distR="114300" simplePos="0" relativeHeight="251658342" behindDoc="1" locked="0" layoutInCell="1" allowOverlap="1" wp14:anchorId="5F13A06F" wp14:editId="587F35E5">
                <wp:simplePos x="0" y="0"/>
                <wp:positionH relativeFrom="column">
                  <wp:posOffset>-2773</wp:posOffset>
                </wp:positionH>
                <wp:positionV relativeFrom="paragraph">
                  <wp:posOffset>-2980</wp:posOffset>
                </wp:positionV>
                <wp:extent cx="5760085" cy="2227156"/>
                <wp:effectExtent l="0" t="0" r="0" b="1905"/>
                <wp:wrapNone/>
                <wp:docPr id="1613151676" name="Group 1613151676" descr="Questi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760085" cy="2227156"/>
                          <a:chOff x="0" y="62865"/>
                          <a:chExt cx="5760085" cy="2228456"/>
                        </a:xfrm>
                      </wpg:grpSpPr>
                      <wps:wsp>
                        <wps:cNvPr id="64199872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432CCE" w14:textId="77777777" w:rsidR="00AF2429" w:rsidRDefault="00256E3D" w:rsidP="00256E3D">
                              <w:pPr>
                                <w:pStyle w:val="BoxTitle"/>
                                <w:spacing w:before="0" w:beforeAutospacing="0"/>
                              </w:pPr>
                              <w:r w:rsidRPr="007F6876">
                                <w:t>QUESTION</w:t>
                              </w:r>
                              <w:r w:rsidR="00D91C2C">
                                <w:t>S</w:t>
                              </w:r>
                            </w:p>
                            <w:p w14:paraId="7183D7EA" w14:textId="61AD4529" w:rsidR="00256E3D" w:rsidRDefault="00256E3D" w:rsidP="00256E3D">
                              <w:pPr>
                                <w:pStyle w:val="BoxTitle"/>
                                <w:spacing w:before="0" w:beforeAutospacing="0"/>
                              </w:pPr>
                              <w:r w:rsidRPr="007F6876">
                                <w:t>QUESTION</w:t>
                              </w:r>
                            </w:p>
                          </w:txbxContent>
                        </wps:txbx>
                        <wps:bodyPr rot="0" vert="horz" wrap="square" lIns="91440" tIns="0" rIns="0" bIns="45720" anchor="ctr" anchorCtr="0" upright="1">
                          <a:noAutofit/>
                        </wps:bodyPr>
                      </wps:wsp>
                      <wpg:grpSp>
                        <wpg:cNvPr id="1345183590" name="Group 53"/>
                        <wpg:cNvGrpSpPr>
                          <a:grpSpLocks/>
                        </wpg:cNvGrpSpPr>
                        <wpg:grpSpPr bwMode="auto">
                          <a:xfrm>
                            <a:off x="0" y="316077"/>
                            <a:ext cx="5760085" cy="1975244"/>
                            <a:chOff x="1837" y="1790"/>
                            <a:chExt cx="9302" cy="21336"/>
                          </a:xfrm>
                        </wpg:grpSpPr>
                        <wps:wsp>
                          <wps:cNvPr id="1025981737" name="Freeform 54"/>
                          <wps:cNvSpPr>
                            <a:spLocks/>
                          </wps:cNvSpPr>
                          <wps:spPr bwMode="auto">
                            <a:xfrm>
                              <a:off x="1837" y="1790"/>
                              <a:ext cx="9302" cy="2133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411084" name="Group 340411084"/>
                        <wpg:cNvGrpSpPr/>
                        <wpg:grpSpPr>
                          <a:xfrm>
                            <a:off x="0" y="494036"/>
                            <a:ext cx="1443794" cy="252000"/>
                            <a:chOff x="-15880" y="0"/>
                            <a:chExt cx="1444379" cy="252068"/>
                          </a:xfrm>
                        </wpg:grpSpPr>
                        <wps:wsp>
                          <wps:cNvPr id="163248416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26811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565324" w14:textId="31DEB9D7" w:rsidR="00256E3D" w:rsidRPr="00E90B8A" w:rsidRDefault="00256E3D" w:rsidP="00256E3D">
                                <w:pPr>
                                  <w:pStyle w:val="BoxTitle"/>
                                  <w:spacing w:before="0" w:beforeAutospacing="0"/>
                                  <w:rPr>
                                    <w:sz w:val="18"/>
                                    <w:szCs w:val="18"/>
                                  </w:rPr>
                                </w:pPr>
                                <w:r w:rsidRPr="00E90B8A">
                                  <w:rPr>
                                    <w:sz w:val="18"/>
                                    <w:szCs w:val="18"/>
                                  </w:rPr>
                                  <w:t>Q</w:t>
                                </w:r>
                                <w:r w:rsidR="00073BBE">
                                  <w:rPr>
                                    <w:sz w:val="18"/>
                                    <w:szCs w:val="18"/>
                                  </w:rPr>
                                  <w:t>38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F13A06F" id="Group 1613151676" o:spid="_x0000_s1225" alt="Question" style="position:absolute;left:0;text-align:left;margin-left:-.2pt;margin-top:-.25pt;width:453.55pt;height:175.35pt;z-index:-251658138;mso-height-relative:margin" coordorigin=",628" coordsize="57600,2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">
                <v:shape id="Freeform 52" o:spid="_x0000_s122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F432CCE" w14:textId="77777777" w:rsidR="00AF2429" w:rsidRDefault="00256E3D" w:rsidP="00256E3D">
                        <w:pPr>
                          <w:pStyle w:val="BoxTitle"/>
                          <w:spacing w:before="0" w:beforeAutospacing="0"/>
                        </w:pPr>
                        <w:r w:rsidRPr="007F6876">
                          <w:t>QUESTION</w:t>
                        </w:r>
                        <w:r w:rsidR="00D91C2C">
                          <w:t>S</w:t>
                        </w:r>
                      </w:p>
                      <w:p w14:paraId="7183D7EA" w14:textId="61AD4529" w:rsidR="00256E3D" w:rsidRDefault="00256E3D" w:rsidP="00256E3D">
                        <w:pPr>
                          <w:pStyle w:val="BoxTitle"/>
                          <w:spacing w:before="0" w:beforeAutospacing="0"/>
                        </w:pPr>
                        <w:r w:rsidRPr="007F6876">
                          <w:t>QUESTION</w:t>
                        </w:r>
                      </w:p>
                    </w:txbxContent>
                  </v:textbox>
                </v:shape>
                <v:group id="Group 53" o:spid="_x0000_s1227" style="position:absolute;top:3160;width:57600;height:19753" coordorigin="1837,1790" coordsize="930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">
                  <v:shape id="Freeform 54" o:spid="_x0000_s1228" style="position:absolute;left:1837;top:1790;width:9302;height:2133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" path="m,l9354,r,7809l,7809,,e" fillcolor="#edf2ea" stroked="f">
                    <v:path arrowok="t" o:connecttype="custom" o:connectlocs="0,2732;9302,2732;9302,24068;0,24068;0,2732" o:connectangles="0,0,0,0,0"/>
                  </v:shape>
                </v:group>
                <v:group id="Group 340411084" o:spid="_x0000_s122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">
                  <v:shape id="Freeform 58" o:spid="_x0000_s123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" path="m,l1815,e" filled="f" strokecolor="#72ab6a" strokeweight=".5pt">
                    <v:path arrowok="t" o:connecttype="custom" o:connectlocs="0,0;1073495,0" o:connectangles="0,0"/>
                  </v:shape>
                  <v:shape id="Freeform 66" o:spid="_x0000_s123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9565324" w14:textId="31DEB9D7" w:rsidR="00256E3D" w:rsidRPr="00E90B8A" w:rsidRDefault="00256E3D" w:rsidP="00256E3D">
                          <w:pPr>
                            <w:pStyle w:val="BoxTitle"/>
                            <w:spacing w:before="0" w:beforeAutospacing="0"/>
                            <w:rPr>
                              <w:sz w:val="18"/>
                              <w:szCs w:val="18"/>
                            </w:rPr>
                          </w:pPr>
                          <w:r w:rsidRPr="00E90B8A">
                            <w:rPr>
                              <w:sz w:val="18"/>
                              <w:szCs w:val="18"/>
                            </w:rPr>
                            <w:t>Q</w:t>
                          </w:r>
                          <w:r w:rsidR="00073BBE">
                            <w:rPr>
                              <w:sz w:val="18"/>
                              <w:szCs w:val="18"/>
                            </w:rPr>
                            <w:t>38</w:t>
                          </w:r>
                        </w:p>
                      </w:txbxContent>
                    </v:textbox>
                  </v:shape>
                </v:group>
              </v:group>
            </w:pict>
          </mc:Fallback>
        </mc:AlternateContent>
      </w:r>
    </w:p>
    <w:p w14:paraId="7A7EE77E" w14:textId="77777777" w:rsidR="00256E3D" w:rsidRPr="008642D1" w:rsidRDefault="00256E3D" w:rsidP="00256E3D">
      <w:pPr>
        <w:pStyle w:val="QuestionBox"/>
      </w:pPr>
    </w:p>
    <w:p w14:paraId="481242A1" w14:textId="79CFD5F3" w:rsidR="00C07E13" w:rsidRPr="00C92DDE" w:rsidRDefault="00C07E13" w:rsidP="00C92DDE">
      <w:pPr>
        <w:pStyle w:val="QuestionBox"/>
        <w:rPr>
          <w:szCs w:val="20"/>
        </w:rPr>
      </w:pPr>
      <w:r w:rsidRPr="008642D1">
        <w:t xml:space="preserve">If new grounds of discrimination are added to the Human Rights Act </w:t>
      </w:r>
      <w:r w:rsidR="00464134" w:rsidRPr="00867F05">
        <w:t xml:space="preserve">1993 </w:t>
      </w:r>
      <w:r w:rsidRPr="008642D1">
        <w:t>to protect people who are transgender</w:t>
      </w:r>
      <w:r w:rsidR="00846240">
        <w:t xml:space="preserve"> or</w:t>
      </w:r>
      <w:r w:rsidRPr="008642D1">
        <w:t xml:space="preserve"> non-binary or </w:t>
      </w:r>
      <w:r w:rsidR="00846240">
        <w:t>who</w:t>
      </w:r>
      <w:r w:rsidR="00846240" w:rsidRPr="008642D1">
        <w:t xml:space="preserve"> </w:t>
      </w:r>
      <w:r w:rsidRPr="008642D1">
        <w:t xml:space="preserve">have an innate variation of sex characteristics, should the skill exception in section 47 </w:t>
      </w:r>
      <w:r w:rsidR="00464134">
        <w:t xml:space="preserve">be </w:t>
      </w:r>
      <w:r w:rsidR="00A8512A">
        <w:t>replaced with a narrower</w:t>
      </w:r>
      <w:r w:rsidRPr="008642D1">
        <w:t xml:space="preserve"> exception</w:t>
      </w:r>
      <w:r w:rsidR="00464134">
        <w:t>?</w:t>
      </w:r>
      <w:r w:rsidRPr="008642D1">
        <w:t xml:space="preserve">  </w:t>
      </w:r>
    </w:p>
    <w:p w14:paraId="45DDB7CC" w14:textId="354FBFDE" w:rsidR="00FD1EBE" w:rsidRDefault="00FD1EBE" w:rsidP="00256E3D">
      <w:pPr>
        <w:pStyle w:val="QuestionBox"/>
      </w:pPr>
      <w:r w:rsidRPr="008642D1">
        <w:rPr>
          <w:noProof/>
        </w:rPr>
        <w:lastRenderedPageBreak/>
        <mc:AlternateContent>
          <mc:Choice Requires="wpg">
            <w:drawing>
              <wp:anchor distT="0" distB="0" distL="114300" distR="114300" simplePos="0" relativeHeight="251658343" behindDoc="1" locked="0" layoutInCell="1" allowOverlap="1" wp14:anchorId="7DD581C3" wp14:editId="56947049">
                <wp:simplePos x="0" y="0"/>
                <wp:positionH relativeFrom="column">
                  <wp:posOffset>0</wp:posOffset>
                </wp:positionH>
                <wp:positionV relativeFrom="paragraph">
                  <wp:posOffset>165263</wp:posOffset>
                </wp:positionV>
                <wp:extent cx="1443355" cy="251460"/>
                <wp:effectExtent l="0" t="0" r="42545" b="0"/>
                <wp:wrapNone/>
                <wp:docPr id="133600410"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20840921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8522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3922A4" w14:textId="77777777" w:rsidR="00B54755" w:rsidRDefault="00FD1EBE" w:rsidP="00FD1EBE">
                              <w:pPr>
                                <w:pStyle w:val="BoxTitle"/>
                                <w:spacing w:before="0" w:beforeAutospacing="0"/>
                                <w:rPr>
                                  <w:sz w:val="18"/>
                                  <w:szCs w:val="18"/>
                                </w:rPr>
                              </w:pPr>
                              <w:r w:rsidRPr="00E90B8A">
                                <w:rPr>
                                  <w:sz w:val="18"/>
                                  <w:szCs w:val="18"/>
                                </w:rPr>
                                <w:t>Q</w:t>
                              </w:r>
                              <w:r w:rsidR="00073BBE">
                                <w:rPr>
                                  <w:sz w:val="18"/>
                                  <w:szCs w:val="18"/>
                                </w:rPr>
                                <w:t>39</w:t>
                              </w:r>
                            </w:p>
                            <w:p w14:paraId="02D019BA" w14:textId="353945D7" w:rsidR="00FD1EBE" w:rsidRPr="00E90B8A" w:rsidRDefault="00FD1EBE" w:rsidP="00FD1EBE">
                              <w:pPr>
                                <w:pStyle w:val="BoxTitle"/>
                                <w:spacing w:before="0" w:beforeAutospacing="0"/>
                                <w:rPr>
                                  <w:sz w:val="18"/>
                                  <w:szCs w:val="18"/>
                                </w:rPr>
                              </w:pPr>
                              <w:r w:rsidRPr="00E90B8A">
                                <w:rPr>
                                  <w:sz w:val="18"/>
                                  <w:szCs w:val="18"/>
                                </w:rPr>
                                <w:t>Q</w:t>
                              </w:r>
                              <w:r w:rsidR="00D91C2C">
                                <w:rPr>
                                  <w:sz w:val="18"/>
                                  <w:szCs w:val="18"/>
                                </w:rPr>
                                <w:t>41</w:t>
                              </w:r>
                            </w:p>
                          </w:txbxContent>
                        </wps:txbx>
                        <wps:bodyPr rot="0" vert="horz" wrap="square" lIns="54000" tIns="82800" rIns="91440" bIns="45720" anchor="ctr" anchorCtr="0" upright="1">
                          <a:noAutofit/>
                        </wps:bodyPr>
                      </wps:wsp>
                    </wpg:wgp>
                  </a:graphicData>
                </a:graphic>
              </wp:anchor>
            </w:drawing>
          </mc:Choice>
          <mc:Fallback>
            <w:pict>
              <v:group w14:anchorId="7DD581C3" id="_x0000_s1232" style="position:absolute;left:0;text-align:left;margin-left:0;margin-top:13pt;width:113.65pt;height:19.8pt;z-index:-25165813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">
                <v:shape id="Freeform 58" o:spid="_x0000_s123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" path="m,l1815,e" filled="f" strokecolor="#72ab6a" strokeweight=".5pt">
                  <v:path arrowok="t" o:connecttype="custom" o:connectlocs="0,0;1073495,0" o:connectangles="0,0"/>
                </v:shape>
                <v:shape id="Freeform 66" o:spid="_x0000_s123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13922A4" w14:textId="77777777" w:rsidR="00B54755" w:rsidRDefault="00FD1EBE" w:rsidP="00FD1EBE">
                        <w:pPr>
                          <w:pStyle w:val="BoxTitle"/>
                          <w:spacing w:before="0" w:beforeAutospacing="0"/>
                          <w:rPr>
                            <w:sz w:val="18"/>
                            <w:szCs w:val="18"/>
                          </w:rPr>
                        </w:pPr>
                        <w:r w:rsidRPr="00E90B8A">
                          <w:rPr>
                            <w:sz w:val="18"/>
                            <w:szCs w:val="18"/>
                          </w:rPr>
                          <w:t>Q</w:t>
                        </w:r>
                        <w:r w:rsidR="00073BBE">
                          <w:rPr>
                            <w:sz w:val="18"/>
                            <w:szCs w:val="18"/>
                          </w:rPr>
                          <w:t>39</w:t>
                        </w:r>
                      </w:p>
                      <w:p w14:paraId="02D019BA" w14:textId="353945D7" w:rsidR="00FD1EBE" w:rsidRPr="00E90B8A" w:rsidRDefault="00FD1EBE" w:rsidP="00FD1EBE">
                        <w:pPr>
                          <w:pStyle w:val="BoxTitle"/>
                          <w:spacing w:before="0" w:beforeAutospacing="0"/>
                          <w:rPr>
                            <w:sz w:val="18"/>
                            <w:szCs w:val="18"/>
                          </w:rPr>
                        </w:pPr>
                        <w:r w:rsidRPr="00E90B8A">
                          <w:rPr>
                            <w:sz w:val="18"/>
                            <w:szCs w:val="18"/>
                          </w:rPr>
                          <w:t>Q</w:t>
                        </w:r>
                        <w:r w:rsidR="00D91C2C">
                          <w:rPr>
                            <w:sz w:val="18"/>
                            <w:szCs w:val="18"/>
                          </w:rPr>
                          <w:t>41</w:t>
                        </w:r>
                      </w:p>
                    </w:txbxContent>
                  </v:textbox>
                </v:shape>
              </v:group>
            </w:pict>
          </mc:Fallback>
        </mc:AlternateContent>
      </w:r>
    </w:p>
    <w:p w14:paraId="41C231E3" w14:textId="41C1B444" w:rsidR="00274C31" w:rsidRPr="008642D1" w:rsidRDefault="00FD1EBE" w:rsidP="00256E3D">
      <w:pPr>
        <w:pStyle w:val="QuestionBox"/>
      </w:pPr>
      <w:r w:rsidRPr="0020319A">
        <w:t xml:space="preserve">Do you have any additional feedback on the practical implications of amending </w:t>
      </w:r>
      <w:r>
        <w:t>section 47</w:t>
      </w:r>
      <w:r w:rsidRPr="0020319A">
        <w:t>?</w:t>
      </w:r>
    </w:p>
    <w:p w14:paraId="49F057CA" w14:textId="1141C7D9" w:rsidR="00C07E13" w:rsidRPr="008642D1" w:rsidRDefault="00C07E13" w:rsidP="00C07E13">
      <w:pPr>
        <w:pStyle w:val="Heading3"/>
      </w:pPr>
      <w:r w:rsidRPr="008642D1">
        <w:t>Insurance exception — section 48</w:t>
      </w:r>
    </w:p>
    <w:p w14:paraId="2464C457" w14:textId="77777777" w:rsidR="00C07E13" w:rsidRPr="008642D1" w:rsidRDefault="00C07E13" w:rsidP="00C07E13">
      <w:pPr>
        <w:pStyle w:val="BodyText"/>
        <w:tabs>
          <w:tab w:val="num" w:pos="709"/>
        </w:tabs>
      </w:pPr>
      <w:r w:rsidRPr="008642D1">
        <w:t xml:space="preserve">Section 48 of the Human Rights Act allows insurers to offer or provide annuities and insurance policies (including accident and life insurance) to individuals or groups on different terms or conditions for each sex. The exception also applies to age and disability. </w:t>
      </w:r>
    </w:p>
    <w:p w14:paraId="48CCFCEB" w14:textId="1175561B" w:rsidR="00C07E13" w:rsidRPr="008642D1" w:rsidRDefault="00C07E13" w:rsidP="00C07E13">
      <w:pPr>
        <w:pStyle w:val="BodyText"/>
      </w:pPr>
      <w:r w:rsidRPr="008642D1">
        <w:t>To rely on this exception in relation to sex, two requirements must be met. First, the different treatment must be based on actuarial or statistical data relating to life expectancy, accidents or sickness and it must be reasonable to rely on that data.</w:t>
      </w:r>
      <w:r w:rsidRPr="008642D1">
        <w:rPr>
          <w:rStyle w:val="FootnoteReference"/>
        </w:rPr>
        <w:footnoteReference w:id="498"/>
      </w:r>
      <w:r w:rsidRPr="008642D1">
        <w:t xml:space="preserve"> Second, the different treatment must be reasonable having regard to the application of that data</w:t>
      </w:r>
      <w:r w:rsidRPr="008642D1" w:rsidDel="001810F3">
        <w:t>,</w:t>
      </w:r>
      <w:r w:rsidRPr="008642D1">
        <w:t xml:space="preserve"> and any other relevant factors</w:t>
      </w:r>
      <w:r w:rsidRPr="008642D1" w:rsidDel="001810F3">
        <w:t>,</w:t>
      </w:r>
      <w:r w:rsidRPr="008642D1">
        <w:t xml:space="preserve"> to the particular circumstances.</w:t>
      </w:r>
      <w:r w:rsidRPr="008642D1">
        <w:rPr>
          <w:rStyle w:val="FootnoteReference"/>
        </w:rPr>
        <w:footnoteReference w:id="499"/>
      </w:r>
      <w:r w:rsidRPr="008642D1">
        <w:t xml:space="preserve"> </w:t>
      </w:r>
    </w:p>
    <w:p w14:paraId="7B0FAFDD" w14:textId="77777777" w:rsidR="00C07E13" w:rsidRPr="008642D1" w:rsidRDefault="00C07E13" w:rsidP="00C07E13">
      <w:pPr>
        <w:pStyle w:val="Heading4"/>
      </w:pPr>
      <w:r w:rsidRPr="008642D1">
        <w:t xml:space="preserve">Scope and rationale of the current exception </w:t>
      </w:r>
    </w:p>
    <w:p w14:paraId="23DAB217" w14:textId="77777777" w:rsidR="00C07E13" w:rsidRPr="008642D1" w:rsidRDefault="00C07E13" w:rsidP="00C07E13">
      <w:pPr>
        <w:pStyle w:val="BodyText"/>
      </w:pPr>
      <w:r w:rsidRPr="008642D1">
        <w:t>A person’s sex, age or disability may affect the likelihood they will make an insurance claim and the nature of that claim. For example, women have a longer life expectancy than men, and young male drivers are more likely to make a car insurance claim than young female drivers.</w:t>
      </w:r>
      <w:r w:rsidRPr="008642D1">
        <w:rPr>
          <w:rStyle w:val="FootnoteReference"/>
        </w:rPr>
        <w:footnoteReference w:id="500"/>
      </w:r>
      <w:r w:rsidRPr="008642D1">
        <w:t xml:space="preserve"> The rationale for the exception is to facilitate fair pricing by limiting the extent to which those who pose a lower risk of claims are cross-subsidising those who pose a higher risk.</w:t>
      </w:r>
      <w:r w:rsidRPr="008642D1">
        <w:rPr>
          <w:rStyle w:val="FootnoteReference"/>
        </w:rPr>
        <w:footnoteReference w:id="501"/>
      </w:r>
      <w:r w:rsidRPr="008642D1">
        <w:t xml:space="preserve"> </w:t>
      </w:r>
    </w:p>
    <w:p w14:paraId="17EED920" w14:textId="77777777" w:rsidR="00C07E13" w:rsidRPr="008642D1" w:rsidRDefault="00C07E13" w:rsidP="00C07E13">
      <w:pPr>
        <w:pStyle w:val="BodyText"/>
      </w:pPr>
      <w:r w:rsidRPr="008642D1">
        <w:t>The exception is based on a similar provision in the 1977 legislation.</w:t>
      </w:r>
      <w:r w:rsidRPr="008642D1">
        <w:rPr>
          <w:rStyle w:val="FootnoteReference"/>
        </w:rPr>
        <w:footnoteReference w:id="502"/>
      </w:r>
      <w:r w:rsidRPr="008642D1">
        <w:t xml:space="preserve"> Retention of the exception in 1993 was controversial.</w:t>
      </w:r>
      <w:r w:rsidRPr="008642D1">
        <w:rPr>
          <w:rStyle w:val="FootnoteReference"/>
        </w:rPr>
        <w:footnoteReference w:id="503"/>
      </w:r>
      <w:r w:rsidRPr="008642D1">
        <w:t xml:space="preserve"> We would expect the justifications for and against it to be closely scrutinised in the event of a general review of the Act. </w:t>
      </w:r>
    </w:p>
    <w:p w14:paraId="410C6004" w14:textId="77777777" w:rsidR="00C07E13" w:rsidRPr="008642D1" w:rsidRDefault="00C07E13" w:rsidP="00C07E13">
      <w:pPr>
        <w:pStyle w:val="Heading4"/>
      </w:pPr>
      <w:r w:rsidRPr="008642D1">
        <w:t>Should the exception be amended to reflect any new grounds?</w:t>
      </w:r>
    </w:p>
    <w:p w14:paraId="12CC468F" w14:textId="77777777" w:rsidR="00C07E13" w:rsidRPr="008642D1" w:rsidRDefault="00C07E13" w:rsidP="00C07E13">
      <w:pPr>
        <w:pStyle w:val="BodyText"/>
      </w:pPr>
      <w:r w:rsidRPr="008642D1">
        <w:t>We are interested to understand whether this exception should be amended to clarify how it applies to people who are transgender or non-binary or who have an innate variation of sex characteristics. We think there are two distinct issues.</w:t>
      </w:r>
    </w:p>
    <w:p w14:paraId="41BB8BE7" w14:textId="77777777" w:rsidR="00C07E13" w:rsidRPr="008642D1" w:rsidRDefault="00C07E13" w:rsidP="00C07E13">
      <w:pPr>
        <w:pStyle w:val="Heading5"/>
      </w:pPr>
      <w:r w:rsidRPr="008642D1">
        <w:t xml:space="preserve">Clarification of how current exception relating to sex should be applied </w:t>
      </w:r>
    </w:p>
    <w:p w14:paraId="52F30059" w14:textId="04E822B4" w:rsidR="00C07E13" w:rsidRPr="008642D1" w:rsidRDefault="00C07E13" w:rsidP="00147F8C">
      <w:pPr>
        <w:pStyle w:val="BodyText"/>
      </w:pPr>
      <w:r w:rsidRPr="008642D1">
        <w:t>The first is whether the current exception applying to the ground of sex should clarify how it applies to customers who are transgender or non-binary or who have an innate variation of sex characteristics</w:t>
      </w:r>
      <w:r w:rsidRPr="008642D1" w:rsidDel="001810F3">
        <w:t>,</w:t>
      </w:r>
      <w:r w:rsidRPr="008642D1">
        <w:t xml:space="preserve"> and how sex is to be determined. </w:t>
      </w:r>
    </w:p>
    <w:p w14:paraId="4F613198" w14:textId="73B9637C" w:rsidR="00C07E13" w:rsidRPr="008642D1" w:rsidRDefault="00C07E13" w:rsidP="00147F8C">
      <w:pPr>
        <w:pStyle w:val="BodyText"/>
      </w:pPr>
      <w:r w:rsidRPr="008642D1">
        <w:lastRenderedPageBreak/>
        <w:t xml:space="preserve">As we discussed above, a person’s sex may affect the likelihood they will make an insurance claim and the nature of that claim. However, we suspect the precise basis for this may differ depending on the type of insurance. For example, a person’s sex characteristics might be relevant when determining their likelihood of making a health insurance claim (such as whether they have a risk of ovarian cancer or testicular cancer). Southern Cross says it asks applicants to provide their </w:t>
      </w:r>
      <w:r w:rsidRPr="008642D1" w:rsidDel="001810F3">
        <w:t>“</w:t>
      </w:r>
      <w:r w:rsidRPr="008642D1">
        <w:t>biological sex</w:t>
      </w:r>
      <w:r w:rsidRPr="008642D1" w:rsidDel="001810F3">
        <w:t>”</w:t>
      </w:r>
      <w:r w:rsidRPr="008642D1">
        <w:t xml:space="preserve"> when seeking health insurance because it provides a person with cover for their </w:t>
      </w:r>
      <w:r w:rsidRPr="008642D1" w:rsidDel="001810F3">
        <w:t>“</w:t>
      </w:r>
      <w:r w:rsidRPr="008642D1">
        <w:t>total anatomy”</w:t>
      </w:r>
      <w:r w:rsidR="002520CC">
        <w:t>.</w:t>
      </w:r>
      <w:r w:rsidRPr="008642D1">
        <w:t xml:space="preserve"> It says that, if a person has undergone surgical gender affirmation, they can ask to have their biological sex amended on an existing insurance policy. Southern Cross also advises that “for an intersex member, our health insurance cover applies to both ‘male’ and ‘female’ organs”.</w:t>
      </w:r>
      <w:r w:rsidRPr="008642D1">
        <w:rPr>
          <w:rStyle w:val="FootnoteReference"/>
        </w:rPr>
        <w:footnoteReference w:id="504"/>
      </w:r>
      <w:r w:rsidRPr="008642D1">
        <w:t xml:space="preserve"> </w:t>
      </w:r>
    </w:p>
    <w:p w14:paraId="5EB87733" w14:textId="5E5B735A" w:rsidR="00C07E13" w:rsidRPr="008642D1" w:rsidRDefault="00C07E13" w:rsidP="00147F8C">
      <w:pPr>
        <w:pStyle w:val="BodyText"/>
      </w:pPr>
      <w:r w:rsidRPr="008642D1">
        <w:t xml:space="preserve">For other types of insurance, there could be social factors that contribute to men and women having </w:t>
      </w:r>
      <w:r w:rsidR="005B15A4">
        <w:t xml:space="preserve">a </w:t>
      </w:r>
      <w:r w:rsidRPr="008642D1">
        <w:t>differential likelihood of making an insurance claim such as differences in risk</w:t>
      </w:r>
      <w:r w:rsidRPr="008642D1" w:rsidDel="00B329BA">
        <w:t>-</w:t>
      </w:r>
      <w:r w:rsidRPr="008642D1">
        <w:t xml:space="preserve">taking, alcohol consumption or smoking rates.  </w:t>
      </w:r>
    </w:p>
    <w:p w14:paraId="65C1B757" w14:textId="77777777" w:rsidR="00C07E13" w:rsidRPr="008642D1" w:rsidRDefault="00C07E13" w:rsidP="00147F8C">
      <w:pPr>
        <w:pStyle w:val="BodyText"/>
      </w:pPr>
      <w:r w:rsidRPr="008642D1">
        <w:t>We are not aware of other jurisdictions having an insurance exception that expressly allows insurers to offer different terms and conditions based on a person’s sex assigned at birth or sex characteristics. However, New South Wales has an exception applying to superannuation that allows a transgender person to be treated as the opposite sex to which they identify.</w:t>
      </w:r>
      <w:r w:rsidRPr="008642D1">
        <w:rPr>
          <w:rStyle w:val="FootnoteReference"/>
        </w:rPr>
        <w:footnoteReference w:id="505"/>
      </w:r>
    </w:p>
    <w:p w14:paraId="53A38050" w14:textId="77777777" w:rsidR="00C07E13" w:rsidRPr="008642D1" w:rsidRDefault="00C07E13" w:rsidP="00147F8C">
      <w:pPr>
        <w:pStyle w:val="BodyText"/>
      </w:pPr>
      <w:r w:rsidRPr="008642D1">
        <w:t>An argument for allowing insurers to rely on sex assigned at birth or sex characteristics when applying the current sex exception is that it may be consistent with the current rationale (that reflecting differential risk in insurance premiums facilitates fair pricing</w:t>
      </w:r>
      <w:r w:rsidRPr="008642D1" w:rsidDel="00D50810">
        <w:t xml:space="preserve"> </w:t>
      </w:r>
      <w:r w:rsidRPr="008642D1">
        <w:t xml:space="preserve">by limiting cross-subsidisation). For example, it would allow an insurer to consider whether a customer has a risk of ovarian cancer or testicular cancer. If insurers cannot offer differentiated premiums on the basis of those risks, this may lead to an increase in premiums for all customers or a reduction in the cover offered by an insurer.  </w:t>
      </w:r>
    </w:p>
    <w:p w14:paraId="427E52A1" w14:textId="142CD0DB" w:rsidR="00C07E13" w:rsidRPr="008642D1" w:rsidRDefault="00C07E13" w:rsidP="00DA3A0D">
      <w:pPr>
        <w:pStyle w:val="BodyText"/>
      </w:pPr>
      <w:r w:rsidRPr="008642D1">
        <w:t xml:space="preserve">On the other hand, the underlying rationale is already applied inconsistently. There is no similar exception for race, colour, or ethnic or national origin even though life expectancy can vary depending on ethnicity. This recognises there can be social and moral reasons that override the objective of minimising cross-subsidisation. For example, if particular social groups can be charged higher insurance premiums, this can compound disadvantage by making it less likely they will take out insurance. We understand that, when the Race Relations Bill was being considered, the life insurance industry sought an exception to allow racial discrimination. This was rejected by the select committee because of a concern that insurers could charge Māori higher life insurance rates due to their higher mortality rate (as well </w:t>
      </w:r>
      <w:r w:rsidR="00E001A4">
        <w:t xml:space="preserve">as </w:t>
      </w:r>
      <w:r w:rsidRPr="008642D1">
        <w:t>concerns about insufficient data).</w:t>
      </w:r>
      <w:r w:rsidRPr="008642D1">
        <w:rPr>
          <w:rStyle w:val="FootnoteReference"/>
        </w:rPr>
        <w:footnoteReference w:id="506"/>
      </w:r>
      <w:r w:rsidRPr="008642D1">
        <w:t xml:space="preserve"> </w:t>
      </w:r>
    </w:p>
    <w:p w14:paraId="0334D4F7" w14:textId="77777777" w:rsidR="00C07E13" w:rsidRPr="008642D1" w:rsidRDefault="00C07E13" w:rsidP="00147F8C">
      <w:pPr>
        <w:pStyle w:val="BodyText"/>
      </w:pPr>
      <w:r w:rsidRPr="008642D1">
        <w:t xml:space="preserve">There may also be privacy reasons for not allowing insurers to rely on a person’s sex assigned at birth or sex characteristics when applying the sex exception. It could be distressing for a customer to have to provide an insurer with personal details of that kind </w:t>
      </w:r>
      <w:r w:rsidRPr="008642D1">
        <w:lastRenderedPageBreak/>
        <w:t>— perhaps especially outside the context of health insurance (for example, when insuring a car).</w:t>
      </w:r>
    </w:p>
    <w:p w14:paraId="1CDABF7B" w14:textId="77777777" w:rsidR="00C07E13" w:rsidRPr="008642D1" w:rsidRDefault="00C07E13" w:rsidP="00147F8C">
      <w:pPr>
        <w:pStyle w:val="BodyText"/>
      </w:pPr>
      <w:r w:rsidRPr="008642D1">
        <w:t xml:space="preserve">Relying on sex characteristics to determine insurance pricing could also be very complex because of the many different characteristics that could be involved. As we discussed in Chapter 2, primary and secondary sex characteristics include genitalia, other sexual and reproductive anatomy, chromosomes, hormones and secondary features that emerge at puberty. </w:t>
      </w:r>
    </w:p>
    <w:p w14:paraId="0EF08A8F" w14:textId="77777777" w:rsidR="00C07E13" w:rsidRPr="008642D1" w:rsidRDefault="00C07E13" w:rsidP="00147F8C">
      <w:pPr>
        <w:pStyle w:val="BodyText"/>
      </w:pPr>
      <w:r w:rsidRPr="008642D1">
        <w:t xml:space="preserve">In order for an insurer to rely on the sex exception, any different treatment would have to be based on actuarial or statistical data relating to life expectancy, accidents or sickness and would also have to be reasonable. These requirements may mean, in practice, that insurers need to treat customers in line with their self-identified sex.   </w:t>
      </w:r>
    </w:p>
    <w:p w14:paraId="3D005542" w14:textId="77777777" w:rsidR="00C07E13" w:rsidRPr="008642D1" w:rsidRDefault="00C07E13" w:rsidP="00C07E13">
      <w:pPr>
        <w:pStyle w:val="Heading5"/>
      </w:pPr>
      <w:r w:rsidRPr="008642D1">
        <w:t xml:space="preserve">Differential terms based on being transgender or non-binary or having an innate variation of sex characteristics  </w:t>
      </w:r>
    </w:p>
    <w:p w14:paraId="50D39F7D" w14:textId="77777777" w:rsidR="00C07E13" w:rsidRPr="008642D1" w:rsidRDefault="00C07E13" w:rsidP="00C07E13">
      <w:pPr>
        <w:pStyle w:val="BodyText"/>
      </w:pPr>
      <w:r w:rsidRPr="008642D1">
        <w:t xml:space="preserve">A second issue is whether the Human Rights Act should allow insurers to offer differential terms and conditions based on whether someone is transgender or non-binary or has an innate variation of sex characteristics. We do not know if the fair pricing rationale would support distinctions of this kind as we have no information on how these variables affect insurance risk. </w:t>
      </w:r>
    </w:p>
    <w:p w14:paraId="619A686F" w14:textId="77777777" w:rsidR="00C07E13" w:rsidRPr="008642D1" w:rsidRDefault="00C07E13" w:rsidP="00C07E13">
      <w:pPr>
        <w:pStyle w:val="BodyText"/>
      </w:pPr>
      <w:r w:rsidRPr="008642D1">
        <w:t xml:space="preserve">As with an exception tied to sex assigned at birth, potential arguments against an exception along these lines might relate to social and moral concerns such as privacy and not compounding disadvantage for vulnerable communities. The privacy argument would be strongest for policies such as car insurance where it is less common for insurers to obtain highly personal information. </w:t>
      </w:r>
    </w:p>
    <w:p w14:paraId="7BA544FC" w14:textId="77777777" w:rsidR="00C07E13" w:rsidRPr="008642D1" w:rsidRDefault="00C07E13" w:rsidP="00C07E13">
      <w:pPr>
        <w:pStyle w:val="BodyText"/>
      </w:pPr>
      <w:r w:rsidRPr="008642D1">
        <w:t>We wonder, too, if there might be limited actuarial or statistical data currently available about people who are transgender or non-binary or who have an innate variation of sex characteristics. For example, life expectancy data provided by Tatauranga Aotearoa | Stats NZ is broken down by sex, ethnicity and region, not by whether someone’s gender identity aligns with their sex assigned at birth.</w:t>
      </w:r>
    </w:p>
    <w:p w14:paraId="0E546F83" w14:textId="77777777" w:rsidR="00C07E13" w:rsidRPr="008642D1" w:rsidRDefault="00C07E13" w:rsidP="00C07E13">
      <w:pPr>
        <w:pStyle w:val="BodyText"/>
      </w:pPr>
      <w:r w:rsidRPr="008642D1">
        <w:t>In relation to disability, section 48 currently specifies that, if actuarial or statistical data is not available, the different treatment can be based instead on reputable medical or actuarial advice or opinion.</w:t>
      </w:r>
      <w:r w:rsidRPr="008642D1">
        <w:rPr>
          <w:rStyle w:val="FootnoteReference"/>
        </w:rPr>
        <w:footnoteReference w:id="507"/>
      </w:r>
      <w:r w:rsidRPr="008642D1">
        <w:t xml:space="preserve"> If the insurance exception were to be extended to reflect new grounds, it might be necessary to make similar provision.</w:t>
      </w:r>
    </w:p>
    <w:p w14:paraId="5846A0B9" w14:textId="154066D6" w:rsidR="00C07E13" w:rsidRPr="008642D1" w:rsidRDefault="00C07E13" w:rsidP="00C07E13">
      <w:pPr>
        <w:pStyle w:val="BodyText"/>
      </w:pPr>
      <w:r w:rsidRPr="008642D1">
        <w:t>Finally, it is relevant that insurers would already receive a degree of protection from the fact the exception in section 48 also applies to disability. For example, if an innate variation of sex characteristics is associated with a medical condition that affects the likelihood of making certain claims, the insurer could rely on the disability exception to adjust insurance premiums.</w:t>
      </w:r>
    </w:p>
    <w:p w14:paraId="3BB732B0" w14:textId="62B5D384" w:rsidR="00DA3A0D" w:rsidRPr="008642D1" w:rsidRDefault="00303289" w:rsidP="00DA3A0D">
      <w:pPr>
        <w:pStyle w:val="QuestionBox"/>
      </w:pPr>
      <w:r w:rsidRPr="008642D1">
        <w:rPr>
          <w:noProof/>
        </w:rPr>
        <mc:AlternateContent>
          <mc:Choice Requires="wpg">
            <w:drawing>
              <wp:anchor distT="0" distB="0" distL="114300" distR="114300" simplePos="0" relativeHeight="251658344" behindDoc="1" locked="0" layoutInCell="1" allowOverlap="1" wp14:anchorId="0A886936" wp14:editId="59E69DEC">
                <wp:simplePos x="0" y="0"/>
                <wp:positionH relativeFrom="column">
                  <wp:posOffset>-2773</wp:posOffset>
                </wp:positionH>
                <wp:positionV relativeFrom="paragraph">
                  <wp:posOffset>1471</wp:posOffset>
                </wp:positionV>
                <wp:extent cx="5760085" cy="1711142"/>
                <wp:effectExtent l="0" t="0" r="0" b="3810"/>
                <wp:wrapNone/>
                <wp:docPr id="1634244665" name="Group 1634244665" descr="Question"/>
                <wp:cNvGraphicFramePr/>
                <a:graphic xmlns:a="http://schemas.openxmlformats.org/drawingml/2006/main">
                  <a:graphicData uri="http://schemas.microsoft.com/office/word/2010/wordprocessingGroup">
                    <wpg:wgp>
                      <wpg:cNvGrpSpPr/>
                      <wpg:grpSpPr>
                        <a:xfrm>
                          <a:off x="0" y="0"/>
                          <a:ext cx="5760085" cy="1711142"/>
                          <a:chOff x="0" y="62865"/>
                          <a:chExt cx="5760085" cy="1712149"/>
                        </a:xfrm>
                      </wpg:grpSpPr>
                      <wps:wsp>
                        <wps:cNvPr id="1020945942"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163110" w14:textId="77777777" w:rsidR="00AF2429" w:rsidRDefault="00185696" w:rsidP="00185696">
                              <w:pPr>
                                <w:pStyle w:val="BoxTitle"/>
                                <w:spacing w:before="0" w:beforeAutospacing="0"/>
                              </w:pPr>
                              <w:r w:rsidRPr="007F6876">
                                <w:t>QUESTION</w:t>
                              </w:r>
                            </w:p>
                            <w:p w14:paraId="5335A73B" w14:textId="5F1ABECA" w:rsidR="00185696" w:rsidRDefault="00185696" w:rsidP="00185696">
                              <w:pPr>
                                <w:pStyle w:val="BoxTitle"/>
                                <w:spacing w:before="0" w:beforeAutospacing="0"/>
                              </w:pPr>
                              <w:r w:rsidRPr="007F6876">
                                <w:t>QUESTION</w:t>
                              </w:r>
                              <w:r>
                                <w:t>S</w:t>
                              </w:r>
                            </w:p>
                          </w:txbxContent>
                        </wps:txbx>
                        <wps:bodyPr rot="0" vert="horz" wrap="square" lIns="91440" tIns="0" rIns="0" bIns="45720" anchor="ctr" anchorCtr="0" upright="1">
                          <a:noAutofit/>
                        </wps:bodyPr>
                      </wps:wsp>
                      <wpg:grpSp>
                        <wpg:cNvPr id="446333627" name="Group 53"/>
                        <wpg:cNvGrpSpPr>
                          <a:grpSpLocks/>
                        </wpg:cNvGrpSpPr>
                        <wpg:grpSpPr bwMode="auto">
                          <a:xfrm>
                            <a:off x="0" y="316170"/>
                            <a:ext cx="5760085" cy="1458844"/>
                            <a:chOff x="1837" y="1791"/>
                            <a:chExt cx="9302" cy="15758"/>
                          </a:xfrm>
                        </wpg:grpSpPr>
                        <wps:wsp>
                          <wps:cNvPr id="271800434" name="Freeform 54"/>
                          <wps:cNvSpPr>
                            <a:spLocks/>
                          </wps:cNvSpPr>
                          <wps:spPr bwMode="auto">
                            <a:xfrm>
                              <a:off x="1837" y="1791"/>
                              <a:ext cx="9302" cy="1575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2719173" name="Group 1102719173"/>
                        <wpg:cNvGrpSpPr/>
                        <wpg:grpSpPr>
                          <a:xfrm>
                            <a:off x="0" y="494036"/>
                            <a:ext cx="1443794" cy="252000"/>
                            <a:chOff x="-15880" y="0"/>
                            <a:chExt cx="1444379" cy="252068"/>
                          </a:xfrm>
                        </wpg:grpSpPr>
                        <wps:wsp>
                          <wps:cNvPr id="95808590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033776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F1FF77" w14:textId="77777777" w:rsidR="00B54755" w:rsidRDefault="00185696" w:rsidP="00185696">
                                <w:pPr>
                                  <w:pStyle w:val="BoxTitle"/>
                                  <w:spacing w:before="0" w:beforeAutospacing="0"/>
                                  <w:rPr>
                                    <w:sz w:val="18"/>
                                    <w:szCs w:val="18"/>
                                  </w:rPr>
                                </w:pPr>
                                <w:r w:rsidRPr="00E90B8A">
                                  <w:rPr>
                                    <w:sz w:val="18"/>
                                    <w:szCs w:val="18"/>
                                  </w:rPr>
                                  <w:t>Q</w:t>
                                </w:r>
                                <w:r>
                                  <w:rPr>
                                    <w:sz w:val="18"/>
                                    <w:szCs w:val="18"/>
                                  </w:rPr>
                                  <w:t>4</w:t>
                                </w:r>
                                <w:r w:rsidR="00B77F4F">
                                  <w:rPr>
                                    <w:sz w:val="18"/>
                                    <w:szCs w:val="18"/>
                                  </w:rPr>
                                  <w:t>0</w:t>
                                </w:r>
                              </w:p>
                              <w:p w14:paraId="372ABE43" w14:textId="37F2F01B" w:rsidR="00185696" w:rsidRPr="00E90B8A" w:rsidRDefault="00185696" w:rsidP="00185696">
                                <w:pPr>
                                  <w:pStyle w:val="BoxTitle"/>
                                  <w:spacing w:before="0" w:beforeAutospacing="0"/>
                                  <w:rPr>
                                    <w:sz w:val="18"/>
                                    <w:szCs w:val="18"/>
                                  </w:rPr>
                                </w:pPr>
                                <w:r w:rsidRPr="00E90B8A">
                                  <w:rPr>
                                    <w:sz w:val="18"/>
                                    <w:szCs w:val="18"/>
                                  </w:rPr>
                                  <w:t>Q</w:t>
                                </w:r>
                                <w:r>
                                  <w:rPr>
                                    <w:sz w:val="18"/>
                                    <w:szCs w:val="18"/>
                                  </w:rPr>
                                  <w:t>4</w:t>
                                </w:r>
                                <w:r w:rsidR="00380ACB">
                                  <w:rPr>
                                    <w:sz w:val="18"/>
                                    <w:szCs w:val="18"/>
                                  </w:rPr>
                                  <w:t>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A886936" id="Group 1634244665" o:spid="_x0000_s1235" alt="Question" style="position:absolute;left:0;text-align:left;margin-left:-.2pt;margin-top:.1pt;width:453.55pt;height:134.75pt;z-index:-251658136;mso-height-relative:margin" coordorigin=",628" coordsize="57600,1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">
                <v:shape id="Freeform 52" o:spid="_x0000_s123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0163110" w14:textId="77777777" w:rsidR="00AF2429" w:rsidRDefault="00185696" w:rsidP="00185696">
                        <w:pPr>
                          <w:pStyle w:val="BoxTitle"/>
                          <w:spacing w:before="0" w:beforeAutospacing="0"/>
                        </w:pPr>
                        <w:r w:rsidRPr="007F6876">
                          <w:t>QUESTION</w:t>
                        </w:r>
                      </w:p>
                      <w:p w14:paraId="5335A73B" w14:textId="5F1ABECA" w:rsidR="00185696" w:rsidRDefault="00185696" w:rsidP="00185696">
                        <w:pPr>
                          <w:pStyle w:val="BoxTitle"/>
                          <w:spacing w:before="0" w:beforeAutospacing="0"/>
                        </w:pPr>
                        <w:r w:rsidRPr="007F6876">
                          <w:t>QUESTION</w:t>
                        </w:r>
                        <w:r>
                          <w:t>S</w:t>
                        </w:r>
                      </w:p>
                    </w:txbxContent>
                  </v:textbox>
                </v:shape>
                <v:group id="Group 53" o:spid="_x0000_s1237" style="position:absolute;top:3161;width:57600;height:14589" coordorigin="1837,1791" coordsize="9302,1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">
                  <v:shape id="Freeform 54" o:spid="_x0000_s1238" style="position:absolute;left:1837;top:1791;width:9302;height:1575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" path="m,l9354,r,7809l,7809,,e" fillcolor="#edf2ea" stroked="f">
                    <v:path arrowok="t" o:connecttype="custom" o:connectlocs="0,2018;9302,2018;9302,17776;0,17776;0,2018" o:connectangles="0,0,0,0,0"/>
                  </v:shape>
                </v:group>
                <v:group id="Group 1102719173" o:spid="_x0000_s123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">
                  <v:shape id="Freeform 58" o:spid="_x0000_s124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" path="m,l1815,e" filled="f" strokecolor="#72ab6a" strokeweight=".5pt">
                    <v:path arrowok="t" o:connecttype="custom" o:connectlocs="0,0;1073495,0" o:connectangles="0,0"/>
                  </v:shape>
                  <v:shape id="Freeform 66" o:spid="_x0000_s124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DF1FF77" w14:textId="77777777" w:rsidR="00B54755" w:rsidRDefault="00185696" w:rsidP="00185696">
                          <w:pPr>
                            <w:pStyle w:val="BoxTitle"/>
                            <w:spacing w:before="0" w:beforeAutospacing="0"/>
                            <w:rPr>
                              <w:sz w:val="18"/>
                              <w:szCs w:val="18"/>
                            </w:rPr>
                          </w:pPr>
                          <w:r w:rsidRPr="00E90B8A">
                            <w:rPr>
                              <w:sz w:val="18"/>
                              <w:szCs w:val="18"/>
                            </w:rPr>
                            <w:t>Q</w:t>
                          </w:r>
                          <w:r>
                            <w:rPr>
                              <w:sz w:val="18"/>
                              <w:szCs w:val="18"/>
                            </w:rPr>
                            <w:t>4</w:t>
                          </w:r>
                          <w:r w:rsidR="00B77F4F">
                            <w:rPr>
                              <w:sz w:val="18"/>
                              <w:szCs w:val="18"/>
                            </w:rPr>
                            <w:t>0</w:t>
                          </w:r>
                        </w:p>
                        <w:p w14:paraId="372ABE43" w14:textId="37F2F01B" w:rsidR="00185696" w:rsidRPr="00E90B8A" w:rsidRDefault="00185696" w:rsidP="00185696">
                          <w:pPr>
                            <w:pStyle w:val="BoxTitle"/>
                            <w:spacing w:before="0" w:beforeAutospacing="0"/>
                            <w:rPr>
                              <w:sz w:val="18"/>
                              <w:szCs w:val="18"/>
                            </w:rPr>
                          </w:pPr>
                          <w:r w:rsidRPr="00E90B8A">
                            <w:rPr>
                              <w:sz w:val="18"/>
                              <w:szCs w:val="18"/>
                            </w:rPr>
                            <w:t>Q</w:t>
                          </w:r>
                          <w:r>
                            <w:rPr>
                              <w:sz w:val="18"/>
                              <w:szCs w:val="18"/>
                            </w:rPr>
                            <w:t>4</w:t>
                          </w:r>
                          <w:r w:rsidR="00380ACB">
                            <w:rPr>
                              <w:sz w:val="18"/>
                              <w:szCs w:val="18"/>
                            </w:rPr>
                            <w:t>2</w:t>
                          </w:r>
                        </w:p>
                      </w:txbxContent>
                    </v:textbox>
                  </v:shape>
                </v:group>
              </v:group>
            </w:pict>
          </mc:Fallback>
        </mc:AlternateContent>
      </w:r>
    </w:p>
    <w:p w14:paraId="3978B3CC" w14:textId="77777777" w:rsidR="00DA3A0D" w:rsidRPr="008642D1" w:rsidRDefault="00DA3A0D" w:rsidP="00DA3A0D">
      <w:pPr>
        <w:pStyle w:val="QuestionBox"/>
      </w:pPr>
    </w:p>
    <w:p w14:paraId="44D2548D" w14:textId="77777777" w:rsidR="002879DF" w:rsidRDefault="002879DF" w:rsidP="00DA3A0D">
      <w:pPr>
        <w:pStyle w:val="QuestionBox"/>
      </w:pPr>
      <w:r w:rsidRPr="002879DF">
        <w:t xml:space="preserve">If new grounds of discrimination are added to the Human Rights Act 1993 to protect people who are transgender or non-binary or who have an innate variation of sex </w:t>
      </w:r>
      <w:r w:rsidRPr="002879DF">
        <w:lastRenderedPageBreak/>
        <w:t xml:space="preserve">characteristics, should the insurance exception in section 48 be amended to clarify that it entitles insurers to differentiate based on a customer’s sex assigned at birth or sex characteristics? </w:t>
      </w:r>
    </w:p>
    <w:p w14:paraId="32913F4C" w14:textId="30DC9453" w:rsidR="00DA3A0D" w:rsidRPr="008642D1" w:rsidRDefault="00DA3A0D" w:rsidP="00DA3A0D">
      <w:pPr>
        <w:pStyle w:val="QuestionBox"/>
      </w:pPr>
    </w:p>
    <w:p w14:paraId="6E573E50" w14:textId="42A3C3DF" w:rsidR="004C2234" w:rsidRDefault="004C2234" w:rsidP="00DA3A0D">
      <w:pPr>
        <w:pStyle w:val="QuestionBox"/>
      </w:pPr>
    </w:p>
    <w:p w14:paraId="0A79A28D" w14:textId="03FB0693" w:rsidR="004C2234" w:rsidRDefault="000002FE" w:rsidP="00DA3A0D">
      <w:pPr>
        <w:pStyle w:val="QuestionBox"/>
      </w:pPr>
      <w:r w:rsidRPr="008642D1">
        <w:rPr>
          <w:noProof/>
        </w:rPr>
        <mc:AlternateContent>
          <mc:Choice Requires="wpg">
            <w:drawing>
              <wp:anchor distT="0" distB="0" distL="114300" distR="114300" simplePos="0" relativeHeight="251654140" behindDoc="1" locked="0" layoutInCell="1" allowOverlap="1" wp14:anchorId="5037D565" wp14:editId="4E8EF3DC">
                <wp:simplePos x="0" y="0"/>
                <wp:positionH relativeFrom="column">
                  <wp:posOffset>0</wp:posOffset>
                </wp:positionH>
                <wp:positionV relativeFrom="paragraph">
                  <wp:posOffset>-635</wp:posOffset>
                </wp:positionV>
                <wp:extent cx="5760085" cy="2281549"/>
                <wp:effectExtent l="0" t="0" r="0" b="5080"/>
                <wp:wrapNone/>
                <wp:docPr id="1374376270" name="Group 1374376270" descr="Question"/>
                <wp:cNvGraphicFramePr/>
                <a:graphic xmlns:a="http://schemas.openxmlformats.org/drawingml/2006/main">
                  <a:graphicData uri="http://schemas.microsoft.com/office/word/2010/wordprocessingGroup">
                    <wpg:wgp>
                      <wpg:cNvGrpSpPr/>
                      <wpg:grpSpPr>
                        <a:xfrm>
                          <a:off x="0" y="0"/>
                          <a:ext cx="5760085" cy="2281549"/>
                          <a:chOff x="0" y="62865"/>
                          <a:chExt cx="5760085" cy="2282892"/>
                        </a:xfrm>
                      </wpg:grpSpPr>
                      <wps:wsp>
                        <wps:cNvPr id="118618063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53E725" w14:textId="77777777" w:rsidR="000002FE" w:rsidRDefault="000002FE" w:rsidP="000002FE">
                              <w:pPr>
                                <w:pStyle w:val="BoxTitle"/>
                                <w:spacing w:before="0" w:beforeAutospacing="0"/>
                              </w:pPr>
                              <w:r w:rsidRPr="007F6876">
                                <w:t>QUESTION</w:t>
                              </w:r>
                              <w:r>
                                <w:t>S</w:t>
                              </w:r>
                            </w:p>
                          </w:txbxContent>
                        </wps:txbx>
                        <wps:bodyPr rot="0" vert="horz" wrap="square" lIns="91440" tIns="0" rIns="0" bIns="45720" anchor="ctr" anchorCtr="0" upright="1">
                          <a:noAutofit/>
                        </wps:bodyPr>
                      </wps:wsp>
                      <wpg:grpSp>
                        <wpg:cNvPr id="1263729593" name="Group 53"/>
                        <wpg:cNvGrpSpPr>
                          <a:grpSpLocks/>
                        </wpg:cNvGrpSpPr>
                        <wpg:grpSpPr bwMode="auto">
                          <a:xfrm>
                            <a:off x="0" y="316077"/>
                            <a:ext cx="5760085" cy="2029680"/>
                            <a:chOff x="1837" y="1790"/>
                            <a:chExt cx="9302" cy="21924"/>
                          </a:xfrm>
                        </wpg:grpSpPr>
                        <wps:wsp>
                          <wps:cNvPr id="989837214" name="Freeform 54"/>
                          <wps:cNvSpPr>
                            <a:spLocks/>
                          </wps:cNvSpPr>
                          <wps:spPr bwMode="auto">
                            <a:xfrm>
                              <a:off x="1837" y="1790"/>
                              <a:ext cx="9302" cy="2192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285760" name="Group 402285760"/>
                        <wpg:cNvGrpSpPr/>
                        <wpg:grpSpPr>
                          <a:xfrm>
                            <a:off x="0" y="494036"/>
                            <a:ext cx="1443794" cy="252000"/>
                            <a:chOff x="-15880" y="0"/>
                            <a:chExt cx="1444379" cy="252068"/>
                          </a:xfrm>
                        </wpg:grpSpPr>
                        <wps:wsp>
                          <wps:cNvPr id="61659740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5095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D77CB6" w14:textId="77777777" w:rsidR="000002FE" w:rsidRDefault="000002FE" w:rsidP="000002FE">
                                <w:pPr>
                                  <w:pStyle w:val="BoxTitle"/>
                                  <w:spacing w:before="0" w:beforeAutospacing="0"/>
                                  <w:rPr>
                                    <w:sz w:val="18"/>
                                    <w:szCs w:val="18"/>
                                  </w:rPr>
                                </w:pPr>
                                <w:r w:rsidRPr="00E90B8A">
                                  <w:rPr>
                                    <w:sz w:val="18"/>
                                    <w:szCs w:val="18"/>
                                  </w:rPr>
                                  <w:t>Q</w:t>
                                </w:r>
                                <w:r>
                                  <w:rPr>
                                    <w:sz w:val="18"/>
                                    <w:szCs w:val="18"/>
                                  </w:rPr>
                                  <w:t>41</w:t>
                                </w:r>
                              </w:p>
                              <w:p w14:paraId="75D83F23" w14:textId="77777777" w:rsidR="000002FE" w:rsidRPr="00E90B8A" w:rsidRDefault="000002FE" w:rsidP="000002FE">
                                <w:pPr>
                                  <w:pStyle w:val="BoxTitle"/>
                                  <w:spacing w:before="0" w:beforeAutospacing="0"/>
                                  <w:rPr>
                                    <w:sz w:val="18"/>
                                    <w:szCs w:val="18"/>
                                  </w:rPr>
                                </w:pPr>
                                <w:r w:rsidRPr="00E90B8A">
                                  <w:rPr>
                                    <w:sz w:val="18"/>
                                    <w:szCs w:val="18"/>
                                  </w:rPr>
                                  <w:t>Q</w:t>
                                </w:r>
                                <w:r>
                                  <w:rPr>
                                    <w:sz w:val="18"/>
                                    <w:szCs w:val="18"/>
                                  </w:rPr>
                                  <w:t>43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037D565" id="Group 1374376270" o:spid="_x0000_s1242" alt="Question" style="position:absolute;left:0;text-align:left;margin-left:0;margin-top:-.05pt;width:453.55pt;height:179.65pt;z-index:-251662340;mso-height-relative:margin" coordorigin=",628" coordsize="57600,22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">
                <v:shape id="Freeform 52" o:spid="_x0000_s124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F53E725" w14:textId="77777777" w:rsidR="000002FE" w:rsidRDefault="000002FE" w:rsidP="000002FE">
                        <w:pPr>
                          <w:pStyle w:val="BoxTitle"/>
                          <w:spacing w:before="0" w:beforeAutospacing="0"/>
                        </w:pPr>
                        <w:r w:rsidRPr="007F6876">
                          <w:t>QUESTION</w:t>
                        </w:r>
                        <w:r>
                          <w:t>S</w:t>
                        </w:r>
                      </w:p>
                    </w:txbxContent>
                  </v:textbox>
                </v:shape>
                <v:group id="Group 53" o:spid="_x0000_s1244" style="position:absolute;top:3160;width:57600;height:20297" coordorigin="1837,1790" coordsize="9302,2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">
                  <v:shape id="Freeform 54" o:spid="_x0000_s1245" style="position:absolute;left:1837;top:1790;width:9302;height:2192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" path="m,l9354,r,7809l,7809,,e" fillcolor="#edf2ea" stroked="f">
                    <v:path arrowok="t" o:connecttype="custom" o:connectlocs="0,2808;9302,2808;9302,24732;0,24732;0,2808" o:connectangles="0,0,0,0,0"/>
                  </v:shape>
                </v:group>
                <v:group id="Group 402285760" o:spid="_x0000_s124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">
                  <v:shape id="Freeform 58" o:spid="_x0000_s124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" path="m,l1815,e" filled="f" strokecolor="#72ab6a" strokeweight=".5pt">
                    <v:path arrowok="t" o:connecttype="custom" o:connectlocs="0,0;1073495,0" o:connectangles="0,0"/>
                  </v:shape>
                  <v:shape id="Freeform 66" o:spid="_x0000_s124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0D77CB6" w14:textId="77777777" w:rsidR="000002FE" w:rsidRDefault="000002FE" w:rsidP="000002FE">
                          <w:pPr>
                            <w:pStyle w:val="BoxTitle"/>
                            <w:spacing w:before="0" w:beforeAutospacing="0"/>
                            <w:rPr>
                              <w:sz w:val="18"/>
                              <w:szCs w:val="18"/>
                            </w:rPr>
                          </w:pPr>
                          <w:r w:rsidRPr="00E90B8A">
                            <w:rPr>
                              <w:sz w:val="18"/>
                              <w:szCs w:val="18"/>
                            </w:rPr>
                            <w:t>Q</w:t>
                          </w:r>
                          <w:r>
                            <w:rPr>
                              <w:sz w:val="18"/>
                              <w:szCs w:val="18"/>
                            </w:rPr>
                            <w:t>41</w:t>
                          </w:r>
                        </w:p>
                        <w:p w14:paraId="75D83F23" w14:textId="77777777" w:rsidR="000002FE" w:rsidRPr="00E90B8A" w:rsidRDefault="000002FE" w:rsidP="000002FE">
                          <w:pPr>
                            <w:pStyle w:val="BoxTitle"/>
                            <w:spacing w:before="0" w:beforeAutospacing="0"/>
                            <w:rPr>
                              <w:sz w:val="18"/>
                              <w:szCs w:val="18"/>
                            </w:rPr>
                          </w:pPr>
                          <w:r w:rsidRPr="00E90B8A">
                            <w:rPr>
                              <w:sz w:val="18"/>
                              <w:szCs w:val="18"/>
                            </w:rPr>
                            <w:t>Q</w:t>
                          </w:r>
                          <w:r>
                            <w:rPr>
                              <w:sz w:val="18"/>
                              <w:szCs w:val="18"/>
                            </w:rPr>
                            <w:t>43</w:t>
                          </w:r>
                        </w:p>
                      </w:txbxContent>
                    </v:textbox>
                  </v:shape>
                </v:group>
              </v:group>
            </w:pict>
          </mc:Fallback>
        </mc:AlternateContent>
      </w:r>
    </w:p>
    <w:p w14:paraId="443743C4" w14:textId="77777777" w:rsidR="00F028B2" w:rsidRDefault="00F028B2" w:rsidP="00DA3A0D">
      <w:pPr>
        <w:pStyle w:val="QuestionBox"/>
      </w:pPr>
    </w:p>
    <w:p w14:paraId="7CC6EA9A" w14:textId="7E4550BC" w:rsidR="00DA3A0D" w:rsidRPr="008642D1" w:rsidRDefault="00C07E13" w:rsidP="00DA3A0D">
      <w:pPr>
        <w:pStyle w:val="QuestionBox"/>
      </w:pPr>
      <w:r w:rsidRPr="008642D1">
        <w:t xml:space="preserve">If new grounds of discrimination are added to the Human Rights Act </w:t>
      </w:r>
      <w:r w:rsidR="00EC4A24" w:rsidRPr="00EC4A24">
        <w:t xml:space="preserve">1993, should there be a new exception </w:t>
      </w:r>
      <w:r w:rsidR="0052276D">
        <w:t>t</w:t>
      </w:r>
      <w:r w:rsidR="00C035BC">
        <w:t>o</w:t>
      </w:r>
      <w:r w:rsidR="00EC4A24" w:rsidRPr="00EC4A24">
        <w:t xml:space="preserve"> allow insurers to offer different terms and conditions based on whether someone is</w:t>
      </w:r>
      <w:r w:rsidRPr="008642D1">
        <w:t xml:space="preserve"> transgender</w:t>
      </w:r>
      <w:r w:rsidR="00846240">
        <w:t xml:space="preserve"> or</w:t>
      </w:r>
      <w:r w:rsidRPr="008642D1">
        <w:t xml:space="preserve"> non-binary or </w:t>
      </w:r>
      <w:r w:rsidR="00EC4A24" w:rsidRPr="00EC4A24">
        <w:t>has</w:t>
      </w:r>
      <w:r w:rsidRPr="008642D1">
        <w:t xml:space="preserve"> an innate variation of sex characteristics</w:t>
      </w:r>
      <w:r w:rsidR="00EC4A24" w:rsidRPr="00EC4A24">
        <w:t>?</w:t>
      </w:r>
    </w:p>
    <w:p w14:paraId="3A992441" w14:textId="0B8A23F0" w:rsidR="004C2234" w:rsidRDefault="004C2234" w:rsidP="00DA3A0D">
      <w:pPr>
        <w:pStyle w:val="QuestionBox"/>
      </w:pPr>
      <w:r w:rsidRPr="008642D1">
        <w:rPr>
          <w:noProof/>
        </w:rPr>
        <mc:AlternateContent>
          <mc:Choice Requires="wpg">
            <w:drawing>
              <wp:anchor distT="0" distB="0" distL="114300" distR="114300" simplePos="0" relativeHeight="251658346" behindDoc="1" locked="0" layoutInCell="1" allowOverlap="1" wp14:anchorId="3149AACE" wp14:editId="6F6D9892">
                <wp:simplePos x="0" y="0"/>
                <wp:positionH relativeFrom="column">
                  <wp:posOffset>-3810</wp:posOffset>
                </wp:positionH>
                <wp:positionV relativeFrom="paragraph">
                  <wp:posOffset>160818</wp:posOffset>
                </wp:positionV>
                <wp:extent cx="1443355" cy="251460"/>
                <wp:effectExtent l="0" t="0" r="42545" b="0"/>
                <wp:wrapNone/>
                <wp:docPr id="389113604"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70593075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28131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0193C8" w14:textId="77777777" w:rsidR="00B54755" w:rsidRDefault="00D770B5" w:rsidP="00D770B5">
                              <w:pPr>
                                <w:pStyle w:val="BoxTitle"/>
                                <w:spacing w:before="0" w:beforeAutospacing="0"/>
                                <w:rPr>
                                  <w:sz w:val="18"/>
                                  <w:szCs w:val="18"/>
                                </w:rPr>
                              </w:pPr>
                              <w:r w:rsidRPr="00E90B8A">
                                <w:rPr>
                                  <w:sz w:val="18"/>
                                  <w:szCs w:val="18"/>
                                </w:rPr>
                                <w:t>Q</w:t>
                              </w:r>
                              <w:r>
                                <w:rPr>
                                  <w:sz w:val="18"/>
                                  <w:szCs w:val="18"/>
                                </w:rPr>
                                <w:t>4</w:t>
                              </w:r>
                              <w:r w:rsidR="00B77F4F">
                                <w:rPr>
                                  <w:sz w:val="18"/>
                                  <w:szCs w:val="18"/>
                                </w:rPr>
                                <w:t>2</w:t>
                              </w:r>
                            </w:p>
                            <w:p w14:paraId="6FDAF82B" w14:textId="3C6C5B91" w:rsidR="00D770B5" w:rsidRPr="00E90B8A" w:rsidRDefault="00D770B5" w:rsidP="00D770B5">
                              <w:pPr>
                                <w:pStyle w:val="BoxTitle"/>
                                <w:spacing w:before="0" w:beforeAutospacing="0"/>
                                <w:rPr>
                                  <w:sz w:val="18"/>
                                  <w:szCs w:val="18"/>
                                </w:rPr>
                              </w:pPr>
                              <w:r w:rsidRPr="00E90B8A">
                                <w:rPr>
                                  <w:sz w:val="18"/>
                                  <w:szCs w:val="18"/>
                                </w:rPr>
                                <w:t>Q</w:t>
                              </w:r>
                              <w:r>
                                <w:rPr>
                                  <w:sz w:val="18"/>
                                  <w:szCs w:val="18"/>
                                </w:rPr>
                                <w:t>4</w:t>
                              </w:r>
                              <w:r w:rsidR="004C2234">
                                <w:rPr>
                                  <w:sz w:val="18"/>
                                  <w:szCs w:val="18"/>
                                </w:rPr>
                                <w:t>4</w:t>
                              </w:r>
                            </w:p>
                          </w:txbxContent>
                        </wps:txbx>
                        <wps:bodyPr rot="0" vert="horz" wrap="square" lIns="54000" tIns="82800" rIns="91440" bIns="45720" anchor="ctr" anchorCtr="0" upright="1">
                          <a:noAutofit/>
                        </wps:bodyPr>
                      </wps:wsp>
                    </wpg:wgp>
                  </a:graphicData>
                </a:graphic>
              </wp:anchor>
            </w:drawing>
          </mc:Choice>
          <mc:Fallback>
            <w:pict>
              <v:group w14:anchorId="3149AACE" id="_x0000_s1249" style="position:absolute;left:0;text-align:left;margin-left:-.3pt;margin-top:12.65pt;width:113.65pt;height:19.8pt;z-index:-251658134"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">
                <v:shape id="Freeform 58" o:spid="_x0000_s125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" path="m,l1815,e" filled="f" strokecolor="#72ab6a" strokeweight=".5pt">
                  <v:path arrowok="t" o:connecttype="custom" o:connectlocs="0,0;1073495,0" o:connectangles="0,0"/>
                </v:shape>
                <v:shape id="Freeform 66" o:spid="_x0000_s125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40193C8" w14:textId="77777777" w:rsidR="00B54755" w:rsidRDefault="00D770B5" w:rsidP="00D770B5">
                        <w:pPr>
                          <w:pStyle w:val="BoxTitle"/>
                          <w:spacing w:before="0" w:beforeAutospacing="0"/>
                          <w:rPr>
                            <w:sz w:val="18"/>
                            <w:szCs w:val="18"/>
                          </w:rPr>
                        </w:pPr>
                        <w:r w:rsidRPr="00E90B8A">
                          <w:rPr>
                            <w:sz w:val="18"/>
                            <w:szCs w:val="18"/>
                          </w:rPr>
                          <w:t>Q</w:t>
                        </w:r>
                        <w:r>
                          <w:rPr>
                            <w:sz w:val="18"/>
                            <w:szCs w:val="18"/>
                          </w:rPr>
                          <w:t>4</w:t>
                        </w:r>
                        <w:r w:rsidR="00B77F4F">
                          <w:rPr>
                            <w:sz w:val="18"/>
                            <w:szCs w:val="18"/>
                          </w:rPr>
                          <w:t>2</w:t>
                        </w:r>
                      </w:p>
                      <w:p w14:paraId="6FDAF82B" w14:textId="3C6C5B91" w:rsidR="00D770B5" w:rsidRPr="00E90B8A" w:rsidRDefault="00D770B5" w:rsidP="00D770B5">
                        <w:pPr>
                          <w:pStyle w:val="BoxTitle"/>
                          <w:spacing w:before="0" w:beforeAutospacing="0"/>
                          <w:rPr>
                            <w:sz w:val="18"/>
                            <w:szCs w:val="18"/>
                          </w:rPr>
                        </w:pPr>
                        <w:r w:rsidRPr="00E90B8A">
                          <w:rPr>
                            <w:sz w:val="18"/>
                            <w:szCs w:val="18"/>
                          </w:rPr>
                          <w:t>Q</w:t>
                        </w:r>
                        <w:r>
                          <w:rPr>
                            <w:sz w:val="18"/>
                            <w:szCs w:val="18"/>
                          </w:rPr>
                          <w:t>4</w:t>
                        </w:r>
                        <w:r w:rsidR="004C2234">
                          <w:rPr>
                            <w:sz w:val="18"/>
                            <w:szCs w:val="18"/>
                          </w:rPr>
                          <w:t>4</w:t>
                        </w:r>
                      </w:p>
                    </w:txbxContent>
                  </v:textbox>
                </v:shape>
              </v:group>
            </w:pict>
          </mc:Fallback>
        </mc:AlternateContent>
      </w:r>
    </w:p>
    <w:p w14:paraId="07ABCA3B" w14:textId="6F98238F" w:rsidR="00D770B5" w:rsidRPr="008642D1" w:rsidRDefault="00D770B5" w:rsidP="00DA3A0D">
      <w:pPr>
        <w:pStyle w:val="QuestionBox"/>
      </w:pPr>
      <w:r w:rsidRPr="00D770B5">
        <w:t>Do you have any additional feedback on the practical implications of amending the insurance exception in section 48 or creating a new insurance exception?</w:t>
      </w:r>
    </w:p>
    <w:p w14:paraId="51A8180F" w14:textId="77777777" w:rsidR="00C07E13" w:rsidRPr="008642D1" w:rsidRDefault="00C07E13" w:rsidP="00C07E13">
      <w:pPr>
        <w:pStyle w:val="BodyText"/>
        <w:numPr>
          <w:ilvl w:val="0"/>
          <w:numId w:val="0"/>
        </w:numPr>
        <w:tabs>
          <w:tab w:val="clear" w:pos="709"/>
        </w:tabs>
      </w:pPr>
    </w:p>
    <w:p w14:paraId="2CC4D344" w14:textId="77777777" w:rsidR="00174F89" w:rsidRDefault="00174F89" w:rsidP="00174F89">
      <w:pPr>
        <w:pStyle w:val="BodyText"/>
        <w:numPr>
          <w:ilvl w:val="0"/>
          <w:numId w:val="0"/>
        </w:numPr>
        <w:ind w:left="709"/>
      </w:pPr>
    </w:p>
    <w:p w14:paraId="20108FEE" w14:textId="77777777" w:rsidR="004C2234" w:rsidRPr="008642D1" w:rsidRDefault="004C2234" w:rsidP="00174F89">
      <w:pPr>
        <w:pStyle w:val="BodyText"/>
        <w:numPr>
          <w:ilvl w:val="0"/>
          <w:numId w:val="0"/>
        </w:numPr>
        <w:ind w:left="709"/>
      </w:pPr>
    </w:p>
    <w:p w14:paraId="15E9A87B" w14:textId="77777777" w:rsidR="00174F89" w:rsidRPr="008642D1" w:rsidRDefault="00174F89" w:rsidP="00174F89">
      <w:pPr>
        <w:pStyle w:val="BodyText"/>
        <w:numPr>
          <w:ilvl w:val="0"/>
          <w:numId w:val="0"/>
        </w:numPr>
        <w:ind w:left="709"/>
      </w:pPr>
    </w:p>
    <w:p w14:paraId="3FF122D1" w14:textId="77777777" w:rsidR="00174F89" w:rsidRPr="008642D1" w:rsidRDefault="00174F89" w:rsidP="00174F89">
      <w:pPr>
        <w:pStyle w:val="BodyText"/>
        <w:numPr>
          <w:ilvl w:val="0"/>
          <w:numId w:val="0"/>
        </w:numPr>
        <w:ind w:left="709"/>
        <w:sectPr w:rsidR="00174F89" w:rsidRPr="008642D1" w:rsidSect="00174F89">
          <w:headerReference w:type="default" r:id="rId51"/>
          <w:footerReference w:type="even" r:id="rId52"/>
          <w:footerReference w:type="default" r:id="rId53"/>
          <w:footnotePr>
            <w:numRestart w:val="eachSect"/>
          </w:footnotePr>
          <w:pgSz w:w="11920" w:h="16840"/>
          <w:pgMar w:top="1134" w:right="1134" w:bottom="1134" w:left="1701" w:header="499" w:footer="46" w:gutter="0"/>
          <w:cols w:space="720"/>
        </w:sectPr>
      </w:pPr>
      <w:r w:rsidRPr="008642D1">
        <w:rPr>
          <w:rFonts w:eastAsiaTheme="minorHAnsi"/>
          <w:noProof/>
          <w:lang w:eastAsia="en-NZ"/>
        </w:rPr>
        <mc:AlternateContent>
          <mc:Choice Requires="wpg">
            <w:drawing>
              <wp:anchor distT="0" distB="0" distL="114300" distR="114300" simplePos="0" relativeHeight="251658279" behindDoc="1" locked="0" layoutInCell="1" allowOverlap="1" wp14:anchorId="03C97B19" wp14:editId="638414BE">
                <wp:simplePos x="0" y="0"/>
                <wp:positionH relativeFrom="page">
                  <wp:posOffset>1080135</wp:posOffset>
                </wp:positionH>
                <wp:positionV relativeFrom="paragraph">
                  <wp:posOffset>-248285</wp:posOffset>
                </wp:positionV>
                <wp:extent cx="1800000" cy="1270"/>
                <wp:effectExtent l="0" t="19050" r="10160" b="17780"/>
                <wp:wrapNone/>
                <wp:docPr id="1283975180" name="Group 1283975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134" y="-469"/>
                          <a:chExt cx="2098" cy="2"/>
                        </a:xfrm>
                      </wpg:grpSpPr>
                      <wps:wsp>
                        <wps:cNvPr id="1852173106"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F1719" id="Group 1283975180" o:spid="_x0000_s1026" style="position:absolute;margin-left:85.05pt;margin-top:-19.55pt;width:141.75pt;height:.1pt;z-index:-251658201;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" path="m,l2097,e" filled="f" strokecolor="#72ab6a" strokeweight="3pt">
                  <v:path arrowok="t" o:connecttype="custom" o:connectlocs="0,0;2097,0" o:connectangles="0,0"/>
                </v:shape>
                <w10:wrap anchorx="page"/>
              </v:group>
            </w:pict>
          </mc:Fallback>
        </mc:AlternateContent>
      </w:r>
    </w:p>
    <w:p w14:paraId="20D1853E" w14:textId="722F9487" w:rsidR="00174F89" w:rsidRPr="008642D1" w:rsidRDefault="00174F89" w:rsidP="00174F89">
      <w:pPr>
        <w:pStyle w:val="HEADING2topchapter-notinTOC"/>
      </w:pPr>
      <w:r w:rsidRPr="008642D1">
        <w:lastRenderedPageBreak/>
        <w:t>CHAPTER 1</w:t>
      </w:r>
      <w:r w:rsidR="002B7812" w:rsidRPr="008642D1">
        <w:t>1</w:t>
      </w:r>
    </w:p>
    <w:p w14:paraId="20F162C8" w14:textId="77777777" w:rsidR="00174F89" w:rsidRPr="008642D1" w:rsidRDefault="00174F89" w:rsidP="00174F89">
      <w:pPr>
        <w:spacing w:line="200" w:lineRule="exact"/>
        <w:rPr>
          <w:szCs w:val="20"/>
        </w:rPr>
      </w:pPr>
      <w:r w:rsidRPr="008642D1">
        <w:rPr>
          <w:noProof/>
          <w:lang w:eastAsia="en-NZ"/>
        </w:rPr>
        <mc:AlternateContent>
          <mc:Choice Requires="wpg">
            <w:drawing>
              <wp:anchor distT="0" distB="0" distL="114300" distR="114300" simplePos="0" relativeHeight="251658274" behindDoc="1" locked="0" layoutInCell="1" allowOverlap="1" wp14:anchorId="5D1CB2BC" wp14:editId="3101BDD9">
                <wp:simplePos x="0" y="0"/>
                <wp:positionH relativeFrom="page">
                  <wp:posOffset>1076325</wp:posOffset>
                </wp:positionH>
                <wp:positionV relativeFrom="paragraph">
                  <wp:posOffset>6350</wp:posOffset>
                </wp:positionV>
                <wp:extent cx="1332230" cy="1270"/>
                <wp:effectExtent l="0" t="19050" r="1270" b="17780"/>
                <wp:wrapNone/>
                <wp:docPr id="1902884842" name="Group 1902884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158519562"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DF2573" id="Group 1902884842" o:spid="_x0000_s1026" style="position:absolute;margin-left:84.75pt;margin-top:.5pt;width:104.9pt;height:.1pt;z-index:-251658206;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67676287" w14:textId="77777777" w:rsidR="00174F89" w:rsidRPr="008642D1" w:rsidRDefault="00174F89" w:rsidP="00DF306B">
      <w:pPr>
        <w:pStyle w:val="Heading1nonum"/>
        <w:numPr>
          <w:ilvl w:val="0"/>
          <w:numId w:val="24"/>
        </w:numPr>
        <w:spacing w:before="600" w:after="240"/>
        <w:rPr>
          <w:rFonts w:eastAsia="Metropolis Black"/>
        </w:rPr>
      </w:pPr>
      <w:bookmarkStart w:id="120" w:name="_Toc166844450"/>
      <w:bookmarkStart w:id="121" w:name="_Toc170302167"/>
      <w:r w:rsidRPr="008642D1">
        <w:rPr>
          <w:rFonts w:eastAsia="Metropolis Black"/>
        </w:rPr>
        <w:t>Land, housing and accommodation</w:t>
      </w:r>
      <w:bookmarkEnd w:id="120"/>
      <w:bookmarkEnd w:id="121"/>
    </w:p>
    <w:p w14:paraId="043BC703" w14:textId="77777777" w:rsidR="00174F89" w:rsidRPr="008642D1" w:rsidRDefault="00174F89" w:rsidP="00174F89">
      <w:pPr>
        <w:spacing w:line="200" w:lineRule="exact"/>
        <w:rPr>
          <w:szCs w:val="20"/>
        </w:rPr>
      </w:pPr>
      <w:r w:rsidRPr="008642D1">
        <w:rPr>
          <w:noProof/>
          <w:lang w:eastAsia="en-NZ"/>
        </w:rPr>
        <mc:AlternateContent>
          <mc:Choice Requires="wpg">
            <w:drawing>
              <wp:anchor distT="0" distB="0" distL="114300" distR="114300" simplePos="0" relativeHeight="251658273" behindDoc="1" locked="0" layoutInCell="1" allowOverlap="1" wp14:anchorId="2ADD08B9" wp14:editId="7CA46158">
                <wp:simplePos x="0" y="0"/>
                <wp:positionH relativeFrom="page">
                  <wp:posOffset>1087427</wp:posOffset>
                </wp:positionH>
                <wp:positionV relativeFrom="paragraph">
                  <wp:posOffset>71755</wp:posOffset>
                </wp:positionV>
                <wp:extent cx="1332230" cy="1270"/>
                <wp:effectExtent l="0" t="19050" r="1270" b="17780"/>
                <wp:wrapNone/>
                <wp:docPr id="1247300393" name="Group 1247300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961432913"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7EDBF" id="Group 1247300393" o:spid="_x0000_s1026" style="position:absolute;margin-left:85.6pt;margin-top:5.65pt;width:104.9pt;height:.1pt;z-index:-251658207;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" path="m,l2098,e" filled="f" strokecolor="#73ab6e" strokeweight="3pt">
                  <v:path arrowok="t" o:connecttype="custom" o:connectlocs="0,0;2098,0" o:connectangles="0,0"/>
                </v:shape>
                <w10:wrap anchorx="page"/>
              </v:group>
            </w:pict>
          </mc:Fallback>
        </mc:AlternateContent>
      </w:r>
    </w:p>
    <w:p w14:paraId="044E7C22" w14:textId="77777777" w:rsidR="00174F89" w:rsidRPr="008642D1" w:rsidRDefault="00174F89" w:rsidP="00174F89"/>
    <w:p w14:paraId="51FCE71D" w14:textId="77777777" w:rsidR="00174F89" w:rsidRPr="008642D1" w:rsidRDefault="00174F89" w:rsidP="00174F89">
      <w:pPr>
        <w:pStyle w:val="Heading2"/>
      </w:pPr>
      <w:bookmarkStart w:id="122" w:name="_Toc166844451"/>
      <w:bookmarkStart w:id="123" w:name="_Toc170302168"/>
      <w:r w:rsidRPr="008642D1">
        <w:t>Introduction</w:t>
      </w:r>
      <w:bookmarkEnd w:id="122"/>
      <w:bookmarkEnd w:id="123"/>
    </w:p>
    <w:p w14:paraId="36C87FAD" w14:textId="7AB26548" w:rsidR="003B3732" w:rsidRPr="008642D1" w:rsidRDefault="003B3732" w:rsidP="003B3732">
      <w:pPr>
        <w:pStyle w:val="BodyText"/>
      </w:pPr>
      <w:r w:rsidRPr="008642D1">
        <w:t>In this chapter</w:t>
      </w:r>
      <w:r w:rsidR="00F73235">
        <w:t>,</w:t>
      </w:r>
      <w:r w:rsidRPr="008642D1">
        <w:t xml:space="preserve"> we discuss the protections in Part 2 of the Human Rights Act 1993 that relate to land, housing and accommodation. These are found in section 53. We seek feedback on the implications for section 53 of adding new prohibited grounds of discrimination to the Human Rights Act. We identify one exception to section 53 for discussion and feedback. We also identify the implications of our review for </w:t>
      </w:r>
      <w:r w:rsidR="005B15A4">
        <w:t>the R</w:t>
      </w:r>
      <w:r w:rsidRPr="008642D1">
        <w:t xml:space="preserve">esidential </w:t>
      </w:r>
      <w:r w:rsidR="005B15A4">
        <w:t>T</w:t>
      </w:r>
      <w:r w:rsidRPr="008642D1">
        <w:t>enancies</w:t>
      </w:r>
      <w:r w:rsidR="005B15A4">
        <w:t xml:space="preserve"> Act 1986</w:t>
      </w:r>
      <w:r w:rsidRPr="008642D1">
        <w:t xml:space="preserve">. </w:t>
      </w:r>
    </w:p>
    <w:p w14:paraId="44D6D41B" w14:textId="77777777" w:rsidR="003B3732" w:rsidRPr="008642D1" w:rsidRDefault="003B3732" w:rsidP="003B3732">
      <w:pPr>
        <w:pStyle w:val="BodyText"/>
      </w:pPr>
      <w:r w:rsidRPr="008642D1">
        <w:t>We recommend reading this chapter alongside Chapter 8, which explains our approach to reviewing Part 2 of the Human Rights Act.</w:t>
      </w:r>
    </w:p>
    <w:p w14:paraId="0093FBDC" w14:textId="77777777" w:rsidR="003B3732" w:rsidRPr="008642D1" w:rsidRDefault="003B3732" w:rsidP="003B3732">
      <w:pPr>
        <w:pStyle w:val="Heading2"/>
      </w:pPr>
      <w:bookmarkStart w:id="124" w:name="_Toc170302169"/>
      <w:r w:rsidRPr="008642D1">
        <w:t>Scope of protection</w:t>
      </w:r>
      <w:bookmarkEnd w:id="124"/>
      <w:r w:rsidRPr="008642D1">
        <w:t xml:space="preserve"> </w:t>
      </w:r>
    </w:p>
    <w:p w14:paraId="4831D78D" w14:textId="77777777" w:rsidR="003B3732" w:rsidRPr="008642D1" w:rsidRDefault="003B3732" w:rsidP="003B3732">
      <w:pPr>
        <w:pStyle w:val="BodyText"/>
      </w:pPr>
      <w:r w:rsidRPr="008642D1">
        <w:t>Section 53(1) of the Human Rights Act sets out five activities that</w:t>
      </w:r>
      <w:r w:rsidRPr="008642D1" w:rsidDel="002367FC">
        <w:t xml:space="preserve"> </w:t>
      </w:r>
      <w:r w:rsidRPr="008642D1">
        <w:t xml:space="preserve">are prohibited when done by reason of a prohibited ground: </w:t>
      </w:r>
    </w:p>
    <w:p w14:paraId="3B2711A5" w14:textId="49C5B671" w:rsidR="003B3732" w:rsidRPr="008642D1" w:rsidRDefault="003B3732" w:rsidP="004F077C">
      <w:pPr>
        <w:pStyle w:val="BodyText2"/>
        <w:numPr>
          <w:ilvl w:val="3"/>
          <w:numId w:val="74"/>
        </w:numPr>
      </w:pPr>
      <w:r w:rsidRPr="008642D1">
        <w:t>refusing or failing to dispose of land or accommodation to someone</w:t>
      </w:r>
      <w:r w:rsidRPr="008642D1" w:rsidDel="005C7ED8">
        <w:t xml:space="preserve">;  </w:t>
      </w:r>
    </w:p>
    <w:p w14:paraId="64DCA894" w14:textId="33A76E96" w:rsidR="003B3732" w:rsidRPr="008642D1" w:rsidRDefault="003B3732" w:rsidP="003B3732">
      <w:pPr>
        <w:pStyle w:val="BodyText2"/>
        <w:numPr>
          <w:ilvl w:val="3"/>
          <w:numId w:val="29"/>
        </w:numPr>
      </w:pPr>
      <w:r w:rsidRPr="008642D1" w:rsidDel="005C7ED8">
        <w:t>d</w:t>
      </w:r>
      <w:r w:rsidRPr="008642D1">
        <w:t>isposing of land or accommodation on less favourable terms</w:t>
      </w:r>
      <w:r w:rsidRPr="008642D1" w:rsidDel="005C7ED8">
        <w:t xml:space="preserve">; </w:t>
      </w:r>
    </w:p>
    <w:p w14:paraId="003C141B" w14:textId="504E7515" w:rsidR="003B3732" w:rsidRPr="008642D1" w:rsidRDefault="003B3732" w:rsidP="003B3732">
      <w:pPr>
        <w:pStyle w:val="BodyText2"/>
        <w:numPr>
          <w:ilvl w:val="3"/>
          <w:numId w:val="29"/>
        </w:numPr>
      </w:pPr>
      <w:r w:rsidRPr="008642D1" w:rsidDel="005C7ED8">
        <w:t>d</w:t>
      </w:r>
      <w:r w:rsidRPr="008642D1">
        <w:t>ifferent treatment of someone who is seeking land or accommodation</w:t>
      </w:r>
      <w:r w:rsidRPr="008642D1" w:rsidDel="005C7ED8">
        <w:t xml:space="preserve">; </w:t>
      </w:r>
    </w:p>
    <w:p w14:paraId="1BDBF739" w14:textId="13D1D822" w:rsidR="003B3732" w:rsidRPr="008642D1" w:rsidRDefault="003B3732" w:rsidP="003B3732">
      <w:pPr>
        <w:pStyle w:val="BodyText2"/>
        <w:numPr>
          <w:ilvl w:val="3"/>
          <w:numId w:val="29"/>
        </w:numPr>
      </w:pPr>
      <w:r w:rsidRPr="008642D1" w:rsidDel="005C7ED8">
        <w:t>d</w:t>
      </w:r>
      <w:r w:rsidRPr="008642D1">
        <w:t>enying someone the right to occupy any land or accommodation</w:t>
      </w:r>
      <w:r w:rsidRPr="008642D1" w:rsidDel="005C7ED8">
        <w:t>; and</w:t>
      </w:r>
      <w:r w:rsidRPr="008642D1">
        <w:t xml:space="preserve"> </w:t>
      </w:r>
    </w:p>
    <w:p w14:paraId="60A80E03" w14:textId="745D446D" w:rsidR="003B3732" w:rsidRPr="008642D1" w:rsidRDefault="003B3732" w:rsidP="003B3732">
      <w:pPr>
        <w:pStyle w:val="BodyText2"/>
        <w:numPr>
          <w:ilvl w:val="3"/>
          <w:numId w:val="29"/>
        </w:numPr>
      </w:pPr>
      <w:r w:rsidRPr="008642D1" w:rsidDel="005C7ED8">
        <w:t>t</w:t>
      </w:r>
      <w:r w:rsidRPr="008642D1">
        <w:t>erminating someone’s interest in any land or right to occupy any accommodation.</w:t>
      </w:r>
    </w:p>
    <w:p w14:paraId="2A2E7C2E" w14:textId="77777777" w:rsidR="003B3732" w:rsidRPr="008642D1" w:rsidRDefault="003B3732" w:rsidP="003B3732">
      <w:pPr>
        <w:pStyle w:val="BodyText"/>
      </w:pPr>
      <w:r w:rsidRPr="008642D1">
        <w:t>There is overlap between these five subsections. Examples of activities prohibited by section 53(1) include: refusing to sell or lease a house to someone, to sublet them a room or to book them a room in a hotel; charging someone a higher rent than others; subletting a room on less favourable conditions than are available to others; and evicting someone or terminating their lease.</w:t>
      </w:r>
    </w:p>
    <w:p w14:paraId="545ECA8D" w14:textId="77777777" w:rsidR="003B3732" w:rsidRPr="008642D1" w:rsidRDefault="003B3732" w:rsidP="003B3732">
      <w:pPr>
        <w:pStyle w:val="BodyText"/>
      </w:pPr>
      <w:r w:rsidRPr="008642D1">
        <w:t>The apparent scope of section 53(1) is narrowed significantly by a broad exception in section 54 for residential accommodation that is to be “shared with the person disposing of the accommodation”. This would include, for example, flatmates and boarders.</w:t>
      </w:r>
    </w:p>
    <w:p w14:paraId="538D54E5" w14:textId="77777777" w:rsidR="003B3732" w:rsidRPr="008642D1" w:rsidRDefault="003B3732" w:rsidP="003B3732">
      <w:pPr>
        <w:pStyle w:val="BodyText"/>
      </w:pPr>
      <w:r w:rsidRPr="008642D1">
        <w:t xml:space="preserve">Section 53(2) of the Human Rights Act prevents a person (such as a landlord) from requiring a person occupying their land or accommodation (such as a tenant) to limit the people who can come onto the property based on a prohibited ground of discrimination. </w:t>
      </w:r>
    </w:p>
    <w:p w14:paraId="6FFEAE94" w14:textId="39FBB612" w:rsidR="003B3732" w:rsidRPr="008642D1" w:rsidRDefault="003B3732" w:rsidP="003B3732">
      <w:pPr>
        <w:pStyle w:val="BodyText"/>
      </w:pPr>
      <w:r w:rsidRPr="008642D1">
        <w:lastRenderedPageBreak/>
        <w:t xml:space="preserve">Section 53 is not the only provision in the Act relevant to </w:t>
      </w:r>
      <w:r w:rsidR="005B15A4">
        <w:t xml:space="preserve">land, </w:t>
      </w:r>
      <w:r w:rsidRPr="008642D1">
        <w:t>housing</w:t>
      </w:r>
      <w:r w:rsidR="005B15A4">
        <w:t xml:space="preserve"> </w:t>
      </w:r>
      <w:r w:rsidRPr="008642D1">
        <w:t>and accommodation. As we explained in Chapter 8, discrimination by government departments or agencies exercising government functions would instead fall under Part 1A. Examples might be discrimination by Kāinga Ora | Homes and Communities when providing public housing</w:t>
      </w:r>
      <w:r w:rsidRPr="008642D1">
        <w:rPr>
          <w:vertAlign w:val="superscript"/>
        </w:rPr>
        <w:footnoteReference w:id="508"/>
      </w:r>
      <w:r w:rsidRPr="008642D1">
        <w:t xml:space="preserve"> or by Te Papa Atawhai | Department of Conservation when selling passes to huts and lodges. In situations where a service provider, school, university or employer provides accommodation, other provisions in Part 2 may also apply.</w:t>
      </w:r>
    </w:p>
    <w:p w14:paraId="187C585B" w14:textId="77777777" w:rsidR="003B3732" w:rsidRPr="008642D1" w:rsidRDefault="003B3732" w:rsidP="003B3732">
      <w:pPr>
        <w:pStyle w:val="Heading3"/>
      </w:pPr>
      <w:r w:rsidRPr="008642D1">
        <w:t>Is the scope of protection sufficient?</w:t>
      </w:r>
    </w:p>
    <w:p w14:paraId="755666CF" w14:textId="5C3D85CF" w:rsidR="003B3732" w:rsidRPr="008642D1" w:rsidRDefault="003B3732" w:rsidP="003B3732">
      <w:pPr>
        <w:pStyle w:val="BodyText"/>
        <w:rPr>
          <w:color w:val="auto"/>
        </w:rPr>
      </w:pPr>
      <w:r w:rsidRPr="008642D1">
        <w:t xml:space="preserve">We want to understand better whether the scope of section 53 is sufficient to capture issues of particular concern to people who are transgender or non-binary or who have an innate variation of sex characteristics. We understand the exception for flatmates and boarders may be an issue of particular concern to some people. </w:t>
      </w:r>
      <w:r w:rsidR="005C7ED8">
        <w:t>However</w:t>
      </w:r>
      <w:r w:rsidRPr="008642D1">
        <w:t>, for reasons discussed more fully elsewhere in the paper (especially Chapters 4 and 8), we think amendments to that exception would be outside the scope of our review. It applies to all prohibited grounds and reflects an underlying policy trade-off that we do not think is open for us to revisit.</w:t>
      </w:r>
    </w:p>
    <w:p w14:paraId="0EB3058B" w14:textId="77777777" w:rsidR="003B3732" w:rsidRPr="008642D1" w:rsidRDefault="003B3732" w:rsidP="003B3732">
      <w:pPr>
        <w:pStyle w:val="BodyText"/>
        <w:rPr>
          <w:color w:val="auto"/>
        </w:rPr>
      </w:pPr>
      <w:r w:rsidRPr="008642D1">
        <w:t>Putting aside the</w:t>
      </w:r>
      <w:r w:rsidRPr="008642D1">
        <w:rPr>
          <w:color w:val="auto"/>
        </w:rPr>
        <w:t xml:space="preserve"> exception for flatmates and boarders, we think section 53 is likely to cover the other main types of discrimination that might be experienced by people who are transgender or non-binary or who have innate variations of sex characteristics in relation to land, housing and accommodation. </w:t>
      </w:r>
      <w:r w:rsidRPr="008642D1">
        <w:t xml:space="preserve">As we discussed in Chapter 3, these include being denied a home or flat </w:t>
      </w:r>
      <w:r w:rsidRPr="008642D1">
        <w:rPr>
          <w:color w:val="auto"/>
        </w:rPr>
        <w:t xml:space="preserve">and being evicted. </w:t>
      </w:r>
    </w:p>
    <w:p w14:paraId="04E8602B" w14:textId="226C5BC2" w:rsidR="003B3732" w:rsidRPr="008642D1" w:rsidRDefault="003B3732" w:rsidP="003B3732">
      <w:pPr>
        <w:pStyle w:val="BodyText"/>
      </w:pPr>
      <w:r w:rsidRPr="008642D1">
        <w:t xml:space="preserve">We would also like to learn </w:t>
      </w:r>
      <w:r w:rsidR="00EC333F">
        <w:t xml:space="preserve">about </w:t>
      </w:r>
      <w:r w:rsidRPr="008642D1">
        <w:t>any other implications for section 53 of adding new prohibited grounds of discrimination. For example, we want to understand the implications for landlords or boarding house operators, and we want to know whether any new exceptions to section 53 would be desirable to ensure the Act appropriately balances relevant rights and interests. We have not thought of any but welcome feedback on this issue. (We discuss existing exceptions below.)</w:t>
      </w:r>
    </w:p>
    <w:p w14:paraId="6DE0945B" w14:textId="05015CBF" w:rsidR="000B5FE8" w:rsidRPr="008642D1" w:rsidRDefault="00BC616D" w:rsidP="000B5FE8">
      <w:pPr>
        <w:pStyle w:val="QuestionBox"/>
      </w:pPr>
      <w:r w:rsidRPr="008642D1">
        <w:rPr>
          <w:noProof/>
        </w:rPr>
        <mc:AlternateContent>
          <mc:Choice Requires="wpg">
            <w:drawing>
              <wp:anchor distT="0" distB="0" distL="114300" distR="114300" simplePos="0" relativeHeight="251658347" behindDoc="1" locked="0" layoutInCell="1" allowOverlap="1" wp14:anchorId="204FBDBE" wp14:editId="4D515906">
                <wp:simplePos x="0" y="0"/>
                <wp:positionH relativeFrom="column">
                  <wp:posOffset>520</wp:posOffset>
                </wp:positionH>
                <wp:positionV relativeFrom="paragraph">
                  <wp:posOffset>-66</wp:posOffset>
                </wp:positionV>
                <wp:extent cx="5760085" cy="2838264"/>
                <wp:effectExtent l="0" t="0" r="0" b="635"/>
                <wp:wrapNone/>
                <wp:docPr id="822965946" name="Group 822965946" descr="Question"/>
                <wp:cNvGraphicFramePr/>
                <a:graphic xmlns:a="http://schemas.openxmlformats.org/drawingml/2006/main">
                  <a:graphicData uri="http://schemas.microsoft.com/office/word/2010/wordprocessingGroup">
                    <wpg:wgp>
                      <wpg:cNvGrpSpPr/>
                      <wpg:grpSpPr>
                        <a:xfrm>
                          <a:off x="0" y="0"/>
                          <a:ext cx="5760085" cy="2838264"/>
                          <a:chOff x="0" y="62865"/>
                          <a:chExt cx="5760085" cy="2839934"/>
                        </a:xfrm>
                      </wpg:grpSpPr>
                      <wps:wsp>
                        <wps:cNvPr id="154760689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084510" w14:textId="77777777" w:rsidR="00BC616D" w:rsidRDefault="00BC616D" w:rsidP="00BC616D">
                              <w:pPr>
                                <w:pStyle w:val="BoxTitle"/>
                                <w:spacing w:before="0" w:beforeAutospacing="0"/>
                              </w:pPr>
                              <w:r w:rsidRPr="007F6876">
                                <w:t>QUESTION</w:t>
                              </w:r>
                              <w:r>
                                <w:t>S</w:t>
                              </w:r>
                            </w:p>
                          </w:txbxContent>
                        </wps:txbx>
                        <wps:bodyPr rot="0" vert="horz" wrap="square" lIns="91440" tIns="0" rIns="0" bIns="45720" anchor="ctr" anchorCtr="0" upright="1">
                          <a:noAutofit/>
                        </wps:bodyPr>
                      </wps:wsp>
                      <wpg:grpSp>
                        <wpg:cNvPr id="1044135604" name="Group 53"/>
                        <wpg:cNvGrpSpPr>
                          <a:grpSpLocks/>
                        </wpg:cNvGrpSpPr>
                        <wpg:grpSpPr bwMode="auto">
                          <a:xfrm>
                            <a:off x="0" y="316170"/>
                            <a:ext cx="5760085" cy="2586629"/>
                            <a:chOff x="1837" y="1791"/>
                            <a:chExt cx="9302" cy="27940"/>
                          </a:xfrm>
                        </wpg:grpSpPr>
                        <wps:wsp>
                          <wps:cNvPr id="330844955" name="Freeform 54"/>
                          <wps:cNvSpPr>
                            <a:spLocks/>
                          </wps:cNvSpPr>
                          <wps:spPr bwMode="auto">
                            <a:xfrm>
                              <a:off x="1837" y="1791"/>
                              <a:ext cx="9302" cy="2794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9763585" name="Group 1729763585"/>
                        <wpg:cNvGrpSpPr/>
                        <wpg:grpSpPr>
                          <a:xfrm>
                            <a:off x="0" y="494036"/>
                            <a:ext cx="1443794" cy="252000"/>
                            <a:chOff x="-15880" y="0"/>
                            <a:chExt cx="1444379" cy="252068"/>
                          </a:xfrm>
                        </wpg:grpSpPr>
                        <wps:wsp>
                          <wps:cNvPr id="140434293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3745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8F8679" w14:textId="77777777" w:rsidR="00B54755" w:rsidRDefault="00BC616D" w:rsidP="00BC616D">
                                <w:pPr>
                                  <w:pStyle w:val="BoxTitle"/>
                                  <w:spacing w:before="0" w:beforeAutospacing="0"/>
                                  <w:rPr>
                                    <w:sz w:val="18"/>
                                    <w:szCs w:val="18"/>
                                  </w:rPr>
                                </w:pPr>
                                <w:r w:rsidRPr="00E90B8A">
                                  <w:rPr>
                                    <w:sz w:val="18"/>
                                    <w:szCs w:val="18"/>
                                  </w:rPr>
                                  <w:t>Q</w:t>
                                </w:r>
                                <w:r>
                                  <w:rPr>
                                    <w:sz w:val="18"/>
                                    <w:szCs w:val="18"/>
                                  </w:rPr>
                                  <w:t>4</w:t>
                                </w:r>
                                <w:r w:rsidR="00B77F4F">
                                  <w:rPr>
                                    <w:sz w:val="18"/>
                                    <w:szCs w:val="18"/>
                                  </w:rPr>
                                  <w:t>3</w:t>
                                </w:r>
                              </w:p>
                              <w:p w14:paraId="52AF365A" w14:textId="6B8F2BC8" w:rsidR="00AF2429" w:rsidRDefault="00BC616D" w:rsidP="00BC616D">
                                <w:pPr>
                                  <w:pStyle w:val="BoxTitle"/>
                                  <w:spacing w:before="0" w:beforeAutospacing="0"/>
                                  <w:rPr>
                                    <w:sz w:val="18"/>
                                    <w:szCs w:val="18"/>
                                  </w:rPr>
                                </w:pPr>
                                <w:r w:rsidRPr="00E90B8A">
                                  <w:rPr>
                                    <w:sz w:val="18"/>
                                    <w:szCs w:val="18"/>
                                  </w:rPr>
                                  <w:t>Q</w:t>
                                </w:r>
                                <w:r>
                                  <w:rPr>
                                    <w:sz w:val="18"/>
                                    <w:szCs w:val="18"/>
                                  </w:rPr>
                                  <w:t>4</w:t>
                                </w:r>
                                <w:r w:rsidR="00601FE8">
                                  <w:rPr>
                                    <w:sz w:val="18"/>
                                    <w:szCs w:val="18"/>
                                  </w:rPr>
                                  <w:t>5</w:t>
                                </w:r>
                              </w:p>
                              <w:p w14:paraId="20CC4497" w14:textId="0E64F8F3" w:rsidR="00BC616D" w:rsidRPr="00E90B8A" w:rsidRDefault="00BC616D" w:rsidP="00BC616D">
                                <w:pPr>
                                  <w:pStyle w:val="BoxTitle"/>
                                  <w:spacing w:before="0" w:beforeAutospacing="0"/>
                                  <w:rPr>
                                    <w:sz w:val="18"/>
                                    <w:szCs w:val="18"/>
                                  </w:rPr>
                                </w:pPr>
                                <w:r w:rsidRPr="00E90B8A">
                                  <w:rPr>
                                    <w:sz w:val="18"/>
                                    <w:szCs w:val="18"/>
                                  </w:rPr>
                                  <w:t>Q</w:t>
                                </w:r>
                                <w:r>
                                  <w:rPr>
                                    <w:sz w:val="18"/>
                                    <w:szCs w:val="18"/>
                                  </w:rPr>
                                  <w:t>4</w:t>
                                </w:r>
                                <w:r w:rsidR="00912C67">
                                  <w:rPr>
                                    <w:sz w:val="18"/>
                                    <w:szCs w:val="18"/>
                                  </w:rPr>
                                  <w:t>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04FBDBE" id="Group 822965946" o:spid="_x0000_s1252" alt="Question" style="position:absolute;left:0;text-align:left;margin-left:.05pt;margin-top:0;width:453.55pt;height:223.5pt;z-index:-251658133;mso-height-relative:margin" coordorigin=",628" coordsize="57600,28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">
                <v:shape id="Freeform 52" o:spid="_x0000_s125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9084510" w14:textId="77777777" w:rsidR="00BC616D" w:rsidRDefault="00BC616D" w:rsidP="00BC616D">
                        <w:pPr>
                          <w:pStyle w:val="BoxTitle"/>
                          <w:spacing w:before="0" w:beforeAutospacing="0"/>
                        </w:pPr>
                        <w:r w:rsidRPr="007F6876">
                          <w:t>QUESTION</w:t>
                        </w:r>
                        <w:r>
                          <w:t>S</w:t>
                        </w:r>
                      </w:p>
                    </w:txbxContent>
                  </v:textbox>
                </v:shape>
                <v:group id="Group 53" o:spid="_x0000_s1254" style="position:absolute;top:3161;width:57600;height:25866" coordorigin="1837,1791" coordsize="9302,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">
                  <v:shape id="Freeform 54" o:spid="_x0000_s1255" style="position:absolute;left:1837;top:1791;width:9302;height:2794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" path="m,l9354,r,7809l,7809,,e" fillcolor="#edf2ea" stroked="f">
                    <v:path arrowok="t" o:connecttype="custom" o:connectlocs="0,3578;9302,3578;9302,31518;0,31518;0,3578" o:connectangles="0,0,0,0,0"/>
                  </v:shape>
                </v:group>
                <v:group id="Group 1729763585" o:spid="_x0000_s125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">
                  <v:shape id="Freeform 58" o:spid="_x0000_s125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" path="m,l1815,e" filled="f" strokecolor="#72ab6a" strokeweight=".5pt">
                    <v:path arrowok="t" o:connecttype="custom" o:connectlocs="0,0;1073495,0" o:connectangles="0,0"/>
                  </v:shape>
                  <v:shape id="Freeform 66" o:spid="_x0000_s125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E8F8679" w14:textId="77777777" w:rsidR="00B54755" w:rsidRDefault="00BC616D" w:rsidP="00BC616D">
                          <w:pPr>
                            <w:pStyle w:val="BoxTitle"/>
                            <w:spacing w:before="0" w:beforeAutospacing="0"/>
                            <w:rPr>
                              <w:sz w:val="18"/>
                              <w:szCs w:val="18"/>
                            </w:rPr>
                          </w:pPr>
                          <w:r w:rsidRPr="00E90B8A">
                            <w:rPr>
                              <w:sz w:val="18"/>
                              <w:szCs w:val="18"/>
                            </w:rPr>
                            <w:t>Q</w:t>
                          </w:r>
                          <w:r>
                            <w:rPr>
                              <w:sz w:val="18"/>
                              <w:szCs w:val="18"/>
                            </w:rPr>
                            <w:t>4</w:t>
                          </w:r>
                          <w:r w:rsidR="00B77F4F">
                            <w:rPr>
                              <w:sz w:val="18"/>
                              <w:szCs w:val="18"/>
                            </w:rPr>
                            <w:t>3</w:t>
                          </w:r>
                        </w:p>
                        <w:p w14:paraId="52AF365A" w14:textId="6B8F2BC8" w:rsidR="00AF2429" w:rsidRDefault="00BC616D" w:rsidP="00BC616D">
                          <w:pPr>
                            <w:pStyle w:val="BoxTitle"/>
                            <w:spacing w:before="0" w:beforeAutospacing="0"/>
                            <w:rPr>
                              <w:sz w:val="18"/>
                              <w:szCs w:val="18"/>
                            </w:rPr>
                          </w:pPr>
                          <w:r w:rsidRPr="00E90B8A">
                            <w:rPr>
                              <w:sz w:val="18"/>
                              <w:szCs w:val="18"/>
                            </w:rPr>
                            <w:t>Q</w:t>
                          </w:r>
                          <w:r>
                            <w:rPr>
                              <w:sz w:val="18"/>
                              <w:szCs w:val="18"/>
                            </w:rPr>
                            <w:t>4</w:t>
                          </w:r>
                          <w:r w:rsidR="00601FE8">
                            <w:rPr>
                              <w:sz w:val="18"/>
                              <w:szCs w:val="18"/>
                            </w:rPr>
                            <w:t>5</w:t>
                          </w:r>
                        </w:p>
                        <w:p w14:paraId="20CC4497" w14:textId="0E64F8F3" w:rsidR="00BC616D" w:rsidRPr="00E90B8A" w:rsidRDefault="00BC616D" w:rsidP="00BC616D">
                          <w:pPr>
                            <w:pStyle w:val="BoxTitle"/>
                            <w:spacing w:before="0" w:beforeAutospacing="0"/>
                            <w:rPr>
                              <w:sz w:val="18"/>
                              <w:szCs w:val="18"/>
                            </w:rPr>
                          </w:pPr>
                          <w:r w:rsidRPr="00E90B8A">
                            <w:rPr>
                              <w:sz w:val="18"/>
                              <w:szCs w:val="18"/>
                            </w:rPr>
                            <w:t>Q</w:t>
                          </w:r>
                          <w:r>
                            <w:rPr>
                              <w:sz w:val="18"/>
                              <w:szCs w:val="18"/>
                            </w:rPr>
                            <w:t>4</w:t>
                          </w:r>
                          <w:r w:rsidR="00912C67">
                            <w:rPr>
                              <w:sz w:val="18"/>
                              <w:szCs w:val="18"/>
                            </w:rPr>
                            <w:t>4</w:t>
                          </w:r>
                        </w:p>
                      </w:txbxContent>
                    </v:textbox>
                  </v:shape>
                </v:group>
              </v:group>
            </w:pict>
          </mc:Fallback>
        </mc:AlternateContent>
      </w:r>
    </w:p>
    <w:p w14:paraId="6232F943" w14:textId="77777777" w:rsidR="000B5FE8" w:rsidRPr="008642D1" w:rsidRDefault="000B5FE8" w:rsidP="000B5FE8">
      <w:pPr>
        <w:pStyle w:val="QuestionBox"/>
      </w:pPr>
    </w:p>
    <w:p w14:paraId="2D1BBFFB" w14:textId="6AD7BB3E" w:rsidR="00BE1C6B" w:rsidRDefault="00BE1C6B" w:rsidP="000B5FE8">
      <w:pPr>
        <w:pStyle w:val="QuestionBox"/>
      </w:pPr>
      <w:r w:rsidRPr="00BE1C6B">
        <w:t>Are the existing protections in the Human Rights Act 1993 relating to land, housing and accommodation sufficient to cover issues of particular concern to people who are transgender or non-binary or who have an innate variation of sex characteristics?</w:t>
      </w:r>
    </w:p>
    <w:p w14:paraId="5FF97320" w14:textId="3B46FB19" w:rsidR="000B5FE8" w:rsidRPr="008642D1" w:rsidRDefault="00296BE5" w:rsidP="000B5FE8">
      <w:pPr>
        <w:pStyle w:val="QuestionBox"/>
      </w:pPr>
      <w:r w:rsidRPr="008642D1">
        <w:rPr>
          <w:noProof/>
        </w:rPr>
        <mc:AlternateContent>
          <mc:Choice Requires="wpg">
            <w:drawing>
              <wp:anchor distT="0" distB="0" distL="114300" distR="114300" simplePos="0" relativeHeight="251658348" behindDoc="1" locked="0" layoutInCell="1" allowOverlap="1" wp14:anchorId="1A36E3D9" wp14:editId="039C6AD9">
                <wp:simplePos x="0" y="0"/>
                <wp:positionH relativeFrom="column">
                  <wp:posOffset>0</wp:posOffset>
                </wp:positionH>
                <wp:positionV relativeFrom="paragraph">
                  <wp:posOffset>169735</wp:posOffset>
                </wp:positionV>
                <wp:extent cx="1443355" cy="251460"/>
                <wp:effectExtent l="0" t="0" r="42545" b="0"/>
                <wp:wrapNone/>
                <wp:docPr id="1421597032"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82848957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681893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071DEB" w14:textId="77777777" w:rsidR="00B54755" w:rsidRDefault="00296BE5" w:rsidP="00296BE5">
                              <w:pPr>
                                <w:pStyle w:val="BoxTitle"/>
                                <w:spacing w:before="0" w:beforeAutospacing="0"/>
                                <w:rPr>
                                  <w:sz w:val="18"/>
                                  <w:szCs w:val="18"/>
                                </w:rPr>
                              </w:pPr>
                              <w:r w:rsidRPr="00E90B8A">
                                <w:rPr>
                                  <w:sz w:val="18"/>
                                  <w:szCs w:val="18"/>
                                </w:rPr>
                                <w:t>Q</w:t>
                              </w:r>
                              <w:r w:rsidR="0084370C">
                                <w:rPr>
                                  <w:sz w:val="18"/>
                                  <w:szCs w:val="18"/>
                                </w:rPr>
                                <w:t>4</w:t>
                              </w:r>
                              <w:r w:rsidR="00B77F4F">
                                <w:rPr>
                                  <w:sz w:val="18"/>
                                  <w:szCs w:val="18"/>
                                </w:rPr>
                                <w:t>4</w:t>
                              </w:r>
                            </w:p>
                            <w:p w14:paraId="6E478D88" w14:textId="1326C2AD" w:rsidR="00AF2429" w:rsidRDefault="00296BE5" w:rsidP="00296BE5">
                              <w:pPr>
                                <w:pStyle w:val="BoxTitle"/>
                                <w:spacing w:before="0" w:beforeAutospacing="0"/>
                                <w:rPr>
                                  <w:sz w:val="18"/>
                                  <w:szCs w:val="18"/>
                                </w:rPr>
                              </w:pPr>
                              <w:r w:rsidRPr="00E90B8A">
                                <w:rPr>
                                  <w:sz w:val="18"/>
                                  <w:szCs w:val="18"/>
                                </w:rPr>
                                <w:t>Q</w:t>
                              </w:r>
                              <w:r w:rsidR="0084370C">
                                <w:rPr>
                                  <w:sz w:val="18"/>
                                  <w:szCs w:val="18"/>
                                </w:rPr>
                                <w:t>4</w:t>
                              </w:r>
                              <w:r w:rsidR="001F43FE">
                                <w:rPr>
                                  <w:sz w:val="18"/>
                                  <w:szCs w:val="18"/>
                                </w:rPr>
                                <w:t>6</w:t>
                              </w:r>
                            </w:p>
                            <w:p w14:paraId="2639481B" w14:textId="26C4FDC1" w:rsidR="00296BE5" w:rsidRPr="00E90B8A" w:rsidRDefault="00296BE5" w:rsidP="00296BE5">
                              <w:pPr>
                                <w:pStyle w:val="BoxTitle"/>
                                <w:spacing w:before="0" w:beforeAutospacing="0"/>
                                <w:rPr>
                                  <w:sz w:val="18"/>
                                  <w:szCs w:val="18"/>
                                </w:rPr>
                              </w:pPr>
                              <w:r w:rsidRPr="00E90B8A">
                                <w:rPr>
                                  <w:sz w:val="18"/>
                                  <w:szCs w:val="18"/>
                                </w:rPr>
                                <w:t>Q</w:t>
                              </w:r>
                              <w:r w:rsidR="0084370C">
                                <w:rPr>
                                  <w:sz w:val="18"/>
                                  <w:szCs w:val="18"/>
                                </w:rPr>
                                <w:t>45</w:t>
                              </w:r>
                            </w:p>
                          </w:txbxContent>
                        </wps:txbx>
                        <wps:bodyPr rot="0" vert="horz" wrap="square" lIns="54000" tIns="82800" rIns="91440" bIns="45720" anchor="ctr" anchorCtr="0" upright="1">
                          <a:noAutofit/>
                        </wps:bodyPr>
                      </wps:wsp>
                    </wpg:wgp>
                  </a:graphicData>
                </a:graphic>
              </wp:anchor>
            </w:drawing>
          </mc:Choice>
          <mc:Fallback>
            <w:pict>
              <v:group w14:anchorId="1A36E3D9" id="_x0000_s1259" style="position:absolute;left:0;text-align:left;margin-left:0;margin-top:13.35pt;width:113.65pt;height:19.8pt;z-index:-251658132"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">
                <v:shape id="Freeform 58" o:spid="_x0000_s126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" path="m,l1815,e" filled="f" strokecolor="#72ab6a" strokeweight=".5pt">
                  <v:path arrowok="t" o:connecttype="custom" o:connectlocs="0,0;1073495,0" o:connectangles="0,0"/>
                </v:shape>
                <v:shape id="Freeform 66" o:spid="_x0000_s126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1071DEB" w14:textId="77777777" w:rsidR="00B54755" w:rsidRDefault="00296BE5" w:rsidP="00296BE5">
                        <w:pPr>
                          <w:pStyle w:val="BoxTitle"/>
                          <w:spacing w:before="0" w:beforeAutospacing="0"/>
                          <w:rPr>
                            <w:sz w:val="18"/>
                            <w:szCs w:val="18"/>
                          </w:rPr>
                        </w:pPr>
                        <w:r w:rsidRPr="00E90B8A">
                          <w:rPr>
                            <w:sz w:val="18"/>
                            <w:szCs w:val="18"/>
                          </w:rPr>
                          <w:t>Q</w:t>
                        </w:r>
                        <w:r w:rsidR="0084370C">
                          <w:rPr>
                            <w:sz w:val="18"/>
                            <w:szCs w:val="18"/>
                          </w:rPr>
                          <w:t>4</w:t>
                        </w:r>
                        <w:r w:rsidR="00B77F4F">
                          <w:rPr>
                            <w:sz w:val="18"/>
                            <w:szCs w:val="18"/>
                          </w:rPr>
                          <w:t>4</w:t>
                        </w:r>
                      </w:p>
                      <w:p w14:paraId="6E478D88" w14:textId="1326C2AD" w:rsidR="00AF2429" w:rsidRDefault="00296BE5" w:rsidP="00296BE5">
                        <w:pPr>
                          <w:pStyle w:val="BoxTitle"/>
                          <w:spacing w:before="0" w:beforeAutospacing="0"/>
                          <w:rPr>
                            <w:sz w:val="18"/>
                            <w:szCs w:val="18"/>
                          </w:rPr>
                        </w:pPr>
                        <w:r w:rsidRPr="00E90B8A">
                          <w:rPr>
                            <w:sz w:val="18"/>
                            <w:szCs w:val="18"/>
                          </w:rPr>
                          <w:t>Q</w:t>
                        </w:r>
                        <w:r w:rsidR="0084370C">
                          <w:rPr>
                            <w:sz w:val="18"/>
                            <w:szCs w:val="18"/>
                          </w:rPr>
                          <w:t>4</w:t>
                        </w:r>
                        <w:r w:rsidR="001F43FE">
                          <w:rPr>
                            <w:sz w:val="18"/>
                            <w:szCs w:val="18"/>
                          </w:rPr>
                          <w:t>6</w:t>
                        </w:r>
                      </w:p>
                      <w:p w14:paraId="2639481B" w14:textId="26C4FDC1" w:rsidR="00296BE5" w:rsidRPr="00E90B8A" w:rsidRDefault="00296BE5" w:rsidP="00296BE5">
                        <w:pPr>
                          <w:pStyle w:val="BoxTitle"/>
                          <w:spacing w:before="0" w:beforeAutospacing="0"/>
                          <w:rPr>
                            <w:sz w:val="18"/>
                            <w:szCs w:val="18"/>
                          </w:rPr>
                        </w:pPr>
                        <w:r w:rsidRPr="00E90B8A">
                          <w:rPr>
                            <w:sz w:val="18"/>
                            <w:szCs w:val="18"/>
                          </w:rPr>
                          <w:t>Q</w:t>
                        </w:r>
                        <w:r w:rsidR="0084370C">
                          <w:rPr>
                            <w:sz w:val="18"/>
                            <w:szCs w:val="18"/>
                          </w:rPr>
                          <w:t>45</w:t>
                        </w:r>
                      </w:p>
                    </w:txbxContent>
                  </v:textbox>
                </v:shape>
              </v:group>
            </w:pict>
          </mc:Fallback>
        </mc:AlternateContent>
      </w:r>
    </w:p>
    <w:p w14:paraId="6010FC02" w14:textId="77777777" w:rsidR="00334AAF" w:rsidRPr="00334AAF" w:rsidRDefault="00334AAF" w:rsidP="00334AAF">
      <w:pPr>
        <w:pStyle w:val="QuestionBox"/>
      </w:pPr>
      <w:r w:rsidRPr="00334AAF">
        <w:t>Do you have any practical concerns about what the land, housing and accommodation protections in the Human Rights Act 1993 would cover if new prohibited grounds of discrimination are added to the Act?</w:t>
      </w:r>
    </w:p>
    <w:p w14:paraId="06AD5FD7" w14:textId="77777777" w:rsidR="00334AAF" w:rsidRDefault="00334AAF" w:rsidP="00334AAF">
      <w:pPr>
        <w:pStyle w:val="QuestionBox"/>
      </w:pPr>
      <w:r w:rsidRPr="00334AAF">
        <w:t>(Later in the chapter, we discuss existing exceptions in the Act that balance relevant rights and interests. You may want to read about these before answering.)</w:t>
      </w:r>
    </w:p>
    <w:p w14:paraId="624631B3" w14:textId="4C9521D7" w:rsidR="000B5FE8" w:rsidRPr="008642D1" w:rsidRDefault="000B5FE8" w:rsidP="000B5FE8">
      <w:pPr>
        <w:pStyle w:val="QuestionBox"/>
      </w:pPr>
    </w:p>
    <w:p w14:paraId="6B9146B9" w14:textId="595C5D6D" w:rsidR="001F43FE" w:rsidRDefault="001F43FE" w:rsidP="000B5FE8">
      <w:pPr>
        <w:pStyle w:val="QuestionBox"/>
      </w:pPr>
      <w:r w:rsidRPr="008642D1">
        <w:rPr>
          <w:noProof/>
        </w:rPr>
        <w:lastRenderedPageBreak/>
        <mc:AlternateContent>
          <mc:Choice Requires="wpg">
            <w:drawing>
              <wp:anchor distT="0" distB="0" distL="114300" distR="114300" simplePos="0" relativeHeight="251658240" behindDoc="1" locked="0" layoutInCell="1" allowOverlap="1" wp14:anchorId="4778F1B1" wp14:editId="0FE73F8C">
                <wp:simplePos x="0" y="0"/>
                <wp:positionH relativeFrom="column">
                  <wp:posOffset>1533</wp:posOffset>
                </wp:positionH>
                <wp:positionV relativeFrom="paragraph">
                  <wp:posOffset>-6412</wp:posOffset>
                </wp:positionV>
                <wp:extent cx="5760085" cy="1126302"/>
                <wp:effectExtent l="0" t="0" r="0" b="0"/>
                <wp:wrapNone/>
                <wp:docPr id="1053189268" name="Group 1053189268" descr="Question"/>
                <wp:cNvGraphicFramePr/>
                <a:graphic xmlns:a="http://schemas.openxmlformats.org/drawingml/2006/main">
                  <a:graphicData uri="http://schemas.microsoft.com/office/word/2010/wordprocessingGroup">
                    <wpg:wgp>
                      <wpg:cNvGrpSpPr/>
                      <wpg:grpSpPr>
                        <a:xfrm>
                          <a:off x="0" y="0"/>
                          <a:ext cx="5760085" cy="1126302"/>
                          <a:chOff x="0" y="62865"/>
                          <a:chExt cx="5760085" cy="1126964"/>
                        </a:xfrm>
                      </wpg:grpSpPr>
                      <wps:wsp>
                        <wps:cNvPr id="74289292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C08B14" w14:textId="12B4837C" w:rsidR="001F43FE" w:rsidRDefault="001F43FE" w:rsidP="001F43FE">
                              <w:pPr>
                                <w:pStyle w:val="BoxTitle"/>
                                <w:spacing w:before="0" w:beforeAutospacing="0"/>
                              </w:pPr>
                              <w:r w:rsidRPr="007F6876">
                                <w:t>QUESTION</w:t>
                              </w:r>
                            </w:p>
                          </w:txbxContent>
                        </wps:txbx>
                        <wps:bodyPr rot="0" vert="horz" wrap="square" lIns="91440" tIns="0" rIns="0" bIns="45720" anchor="ctr" anchorCtr="0" upright="1">
                          <a:noAutofit/>
                        </wps:bodyPr>
                      </wps:wsp>
                      <wpg:grpSp>
                        <wpg:cNvPr id="107968073" name="Group 53"/>
                        <wpg:cNvGrpSpPr>
                          <a:grpSpLocks/>
                        </wpg:cNvGrpSpPr>
                        <wpg:grpSpPr bwMode="auto">
                          <a:xfrm>
                            <a:off x="0" y="316170"/>
                            <a:ext cx="5760085" cy="873659"/>
                            <a:chOff x="1837" y="1791"/>
                            <a:chExt cx="9302" cy="9437"/>
                          </a:xfrm>
                        </wpg:grpSpPr>
                        <wps:wsp>
                          <wps:cNvPr id="1317949515" name="Freeform 54"/>
                          <wps:cNvSpPr>
                            <a:spLocks/>
                          </wps:cNvSpPr>
                          <wps:spPr bwMode="auto">
                            <a:xfrm>
                              <a:off x="1837" y="1791"/>
                              <a:ext cx="9302" cy="943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7587370" name="Group 457587370"/>
                        <wpg:cNvGrpSpPr/>
                        <wpg:grpSpPr>
                          <a:xfrm>
                            <a:off x="0" y="494036"/>
                            <a:ext cx="1443794" cy="252000"/>
                            <a:chOff x="-15880" y="0"/>
                            <a:chExt cx="1444379" cy="252068"/>
                          </a:xfrm>
                        </wpg:grpSpPr>
                        <wps:wsp>
                          <wps:cNvPr id="177712812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68780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F859CC" w14:textId="77777777" w:rsidR="00B54755" w:rsidRDefault="001F43FE" w:rsidP="001F43FE">
                                <w:pPr>
                                  <w:pStyle w:val="BoxTitle"/>
                                  <w:spacing w:before="0" w:beforeAutospacing="0"/>
                                  <w:rPr>
                                    <w:sz w:val="18"/>
                                    <w:szCs w:val="18"/>
                                  </w:rPr>
                                </w:pPr>
                                <w:r w:rsidRPr="00E90B8A">
                                  <w:rPr>
                                    <w:sz w:val="18"/>
                                    <w:szCs w:val="18"/>
                                  </w:rPr>
                                  <w:t>Q</w:t>
                                </w:r>
                                <w:r>
                                  <w:rPr>
                                    <w:sz w:val="18"/>
                                    <w:szCs w:val="18"/>
                                  </w:rPr>
                                  <w:t>4</w:t>
                                </w:r>
                                <w:r w:rsidR="00B77F4F">
                                  <w:rPr>
                                    <w:sz w:val="18"/>
                                    <w:szCs w:val="18"/>
                                  </w:rPr>
                                  <w:t>5</w:t>
                                </w:r>
                              </w:p>
                              <w:p w14:paraId="2BA44E4B" w14:textId="1913AD9F" w:rsidR="001F43FE" w:rsidRPr="00E90B8A" w:rsidRDefault="001F43FE" w:rsidP="001F43FE">
                                <w:pPr>
                                  <w:pStyle w:val="BoxTitle"/>
                                  <w:spacing w:before="0" w:beforeAutospacing="0"/>
                                  <w:rPr>
                                    <w:sz w:val="18"/>
                                    <w:szCs w:val="18"/>
                                  </w:rPr>
                                </w:pPr>
                                <w:r w:rsidRPr="00E90B8A">
                                  <w:rPr>
                                    <w:sz w:val="18"/>
                                    <w:szCs w:val="18"/>
                                  </w:rPr>
                                  <w:t>Q</w:t>
                                </w:r>
                                <w:r>
                                  <w:rPr>
                                    <w:sz w:val="18"/>
                                    <w:szCs w:val="18"/>
                                  </w:rPr>
                                  <w:t>47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778F1B1" id="Group 1053189268" o:spid="_x0000_s1262" alt="Question" style="position:absolute;left:0;text-align:left;margin-left:.1pt;margin-top:-.5pt;width:453.55pt;height:88.7pt;z-index:-251658240;mso-height-relative:margin" coordorigin=",628" coordsize="57600,1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">
                <v:shape id="Freeform 52" o:spid="_x0000_s126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EC08B14" w14:textId="12B4837C" w:rsidR="001F43FE" w:rsidRDefault="001F43FE" w:rsidP="001F43FE">
                        <w:pPr>
                          <w:pStyle w:val="BoxTitle"/>
                          <w:spacing w:before="0" w:beforeAutospacing="0"/>
                        </w:pPr>
                        <w:r w:rsidRPr="007F6876">
                          <w:t>QUESTION</w:t>
                        </w:r>
                      </w:p>
                    </w:txbxContent>
                  </v:textbox>
                </v:shape>
                <v:group id="Group 53" o:spid="_x0000_s1264" style="position:absolute;top:3161;width:57600;height:8737" coordorigin="1837,1791" coordsize="9302,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">
                  <v:shape id="Freeform 54" o:spid="_x0000_s1265" style="position:absolute;left:1837;top:1791;width:9302;height:943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" path="m,l9354,r,7809l,7809,,e" fillcolor="#edf2ea" stroked="f">
                    <v:path arrowok="t" o:connecttype="custom" o:connectlocs="0,1208;9302,1208;9302,10645;0,10645;0,1208" o:connectangles="0,0,0,0,0"/>
                  </v:shape>
                </v:group>
                <v:group id="Group 457587370" o:spid="_x0000_s126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">
                  <v:shape id="Freeform 58" o:spid="_x0000_s126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" path="m,l1815,e" filled="f" strokecolor="#72ab6a" strokeweight=".5pt">
                    <v:path arrowok="t" o:connecttype="custom" o:connectlocs="0,0;1073495,0" o:connectangles="0,0"/>
                  </v:shape>
                  <v:shape id="Freeform 66" o:spid="_x0000_s126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2F859CC" w14:textId="77777777" w:rsidR="00B54755" w:rsidRDefault="001F43FE" w:rsidP="001F43FE">
                          <w:pPr>
                            <w:pStyle w:val="BoxTitle"/>
                            <w:spacing w:before="0" w:beforeAutospacing="0"/>
                            <w:rPr>
                              <w:sz w:val="18"/>
                              <w:szCs w:val="18"/>
                            </w:rPr>
                          </w:pPr>
                          <w:r w:rsidRPr="00E90B8A">
                            <w:rPr>
                              <w:sz w:val="18"/>
                              <w:szCs w:val="18"/>
                            </w:rPr>
                            <w:t>Q</w:t>
                          </w:r>
                          <w:r>
                            <w:rPr>
                              <w:sz w:val="18"/>
                              <w:szCs w:val="18"/>
                            </w:rPr>
                            <w:t>4</w:t>
                          </w:r>
                          <w:r w:rsidR="00B77F4F">
                            <w:rPr>
                              <w:sz w:val="18"/>
                              <w:szCs w:val="18"/>
                            </w:rPr>
                            <w:t>5</w:t>
                          </w:r>
                        </w:p>
                        <w:p w14:paraId="2BA44E4B" w14:textId="1913AD9F" w:rsidR="001F43FE" w:rsidRPr="00E90B8A" w:rsidRDefault="001F43FE" w:rsidP="001F43FE">
                          <w:pPr>
                            <w:pStyle w:val="BoxTitle"/>
                            <w:spacing w:before="0" w:beforeAutospacing="0"/>
                            <w:rPr>
                              <w:sz w:val="18"/>
                              <w:szCs w:val="18"/>
                            </w:rPr>
                          </w:pPr>
                          <w:r w:rsidRPr="00E90B8A">
                            <w:rPr>
                              <w:sz w:val="18"/>
                              <w:szCs w:val="18"/>
                            </w:rPr>
                            <w:t>Q</w:t>
                          </w:r>
                          <w:r>
                            <w:rPr>
                              <w:sz w:val="18"/>
                              <w:szCs w:val="18"/>
                            </w:rPr>
                            <w:t>47</w:t>
                          </w:r>
                        </w:p>
                      </w:txbxContent>
                    </v:textbox>
                  </v:shape>
                </v:group>
              </v:group>
            </w:pict>
          </mc:Fallback>
        </mc:AlternateContent>
      </w:r>
    </w:p>
    <w:p w14:paraId="35F38429" w14:textId="77777777" w:rsidR="001F43FE" w:rsidRDefault="001F43FE" w:rsidP="000B5FE8">
      <w:pPr>
        <w:pStyle w:val="QuestionBox"/>
      </w:pPr>
    </w:p>
    <w:p w14:paraId="3BF31764" w14:textId="04183FF6" w:rsidR="003B3732" w:rsidRDefault="004A5710" w:rsidP="004A5710">
      <w:pPr>
        <w:pStyle w:val="QuestionBox"/>
      </w:pPr>
      <w:r w:rsidRPr="004A5710">
        <w:t>Are</w:t>
      </w:r>
      <w:r w:rsidR="003B3732" w:rsidRPr="008642D1">
        <w:t xml:space="preserve"> new exceptions </w:t>
      </w:r>
      <w:r w:rsidRPr="004A5710">
        <w:t xml:space="preserve">relating to land, housing or accommodation </w:t>
      </w:r>
      <w:r w:rsidR="003B3732" w:rsidRPr="008642D1">
        <w:t>desirable to accommodate any new grounds we propose?</w:t>
      </w:r>
      <w:r w:rsidR="00296BE5" w:rsidRPr="008642D1">
        <w:tab/>
      </w:r>
    </w:p>
    <w:p w14:paraId="4BB6A578" w14:textId="77777777" w:rsidR="00B21A77" w:rsidRPr="008642D1" w:rsidRDefault="00B21A77" w:rsidP="004A5710">
      <w:pPr>
        <w:pStyle w:val="QuestionBox"/>
      </w:pPr>
    </w:p>
    <w:p w14:paraId="77D52972" w14:textId="77777777" w:rsidR="003B3732" w:rsidRPr="008642D1" w:rsidRDefault="003B3732" w:rsidP="003B3732">
      <w:pPr>
        <w:pStyle w:val="Heading2"/>
      </w:pPr>
      <w:bookmarkStart w:id="125" w:name="_Toc170302170"/>
      <w:r w:rsidRPr="008642D1">
        <w:t>Exceptions</w:t>
      </w:r>
      <w:bookmarkEnd w:id="125"/>
    </w:p>
    <w:p w14:paraId="47A3FD9D" w14:textId="77777777" w:rsidR="003B3732" w:rsidRPr="008642D1" w:rsidRDefault="003B3732" w:rsidP="003B3732">
      <w:pPr>
        <w:pStyle w:val="BodyText"/>
      </w:pPr>
      <w:r w:rsidRPr="008642D1">
        <w:t>There are three exceptions in the Human Rights Act relating specifically to land, housing and accommodation. We are only seeking feedback on one of them (section 55).</w:t>
      </w:r>
    </w:p>
    <w:p w14:paraId="79454BF8" w14:textId="77777777" w:rsidR="003B3732" w:rsidRPr="008642D1" w:rsidRDefault="003B3732" w:rsidP="003B3732">
      <w:pPr>
        <w:pStyle w:val="Heading3"/>
      </w:pPr>
      <w:r w:rsidRPr="008642D1">
        <w:t>Exceptions on which we do not seek feedback</w:t>
      </w:r>
    </w:p>
    <w:p w14:paraId="7280646C" w14:textId="03D87548" w:rsidR="003B3732" w:rsidRPr="008642D1" w:rsidRDefault="003B3732" w:rsidP="003B3732">
      <w:pPr>
        <w:pStyle w:val="BodyText"/>
      </w:pPr>
      <w:r w:rsidRPr="008642D1">
        <w:t xml:space="preserve">As we discussed in Chapter 8, there are two categories of specific exception on which we do not seek feedback. These are exceptions that apply to all grounds (and </w:t>
      </w:r>
      <w:r w:rsidR="00E27F8E">
        <w:t>that</w:t>
      </w:r>
      <w:r w:rsidR="00E27F8E" w:rsidRPr="008642D1">
        <w:t xml:space="preserve"> </w:t>
      </w:r>
      <w:r w:rsidRPr="008642D1">
        <w:t xml:space="preserve">do not raise issues specific to this review) and exceptions that do not apply to the ground of sex. In the table below, we list the exceptions relevant to this chapter that fall into those two categories. We have reviewed all these exceptions but do not discuss them further. </w:t>
      </w:r>
    </w:p>
    <w:tbl>
      <w:tblPr>
        <w:tblStyle w:val="LCTable3"/>
        <w:tblW w:w="8352" w:type="dxa"/>
        <w:tblInd w:w="704" w:type="dxa"/>
        <w:tblLook w:val="0420" w:firstRow="1" w:lastRow="0" w:firstColumn="0" w:lastColumn="0" w:noHBand="0" w:noVBand="1"/>
      </w:tblPr>
      <w:tblGrid>
        <w:gridCol w:w="849"/>
        <w:gridCol w:w="7503"/>
      </w:tblGrid>
      <w:tr w:rsidR="003B3732" w:rsidRPr="008642D1" w14:paraId="163D3279" w14:textId="77777777">
        <w:trPr>
          <w:cnfStyle w:val="100000000000" w:firstRow="1" w:lastRow="0" w:firstColumn="0" w:lastColumn="0" w:oddVBand="0" w:evenVBand="0" w:oddHBand="0" w:evenHBand="0" w:firstRowFirstColumn="0" w:firstRowLastColumn="0" w:lastRowFirstColumn="0" w:lastRowLastColumn="0"/>
          <w:trHeight w:val="296"/>
        </w:trPr>
        <w:tc>
          <w:tcPr>
            <w:tcW w:w="8352" w:type="dxa"/>
            <w:gridSpan w:val="2"/>
          </w:tcPr>
          <w:p w14:paraId="429982D6" w14:textId="77777777" w:rsidR="003B3732" w:rsidRPr="008642D1" w:rsidRDefault="003B3732">
            <w:pPr>
              <w:spacing w:after="60" w:line="240" w:lineRule="auto"/>
              <w:rPr>
                <w:rFonts w:cs="Angsana New"/>
                <w:b/>
                <w:bCs/>
                <w:szCs w:val="18"/>
                <w:lang w:val="en-AU"/>
              </w:rPr>
            </w:pPr>
            <w:r w:rsidRPr="008642D1">
              <w:rPr>
                <w:rFonts w:cs="Angsana New"/>
                <w:b/>
                <w:bCs/>
                <w:szCs w:val="18"/>
              </w:rPr>
              <w:t>Exceptions on which we do not seek feedback</w:t>
            </w:r>
          </w:p>
        </w:tc>
      </w:tr>
      <w:tr w:rsidR="003B3732" w:rsidRPr="008642D1" w14:paraId="7B10350E" w14:textId="77777777">
        <w:trPr>
          <w:trHeight w:val="445"/>
        </w:trPr>
        <w:tc>
          <w:tcPr>
            <w:tcW w:w="8352" w:type="dxa"/>
            <w:gridSpan w:val="2"/>
          </w:tcPr>
          <w:p w14:paraId="44C6008F" w14:textId="77777777" w:rsidR="003B3732" w:rsidRPr="008642D1" w:rsidRDefault="003B3732">
            <w:pPr>
              <w:spacing w:after="60" w:line="260" w:lineRule="atLeast"/>
              <w:rPr>
                <w:rFonts w:eastAsia="Metropolis Light" w:cs="Metropolis Light"/>
                <w:szCs w:val="18"/>
              </w:rPr>
            </w:pPr>
            <w:r w:rsidRPr="008642D1">
              <w:rPr>
                <w:rFonts w:eastAsia="Metropolis Light" w:cs="Metropolis Light"/>
                <w:b/>
                <w:bCs/>
                <w:color w:val="6BA539"/>
                <w:szCs w:val="18"/>
              </w:rPr>
              <w:t xml:space="preserve">Exceptions that apply to all grounds — should extend to any new grounds </w:t>
            </w:r>
          </w:p>
        </w:tc>
      </w:tr>
      <w:tr w:rsidR="003B3732" w:rsidRPr="008642D1" w14:paraId="608C1FDA" w14:textId="77777777">
        <w:trPr>
          <w:trHeight w:val="465"/>
        </w:trPr>
        <w:tc>
          <w:tcPr>
            <w:tcW w:w="849" w:type="dxa"/>
          </w:tcPr>
          <w:p w14:paraId="37D04263" w14:textId="77777777" w:rsidR="003B3732" w:rsidRPr="008642D1" w:rsidRDefault="003B3732">
            <w:pPr>
              <w:spacing w:after="60" w:line="260" w:lineRule="atLeast"/>
              <w:rPr>
                <w:rFonts w:cs="Angsana New"/>
                <w:szCs w:val="18"/>
                <w:lang w:val="en-AU"/>
              </w:rPr>
            </w:pPr>
            <w:r w:rsidRPr="008642D1">
              <w:rPr>
                <w:rFonts w:cs="Angsana New"/>
                <w:szCs w:val="18"/>
                <w:lang w:val="en-AU"/>
              </w:rPr>
              <w:t>54</w:t>
            </w:r>
          </w:p>
        </w:tc>
        <w:tc>
          <w:tcPr>
            <w:tcW w:w="7502" w:type="dxa"/>
          </w:tcPr>
          <w:p w14:paraId="4B8FA3CF" w14:textId="77777777" w:rsidR="003B3732" w:rsidRPr="008642D1" w:rsidRDefault="003B3732">
            <w:pPr>
              <w:spacing w:after="60" w:line="260" w:lineRule="atLeast"/>
              <w:rPr>
                <w:rFonts w:ascii="Metropolis" w:hAnsi="Metropolis" w:cs="Angsana New"/>
                <w:b/>
                <w:bCs/>
                <w:color w:val="6BA539"/>
                <w:szCs w:val="18"/>
                <w:lang w:val="en-AU"/>
              </w:rPr>
            </w:pPr>
            <w:r w:rsidRPr="008642D1">
              <w:rPr>
                <w:rFonts w:cs="Angsana New"/>
                <w:szCs w:val="18"/>
              </w:rPr>
              <w:t xml:space="preserve">Exception for shared residential accommodation such as flatmates and boarders. </w:t>
            </w:r>
          </w:p>
        </w:tc>
      </w:tr>
      <w:tr w:rsidR="003B3732" w:rsidRPr="008642D1" w14:paraId="21956C68" w14:textId="77777777">
        <w:trPr>
          <w:trHeight w:val="403"/>
        </w:trPr>
        <w:tc>
          <w:tcPr>
            <w:tcW w:w="8352" w:type="dxa"/>
            <w:gridSpan w:val="2"/>
          </w:tcPr>
          <w:p w14:paraId="7AAEDE5C" w14:textId="77777777" w:rsidR="003B3732" w:rsidRPr="008642D1" w:rsidRDefault="003B3732">
            <w:pPr>
              <w:spacing w:after="60" w:line="260" w:lineRule="atLeast"/>
              <w:rPr>
                <w:rFonts w:eastAsia="Metropolis Light" w:cs="Metropolis Light"/>
                <w:szCs w:val="18"/>
              </w:rPr>
            </w:pPr>
            <w:r w:rsidRPr="008642D1">
              <w:rPr>
                <w:rFonts w:eastAsia="Metropolis Light" w:cs="Metropolis Light"/>
                <w:b/>
                <w:bCs/>
                <w:color w:val="6BA539"/>
                <w:szCs w:val="18"/>
              </w:rPr>
              <w:t xml:space="preserve">Exceptions that do not apply to discrimination on the ground of sex — should not extend to any new grounds </w:t>
            </w:r>
          </w:p>
        </w:tc>
      </w:tr>
      <w:tr w:rsidR="003B3732" w:rsidRPr="008642D1" w14:paraId="305BF128" w14:textId="77777777">
        <w:trPr>
          <w:trHeight w:val="356"/>
        </w:trPr>
        <w:tc>
          <w:tcPr>
            <w:tcW w:w="849" w:type="dxa"/>
          </w:tcPr>
          <w:p w14:paraId="7C6C845B" w14:textId="77777777" w:rsidR="003B3732" w:rsidRPr="008642D1" w:rsidRDefault="003B3732">
            <w:pPr>
              <w:spacing w:after="60" w:line="260" w:lineRule="atLeast"/>
              <w:rPr>
                <w:rFonts w:cs="Angsana New"/>
                <w:szCs w:val="18"/>
                <w:lang w:val="en-AU"/>
              </w:rPr>
            </w:pPr>
            <w:r w:rsidRPr="008642D1">
              <w:rPr>
                <w:rFonts w:cs="Angsana New"/>
                <w:szCs w:val="18"/>
                <w:lang w:val="en-AU"/>
              </w:rPr>
              <w:t>56</w:t>
            </w:r>
          </w:p>
        </w:tc>
        <w:tc>
          <w:tcPr>
            <w:tcW w:w="7502" w:type="dxa"/>
          </w:tcPr>
          <w:p w14:paraId="6A1E8833" w14:textId="77777777" w:rsidR="003B3732" w:rsidRPr="008642D1" w:rsidRDefault="003B3732">
            <w:pPr>
              <w:spacing w:after="60" w:line="260" w:lineRule="atLeast"/>
              <w:rPr>
                <w:rFonts w:cs="Angsana New"/>
                <w:szCs w:val="18"/>
                <w:lang w:val="en-AU"/>
              </w:rPr>
            </w:pPr>
            <w:r w:rsidRPr="008642D1">
              <w:rPr>
                <w:rFonts w:cs="Angsana New"/>
                <w:szCs w:val="18"/>
                <w:lang w:val="en-AU"/>
              </w:rPr>
              <w:t>Exception relating to disability.</w:t>
            </w:r>
          </w:p>
        </w:tc>
      </w:tr>
    </w:tbl>
    <w:p w14:paraId="523F6332" w14:textId="77777777" w:rsidR="003B3732" w:rsidRPr="008642D1" w:rsidRDefault="003B3732" w:rsidP="003B3732">
      <w:pPr>
        <w:pStyle w:val="Heading3"/>
      </w:pPr>
      <w:r w:rsidRPr="008642D1">
        <w:t>Shared accommodation exception — section 55</w:t>
      </w:r>
    </w:p>
    <w:p w14:paraId="64CD62EF" w14:textId="45525B60" w:rsidR="003B3732" w:rsidRPr="008642D1" w:rsidRDefault="003B3732" w:rsidP="003B3732">
      <w:pPr>
        <w:pStyle w:val="BodyText"/>
      </w:pPr>
      <w:r w:rsidRPr="008642D1">
        <w:t xml:space="preserve">Section 55 of the Human Rights Act is an exception for shared accommodation such as hostels. It says section 53 does not apply to accommodation in a hostel or establishment for people of the same sex, marital status, religious belief or ethical belief, people with a particular disability or people in a particular age group. The provision gives hospitals, clubs, schools, universities, religious institutions and retirement villages as examples of </w:t>
      </w:r>
      <w:r w:rsidRPr="008642D1" w:rsidDel="00905DDE">
        <w:t>“</w:t>
      </w:r>
      <w:r w:rsidRPr="008642D1">
        <w:t>establishments</w:t>
      </w:r>
      <w:r w:rsidRPr="008642D1" w:rsidDel="00905DDE">
        <w:t>”</w:t>
      </w:r>
      <w:r w:rsidRPr="008642D1">
        <w:t xml:space="preserve">. It does not define </w:t>
      </w:r>
      <w:r w:rsidRPr="008642D1" w:rsidDel="00905DDE">
        <w:t>“</w:t>
      </w:r>
      <w:r w:rsidRPr="008642D1">
        <w:t>hostel</w:t>
      </w:r>
      <w:r w:rsidRPr="008642D1" w:rsidDel="00905DDE">
        <w:t>”</w:t>
      </w:r>
      <w:r w:rsidRPr="008642D1">
        <w:t>.</w:t>
      </w:r>
    </w:p>
    <w:p w14:paraId="365948A3" w14:textId="77777777" w:rsidR="003B3732" w:rsidRPr="008642D1" w:rsidRDefault="003B3732" w:rsidP="003B3732">
      <w:pPr>
        <w:pStyle w:val="Heading4"/>
      </w:pPr>
      <w:r w:rsidRPr="008642D1">
        <w:t>Scope and rationale of the current exception</w:t>
      </w:r>
    </w:p>
    <w:p w14:paraId="1A445894" w14:textId="40C371BA" w:rsidR="003B3732" w:rsidRPr="008642D1" w:rsidRDefault="003B3732" w:rsidP="003B3732">
      <w:pPr>
        <w:pStyle w:val="BodyText"/>
      </w:pPr>
      <w:r w:rsidRPr="008642D1">
        <w:t>The departmental report on the Bill that became the Human Rights Act said this exception was for “positive discrimination” to allow people in certain groups to live together.</w:t>
      </w:r>
      <w:r w:rsidRPr="008642D1">
        <w:rPr>
          <w:vertAlign w:val="superscript"/>
        </w:rPr>
        <w:footnoteReference w:id="509"/>
      </w:r>
      <w:r w:rsidRPr="008642D1">
        <w:t xml:space="preserve"> </w:t>
      </w:r>
      <w:r w:rsidRPr="008642D1" w:rsidDel="007C77F3">
        <w:t xml:space="preserve">As we explained in Chapter </w:t>
      </w:r>
      <w:r w:rsidRPr="008642D1">
        <w:t xml:space="preserve">8, </w:t>
      </w:r>
      <w:r w:rsidRPr="008642D1" w:rsidDel="007C77F3">
        <w:t>p</w:t>
      </w:r>
      <w:r w:rsidRPr="008642D1">
        <w:t xml:space="preserve">ositive discrimination refers to differences in treatment that are aimed at helping a group that has suffered past discrimination. We note, however, that the terms of the exception go well beyond positive discrimination. For example, they </w:t>
      </w:r>
      <w:r w:rsidRPr="008642D1">
        <w:lastRenderedPageBreak/>
        <w:t xml:space="preserve">allow male-only hostels just as much as female-only hostels and hostels that exclude elderly people just as much as retirement homes. </w:t>
      </w:r>
    </w:p>
    <w:p w14:paraId="4B06E48E" w14:textId="544BD2BA" w:rsidR="003B3732" w:rsidRPr="008642D1" w:rsidRDefault="003B3732" w:rsidP="003B3732">
      <w:pPr>
        <w:pStyle w:val="BodyText"/>
      </w:pPr>
      <w:r w:rsidRPr="008642D1">
        <w:t xml:space="preserve">Although the reference in the departmental report suggests the exception was supposed to </w:t>
      </w:r>
      <w:r w:rsidR="00FD4660">
        <w:t xml:space="preserve">apply to </w:t>
      </w:r>
      <w:r w:rsidR="005E4D65">
        <w:t>permanent living arrangements</w:t>
      </w:r>
      <w:r w:rsidRPr="008642D1">
        <w:t xml:space="preserve">, the word </w:t>
      </w:r>
      <w:r w:rsidRPr="008642D1" w:rsidDel="00905DDE">
        <w:t>“</w:t>
      </w:r>
      <w:r w:rsidRPr="008642D1">
        <w:t>hostel</w:t>
      </w:r>
      <w:r w:rsidR="009E5AAE">
        <w:t>”</w:t>
      </w:r>
      <w:r w:rsidRPr="008642D1">
        <w:t xml:space="preserve"> </w:t>
      </w:r>
      <w:r w:rsidR="00DA0E9F">
        <w:t xml:space="preserve">could apply to </w:t>
      </w:r>
      <w:r w:rsidRPr="008642D1">
        <w:t>temporary accommodation such as in a backpackers’ hostel</w:t>
      </w:r>
      <w:r w:rsidR="001F6400">
        <w:t>, as well as</w:t>
      </w:r>
      <w:r w:rsidR="007E74EA">
        <w:t xml:space="preserve"> longer-term accommodation such as a university hostel</w:t>
      </w:r>
      <w:r w:rsidRPr="008642D1">
        <w:t xml:space="preserve">.  </w:t>
      </w:r>
    </w:p>
    <w:p w14:paraId="627AFDAA" w14:textId="2B212794" w:rsidR="003B3732" w:rsidRPr="008642D1" w:rsidRDefault="003B3732" w:rsidP="003B3732">
      <w:pPr>
        <w:pStyle w:val="BodyText"/>
      </w:pPr>
      <w:r w:rsidRPr="008642D1">
        <w:t>Other jurisdictions have similar exceptions relating to hostel-style accommodation</w:t>
      </w:r>
      <w:r w:rsidR="00C652CF">
        <w:t>,</w:t>
      </w:r>
      <w:r w:rsidRPr="008642D1">
        <w:t xml:space="preserve"> although the scope of the exception varies and tends to be narrower than the New Zealand exception.</w:t>
      </w:r>
      <w:r w:rsidRPr="008642D1">
        <w:rPr>
          <w:vertAlign w:val="superscript"/>
        </w:rPr>
        <w:footnoteReference w:id="510"/>
      </w:r>
      <w:r w:rsidRPr="008642D1">
        <w:t xml:space="preserve">  </w:t>
      </w:r>
    </w:p>
    <w:p w14:paraId="23625A0C" w14:textId="77777777" w:rsidR="003B3732" w:rsidRPr="008642D1" w:rsidRDefault="003B3732" w:rsidP="003B3732">
      <w:pPr>
        <w:keepNext/>
        <w:spacing w:before="200" w:after="200"/>
        <w:outlineLvl w:val="3"/>
        <w:rPr>
          <w:rFonts w:ascii="Metropolis" w:eastAsia="Times New Roman" w:hAnsi="Metropolis" w:cs="Times New Roman"/>
          <w:b/>
          <w:i/>
          <w:color w:val="73AB6E"/>
          <w:szCs w:val="24"/>
          <w:lang w:eastAsia="en-AU"/>
        </w:rPr>
      </w:pPr>
      <w:r w:rsidRPr="008642D1">
        <w:rPr>
          <w:rFonts w:ascii="Metropolis" w:eastAsia="Times New Roman" w:hAnsi="Metropolis" w:cs="Times New Roman"/>
          <w:b/>
          <w:i/>
          <w:color w:val="73AB6E"/>
          <w:szCs w:val="24"/>
          <w:lang w:eastAsia="en-AU"/>
        </w:rPr>
        <w:t xml:space="preserve">Should the exception be amended to reflect any new grounds? </w:t>
      </w:r>
    </w:p>
    <w:p w14:paraId="0F25386F" w14:textId="27EFF916" w:rsidR="003B3732" w:rsidRPr="008642D1" w:rsidRDefault="003B3732" w:rsidP="003B3732">
      <w:pPr>
        <w:pStyle w:val="BodyText"/>
      </w:pPr>
      <w:r w:rsidRPr="008642D1">
        <w:t xml:space="preserve">We are interested to understand whether the exception in section 55 should </w:t>
      </w:r>
      <w:r w:rsidR="00905DDE">
        <w:t xml:space="preserve">be </w:t>
      </w:r>
      <w:r w:rsidRPr="008642D1">
        <w:t>amended to reflect any new grounds we propose.</w:t>
      </w:r>
    </w:p>
    <w:p w14:paraId="21F2A509" w14:textId="6E8DC35D" w:rsidR="003B3732" w:rsidRPr="008642D1" w:rsidRDefault="003B3732" w:rsidP="003B3732">
      <w:pPr>
        <w:pStyle w:val="BodyText"/>
      </w:pPr>
      <w:r w:rsidRPr="008642D1">
        <w:t xml:space="preserve">An argument for amending the exception to reflect new grounds is that it would be consistent with the positive discrimination rationale described above. For example, it might enable university hostel accommodation to be provided specifically for people who are transgender or non-binary or who have an innate variation of sex characteristics. This might enable people to live in an environment in which they feel safe and free from harassment and in which they can provide each other with mutual support. </w:t>
      </w:r>
    </w:p>
    <w:p w14:paraId="74B21246" w14:textId="77777777" w:rsidR="003B3732" w:rsidRPr="008642D1" w:rsidRDefault="003B3732" w:rsidP="003B3732">
      <w:pPr>
        <w:pStyle w:val="BodyText"/>
      </w:pPr>
      <w:r w:rsidRPr="008642D1">
        <w:t>We are interested to hear whether there is a perceived need for such accommodation for people who are transgender or non-binary or who have an innate variation of sex characteristics. If there is such a need, we are interested to know whether such accommodation is likely to be provided in practice given the relatively small number of people in these groups.</w:t>
      </w:r>
    </w:p>
    <w:p w14:paraId="6E73F69F" w14:textId="77777777" w:rsidR="003B3732" w:rsidRPr="008642D1" w:rsidRDefault="003B3732" w:rsidP="003B3732">
      <w:pPr>
        <w:pStyle w:val="BodyText"/>
      </w:pPr>
      <w:r w:rsidRPr="008642D1">
        <w:t>Depending on the wording of any new grounds, extending the exception to those new grounds might also permit shared accommodation to be restricted to people who are cisgender. Again, we are interested to hear whether there is a perceived need for such an exception. We are also interested to understand current practice. For example, we understand that many safe houses in Aotearoa New Zealand (for women escaping family violence) are inclusive of transgender women.</w:t>
      </w:r>
      <w:r w:rsidRPr="008642D1">
        <w:rPr>
          <w:rStyle w:val="FootnoteReference"/>
        </w:rPr>
        <w:footnoteReference w:id="511"/>
      </w:r>
      <w:r w:rsidRPr="008642D1">
        <w:t xml:space="preserve"> We</w:t>
      </w:r>
      <w:r w:rsidRPr="008642D1" w:rsidDel="00EA0508">
        <w:t xml:space="preserve"> are </w:t>
      </w:r>
      <w:r w:rsidRPr="008642D1">
        <w:t>interested to hear</w:t>
      </w:r>
      <w:r w:rsidRPr="008642D1" w:rsidDel="00EA0508">
        <w:t xml:space="preserve"> </w:t>
      </w:r>
      <w:r w:rsidRPr="008642D1">
        <w:t>whether places like refuges and temporary or emergency accommodation have identified a need to limit accommodation to people who are cisgender and, if so, why.</w:t>
      </w:r>
    </w:p>
    <w:p w14:paraId="71C920E1" w14:textId="17AE0EF8" w:rsidR="003B3732" w:rsidRPr="008642D1" w:rsidRDefault="003B3732" w:rsidP="003B3732">
      <w:pPr>
        <w:pStyle w:val="BodyText"/>
      </w:pPr>
      <w:r w:rsidRPr="008642D1">
        <w:t xml:space="preserve">One concern about extending the exception to new grounds is that it could be used in an overly broad range of scenarios (going well beyond the positive discrimination rationale) to limit accommodation options for a disadvantaged minority. This concern would not arise if any new prohibited grounds added to section 21 only applied to characteristics held by a disadvantaged group (such as </w:t>
      </w:r>
      <w:r w:rsidRPr="008642D1" w:rsidDel="00310C61">
        <w:t>‘</w:t>
      </w:r>
      <w:r w:rsidRPr="008642D1">
        <w:t>being transgender</w:t>
      </w:r>
      <w:r w:rsidRPr="008642D1" w:rsidDel="00310C61">
        <w:t>’</w:t>
      </w:r>
      <w:r w:rsidRPr="008642D1">
        <w:t xml:space="preserve">) rather than to everyone (such as </w:t>
      </w:r>
      <w:r w:rsidRPr="008642D1" w:rsidDel="00310C61">
        <w:t>‘</w:t>
      </w:r>
      <w:r w:rsidRPr="008642D1">
        <w:t>gender identity</w:t>
      </w:r>
      <w:r w:rsidRPr="008642D1" w:rsidDel="00310C61">
        <w:t>’</w:t>
      </w:r>
      <w:r w:rsidRPr="008642D1">
        <w:t>).</w:t>
      </w:r>
      <w:r w:rsidRPr="008642D1">
        <w:rPr>
          <w:rStyle w:val="FootnoteReference"/>
        </w:rPr>
        <w:footnoteReference w:id="512"/>
      </w:r>
    </w:p>
    <w:p w14:paraId="4BFF3FF7" w14:textId="62902FEA" w:rsidR="003B3732" w:rsidRPr="008642D1" w:rsidRDefault="003B3732" w:rsidP="003B3732">
      <w:pPr>
        <w:pStyle w:val="BodyText"/>
      </w:pPr>
      <w:r w:rsidRPr="008642D1">
        <w:lastRenderedPageBreak/>
        <w:t xml:space="preserve">Finally, for reasons we discussed in Chapter 8, there is some uncertainty about what would happen if the current sex exception was not amended to reflect any proposed new grounds. It is possible that a court or tribunal might hold the exception nevertheless entitles accommodation providers to restrict accommodation based on a person’s sex assigned at birth. </w:t>
      </w:r>
    </w:p>
    <w:p w14:paraId="0CC87B8B" w14:textId="7B2F59AD" w:rsidR="00BC616D" w:rsidRPr="008642D1" w:rsidRDefault="00BC616D" w:rsidP="00BC616D">
      <w:pPr>
        <w:pStyle w:val="QuestionBox"/>
      </w:pPr>
      <w:r w:rsidRPr="008642D1">
        <w:rPr>
          <w:noProof/>
        </w:rPr>
        <mc:AlternateContent>
          <mc:Choice Requires="wpg">
            <w:drawing>
              <wp:anchor distT="0" distB="0" distL="114300" distR="114300" simplePos="0" relativeHeight="251658349" behindDoc="1" locked="0" layoutInCell="1" allowOverlap="1" wp14:anchorId="0791DBA2" wp14:editId="1D55ACDE">
                <wp:simplePos x="0" y="0"/>
                <wp:positionH relativeFrom="column">
                  <wp:posOffset>520</wp:posOffset>
                </wp:positionH>
                <wp:positionV relativeFrom="paragraph">
                  <wp:posOffset>-3117</wp:posOffset>
                </wp:positionV>
                <wp:extent cx="5760085" cy="2196891"/>
                <wp:effectExtent l="0" t="0" r="0" b="0"/>
                <wp:wrapNone/>
                <wp:docPr id="1679198742" name="Group 1679198742" descr="Question"/>
                <wp:cNvGraphicFramePr/>
                <a:graphic xmlns:a="http://schemas.openxmlformats.org/drawingml/2006/main">
                  <a:graphicData uri="http://schemas.microsoft.com/office/word/2010/wordprocessingGroup">
                    <wpg:wgp>
                      <wpg:cNvGrpSpPr/>
                      <wpg:grpSpPr>
                        <a:xfrm>
                          <a:off x="0" y="0"/>
                          <a:ext cx="5760085" cy="2196891"/>
                          <a:chOff x="0" y="62865"/>
                          <a:chExt cx="5760085" cy="2198184"/>
                        </a:xfrm>
                      </wpg:grpSpPr>
                      <wps:wsp>
                        <wps:cNvPr id="1394602433"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5F9E2B" w14:textId="77777777" w:rsidR="00BC616D" w:rsidRDefault="00BC616D" w:rsidP="00BC616D">
                              <w:pPr>
                                <w:pStyle w:val="BoxTitle"/>
                                <w:spacing w:before="0" w:beforeAutospacing="0"/>
                              </w:pPr>
                              <w:r w:rsidRPr="007F6876">
                                <w:t>QUESTION</w:t>
                              </w:r>
                              <w:r>
                                <w:t>S</w:t>
                              </w:r>
                            </w:p>
                          </w:txbxContent>
                        </wps:txbx>
                        <wps:bodyPr rot="0" vert="horz" wrap="square" lIns="91440" tIns="0" rIns="0" bIns="45720" anchor="ctr" anchorCtr="0" upright="1">
                          <a:noAutofit/>
                        </wps:bodyPr>
                      </wps:wsp>
                      <wpg:grpSp>
                        <wpg:cNvPr id="2128606343" name="Group 53"/>
                        <wpg:cNvGrpSpPr>
                          <a:grpSpLocks/>
                        </wpg:cNvGrpSpPr>
                        <wpg:grpSpPr bwMode="auto">
                          <a:xfrm>
                            <a:off x="0" y="316170"/>
                            <a:ext cx="5760085" cy="1944879"/>
                            <a:chOff x="1837" y="1791"/>
                            <a:chExt cx="9302" cy="21008"/>
                          </a:xfrm>
                        </wpg:grpSpPr>
                        <wps:wsp>
                          <wps:cNvPr id="381950363" name="Freeform 54"/>
                          <wps:cNvSpPr>
                            <a:spLocks/>
                          </wps:cNvSpPr>
                          <wps:spPr bwMode="auto">
                            <a:xfrm>
                              <a:off x="1837" y="1791"/>
                              <a:ext cx="9302" cy="2100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638337" name="Group 369638337"/>
                        <wpg:cNvGrpSpPr/>
                        <wpg:grpSpPr>
                          <a:xfrm>
                            <a:off x="0" y="494036"/>
                            <a:ext cx="1443794" cy="252000"/>
                            <a:chOff x="-15880" y="0"/>
                            <a:chExt cx="1444379" cy="252068"/>
                          </a:xfrm>
                        </wpg:grpSpPr>
                        <wps:wsp>
                          <wps:cNvPr id="172908263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00347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A69338" w14:textId="573DA386" w:rsidR="00AF2429" w:rsidRDefault="00BC616D" w:rsidP="00BC616D">
                                <w:pPr>
                                  <w:pStyle w:val="BoxTitle"/>
                                  <w:spacing w:before="0" w:beforeAutospacing="0"/>
                                  <w:rPr>
                                    <w:sz w:val="18"/>
                                    <w:szCs w:val="18"/>
                                  </w:rPr>
                                </w:pPr>
                                <w:r w:rsidRPr="00E90B8A">
                                  <w:rPr>
                                    <w:sz w:val="18"/>
                                    <w:szCs w:val="18"/>
                                  </w:rPr>
                                  <w:t>Q</w:t>
                                </w:r>
                                <w:r w:rsidR="0049196B">
                                  <w:rPr>
                                    <w:sz w:val="18"/>
                                    <w:szCs w:val="18"/>
                                  </w:rPr>
                                  <w:t>4</w:t>
                                </w:r>
                                <w:r w:rsidR="004852BC">
                                  <w:rPr>
                                    <w:sz w:val="18"/>
                                    <w:szCs w:val="18"/>
                                  </w:rPr>
                                  <w:t>6</w:t>
                                </w:r>
                              </w:p>
                              <w:p w14:paraId="406011FE" w14:textId="4A0D91FE" w:rsidR="00BC616D" w:rsidRPr="00E90B8A" w:rsidRDefault="00BC616D" w:rsidP="00BC616D">
                                <w:pPr>
                                  <w:pStyle w:val="BoxTitle"/>
                                  <w:spacing w:before="0" w:beforeAutospacing="0"/>
                                  <w:rPr>
                                    <w:sz w:val="18"/>
                                    <w:szCs w:val="18"/>
                                  </w:rPr>
                                </w:pPr>
                                <w:r w:rsidRPr="00E90B8A">
                                  <w:rPr>
                                    <w:sz w:val="18"/>
                                    <w:szCs w:val="18"/>
                                  </w:rPr>
                                  <w:t>Q</w:t>
                                </w:r>
                                <w:r w:rsidR="0049196B">
                                  <w:rPr>
                                    <w:sz w:val="18"/>
                                    <w:szCs w:val="18"/>
                                  </w:rPr>
                                  <w:t>48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791DBA2" id="Group 1679198742" o:spid="_x0000_s1269" alt="Question" style="position:absolute;left:0;text-align:left;margin-left:.05pt;margin-top:-.25pt;width:453.55pt;height:173pt;z-index:-251658131;mso-height-relative:margin" coordorigin=",628" coordsize="57600,2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">
                <v:shape id="Freeform 52" o:spid="_x0000_s127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35F9E2B" w14:textId="77777777" w:rsidR="00BC616D" w:rsidRDefault="00BC616D" w:rsidP="00BC616D">
                        <w:pPr>
                          <w:pStyle w:val="BoxTitle"/>
                          <w:spacing w:before="0" w:beforeAutospacing="0"/>
                        </w:pPr>
                        <w:r w:rsidRPr="007F6876">
                          <w:t>QUESTION</w:t>
                        </w:r>
                        <w:r>
                          <w:t>S</w:t>
                        </w:r>
                      </w:p>
                    </w:txbxContent>
                  </v:textbox>
                </v:shape>
                <v:group id="Group 53" o:spid="_x0000_s1271" style="position:absolute;top:3161;width:57600;height:19449" coordorigin="1837,1791" coordsize="9302,2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">
                  <v:shape id="Freeform 54" o:spid="_x0000_s1272" style="position:absolute;left:1837;top:1791;width:9302;height:2100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" path="m,l9354,r,7809l,7809,,e" fillcolor="#edf2ea" stroked="f">
                    <v:path arrowok="t" o:connecttype="custom" o:connectlocs="0,2690;9302,2690;9302,23698;0,23698;0,2690" o:connectangles="0,0,0,0,0"/>
                  </v:shape>
                </v:group>
                <v:group id="Group 369638337" o:spid="_x0000_s127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">
                  <v:shape id="Freeform 58" o:spid="_x0000_s127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" path="m,l1815,e" filled="f" strokecolor="#72ab6a" strokeweight=".5pt">
                    <v:path arrowok="t" o:connecttype="custom" o:connectlocs="0,0;1073495,0" o:connectangles="0,0"/>
                  </v:shape>
                  <v:shape id="Freeform 66" o:spid="_x0000_s127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5A69338" w14:textId="573DA386" w:rsidR="00AF2429" w:rsidRDefault="00BC616D" w:rsidP="00BC616D">
                          <w:pPr>
                            <w:pStyle w:val="BoxTitle"/>
                            <w:spacing w:before="0" w:beforeAutospacing="0"/>
                            <w:rPr>
                              <w:sz w:val="18"/>
                              <w:szCs w:val="18"/>
                            </w:rPr>
                          </w:pPr>
                          <w:r w:rsidRPr="00E90B8A">
                            <w:rPr>
                              <w:sz w:val="18"/>
                              <w:szCs w:val="18"/>
                            </w:rPr>
                            <w:t>Q</w:t>
                          </w:r>
                          <w:r w:rsidR="0049196B">
                            <w:rPr>
                              <w:sz w:val="18"/>
                              <w:szCs w:val="18"/>
                            </w:rPr>
                            <w:t>4</w:t>
                          </w:r>
                          <w:r w:rsidR="004852BC">
                            <w:rPr>
                              <w:sz w:val="18"/>
                              <w:szCs w:val="18"/>
                            </w:rPr>
                            <w:t>6</w:t>
                          </w:r>
                        </w:p>
                        <w:p w14:paraId="406011FE" w14:textId="4A0D91FE" w:rsidR="00BC616D" w:rsidRPr="00E90B8A" w:rsidRDefault="00BC616D" w:rsidP="00BC616D">
                          <w:pPr>
                            <w:pStyle w:val="BoxTitle"/>
                            <w:spacing w:before="0" w:beforeAutospacing="0"/>
                            <w:rPr>
                              <w:sz w:val="18"/>
                              <w:szCs w:val="18"/>
                            </w:rPr>
                          </w:pPr>
                          <w:r w:rsidRPr="00E90B8A">
                            <w:rPr>
                              <w:sz w:val="18"/>
                              <w:szCs w:val="18"/>
                            </w:rPr>
                            <w:t>Q</w:t>
                          </w:r>
                          <w:r w:rsidR="0049196B">
                            <w:rPr>
                              <w:sz w:val="18"/>
                              <w:szCs w:val="18"/>
                            </w:rPr>
                            <w:t>48</w:t>
                          </w:r>
                        </w:p>
                      </w:txbxContent>
                    </v:textbox>
                  </v:shape>
                </v:group>
              </v:group>
            </w:pict>
          </mc:Fallback>
        </mc:AlternateContent>
      </w:r>
    </w:p>
    <w:p w14:paraId="412625B1" w14:textId="77777777" w:rsidR="00BC616D" w:rsidRPr="008642D1" w:rsidRDefault="00BC616D" w:rsidP="00BC616D">
      <w:pPr>
        <w:pStyle w:val="QuestionBox"/>
      </w:pPr>
    </w:p>
    <w:p w14:paraId="396B312B" w14:textId="77777777" w:rsidR="00EC6560" w:rsidRDefault="00EC6560" w:rsidP="00BC616D">
      <w:pPr>
        <w:pStyle w:val="QuestionBox"/>
      </w:pPr>
      <w:r w:rsidRPr="00EC6560">
        <w:t>If new grounds of discrimination are added to the Human Rights Act 1993 to protect people who are transgender or non-binary or who have an innate variation of sex characteristics, should the exception in section 55 for shared accommodation such as hostels be amended to reflect those new grounds?</w:t>
      </w:r>
    </w:p>
    <w:p w14:paraId="39A274C0" w14:textId="60F1DAFE" w:rsidR="00BC616D" w:rsidRPr="008642D1" w:rsidRDefault="00135799" w:rsidP="00BC616D">
      <w:pPr>
        <w:pStyle w:val="QuestionBox"/>
      </w:pPr>
      <w:r w:rsidRPr="008642D1">
        <w:rPr>
          <w:noProof/>
        </w:rPr>
        <mc:AlternateContent>
          <mc:Choice Requires="wpg">
            <w:drawing>
              <wp:anchor distT="0" distB="0" distL="114300" distR="114300" simplePos="0" relativeHeight="251658350" behindDoc="1" locked="0" layoutInCell="1" allowOverlap="1" wp14:anchorId="5C7B0848" wp14:editId="11223423">
                <wp:simplePos x="0" y="0"/>
                <wp:positionH relativeFrom="column">
                  <wp:posOffset>0</wp:posOffset>
                </wp:positionH>
                <wp:positionV relativeFrom="paragraph">
                  <wp:posOffset>181800</wp:posOffset>
                </wp:positionV>
                <wp:extent cx="1443355" cy="251460"/>
                <wp:effectExtent l="0" t="0" r="42545" b="0"/>
                <wp:wrapNone/>
                <wp:docPr id="1708082809"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73947551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01534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871955" w14:textId="35571320" w:rsidR="00AF2429" w:rsidRDefault="00135799" w:rsidP="00135799">
                              <w:pPr>
                                <w:pStyle w:val="BoxTitle"/>
                                <w:spacing w:before="0" w:beforeAutospacing="0"/>
                                <w:rPr>
                                  <w:sz w:val="18"/>
                                  <w:szCs w:val="18"/>
                                </w:rPr>
                              </w:pPr>
                              <w:r w:rsidRPr="00E90B8A">
                                <w:rPr>
                                  <w:sz w:val="18"/>
                                  <w:szCs w:val="18"/>
                                </w:rPr>
                                <w:t>Q</w:t>
                              </w:r>
                              <w:r w:rsidR="004852BC">
                                <w:rPr>
                                  <w:sz w:val="18"/>
                                  <w:szCs w:val="18"/>
                                </w:rPr>
                                <w:t>47</w:t>
                              </w:r>
                            </w:p>
                            <w:p w14:paraId="5CCBB9AF" w14:textId="626A8BEE" w:rsidR="00135799" w:rsidRPr="00E90B8A" w:rsidRDefault="00135799" w:rsidP="00135799">
                              <w:pPr>
                                <w:pStyle w:val="BoxTitle"/>
                                <w:spacing w:before="0" w:beforeAutospacing="0"/>
                                <w:rPr>
                                  <w:sz w:val="18"/>
                                  <w:szCs w:val="18"/>
                                </w:rPr>
                              </w:pPr>
                              <w:r w:rsidRPr="00E90B8A">
                                <w:rPr>
                                  <w:sz w:val="18"/>
                                  <w:szCs w:val="18"/>
                                </w:rPr>
                                <w:t>Q</w:t>
                              </w:r>
                              <w:r w:rsidR="0049196B">
                                <w:rPr>
                                  <w:sz w:val="18"/>
                                  <w:szCs w:val="18"/>
                                </w:rPr>
                                <w:t>49</w:t>
                              </w:r>
                            </w:p>
                          </w:txbxContent>
                        </wps:txbx>
                        <wps:bodyPr rot="0" vert="horz" wrap="square" lIns="54000" tIns="82800" rIns="91440" bIns="45720" anchor="ctr" anchorCtr="0" upright="1">
                          <a:noAutofit/>
                        </wps:bodyPr>
                      </wps:wsp>
                    </wpg:wgp>
                  </a:graphicData>
                </a:graphic>
              </wp:anchor>
            </w:drawing>
          </mc:Choice>
          <mc:Fallback>
            <w:pict>
              <v:group w14:anchorId="5C7B0848" id="_x0000_s1276" style="position:absolute;left:0;text-align:left;margin-left:0;margin-top:14.3pt;width:113.65pt;height:19.8pt;z-index:-251658130"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">
                <v:shape id="Freeform 58" o:spid="_x0000_s127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" path="m,l1815,e" filled="f" strokecolor="#72ab6a" strokeweight=".5pt">
                  <v:path arrowok="t" o:connecttype="custom" o:connectlocs="0,0;1073495,0" o:connectangles="0,0"/>
                </v:shape>
                <v:shape id="Freeform 66" o:spid="_x0000_s127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C871955" w14:textId="35571320" w:rsidR="00AF2429" w:rsidRDefault="00135799" w:rsidP="00135799">
                        <w:pPr>
                          <w:pStyle w:val="BoxTitle"/>
                          <w:spacing w:before="0" w:beforeAutospacing="0"/>
                          <w:rPr>
                            <w:sz w:val="18"/>
                            <w:szCs w:val="18"/>
                          </w:rPr>
                        </w:pPr>
                        <w:r w:rsidRPr="00E90B8A">
                          <w:rPr>
                            <w:sz w:val="18"/>
                            <w:szCs w:val="18"/>
                          </w:rPr>
                          <w:t>Q</w:t>
                        </w:r>
                        <w:r w:rsidR="004852BC">
                          <w:rPr>
                            <w:sz w:val="18"/>
                            <w:szCs w:val="18"/>
                          </w:rPr>
                          <w:t>47</w:t>
                        </w:r>
                      </w:p>
                      <w:p w14:paraId="5CCBB9AF" w14:textId="626A8BEE" w:rsidR="00135799" w:rsidRPr="00E90B8A" w:rsidRDefault="00135799" w:rsidP="00135799">
                        <w:pPr>
                          <w:pStyle w:val="BoxTitle"/>
                          <w:spacing w:before="0" w:beforeAutospacing="0"/>
                          <w:rPr>
                            <w:sz w:val="18"/>
                            <w:szCs w:val="18"/>
                          </w:rPr>
                        </w:pPr>
                        <w:r w:rsidRPr="00E90B8A">
                          <w:rPr>
                            <w:sz w:val="18"/>
                            <w:szCs w:val="18"/>
                          </w:rPr>
                          <w:t>Q</w:t>
                        </w:r>
                        <w:r w:rsidR="0049196B">
                          <w:rPr>
                            <w:sz w:val="18"/>
                            <w:szCs w:val="18"/>
                          </w:rPr>
                          <w:t>49</w:t>
                        </w:r>
                      </w:p>
                    </w:txbxContent>
                  </v:textbox>
                </v:shape>
              </v:group>
            </w:pict>
          </mc:Fallback>
        </mc:AlternateContent>
      </w:r>
    </w:p>
    <w:p w14:paraId="5F4774FB" w14:textId="4AB62C1D" w:rsidR="00BC616D" w:rsidRDefault="00257C3C" w:rsidP="00BC616D">
      <w:pPr>
        <w:pStyle w:val="QuestionBox"/>
      </w:pPr>
      <w:r w:rsidRPr="00257C3C">
        <w:t>Do you have any additional feedback on the practical implications of amending section 55?</w:t>
      </w:r>
    </w:p>
    <w:p w14:paraId="5A4E709D" w14:textId="77777777" w:rsidR="00D65FF3" w:rsidRPr="008642D1" w:rsidRDefault="00D65FF3" w:rsidP="00BC616D">
      <w:pPr>
        <w:pStyle w:val="QuestionBox"/>
      </w:pPr>
    </w:p>
    <w:p w14:paraId="65636450" w14:textId="6CF65220" w:rsidR="003B3732" w:rsidRPr="008642D1" w:rsidRDefault="003B3732" w:rsidP="003B3732">
      <w:pPr>
        <w:pStyle w:val="Heading2"/>
      </w:pPr>
      <w:bookmarkStart w:id="126" w:name="_Toc170302171"/>
      <w:r w:rsidRPr="008642D1">
        <w:t>Implications of th</w:t>
      </w:r>
      <w:r w:rsidR="00EF433C">
        <w:t>is</w:t>
      </w:r>
      <w:r w:rsidRPr="008642D1">
        <w:t xml:space="preserve"> review for the Residential Tenancies Act 1986</w:t>
      </w:r>
      <w:bookmarkEnd w:id="126"/>
    </w:p>
    <w:p w14:paraId="310C2BA7" w14:textId="620A81E5" w:rsidR="003B3732" w:rsidRPr="008642D1" w:rsidRDefault="003B3732" w:rsidP="003B3732">
      <w:pPr>
        <w:pStyle w:val="BodyText"/>
      </w:pPr>
      <w:r w:rsidRPr="008642D1">
        <w:t>The Residential Tenancies Act</w:t>
      </w:r>
      <w:r w:rsidRPr="008642D1" w:rsidDel="00CD7BA9">
        <w:t xml:space="preserve"> </w:t>
      </w:r>
      <w:r w:rsidRPr="008642D1">
        <w:t>contains a provision about discrimination in residential accommodation that refers specifically to the Human Rights Act. Section 12 prohibits the following in respect of the grant, continuance, extension, variation, termination or renewal of a tenancy agreement:</w:t>
      </w:r>
      <w:r w:rsidRPr="008642D1">
        <w:rPr>
          <w:rStyle w:val="FootnoteReference"/>
        </w:rPr>
        <w:t xml:space="preserve"> </w:t>
      </w:r>
    </w:p>
    <w:p w14:paraId="3AF3704C" w14:textId="2B642FF4" w:rsidR="003B3732" w:rsidRPr="008642D1" w:rsidRDefault="003B3732" w:rsidP="001E69E7">
      <w:pPr>
        <w:pStyle w:val="BodyText2"/>
        <w:numPr>
          <w:ilvl w:val="3"/>
          <w:numId w:val="56"/>
        </w:numPr>
      </w:pPr>
      <w:r w:rsidRPr="008642D1" w:rsidDel="00E208E7">
        <w:t>d</w:t>
      </w:r>
      <w:r w:rsidRPr="008642D1">
        <w:t>iscriminating against any person in contravention of the Human Rights Act</w:t>
      </w:r>
      <w:r w:rsidRPr="008642D1" w:rsidDel="00E208E7">
        <w:t>;</w:t>
      </w:r>
    </w:p>
    <w:p w14:paraId="2827EA27" w14:textId="6AE9FC43" w:rsidR="003B3732" w:rsidRPr="008642D1" w:rsidRDefault="003B3732" w:rsidP="003B3732">
      <w:pPr>
        <w:pStyle w:val="BodyText2"/>
        <w:numPr>
          <w:ilvl w:val="3"/>
          <w:numId w:val="29"/>
        </w:numPr>
      </w:pPr>
      <w:r w:rsidRPr="008642D1" w:rsidDel="00E208E7">
        <w:t>a</w:t>
      </w:r>
      <w:r w:rsidRPr="008642D1">
        <w:t>s a landlord, instructing a person to discriminate in contravention of the Human Rights Act</w:t>
      </w:r>
      <w:r w:rsidRPr="008642D1" w:rsidDel="00E208E7">
        <w:t>; and</w:t>
      </w:r>
    </w:p>
    <w:p w14:paraId="1E4EAC24" w14:textId="2D7F92DF" w:rsidR="003B3732" w:rsidRPr="008642D1" w:rsidRDefault="003B3732" w:rsidP="003B3732">
      <w:pPr>
        <w:pStyle w:val="BodyText2"/>
        <w:numPr>
          <w:ilvl w:val="3"/>
          <w:numId w:val="29"/>
        </w:numPr>
      </w:pPr>
      <w:r w:rsidRPr="008642D1" w:rsidDel="00E208E7">
        <w:t>a</w:t>
      </w:r>
      <w:r w:rsidRPr="008642D1">
        <w:t xml:space="preserve">s a landlord, stating an intention to discriminate in contravention of the Human Rights Act. </w:t>
      </w:r>
    </w:p>
    <w:p w14:paraId="4B2EAFFA" w14:textId="39E0F321" w:rsidR="003B3732" w:rsidRPr="008642D1" w:rsidRDefault="003B3732" w:rsidP="003B3732">
      <w:pPr>
        <w:pStyle w:val="BodyText"/>
      </w:pPr>
      <w:r w:rsidRPr="008642D1">
        <w:t xml:space="preserve">Because section 12 refers specifically to </w:t>
      </w:r>
      <w:r w:rsidRPr="008642D1" w:rsidDel="008263C1">
        <w:t>“</w:t>
      </w:r>
      <w:r w:rsidRPr="008642D1">
        <w:t>contravention of the Human Rights Act</w:t>
      </w:r>
      <w:r w:rsidRPr="008642D1" w:rsidDel="008263C1">
        <w:t>”</w:t>
      </w:r>
      <w:r w:rsidRPr="008642D1">
        <w:t>, any amendment to the prohibited grounds of discrimination in section 21 of the Human Rights Act would have consequential implications for the Residential Tenancies Act.</w:t>
      </w:r>
    </w:p>
    <w:p w14:paraId="5921EDEC" w14:textId="66C57E36" w:rsidR="003B3732" w:rsidRPr="008642D1" w:rsidRDefault="003B3732" w:rsidP="005B15A4">
      <w:pPr>
        <w:pStyle w:val="BodyText"/>
      </w:pPr>
      <w:r w:rsidRPr="008642D1">
        <w:t>On our preliminary analysis, however, the only additional implication (beyond the implications discussed earlier in this chapter) is that the Residential Tenancies Act opens up an alternative complaints mechanism. In practice, activity that is unlawful under section 12 of the Residential Tenancies Act is also unlawful under section 53 of the Human Rights Act. However, a person who believes they have experienced discrimination in relation to a residential tenancy can cho</w:t>
      </w:r>
      <w:r w:rsidR="00A55F61">
        <w:t>o</w:t>
      </w:r>
      <w:r w:rsidRPr="008642D1">
        <w:t>se to bring a claim to the Tenancy Tribunal under the Residential Tenancies Act instead of pursuing a complaint under the Human Rights Act.</w:t>
      </w:r>
      <w:r w:rsidRPr="008642D1">
        <w:rPr>
          <w:rStyle w:val="FootnoteReference"/>
        </w:rPr>
        <w:footnoteReference w:id="513"/>
      </w:r>
      <w:r w:rsidRPr="008642D1">
        <w:t xml:space="preserve"> </w:t>
      </w:r>
    </w:p>
    <w:p w14:paraId="05B16A5A" w14:textId="77777777" w:rsidR="003B3732" w:rsidRPr="008642D1" w:rsidRDefault="003B3732" w:rsidP="005B15A4">
      <w:pPr>
        <w:pStyle w:val="BodyText"/>
      </w:pPr>
      <w:r w:rsidRPr="008642D1">
        <w:t xml:space="preserve">If new grounds of discrimination were added to section 21 of the Human Rights Act, this would clarify that complaints under the Residential Tenancies Act can be pursued on the basis of those additional grounds.  </w:t>
      </w:r>
    </w:p>
    <w:p w14:paraId="0249BC97" w14:textId="77777777" w:rsidR="003B3732" w:rsidRPr="008642D1" w:rsidRDefault="003B3732" w:rsidP="003B3732">
      <w:pPr>
        <w:pStyle w:val="BodyText"/>
      </w:pPr>
      <w:r w:rsidRPr="008642D1">
        <w:lastRenderedPageBreak/>
        <w:t>We are interested in feedback about whether there are other implications of this review for the Residential Tenancies Act.</w:t>
      </w:r>
    </w:p>
    <w:p w14:paraId="408ED0CF" w14:textId="305E57F6" w:rsidR="00082A6F" w:rsidRPr="008642D1" w:rsidRDefault="00082A6F" w:rsidP="00082A6F">
      <w:pPr>
        <w:pStyle w:val="QuestionBox"/>
      </w:pPr>
      <w:r w:rsidRPr="008642D1">
        <w:rPr>
          <w:noProof/>
        </w:rPr>
        <mc:AlternateContent>
          <mc:Choice Requires="wpg">
            <w:drawing>
              <wp:anchor distT="0" distB="0" distL="114300" distR="114300" simplePos="0" relativeHeight="251658351" behindDoc="1" locked="0" layoutInCell="1" allowOverlap="1" wp14:anchorId="2E61585A" wp14:editId="4CB6825B">
                <wp:simplePos x="0" y="0"/>
                <wp:positionH relativeFrom="column">
                  <wp:posOffset>520</wp:posOffset>
                </wp:positionH>
                <wp:positionV relativeFrom="paragraph">
                  <wp:posOffset>-1633</wp:posOffset>
                </wp:positionV>
                <wp:extent cx="5760085" cy="1151934"/>
                <wp:effectExtent l="0" t="0" r="0" b="0"/>
                <wp:wrapNone/>
                <wp:docPr id="914306207" name="Group 914306207" descr="Questi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760085" cy="1151934"/>
                          <a:chOff x="0" y="62865"/>
                          <a:chExt cx="5760085" cy="1152607"/>
                        </a:xfrm>
                      </wpg:grpSpPr>
                      <wps:wsp>
                        <wps:cNvPr id="29529140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AA33AA" w14:textId="77777777" w:rsidR="00082A6F" w:rsidRDefault="00082A6F" w:rsidP="00082A6F">
                              <w:pPr>
                                <w:pStyle w:val="BoxTitle"/>
                                <w:spacing w:before="0" w:beforeAutospacing="0"/>
                              </w:pPr>
                              <w:r w:rsidRPr="007F6876">
                                <w:t>QUESTION</w:t>
                              </w:r>
                            </w:p>
                          </w:txbxContent>
                        </wps:txbx>
                        <wps:bodyPr rot="0" vert="horz" wrap="square" lIns="91440" tIns="0" rIns="0" bIns="45720" anchor="ctr" anchorCtr="0" upright="1">
                          <a:noAutofit/>
                        </wps:bodyPr>
                      </wps:wsp>
                      <wpg:grpSp>
                        <wpg:cNvPr id="2096604067" name="Group 53"/>
                        <wpg:cNvGrpSpPr>
                          <a:grpSpLocks/>
                        </wpg:cNvGrpSpPr>
                        <wpg:grpSpPr bwMode="auto">
                          <a:xfrm>
                            <a:off x="0" y="316077"/>
                            <a:ext cx="5760085" cy="899395"/>
                            <a:chOff x="1837" y="1790"/>
                            <a:chExt cx="9302" cy="9715"/>
                          </a:xfrm>
                        </wpg:grpSpPr>
                        <wps:wsp>
                          <wps:cNvPr id="471437786" name="Freeform 54"/>
                          <wps:cNvSpPr>
                            <a:spLocks/>
                          </wps:cNvSpPr>
                          <wps:spPr bwMode="auto">
                            <a:xfrm>
                              <a:off x="1837" y="1790"/>
                              <a:ext cx="9302" cy="971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3756483" name="Group 1833756483"/>
                        <wpg:cNvGrpSpPr/>
                        <wpg:grpSpPr>
                          <a:xfrm>
                            <a:off x="0" y="494036"/>
                            <a:ext cx="1443794" cy="252000"/>
                            <a:chOff x="-15880" y="0"/>
                            <a:chExt cx="1444379" cy="252068"/>
                          </a:xfrm>
                        </wpg:grpSpPr>
                        <wps:wsp>
                          <wps:cNvPr id="23052096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49717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969930" w14:textId="25EB5AC7" w:rsidR="00AF2429" w:rsidRDefault="00082A6F" w:rsidP="00082A6F">
                                <w:pPr>
                                  <w:pStyle w:val="BoxTitle"/>
                                  <w:spacing w:before="0" w:beforeAutospacing="0"/>
                                  <w:rPr>
                                    <w:sz w:val="18"/>
                                    <w:szCs w:val="18"/>
                                  </w:rPr>
                                </w:pPr>
                                <w:r w:rsidRPr="00E90B8A">
                                  <w:rPr>
                                    <w:sz w:val="18"/>
                                    <w:szCs w:val="18"/>
                                  </w:rPr>
                                  <w:t>Q</w:t>
                                </w:r>
                                <w:r w:rsidR="004852BC">
                                  <w:rPr>
                                    <w:sz w:val="18"/>
                                    <w:szCs w:val="18"/>
                                  </w:rPr>
                                  <w:t>48</w:t>
                                </w:r>
                              </w:p>
                              <w:p w14:paraId="20BF3BDC" w14:textId="55E38C9F" w:rsidR="00082A6F" w:rsidRPr="00E90B8A" w:rsidRDefault="00082A6F" w:rsidP="00082A6F">
                                <w:pPr>
                                  <w:pStyle w:val="BoxTitle"/>
                                  <w:spacing w:before="0" w:beforeAutospacing="0"/>
                                  <w:rPr>
                                    <w:sz w:val="18"/>
                                    <w:szCs w:val="18"/>
                                  </w:rPr>
                                </w:pPr>
                                <w:r w:rsidRPr="00E90B8A">
                                  <w:rPr>
                                    <w:sz w:val="18"/>
                                    <w:szCs w:val="18"/>
                                  </w:rPr>
                                  <w:t>Q</w:t>
                                </w:r>
                                <w:r>
                                  <w:rPr>
                                    <w:sz w:val="18"/>
                                    <w:szCs w:val="18"/>
                                  </w:rPr>
                                  <w:t>5</w:t>
                                </w:r>
                                <w:r w:rsidR="0049196B">
                                  <w:rPr>
                                    <w:sz w:val="18"/>
                                    <w:szCs w:val="18"/>
                                  </w:rPr>
                                  <w:t>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E61585A" id="Group 914306207" o:spid="_x0000_s1279" alt="Question" style="position:absolute;left:0;text-align:left;margin-left:.05pt;margin-top:-.15pt;width:453.55pt;height:90.7pt;z-index:-251658129;mso-height-relative:margin" coordorigin=",628" coordsize="57600,1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">
                <v:shape id="Freeform 52" o:spid="_x0000_s128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7AA33AA" w14:textId="77777777" w:rsidR="00082A6F" w:rsidRDefault="00082A6F" w:rsidP="00082A6F">
                        <w:pPr>
                          <w:pStyle w:val="BoxTitle"/>
                          <w:spacing w:before="0" w:beforeAutospacing="0"/>
                        </w:pPr>
                        <w:r w:rsidRPr="007F6876">
                          <w:t>QUESTION</w:t>
                        </w:r>
                      </w:p>
                    </w:txbxContent>
                  </v:textbox>
                </v:shape>
                <v:group id="Group 53" o:spid="_x0000_s1281" style="position:absolute;top:3160;width:57600;height:8994" coordorigin="1837,1790" coordsize="9302,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">
                  <v:shape id="Freeform 54" o:spid="_x0000_s1282" style="position:absolute;left:1837;top:1790;width:9302;height:971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" path="m,l9354,r,7809l,7809,,e" fillcolor="#edf2ea" stroked="f">
                    <v:path arrowok="t" o:connecttype="custom" o:connectlocs="0,1244;9302,1244;9302,10959;0,10959;0,1244" o:connectangles="0,0,0,0,0"/>
                  </v:shape>
                </v:group>
                <v:group id="Group 1833756483" o:spid="_x0000_s128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">
                  <v:shape id="Freeform 58" o:spid="_x0000_s128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" path="m,l1815,e" filled="f" strokecolor="#72ab6a" strokeweight=".5pt">
                    <v:path arrowok="t" o:connecttype="custom" o:connectlocs="0,0;1073495,0" o:connectangles="0,0"/>
                  </v:shape>
                  <v:shape id="Freeform 66" o:spid="_x0000_s128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5969930" w14:textId="25EB5AC7" w:rsidR="00AF2429" w:rsidRDefault="00082A6F" w:rsidP="00082A6F">
                          <w:pPr>
                            <w:pStyle w:val="BoxTitle"/>
                            <w:spacing w:before="0" w:beforeAutospacing="0"/>
                            <w:rPr>
                              <w:sz w:val="18"/>
                              <w:szCs w:val="18"/>
                            </w:rPr>
                          </w:pPr>
                          <w:r w:rsidRPr="00E90B8A">
                            <w:rPr>
                              <w:sz w:val="18"/>
                              <w:szCs w:val="18"/>
                            </w:rPr>
                            <w:t>Q</w:t>
                          </w:r>
                          <w:r w:rsidR="004852BC">
                            <w:rPr>
                              <w:sz w:val="18"/>
                              <w:szCs w:val="18"/>
                            </w:rPr>
                            <w:t>48</w:t>
                          </w:r>
                        </w:p>
                        <w:p w14:paraId="20BF3BDC" w14:textId="55E38C9F" w:rsidR="00082A6F" w:rsidRPr="00E90B8A" w:rsidRDefault="00082A6F" w:rsidP="00082A6F">
                          <w:pPr>
                            <w:pStyle w:val="BoxTitle"/>
                            <w:spacing w:before="0" w:beforeAutospacing="0"/>
                            <w:rPr>
                              <w:sz w:val="18"/>
                              <w:szCs w:val="18"/>
                            </w:rPr>
                          </w:pPr>
                          <w:r w:rsidRPr="00E90B8A">
                            <w:rPr>
                              <w:sz w:val="18"/>
                              <w:szCs w:val="18"/>
                            </w:rPr>
                            <w:t>Q</w:t>
                          </w:r>
                          <w:r>
                            <w:rPr>
                              <w:sz w:val="18"/>
                              <w:szCs w:val="18"/>
                            </w:rPr>
                            <w:t>5</w:t>
                          </w:r>
                          <w:r w:rsidR="0049196B">
                            <w:rPr>
                              <w:sz w:val="18"/>
                              <w:szCs w:val="18"/>
                            </w:rPr>
                            <w:t>0</w:t>
                          </w:r>
                        </w:p>
                      </w:txbxContent>
                    </v:textbox>
                  </v:shape>
                </v:group>
              </v:group>
            </w:pict>
          </mc:Fallback>
        </mc:AlternateContent>
      </w:r>
    </w:p>
    <w:p w14:paraId="4D595DD6" w14:textId="77777777" w:rsidR="00082A6F" w:rsidRPr="008642D1" w:rsidRDefault="00082A6F" w:rsidP="00082A6F">
      <w:pPr>
        <w:pStyle w:val="QuestionBox"/>
      </w:pPr>
    </w:p>
    <w:p w14:paraId="40B5E0EF" w14:textId="1549FABD" w:rsidR="00082A6F" w:rsidRPr="008642D1" w:rsidRDefault="003B3732" w:rsidP="00082A6F">
      <w:pPr>
        <w:pStyle w:val="QuestionBox"/>
      </w:pPr>
      <w:r w:rsidRPr="008642D1">
        <w:t xml:space="preserve">Do you have any feedback about </w:t>
      </w:r>
      <w:r w:rsidR="00304779" w:rsidRPr="00304779">
        <w:t>the</w:t>
      </w:r>
      <w:r w:rsidRPr="008642D1">
        <w:t xml:space="preserve"> implications of this review for the Residential Tenancies Act</w:t>
      </w:r>
      <w:r w:rsidR="00304779" w:rsidRPr="00304779">
        <w:t xml:space="preserve"> 1986?</w:t>
      </w:r>
    </w:p>
    <w:p w14:paraId="354B6C3A" w14:textId="77777777" w:rsidR="003B3732" w:rsidRPr="008642D1" w:rsidRDefault="003B3732" w:rsidP="003B3732">
      <w:pPr>
        <w:pStyle w:val="BodyText"/>
        <w:numPr>
          <w:ilvl w:val="0"/>
          <w:numId w:val="0"/>
        </w:numPr>
        <w:ind w:left="113"/>
      </w:pPr>
    </w:p>
    <w:p w14:paraId="01590DDA" w14:textId="77777777" w:rsidR="00174F89" w:rsidRDefault="00174F89" w:rsidP="00174F89">
      <w:pPr>
        <w:pStyle w:val="QuestionBox"/>
        <w:ind w:left="0"/>
        <w:jc w:val="left"/>
        <w:rPr>
          <w:lang w:val="en-US"/>
        </w:rPr>
      </w:pPr>
    </w:p>
    <w:p w14:paraId="4FF72CBE" w14:textId="1740B16A" w:rsidR="001F621E" w:rsidRPr="008642D1" w:rsidRDefault="00707BF3" w:rsidP="00174F89">
      <w:pPr>
        <w:pStyle w:val="QuestionBox"/>
        <w:ind w:left="0"/>
        <w:jc w:val="left"/>
        <w:rPr>
          <w:lang w:val="en-US"/>
        </w:rPr>
      </w:pPr>
      <w:r w:rsidRPr="008642D1">
        <w:rPr>
          <w:rFonts w:eastAsiaTheme="minorHAnsi"/>
          <w:noProof/>
          <w:lang w:eastAsia="en-NZ"/>
        </w:rPr>
        <mc:AlternateContent>
          <mc:Choice Requires="wpg">
            <w:drawing>
              <wp:anchor distT="0" distB="0" distL="114300" distR="114300" simplePos="0" relativeHeight="251658309" behindDoc="1" locked="0" layoutInCell="1" allowOverlap="1" wp14:anchorId="49375964" wp14:editId="0B6D03B7">
                <wp:simplePos x="0" y="0"/>
                <wp:positionH relativeFrom="page">
                  <wp:posOffset>1080135</wp:posOffset>
                </wp:positionH>
                <wp:positionV relativeFrom="paragraph">
                  <wp:posOffset>237962</wp:posOffset>
                </wp:positionV>
                <wp:extent cx="1799590" cy="1270"/>
                <wp:effectExtent l="0" t="19050" r="10160" b="17780"/>
                <wp:wrapNone/>
                <wp:docPr id="147842703" name="Group 147842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862986339"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E20F6" id="Group 147842703" o:spid="_x0000_s1026" style="position:absolute;margin-left:85.05pt;margin-top:18.75pt;width:141.7pt;height:.1pt;z-index:-251658171;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" path="m,l2097,e" filled="f" strokecolor="#72ab6a" strokeweight="3pt">
                  <v:path arrowok="t" o:connecttype="custom" o:connectlocs="0,0;2097,0" o:connectangles="0,0"/>
                </v:shape>
                <w10:wrap anchorx="page"/>
              </v:group>
            </w:pict>
          </mc:Fallback>
        </mc:AlternateContent>
      </w:r>
    </w:p>
    <w:p w14:paraId="507515CC" w14:textId="60A4398D" w:rsidR="00174F89" w:rsidRPr="008642D1" w:rsidRDefault="00174F89" w:rsidP="00174F89">
      <w:pPr>
        <w:pStyle w:val="BodyText"/>
        <w:numPr>
          <w:ilvl w:val="0"/>
          <w:numId w:val="0"/>
        </w:numPr>
        <w:ind w:left="709"/>
      </w:pPr>
    </w:p>
    <w:p w14:paraId="36D21664" w14:textId="031AAE9D" w:rsidR="00174F89" w:rsidRPr="008642D1" w:rsidRDefault="00174F89" w:rsidP="00174F89">
      <w:pPr>
        <w:pStyle w:val="BodyText"/>
        <w:numPr>
          <w:ilvl w:val="0"/>
          <w:numId w:val="0"/>
        </w:numPr>
        <w:ind w:left="709"/>
        <w:sectPr w:rsidR="00174F89" w:rsidRPr="008642D1" w:rsidSect="00174F89">
          <w:headerReference w:type="default" r:id="rId54"/>
          <w:footerReference w:type="even" r:id="rId55"/>
          <w:footerReference w:type="default" r:id="rId56"/>
          <w:footnotePr>
            <w:numRestart w:val="eachSect"/>
          </w:footnotePr>
          <w:pgSz w:w="11920" w:h="16840"/>
          <w:pgMar w:top="1134" w:right="1134" w:bottom="1134" w:left="1701" w:header="499" w:footer="46" w:gutter="0"/>
          <w:cols w:space="720"/>
        </w:sectPr>
      </w:pPr>
    </w:p>
    <w:p w14:paraId="34B1D31F" w14:textId="1D2C4C87" w:rsidR="00174F89" w:rsidRPr="008642D1" w:rsidRDefault="00174F89" w:rsidP="00174F89">
      <w:pPr>
        <w:pStyle w:val="HEADING2topchapter-notinTOC"/>
      </w:pPr>
      <w:r w:rsidRPr="008642D1">
        <w:lastRenderedPageBreak/>
        <w:t>CHAPTER 1</w:t>
      </w:r>
      <w:r w:rsidR="007F0439" w:rsidRPr="008642D1">
        <w:t>2</w:t>
      </w:r>
    </w:p>
    <w:p w14:paraId="24FD091B" w14:textId="77777777" w:rsidR="00174F89" w:rsidRPr="008642D1" w:rsidRDefault="00174F89" w:rsidP="00174F89">
      <w:pPr>
        <w:spacing w:line="200" w:lineRule="exact"/>
        <w:rPr>
          <w:szCs w:val="20"/>
        </w:rPr>
      </w:pPr>
      <w:r w:rsidRPr="008642D1">
        <w:rPr>
          <w:noProof/>
          <w:lang w:eastAsia="en-NZ"/>
        </w:rPr>
        <mc:AlternateContent>
          <mc:Choice Requires="wpg">
            <w:drawing>
              <wp:anchor distT="0" distB="0" distL="114300" distR="114300" simplePos="0" relativeHeight="251658285" behindDoc="1" locked="0" layoutInCell="1" allowOverlap="1" wp14:anchorId="552C6D28" wp14:editId="246471F9">
                <wp:simplePos x="0" y="0"/>
                <wp:positionH relativeFrom="page">
                  <wp:posOffset>1076325</wp:posOffset>
                </wp:positionH>
                <wp:positionV relativeFrom="paragraph">
                  <wp:posOffset>6350</wp:posOffset>
                </wp:positionV>
                <wp:extent cx="1332230" cy="1270"/>
                <wp:effectExtent l="0" t="19050" r="1270" b="17780"/>
                <wp:wrapNone/>
                <wp:docPr id="1249376892" name="Group 1249376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085350097"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1B47D" id="Group 1249376892" o:spid="_x0000_s1026" style="position:absolute;margin-left:84.75pt;margin-top:.5pt;width:104.9pt;height:.1pt;z-index:-251658195;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VmN+wIAAOA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&#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1A53172B" w14:textId="77777777" w:rsidR="00174F89" w:rsidRPr="008642D1" w:rsidRDefault="00174F89" w:rsidP="00DF306B">
      <w:pPr>
        <w:pStyle w:val="Heading1nonum"/>
        <w:numPr>
          <w:ilvl w:val="0"/>
          <w:numId w:val="24"/>
        </w:numPr>
        <w:spacing w:before="600" w:after="360"/>
      </w:pPr>
      <w:bookmarkStart w:id="127" w:name="_Toc166844455"/>
      <w:bookmarkStart w:id="128" w:name="_Toc170302172"/>
      <w:r w:rsidRPr="008642D1">
        <w:rPr>
          <w:rFonts w:eastAsia="Metropolis Black"/>
        </w:rPr>
        <w:t>Education</w:t>
      </w:r>
      <w:bookmarkEnd w:id="127"/>
      <w:bookmarkEnd w:id="128"/>
    </w:p>
    <w:p w14:paraId="00AC959B" w14:textId="77777777" w:rsidR="00174F89" w:rsidRPr="008642D1" w:rsidRDefault="00174F89" w:rsidP="00174F89">
      <w:pPr>
        <w:spacing w:line="200" w:lineRule="exact"/>
        <w:rPr>
          <w:szCs w:val="20"/>
        </w:rPr>
      </w:pPr>
      <w:r w:rsidRPr="008642D1">
        <w:rPr>
          <w:noProof/>
          <w:lang w:eastAsia="en-NZ"/>
        </w:rPr>
        <mc:AlternateContent>
          <mc:Choice Requires="wpg">
            <w:drawing>
              <wp:anchor distT="0" distB="0" distL="114300" distR="114300" simplePos="0" relativeHeight="251658284" behindDoc="1" locked="0" layoutInCell="1" allowOverlap="1" wp14:anchorId="3C751A26" wp14:editId="73790296">
                <wp:simplePos x="0" y="0"/>
                <wp:positionH relativeFrom="page">
                  <wp:posOffset>1087427</wp:posOffset>
                </wp:positionH>
                <wp:positionV relativeFrom="paragraph">
                  <wp:posOffset>71755</wp:posOffset>
                </wp:positionV>
                <wp:extent cx="1332230" cy="1270"/>
                <wp:effectExtent l="0" t="19050" r="1270" b="17780"/>
                <wp:wrapNone/>
                <wp:docPr id="2060844156" name="Group 2060844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022209395"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E113CD" id="Group 2060844156" o:spid="_x0000_s1026" style="position:absolute;margin-left:85.6pt;margin-top:5.65pt;width:104.9pt;height:.1pt;z-index:-251658196;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F38/AIAAOA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77F40BA2" w14:textId="77777777" w:rsidR="00174F89" w:rsidRPr="008642D1" w:rsidRDefault="00174F89" w:rsidP="00174F89"/>
    <w:p w14:paraId="686F4C1F" w14:textId="77777777" w:rsidR="00174F89" w:rsidRPr="008642D1" w:rsidRDefault="00174F89" w:rsidP="00174F89">
      <w:pPr>
        <w:pStyle w:val="Heading2"/>
      </w:pPr>
      <w:bookmarkStart w:id="129" w:name="_Toc166844456"/>
      <w:bookmarkStart w:id="130" w:name="_Toc170302173"/>
      <w:r w:rsidRPr="008642D1">
        <w:t>Introduction</w:t>
      </w:r>
      <w:bookmarkEnd w:id="129"/>
      <w:bookmarkEnd w:id="130"/>
    </w:p>
    <w:p w14:paraId="1EFC4AD3" w14:textId="218586C0" w:rsidR="007F0439" w:rsidRPr="008642D1" w:rsidRDefault="007F0439" w:rsidP="007F0439">
      <w:pPr>
        <w:pStyle w:val="BodyText"/>
      </w:pPr>
      <w:r w:rsidRPr="008642D1">
        <w:t>In this chapter</w:t>
      </w:r>
      <w:r w:rsidR="00F73235">
        <w:t>,</w:t>
      </w:r>
      <w:r w:rsidRPr="008642D1">
        <w:t xml:space="preserve"> we discuss the protections in Part 2 of the Human Rights Act 1993 that relate to educational establishments</w:t>
      </w:r>
      <w:r w:rsidR="00164C01">
        <w:t>,</w:t>
      </w:r>
      <w:r w:rsidRPr="008642D1">
        <w:t xml:space="preserve"> including vocational training bodies. These are found in sections 40 and 57. We seek feedback on the implications for sections 40 and 57 of adding new prohibited grounds of discrimination to the Human Rights Act. We identify two exceptions for discussion and feedback. We also seek feedback on the implications of our review for the Education and Training Act 2020.</w:t>
      </w:r>
    </w:p>
    <w:p w14:paraId="4FCF564B" w14:textId="77777777" w:rsidR="007F0439" w:rsidRPr="008642D1" w:rsidRDefault="007F0439" w:rsidP="007F0439">
      <w:pPr>
        <w:pStyle w:val="BodyText"/>
      </w:pPr>
      <w:r w:rsidRPr="008642D1">
        <w:t>We recommend reading this chapter alongside Chapter 8, which explains our approach to reviewing Part 2 of the Human Rights Act.</w:t>
      </w:r>
    </w:p>
    <w:p w14:paraId="602E6CB0" w14:textId="77777777" w:rsidR="007F0439" w:rsidRPr="008642D1" w:rsidRDefault="007F0439" w:rsidP="007F0439">
      <w:pPr>
        <w:pStyle w:val="Heading2"/>
      </w:pPr>
      <w:bookmarkStart w:id="131" w:name="_Toc170302174"/>
      <w:r w:rsidRPr="008642D1">
        <w:t>Scope of protection</w:t>
      </w:r>
      <w:bookmarkEnd w:id="131"/>
      <w:r w:rsidRPr="008642D1">
        <w:t xml:space="preserve"> </w:t>
      </w:r>
    </w:p>
    <w:p w14:paraId="700C75EC" w14:textId="03EF112A" w:rsidR="007F0439" w:rsidRPr="008642D1" w:rsidRDefault="007F0439" w:rsidP="007F0439">
      <w:pPr>
        <w:pStyle w:val="BodyText"/>
      </w:pPr>
      <w:r w:rsidRPr="008642D1">
        <w:rPr>
          <w:color w:val="0D0D0D" w:themeColor="text1" w:themeTint="F2"/>
        </w:rPr>
        <w:t>S</w:t>
      </w:r>
      <w:r w:rsidRPr="008642D1">
        <w:t xml:space="preserve">ection 40 applies to organisations or associations that provide vocational training (which is training to help </w:t>
      </w:r>
      <w:r w:rsidR="005217FC">
        <w:t>prepare</w:t>
      </w:r>
      <w:r w:rsidRPr="008642D1">
        <w:t xml:space="preserve"> a person for employment). Vocational training bodies cannot refuse or omit to provide someone with training (or facilities or opportunities for training), provide those on less favourable terms and conditions</w:t>
      </w:r>
      <w:r w:rsidR="00F47A2B">
        <w:t>,</w:t>
      </w:r>
      <w:r w:rsidRPr="008642D1">
        <w:t xml:space="preserve"> or terminate someone’s training or facilities or opportunities for training by reason of a prohibited ground of discrimination. </w:t>
      </w:r>
    </w:p>
    <w:p w14:paraId="2914E4B5" w14:textId="52A39A04" w:rsidR="007F0439" w:rsidRPr="008642D1" w:rsidRDefault="007F0439" w:rsidP="007F0439">
      <w:pPr>
        <w:pStyle w:val="BodyText"/>
      </w:pPr>
      <w:r w:rsidRPr="008642D1">
        <w:t>Section 57 applies to people and bodies involved in the control and management of, and teaching at, educational establishments. It prohibits the following actions if done by reason of a prohibited ground of discrimination:</w:t>
      </w:r>
    </w:p>
    <w:p w14:paraId="2196C4E7" w14:textId="1FBB8A37" w:rsidR="007F0439" w:rsidRPr="008642D1" w:rsidRDefault="007F0439" w:rsidP="001E69E7">
      <w:pPr>
        <w:pStyle w:val="BodyText2"/>
        <w:numPr>
          <w:ilvl w:val="3"/>
          <w:numId w:val="57"/>
        </w:numPr>
      </w:pPr>
      <w:r w:rsidRPr="008642D1" w:rsidDel="00631BE5">
        <w:t>r</w:t>
      </w:r>
      <w:r w:rsidRPr="008642D1">
        <w:t>efusing or failing to admit a student</w:t>
      </w:r>
      <w:r w:rsidRPr="008642D1" w:rsidDel="00631BE5">
        <w:t>;</w:t>
      </w:r>
    </w:p>
    <w:p w14:paraId="300CA0E5" w14:textId="5F461BA1" w:rsidR="007F0439" w:rsidRPr="008642D1" w:rsidRDefault="007F0439" w:rsidP="00564A7F">
      <w:pPr>
        <w:pStyle w:val="BodyText2"/>
        <w:numPr>
          <w:ilvl w:val="3"/>
          <w:numId w:val="57"/>
        </w:numPr>
      </w:pPr>
      <w:r w:rsidRPr="008642D1" w:rsidDel="00631BE5">
        <w:t>a</w:t>
      </w:r>
      <w:r w:rsidRPr="008642D1">
        <w:t>dmitting a student on less favourable terms</w:t>
      </w:r>
      <w:r w:rsidRPr="008642D1" w:rsidDel="00631BE5">
        <w:t>;</w:t>
      </w:r>
    </w:p>
    <w:p w14:paraId="6F8535E6" w14:textId="2C366F51" w:rsidR="007F0439" w:rsidRPr="008642D1" w:rsidRDefault="007F0439" w:rsidP="00564A7F">
      <w:pPr>
        <w:pStyle w:val="BodyText2"/>
        <w:numPr>
          <w:ilvl w:val="3"/>
          <w:numId w:val="57"/>
        </w:numPr>
      </w:pPr>
      <w:r w:rsidRPr="008642D1" w:rsidDel="00631BE5">
        <w:t>d</w:t>
      </w:r>
      <w:r w:rsidRPr="008642D1">
        <w:t>enying or restricting a student’s access to any benefits or services</w:t>
      </w:r>
      <w:r w:rsidRPr="008642D1" w:rsidDel="00631BE5">
        <w:t>; and</w:t>
      </w:r>
    </w:p>
    <w:p w14:paraId="6471A80C" w14:textId="3F593092" w:rsidR="007F0439" w:rsidRPr="008642D1" w:rsidRDefault="007F0439" w:rsidP="00564A7F">
      <w:pPr>
        <w:pStyle w:val="BodyText2"/>
        <w:numPr>
          <w:ilvl w:val="3"/>
          <w:numId w:val="57"/>
        </w:numPr>
      </w:pPr>
      <w:r w:rsidRPr="008642D1" w:rsidDel="00631BE5">
        <w:t>e</w:t>
      </w:r>
      <w:r w:rsidRPr="008642D1">
        <w:t>xcluding a student or subjecting them to any other detriment.</w:t>
      </w:r>
    </w:p>
    <w:p w14:paraId="7748B8FC" w14:textId="7A8700D8" w:rsidR="007F0439" w:rsidRPr="008642D1" w:rsidRDefault="007F0439" w:rsidP="007F0439">
      <w:pPr>
        <w:pStyle w:val="BodyText"/>
      </w:pPr>
      <w:r w:rsidRPr="008642D1">
        <w:t xml:space="preserve">Sections 40 and 57 overlap. This is because section 57(2) specifies that </w:t>
      </w:r>
      <w:r w:rsidR="00151FEF">
        <w:t xml:space="preserve">an </w:t>
      </w:r>
      <w:r w:rsidR="00DC4191">
        <w:t>“</w:t>
      </w:r>
      <w:r w:rsidRPr="008642D1">
        <w:t>educational establishment</w:t>
      </w:r>
      <w:r w:rsidR="00DC4191">
        <w:t>”</w:t>
      </w:r>
      <w:r w:rsidRPr="008642D1">
        <w:t xml:space="preserve"> includes vocational training bodies. </w:t>
      </w:r>
    </w:p>
    <w:p w14:paraId="3BED9994" w14:textId="7ADBF10D" w:rsidR="007F0439" w:rsidRPr="008642D1" w:rsidRDefault="007F0439" w:rsidP="007F0439">
      <w:pPr>
        <w:pStyle w:val="BodyText"/>
      </w:pPr>
      <w:r w:rsidRPr="008642D1">
        <w:t xml:space="preserve">The Human Rights Act does not otherwise define educational establishment. There is a large variety of educational establishments in Aotearoa New Zealand. Some examples are: early childhood education centres and kōhanga reo; primary, intermediate and secondary schools; tertiary institutions such as universities, wānanga, institutes of technology and polytechnics; and training establishments set up to serve particular industries or professions (like the </w:t>
      </w:r>
      <w:r w:rsidR="00151FEF">
        <w:t xml:space="preserve">Royal New Zealand </w:t>
      </w:r>
      <w:r w:rsidRPr="008642D1">
        <w:t xml:space="preserve">Police </w:t>
      </w:r>
      <w:r w:rsidR="00151FEF">
        <w:t>C</w:t>
      </w:r>
      <w:r w:rsidRPr="008642D1">
        <w:t>ollege).</w:t>
      </w:r>
    </w:p>
    <w:p w14:paraId="25298A53" w14:textId="77777777" w:rsidR="007F0439" w:rsidRPr="008642D1" w:rsidRDefault="007F0439" w:rsidP="007F0439">
      <w:pPr>
        <w:pStyle w:val="BodyText"/>
      </w:pPr>
      <w:r w:rsidRPr="008642D1">
        <w:lastRenderedPageBreak/>
        <w:t>Whether sections 40 and 57 regulate these various establishments and in what circumstances depends on whether the particular establishment is exercising a government function (and is therefore regulated by Part 1A of the Human Rights Act). As we explained in Chapter 8, case law and commentary suggests many education providers are likely to be exercising government functions. Therefore, the role for Part 2 in regulating education providers may be quite limited.</w:t>
      </w:r>
    </w:p>
    <w:p w14:paraId="45AC5789" w14:textId="77777777" w:rsidR="007F0439" w:rsidRPr="008642D1" w:rsidRDefault="007F0439" w:rsidP="007F0439">
      <w:pPr>
        <w:pStyle w:val="Heading3"/>
      </w:pPr>
      <w:r w:rsidRPr="008642D1">
        <w:t>Is the scope of protection sufficient?</w:t>
      </w:r>
    </w:p>
    <w:p w14:paraId="7FA7043F" w14:textId="6E7FC7BD" w:rsidR="007F0439" w:rsidRPr="008642D1" w:rsidRDefault="007F0439" w:rsidP="007F0439">
      <w:pPr>
        <w:pStyle w:val="BodyText"/>
      </w:pPr>
      <w:r w:rsidRPr="008642D1">
        <w:t>We want to understand better whether the scope of sections 40 and 57 is sufficient to capture issues of particular concern to people who are transgender or non-binary or who have an innate variation of sex characteristics. In Chapter 3</w:t>
      </w:r>
      <w:r w:rsidR="005B15A4">
        <w:t>,</w:t>
      </w:r>
      <w:r w:rsidRPr="008642D1">
        <w:t xml:space="preserve"> we discussed the difficulties reported by students who are transgender or non-binary or who have an innate variation of sex characteristics in an education setting. They include difficulties with admission to single-sex schools, participation in school sports, accessing safe and appropriate bathrooms and changing rooms, misgendering, deadnaming, bullying, challenges associated with gendered uniforms, and school activities that group students into boys and girls. </w:t>
      </w:r>
    </w:p>
    <w:p w14:paraId="455AF127" w14:textId="77777777" w:rsidR="007F0439" w:rsidRPr="008642D1" w:rsidRDefault="007F0439" w:rsidP="007F0439">
      <w:pPr>
        <w:pStyle w:val="BodyText"/>
        <w:rPr>
          <w:color w:val="0D0D0D" w:themeColor="text1" w:themeTint="F2"/>
        </w:rPr>
      </w:pPr>
      <w:r w:rsidRPr="008642D1">
        <w:t>We discuss issues associated with access to bathrooms and changing rooms in Chapter</w:t>
      </w:r>
      <w:r w:rsidRPr="008642D1">
        <w:rPr>
          <w:rFonts w:ascii="Calibri" w:hAnsi="Calibri" w:cs="Calibri"/>
        </w:rPr>
        <w:t> </w:t>
      </w:r>
      <w:r w:rsidRPr="008642D1">
        <w:t>13 and misgendering and deadnaming in Chapter 17. Putting those issues aside for now, some of the remaining concerns identified above might be covered under section</w:t>
      </w:r>
      <w:r w:rsidRPr="008642D1">
        <w:rPr>
          <w:rFonts w:ascii="Calibri" w:hAnsi="Calibri" w:cs="Calibri"/>
        </w:rPr>
        <w:t> </w:t>
      </w:r>
      <w:r w:rsidRPr="008642D1">
        <w:t xml:space="preserve">57 as it is currently worded. For example, requiring a transgender female student to wear a male uniform might amount to </w:t>
      </w:r>
      <w:r w:rsidRPr="008642D1">
        <w:rPr>
          <w:color w:val="0D0D0D" w:themeColor="text1" w:themeTint="F2"/>
        </w:rPr>
        <w:t>a detriment in breach of section 57.</w:t>
      </w:r>
      <w:r w:rsidRPr="008642D1">
        <w:rPr>
          <w:rStyle w:val="FootnoteReference"/>
        </w:rPr>
        <w:footnoteReference w:id="514"/>
      </w:r>
      <w:r w:rsidRPr="008642D1">
        <w:rPr>
          <w:color w:val="0D0D0D" w:themeColor="text1" w:themeTint="F2"/>
        </w:rPr>
        <w:t xml:space="preserve"> </w:t>
      </w:r>
    </w:p>
    <w:p w14:paraId="4CE24035" w14:textId="77777777" w:rsidR="007F0439" w:rsidRPr="008642D1" w:rsidRDefault="007F0439" w:rsidP="007F0439">
      <w:pPr>
        <w:pStyle w:val="BodyText"/>
      </w:pPr>
      <w:r w:rsidRPr="008642D1">
        <w:t xml:space="preserve">Some of these concerns may also </w:t>
      </w:r>
      <w:r w:rsidRPr="008642D1" w:rsidDel="008A29C2">
        <w:t xml:space="preserve">be </w:t>
      </w:r>
      <w:r w:rsidRPr="008642D1">
        <w:t>addressed by other existing laws. For example:</w:t>
      </w:r>
    </w:p>
    <w:p w14:paraId="1EC5FF55" w14:textId="5EED20C2" w:rsidR="007F0439" w:rsidRPr="008642D1" w:rsidRDefault="007F0439" w:rsidP="007F0439">
      <w:pPr>
        <w:pStyle w:val="BodyTextnonum"/>
        <w:numPr>
          <w:ilvl w:val="3"/>
          <w:numId w:val="23"/>
        </w:numPr>
      </w:pPr>
      <w:r w:rsidRPr="008642D1">
        <w:t>All teachers must be registered with and certified by Matatū Aotearoa</w:t>
      </w:r>
      <w:r w:rsidRPr="008642D1" w:rsidDel="001E206B">
        <w:t xml:space="preserve"> </w:t>
      </w:r>
      <w:r w:rsidRPr="008642D1">
        <w:t>| Teaching Council of Aotearoa New Zealand and comply with professional responsibilities set by the Teaching Council.</w:t>
      </w:r>
      <w:r w:rsidRPr="008642D1">
        <w:rPr>
          <w:rStyle w:val="FootnoteReference"/>
        </w:rPr>
        <w:footnoteReference w:id="515"/>
      </w:r>
      <w:r w:rsidRPr="008642D1">
        <w:t xml:space="preserve"> A teacher may be disciplined by the Teaching Council for serious misconduct</w:t>
      </w:r>
      <w:r w:rsidR="00C61DCA">
        <w:t>,</w:t>
      </w:r>
      <w:r w:rsidRPr="008642D1">
        <w:t xml:space="preserve"> and this can include having their registration cancelled.</w:t>
      </w:r>
      <w:r w:rsidRPr="008642D1">
        <w:rPr>
          <w:rStyle w:val="FootnoteReference"/>
        </w:rPr>
        <w:footnoteReference w:id="516"/>
      </w:r>
      <w:r w:rsidRPr="008642D1">
        <w:t xml:space="preserve"> Under the Education and Training Act</w:t>
      </w:r>
      <w:r w:rsidR="00C61DCA">
        <w:t>,</w:t>
      </w:r>
      <w:r w:rsidRPr="008642D1">
        <w:t xml:space="preserve"> every employer in the education service has an obligation to ensure that employees maintain proper standards of integrity, conduct and concern for the wellbeing of students attending the place of education.</w:t>
      </w:r>
      <w:r w:rsidRPr="008642D1">
        <w:rPr>
          <w:rStyle w:val="FootnoteReference"/>
        </w:rPr>
        <w:footnoteReference w:id="517"/>
      </w:r>
      <w:r w:rsidRPr="008642D1">
        <w:t xml:space="preserve"> </w:t>
      </w:r>
    </w:p>
    <w:p w14:paraId="2CE11DB2" w14:textId="60500D3F" w:rsidR="007F0439" w:rsidRPr="008642D1" w:rsidRDefault="007F0439" w:rsidP="007F0439">
      <w:pPr>
        <w:pStyle w:val="BodyTextnonum"/>
        <w:numPr>
          <w:ilvl w:val="3"/>
          <w:numId w:val="23"/>
        </w:numPr>
      </w:pPr>
      <w:r w:rsidRPr="008642D1">
        <w:t>The primary objectives of boards in state schools (and state</w:t>
      </w:r>
      <w:r w:rsidR="00C61DCA">
        <w:t>-</w:t>
      </w:r>
      <w:r w:rsidRPr="008642D1">
        <w:t>integrated schools) include ensuring the school “is a physically and emotionally safe place for all students and staff”, “takes all reasonable steps to eliminate racism, stigma, bullying, and other forms of discrimination within the school” and “is inclusive of, and caters for, students with differing needs”.</w:t>
      </w:r>
      <w:r w:rsidRPr="008642D1">
        <w:rPr>
          <w:rStyle w:val="FootnoteReference"/>
        </w:rPr>
        <w:footnoteReference w:id="518"/>
      </w:r>
      <w:r w:rsidRPr="008642D1">
        <w:t xml:space="preserve"> The criteria for registration as a private school requires the </w:t>
      </w:r>
      <w:r w:rsidRPr="008642D1">
        <w:lastRenderedPageBreak/>
        <w:t>school to have suitable premises and to be a physically and emotionally safe place for students.</w:t>
      </w:r>
      <w:r w:rsidRPr="008642D1">
        <w:rPr>
          <w:rStyle w:val="FootnoteReference"/>
        </w:rPr>
        <w:footnoteReference w:id="519"/>
      </w:r>
    </w:p>
    <w:p w14:paraId="533D09E2" w14:textId="07D6C81E" w:rsidR="007F0439" w:rsidRPr="008642D1" w:rsidRDefault="007F0439" w:rsidP="007F0439">
      <w:pPr>
        <w:pStyle w:val="BodyTextnonum"/>
        <w:numPr>
          <w:ilvl w:val="3"/>
          <w:numId w:val="23"/>
        </w:numPr>
      </w:pPr>
      <w:r w:rsidRPr="008642D1">
        <w:t>There are obligations on school boards, principals and teachers under the Health and Safety at Work Act 2015 to ensure the health and safety of students, including their psychological health. Bullying is a known hazard</w:t>
      </w:r>
      <w:r w:rsidR="0093636C">
        <w:t>,</w:t>
      </w:r>
      <w:r w:rsidRPr="008642D1">
        <w:t xml:space="preserve"> and Te Tāhuhu o te Mātauranga | Ministry of Education issues guidance on how to prevent and respond to bullying.</w:t>
      </w:r>
      <w:r w:rsidRPr="008642D1">
        <w:rPr>
          <w:rStyle w:val="FootnoteReference"/>
        </w:rPr>
        <w:footnoteReference w:id="520"/>
      </w:r>
    </w:p>
    <w:p w14:paraId="67B1033C" w14:textId="77777777" w:rsidR="007F0439" w:rsidRPr="008642D1" w:rsidRDefault="007F0439" w:rsidP="007F0439">
      <w:pPr>
        <w:pStyle w:val="BodyTextnonum"/>
        <w:numPr>
          <w:ilvl w:val="3"/>
          <w:numId w:val="23"/>
        </w:numPr>
      </w:pPr>
      <w:r w:rsidRPr="008642D1">
        <w:t>If a student is being bullied on social media or some other digital format, the Harmful Digital Communications Act 2015 might be relevant. With the consent of the affected student, a school principal can bring proceedings under this Act.</w:t>
      </w:r>
      <w:r w:rsidRPr="008642D1">
        <w:rPr>
          <w:rStyle w:val="FootnoteReference"/>
        </w:rPr>
        <w:footnoteReference w:id="521"/>
      </w:r>
    </w:p>
    <w:p w14:paraId="0CD5F05D" w14:textId="6BF74E4E" w:rsidR="007F0439" w:rsidRPr="008642D1" w:rsidRDefault="007F0439" w:rsidP="00D2205A">
      <w:pPr>
        <w:pStyle w:val="BodyText"/>
        <w:rPr>
          <w:rFonts w:asciiTheme="minorHAnsi" w:eastAsiaTheme="minorEastAsia" w:hAnsiTheme="minorHAnsi"/>
          <w:lang w:eastAsia="zh-CN"/>
        </w:rPr>
      </w:pPr>
      <w:r w:rsidRPr="008642D1">
        <w:t>We would also like to understand any other implications for sections 40 and 57 of adding new prohibited grounds of discrimination. For example, we want to understand the implications for educational establishments and vocational training providers, and we want to know whether any new exceptions to sections 40 and 57 would be desirable</w:t>
      </w:r>
      <w:r w:rsidRPr="008642D1" w:rsidDel="0057614D">
        <w:t xml:space="preserve"> </w:t>
      </w:r>
      <w:r w:rsidRPr="008642D1">
        <w:t>to ensure the</w:t>
      </w:r>
      <w:r w:rsidR="008E528C">
        <w:t xml:space="preserve"> Human Rights</w:t>
      </w:r>
      <w:r w:rsidRPr="008642D1">
        <w:t xml:space="preserve"> Act appropriately balances relevant rights and interests. (We discuss existing exceptions below.)</w:t>
      </w:r>
    </w:p>
    <w:p w14:paraId="0672D1EB" w14:textId="12D2F2FE" w:rsidR="007F0439" w:rsidRPr="008642D1" w:rsidRDefault="007F0439" w:rsidP="00D77361">
      <w:pPr>
        <w:pStyle w:val="BodyText"/>
        <w:rPr>
          <w:rFonts w:asciiTheme="minorHAnsi" w:eastAsiaTheme="minorEastAsia" w:hAnsiTheme="minorHAnsi"/>
          <w:lang w:eastAsia="zh-CN"/>
        </w:rPr>
      </w:pPr>
      <w:r w:rsidRPr="008642D1">
        <w:t>We are aware</w:t>
      </w:r>
      <w:r w:rsidRPr="008642D1" w:rsidDel="008E528C">
        <w:t>, for example,</w:t>
      </w:r>
      <w:r w:rsidRPr="008642D1">
        <w:t xml:space="preserve"> that in Victoria, there is an exception allowing educational authorities to set and enforce reasonable standards of dress, appearance and behaviour.</w:t>
      </w:r>
      <w:r w:rsidRPr="008642D1">
        <w:rPr>
          <w:rStyle w:val="FootnoteReference"/>
        </w:rPr>
        <w:footnoteReference w:id="522"/>
      </w:r>
      <w:r w:rsidRPr="008642D1">
        <w:t xml:space="preserve"> We are not sure that such an exception would be needed in Aotearoa New Zealand as we doubt this would amount to discrimination in the first place. However, we are interested to hear submitters’ views on that or any other exceptions that may be desirable. </w:t>
      </w:r>
    </w:p>
    <w:p w14:paraId="7DEBC556" w14:textId="77777777" w:rsidR="007F0439" w:rsidRPr="008642D1" w:rsidRDefault="007F0439" w:rsidP="007F0439">
      <w:pPr>
        <w:pStyle w:val="BodyText"/>
      </w:pPr>
      <w:r w:rsidRPr="008642D1">
        <w:t>In Chapter 17, we seek feedback on whether there should be exceptions in the Human Rights Act that protect sex-differentiated activities that are done in accordance with tikanga.</w:t>
      </w:r>
    </w:p>
    <w:p w14:paraId="6976A2FF" w14:textId="246E1AAE" w:rsidR="007F0439" w:rsidRPr="008642D1" w:rsidRDefault="007F0439" w:rsidP="007F0439">
      <w:pPr>
        <w:pStyle w:val="QuestionBox"/>
      </w:pPr>
      <w:r w:rsidRPr="008642D1">
        <w:rPr>
          <w:noProof/>
        </w:rPr>
        <mc:AlternateContent>
          <mc:Choice Requires="wpg">
            <w:drawing>
              <wp:anchor distT="0" distB="0" distL="114300" distR="114300" simplePos="0" relativeHeight="251658352" behindDoc="1" locked="0" layoutInCell="1" allowOverlap="1" wp14:anchorId="2F025B01" wp14:editId="1B05F693">
                <wp:simplePos x="0" y="0"/>
                <wp:positionH relativeFrom="column">
                  <wp:posOffset>520</wp:posOffset>
                </wp:positionH>
                <wp:positionV relativeFrom="paragraph">
                  <wp:posOffset>148</wp:posOffset>
                </wp:positionV>
                <wp:extent cx="5760085" cy="2802551"/>
                <wp:effectExtent l="0" t="0" r="0" b="0"/>
                <wp:wrapNone/>
                <wp:docPr id="518907048" name="Group 518907048" descr="Question"/>
                <wp:cNvGraphicFramePr/>
                <a:graphic xmlns:a="http://schemas.openxmlformats.org/drawingml/2006/main">
                  <a:graphicData uri="http://schemas.microsoft.com/office/word/2010/wordprocessingGroup">
                    <wpg:wgp>
                      <wpg:cNvGrpSpPr/>
                      <wpg:grpSpPr>
                        <a:xfrm>
                          <a:off x="0" y="0"/>
                          <a:ext cx="5760085" cy="2802551"/>
                          <a:chOff x="0" y="62865"/>
                          <a:chExt cx="5760085" cy="2804200"/>
                        </a:xfrm>
                      </wpg:grpSpPr>
                      <wps:wsp>
                        <wps:cNvPr id="199383604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2DCF51" w14:textId="77777777" w:rsidR="007F0439" w:rsidRDefault="007F0439" w:rsidP="007F0439">
                              <w:pPr>
                                <w:pStyle w:val="BoxTitle"/>
                                <w:spacing w:before="0" w:beforeAutospacing="0"/>
                              </w:pPr>
                              <w:r w:rsidRPr="007F6876">
                                <w:t>QUESTION</w:t>
                              </w:r>
                              <w:r>
                                <w:t>S</w:t>
                              </w:r>
                            </w:p>
                          </w:txbxContent>
                        </wps:txbx>
                        <wps:bodyPr rot="0" vert="horz" wrap="square" lIns="91440" tIns="0" rIns="0" bIns="45720" anchor="ctr" anchorCtr="0" upright="1">
                          <a:noAutofit/>
                        </wps:bodyPr>
                      </wps:wsp>
                      <wpg:grpSp>
                        <wpg:cNvPr id="70961464" name="Group 53"/>
                        <wpg:cNvGrpSpPr>
                          <a:grpSpLocks/>
                        </wpg:cNvGrpSpPr>
                        <wpg:grpSpPr bwMode="auto">
                          <a:xfrm>
                            <a:off x="0" y="316170"/>
                            <a:ext cx="5760085" cy="2550895"/>
                            <a:chOff x="1837" y="1791"/>
                            <a:chExt cx="9302" cy="27554"/>
                          </a:xfrm>
                        </wpg:grpSpPr>
                        <wps:wsp>
                          <wps:cNvPr id="972917201" name="Freeform 54"/>
                          <wps:cNvSpPr>
                            <a:spLocks/>
                          </wps:cNvSpPr>
                          <wps:spPr bwMode="auto">
                            <a:xfrm>
                              <a:off x="1837" y="1791"/>
                              <a:ext cx="9302" cy="2755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5383999" name="Group 1785383999"/>
                        <wpg:cNvGrpSpPr/>
                        <wpg:grpSpPr>
                          <a:xfrm>
                            <a:off x="0" y="494036"/>
                            <a:ext cx="1443794" cy="252000"/>
                            <a:chOff x="-15880" y="0"/>
                            <a:chExt cx="1444379" cy="252068"/>
                          </a:xfrm>
                        </wpg:grpSpPr>
                        <wps:wsp>
                          <wps:cNvPr id="99083063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36134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B9520C" w14:textId="052CD813" w:rsidR="00AF2429" w:rsidRDefault="007F0439" w:rsidP="007F0439">
                                <w:pPr>
                                  <w:pStyle w:val="BoxTitle"/>
                                  <w:spacing w:before="0" w:beforeAutospacing="0"/>
                                  <w:rPr>
                                    <w:sz w:val="18"/>
                                    <w:szCs w:val="18"/>
                                  </w:rPr>
                                </w:pPr>
                                <w:r w:rsidRPr="00E90B8A">
                                  <w:rPr>
                                    <w:sz w:val="18"/>
                                    <w:szCs w:val="18"/>
                                  </w:rPr>
                                  <w:t>Q</w:t>
                                </w:r>
                                <w:r w:rsidR="00554BCB">
                                  <w:rPr>
                                    <w:sz w:val="18"/>
                                    <w:szCs w:val="18"/>
                                  </w:rPr>
                                  <w:t>49</w:t>
                                </w:r>
                              </w:p>
                              <w:p w14:paraId="5D80BE03" w14:textId="4D7F8FB8" w:rsidR="007F0439" w:rsidRPr="00E90B8A" w:rsidRDefault="007F0439" w:rsidP="007F0439">
                                <w:pPr>
                                  <w:pStyle w:val="BoxTitle"/>
                                  <w:spacing w:before="0" w:beforeAutospacing="0"/>
                                  <w:rPr>
                                    <w:sz w:val="18"/>
                                    <w:szCs w:val="18"/>
                                  </w:rPr>
                                </w:pPr>
                                <w:r w:rsidRPr="00E90B8A">
                                  <w:rPr>
                                    <w:sz w:val="18"/>
                                    <w:szCs w:val="18"/>
                                  </w:rPr>
                                  <w:t>Q</w:t>
                                </w:r>
                                <w:r>
                                  <w:rPr>
                                    <w:sz w:val="18"/>
                                    <w:szCs w:val="18"/>
                                  </w:rPr>
                                  <w:t>5</w:t>
                                </w:r>
                                <w:r w:rsidR="00CD6B3B">
                                  <w:rPr>
                                    <w:sz w:val="18"/>
                                    <w:szCs w:val="18"/>
                                  </w:rPr>
                                  <w:t>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F025B01" id="Group 518907048" o:spid="_x0000_s1286" alt="Question" style="position:absolute;left:0;text-align:left;margin-left:.05pt;margin-top:0;width:453.55pt;height:220.65pt;z-index:-251658128;mso-height-relative:margin" coordorigin=",628" coordsize="57600,2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">
                <v:shape id="Freeform 52" o:spid="_x0000_s1287"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72DCF51" w14:textId="77777777" w:rsidR="007F0439" w:rsidRDefault="007F0439" w:rsidP="007F0439">
                        <w:pPr>
                          <w:pStyle w:val="BoxTitle"/>
                          <w:spacing w:before="0" w:beforeAutospacing="0"/>
                        </w:pPr>
                        <w:r w:rsidRPr="007F6876">
                          <w:t>QUESTION</w:t>
                        </w:r>
                        <w:r>
                          <w:t>S</w:t>
                        </w:r>
                      </w:p>
                    </w:txbxContent>
                  </v:textbox>
                </v:shape>
                <v:group id="Group 53" o:spid="_x0000_s1288" style="position:absolute;top:3161;width:57600;height:25509" coordorigin="1837,1791" coordsize="9302,27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">
                  <v:shape id="Freeform 54" o:spid="_x0000_s1289" style="position:absolute;left:1837;top:1791;width:9302;height:2755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" path="m,l9354,r,7809l,7809,,e" fillcolor="#edf2ea" stroked="f">
                    <v:path arrowok="t" o:connecttype="custom" o:connectlocs="0,3528;9302,3528;9302,31082;0,31082;0,3528" o:connectangles="0,0,0,0,0"/>
                  </v:shape>
                </v:group>
                <v:group id="Group 1785383999" o:spid="_x0000_s1290"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">
                  <v:shape id="Freeform 58" o:spid="_x0000_s129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" path="m,l1815,e" filled="f" strokecolor="#72ab6a" strokeweight=".5pt">
                    <v:path arrowok="t" o:connecttype="custom" o:connectlocs="0,0;1073495,0" o:connectangles="0,0"/>
                  </v:shape>
                  <v:shape id="Freeform 66" o:spid="_x0000_s129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1B9520C" w14:textId="052CD813" w:rsidR="00AF2429" w:rsidRDefault="007F0439" w:rsidP="007F0439">
                          <w:pPr>
                            <w:pStyle w:val="BoxTitle"/>
                            <w:spacing w:before="0" w:beforeAutospacing="0"/>
                            <w:rPr>
                              <w:sz w:val="18"/>
                              <w:szCs w:val="18"/>
                            </w:rPr>
                          </w:pPr>
                          <w:r w:rsidRPr="00E90B8A">
                            <w:rPr>
                              <w:sz w:val="18"/>
                              <w:szCs w:val="18"/>
                            </w:rPr>
                            <w:t>Q</w:t>
                          </w:r>
                          <w:r w:rsidR="00554BCB">
                            <w:rPr>
                              <w:sz w:val="18"/>
                              <w:szCs w:val="18"/>
                            </w:rPr>
                            <w:t>49</w:t>
                          </w:r>
                        </w:p>
                        <w:p w14:paraId="5D80BE03" w14:textId="4D7F8FB8" w:rsidR="007F0439" w:rsidRPr="00E90B8A" w:rsidRDefault="007F0439" w:rsidP="007F0439">
                          <w:pPr>
                            <w:pStyle w:val="BoxTitle"/>
                            <w:spacing w:before="0" w:beforeAutospacing="0"/>
                            <w:rPr>
                              <w:sz w:val="18"/>
                              <w:szCs w:val="18"/>
                            </w:rPr>
                          </w:pPr>
                          <w:r w:rsidRPr="00E90B8A">
                            <w:rPr>
                              <w:sz w:val="18"/>
                              <w:szCs w:val="18"/>
                            </w:rPr>
                            <w:t>Q</w:t>
                          </w:r>
                          <w:r>
                            <w:rPr>
                              <w:sz w:val="18"/>
                              <w:szCs w:val="18"/>
                            </w:rPr>
                            <w:t>5</w:t>
                          </w:r>
                          <w:r w:rsidR="00CD6B3B">
                            <w:rPr>
                              <w:sz w:val="18"/>
                              <w:szCs w:val="18"/>
                            </w:rPr>
                            <w:t>6</w:t>
                          </w:r>
                        </w:p>
                      </w:txbxContent>
                    </v:textbox>
                  </v:shape>
                </v:group>
              </v:group>
            </w:pict>
          </mc:Fallback>
        </mc:AlternateContent>
      </w:r>
    </w:p>
    <w:p w14:paraId="55B0BAA0" w14:textId="77777777" w:rsidR="007F0439" w:rsidRPr="008642D1" w:rsidRDefault="007F0439" w:rsidP="007F0439">
      <w:pPr>
        <w:pStyle w:val="QuestionBox"/>
      </w:pPr>
    </w:p>
    <w:p w14:paraId="478AD290" w14:textId="77777777" w:rsidR="003E1F3F" w:rsidRDefault="003E1F3F" w:rsidP="007F0439">
      <w:pPr>
        <w:pStyle w:val="QuestionBox"/>
      </w:pPr>
      <w:r w:rsidRPr="003E1F3F">
        <w:t xml:space="preserve">Are the existing protections in the Human Rights Act 1993 relating to education sufficient to cover issues of particular concern to people who are transgender or non-binary or who have an innate variation of sex characteristics? </w:t>
      </w:r>
    </w:p>
    <w:p w14:paraId="778AF44B" w14:textId="4514BC5B" w:rsidR="007F0439" w:rsidRPr="00F557D0" w:rsidRDefault="007F0439" w:rsidP="007F0439">
      <w:pPr>
        <w:pStyle w:val="QuestionBox"/>
        <w:rPr>
          <w:sz w:val="18"/>
          <w:szCs w:val="22"/>
        </w:rPr>
      </w:pPr>
      <w:r w:rsidRPr="00F557D0">
        <w:rPr>
          <w:noProof/>
          <w:sz w:val="18"/>
          <w:szCs w:val="22"/>
        </w:rPr>
        <mc:AlternateContent>
          <mc:Choice Requires="wpg">
            <w:drawing>
              <wp:anchor distT="0" distB="0" distL="114300" distR="114300" simplePos="0" relativeHeight="251658353" behindDoc="1" locked="0" layoutInCell="1" allowOverlap="1" wp14:anchorId="41673331" wp14:editId="689CBB2C">
                <wp:simplePos x="0" y="0"/>
                <wp:positionH relativeFrom="column">
                  <wp:posOffset>0</wp:posOffset>
                </wp:positionH>
                <wp:positionV relativeFrom="paragraph">
                  <wp:posOffset>134729</wp:posOffset>
                </wp:positionV>
                <wp:extent cx="1443355" cy="251460"/>
                <wp:effectExtent l="0" t="0" r="42545" b="0"/>
                <wp:wrapNone/>
                <wp:docPr id="1072373244"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22573735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83052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86982D" w14:textId="5F77D357" w:rsidR="00AF2429" w:rsidRDefault="007F0439" w:rsidP="007F0439">
                              <w:pPr>
                                <w:pStyle w:val="BoxTitle"/>
                                <w:spacing w:before="0" w:beforeAutospacing="0"/>
                                <w:rPr>
                                  <w:sz w:val="18"/>
                                  <w:szCs w:val="18"/>
                                </w:rPr>
                              </w:pPr>
                              <w:r w:rsidRPr="00E90B8A">
                                <w:rPr>
                                  <w:sz w:val="18"/>
                                  <w:szCs w:val="18"/>
                                </w:rPr>
                                <w:t>Q</w:t>
                              </w:r>
                              <w:r>
                                <w:rPr>
                                  <w:sz w:val="18"/>
                                  <w:szCs w:val="18"/>
                                </w:rPr>
                                <w:t>5</w:t>
                              </w:r>
                              <w:r w:rsidR="00554BCB">
                                <w:rPr>
                                  <w:sz w:val="18"/>
                                  <w:szCs w:val="18"/>
                                </w:rPr>
                                <w:t>0</w:t>
                              </w:r>
                            </w:p>
                            <w:p w14:paraId="6D84B515" w14:textId="2D8D65C9" w:rsidR="007F0439" w:rsidRPr="00E90B8A" w:rsidRDefault="007F0439" w:rsidP="007F0439">
                              <w:pPr>
                                <w:pStyle w:val="BoxTitle"/>
                                <w:spacing w:before="0" w:beforeAutospacing="0"/>
                                <w:rPr>
                                  <w:sz w:val="18"/>
                                  <w:szCs w:val="18"/>
                                </w:rPr>
                              </w:pPr>
                              <w:r w:rsidRPr="00E90B8A">
                                <w:rPr>
                                  <w:sz w:val="18"/>
                                  <w:szCs w:val="18"/>
                                </w:rPr>
                                <w:t>Q</w:t>
                              </w:r>
                              <w:r>
                                <w:rPr>
                                  <w:sz w:val="18"/>
                                  <w:szCs w:val="18"/>
                                </w:rPr>
                                <w:t>5</w:t>
                              </w:r>
                              <w:r w:rsidR="00CD6B3B">
                                <w:rPr>
                                  <w:sz w:val="18"/>
                                  <w:szCs w:val="18"/>
                                </w:rPr>
                                <w:t>7</w:t>
                              </w:r>
                            </w:p>
                          </w:txbxContent>
                        </wps:txbx>
                        <wps:bodyPr rot="0" vert="horz" wrap="square" lIns="54000" tIns="82800" rIns="91440" bIns="45720" anchor="ctr" anchorCtr="0" upright="1">
                          <a:noAutofit/>
                        </wps:bodyPr>
                      </wps:wsp>
                    </wpg:wgp>
                  </a:graphicData>
                </a:graphic>
              </wp:anchor>
            </w:drawing>
          </mc:Choice>
          <mc:Fallback>
            <w:pict>
              <v:group w14:anchorId="41673331" id="_x0000_s1293" style="position:absolute;left:0;text-align:left;margin-left:0;margin-top:10.6pt;width:113.65pt;height:19.8pt;z-index:-25165812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">
                <v:shape id="Freeform 58" o:spid="_x0000_s129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" path="m,l1815,e" filled="f" strokecolor="#72ab6a" strokeweight=".5pt">
                  <v:path arrowok="t" o:connecttype="custom" o:connectlocs="0,0;1073495,0" o:connectangles="0,0"/>
                </v:shape>
                <v:shape id="Freeform 66" o:spid="_x0000_s129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486982D" w14:textId="5F77D357" w:rsidR="00AF2429" w:rsidRDefault="007F0439" w:rsidP="007F0439">
                        <w:pPr>
                          <w:pStyle w:val="BoxTitle"/>
                          <w:spacing w:before="0" w:beforeAutospacing="0"/>
                          <w:rPr>
                            <w:sz w:val="18"/>
                            <w:szCs w:val="18"/>
                          </w:rPr>
                        </w:pPr>
                        <w:r w:rsidRPr="00E90B8A">
                          <w:rPr>
                            <w:sz w:val="18"/>
                            <w:szCs w:val="18"/>
                          </w:rPr>
                          <w:t>Q</w:t>
                        </w:r>
                        <w:r>
                          <w:rPr>
                            <w:sz w:val="18"/>
                            <w:szCs w:val="18"/>
                          </w:rPr>
                          <w:t>5</w:t>
                        </w:r>
                        <w:r w:rsidR="00554BCB">
                          <w:rPr>
                            <w:sz w:val="18"/>
                            <w:szCs w:val="18"/>
                          </w:rPr>
                          <w:t>0</w:t>
                        </w:r>
                      </w:p>
                      <w:p w14:paraId="6D84B515" w14:textId="2D8D65C9" w:rsidR="007F0439" w:rsidRPr="00E90B8A" w:rsidRDefault="007F0439" w:rsidP="007F0439">
                        <w:pPr>
                          <w:pStyle w:val="BoxTitle"/>
                          <w:spacing w:before="0" w:beforeAutospacing="0"/>
                          <w:rPr>
                            <w:sz w:val="18"/>
                            <w:szCs w:val="18"/>
                          </w:rPr>
                        </w:pPr>
                        <w:r w:rsidRPr="00E90B8A">
                          <w:rPr>
                            <w:sz w:val="18"/>
                            <w:szCs w:val="18"/>
                          </w:rPr>
                          <w:t>Q</w:t>
                        </w:r>
                        <w:r>
                          <w:rPr>
                            <w:sz w:val="18"/>
                            <w:szCs w:val="18"/>
                          </w:rPr>
                          <w:t>5</w:t>
                        </w:r>
                        <w:r w:rsidR="00CD6B3B">
                          <w:rPr>
                            <w:sz w:val="18"/>
                            <w:szCs w:val="18"/>
                          </w:rPr>
                          <w:t>7</w:t>
                        </w:r>
                      </w:p>
                    </w:txbxContent>
                  </v:textbox>
                </v:shape>
              </v:group>
            </w:pict>
          </mc:Fallback>
        </mc:AlternateContent>
      </w:r>
    </w:p>
    <w:p w14:paraId="760FAC6A" w14:textId="77777777" w:rsidR="005072AE" w:rsidRPr="005072AE" w:rsidRDefault="005072AE" w:rsidP="005072AE">
      <w:pPr>
        <w:pStyle w:val="QuestionBox"/>
      </w:pPr>
      <w:r w:rsidRPr="005072AE">
        <w:t>Do you have any practical concerns about what the education protections in the Human Rights Act 1993 would cover if new prohibited grounds of discrimination are added to the Act?</w:t>
      </w:r>
    </w:p>
    <w:p w14:paraId="09F2CDA2" w14:textId="083946C0" w:rsidR="007F0439" w:rsidRPr="008642D1" w:rsidRDefault="005072AE" w:rsidP="007F0439">
      <w:pPr>
        <w:pStyle w:val="QuestionBox"/>
      </w:pPr>
      <w:r w:rsidRPr="005072AE">
        <w:t>(Later in Chapter 12, and in Chapter 13, we discuss existing exceptions in the Act that balance relevant rights and interests. You may want to read about these before answering.)</w:t>
      </w:r>
    </w:p>
    <w:p w14:paraId="772D5FDE" w14:textId="7633AFBB" w:rsidR="007F0439" w:rsidRPr="008642D1" w:rsidRDefault="007F0439" w:rsidP="007F0439">
      <w:pPr>
        <w:pStyle w:val="QuestionBox"/>
      </w:pPr>
      <w:r w:rsidRPr="008642D1">
        <w:rPr>
          <w:noProof/>
        </w:rPr>
        <w:lastRenderedPageBreak/>
        <mc:AlternateContent>
          <mc:Choice Requires="wpg">
            <w:drawing>
              <wp:anchor distT="0" distB="0" distL="114300" distR="114300" simplePos="0" relativeHeight="251658354" behindDoc="1" locked="0" layoutInCell="1" allowOverlap="1" wp14:anchorId="37E981E9" wp14:editId="6AB767C5">
                <wp:simplePos x="0" y="0"/>
                <wp:positionH relativeFrom="column">
                  <wp:posOffset>-8080</wp:posOffset>
                </wp:positionH>
                <wp:positionV relativeFrom="paragraph">
                  <wp:posOffset>-56055</wp:posOffset>
                </wp:positionV>
                <wp:extent cx="5760085" cy="1166734"/>
                <wp:effectExtent l="0" t="0" r="0" b="0"/>
                <wp:wrapNone/>
                <wp:docPr id="32900965" name="Group 32900965" descr="Question"/>
                <wp:cNvGraphicFramePr/>
                <a:graphic xmlns:a="http://schemas.openxmlformats.org/drawingml/2006/main">
                  <a:graphicData uri="http://schemas.microsoft.com/office/word/2010/wordprocessingGroup">
                    <wpg:wgp>
                      <wpg:cNvGrpSpPr/>
                      <wpg:grpSpPr>
                        <a:xfrm>
                          <a:off x="0" y="0"/>
                          <a:ext cx="5760085" cy="1166734"/>
                          <a:chOff x="0" y="62865"/>
                          <a:chExt cx="5760085" cy="1167420"/>
                        </a:xfrm>
                      </wpg:grpSpPr>
                      <wps:wsp>
                        <wps:cNvPr id="98653715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31B869" w14:textId="77777777" w:rsidR="00AF2429" w:rsidRDefault="007F0439" w:rsidP="007F0439">
                              <w:pPr>
                                <w:pStyle w:val="BoxTitle"/>
                                <w:spacing w:before="0" w:beforeAutospacing="0"/>
                              </w:pPr>
                              <w:r w:rsidRPr="007F6876">
                                <w:t>QUESTION</w:t>
                              </w:r>
                            </w:p>
                            <w:p w14:paraId="4ED11C66" w14:textId="5A88CD1D" w:rsidR="007F0439" w:rsidRDefault="007F0439" w:rsidP="007F0439">
                              <w:pPr>
                                <w:pStyle w:val="BoxTitle"/>
                                <w:spacing w:before="0" w:beforeAutospacing="0"/>
                              </w:pPr>
                              <w:r w:rsidRPr="007F6876">
                                <w:t>QUESTION</w:t>
                              </w:r>
                              <w:r>
                                <w:t>S</w:t>
                              </w:r>
                            </w:p>
                          </w:txbxContent>
                        </wps:txbx>
                        <wps:bodyPr rot="0" vert="horz" wrap="square" lIns="91440" tIns="0" rIns="0" bIns="45720" anchor="ctr" anchorCtr="0" upright="1">
                          <a:noAutofit/>
                        </wps:bodyPr>
                      </wps:wsp>
                      <wpg:grpSp>
                        <wpg:cNvPr id="1338876723" name="Group 53"/>
                        <wpg:cNvGrpSpPr>
                          <a:grpSpLocks/>
                        </wpg:cNvGrpSpPr>
                        <wpg:grpSpPr bwMode="auto">
                          <a:xfrm>
                            <a:off x="0" y="316077"/>
                            <a:ext cx="5760085" cy="914208"/>
                            <a:chOff x="1837" y="1790"/>
                            <a:chExt cx="9302" cy="9875"/>
                          </a:xfrm>
                        </wpg:grpSpPr>
                        <wps:wsp>
                          <wps:cNvPr id="1026428635" name="Freeform 54"/>
                          <wps:cNvSpPr>
                            <a:spLocks/>
                          </wps:cNvSpPr>
                          <wps:spPr bwMode="auto">
                            <a:xfrm>
                              <a:off x="1837" y="1790"/>
                              <a:ext cx="9302" cy="987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671477" name="Group 630671477"/>
                        <wpg:cNvGrpSpPr/>
                        <wpg:grpSpPr>
                          <a:xfrm>
                            <a:off x="0" y="494036"/>
                            <a:ext cx="1443794" cy="252000"/>
                            <a:chOff x="-15880" y="0"/>
                            <a:chExt cx="1444379" cy="252068"/>
                          </a:xfrm>
                        </wpg:grpSpPr>
                        <wps:wsp>
                          <wps:cNvPr id="34059957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79354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D5F439" w14:textId="04836F78" w:rsidR="00AF2429" w:rsidRDefault="007F0439" w:rsidP="007F0439">
                                <w:pPr>
                                  <w:pStyle w:val="BoxTitle"/>
                                  <w:spacing w:before="0" w:beforeAutospacing="0"/>
                                  <w:rPr>
                                    <w:sz w:val="18"/>
                                    <w:szCs w:val="18"/>
                                  </w:rPr>
                                </w:pPr>
                                <w:r w:rsidRPr="00E90B8A">
                                  <w:rPr>
                                    <w:sz w:val="18"/>
                                    <w:szCs w:val="18"/>
                                  </w:rPr>
                                  <w:t>Q</w:t>
                                </w:r>
                                <w:r>
                                  <w:rPr>
                                    <w:sz w:val="18"/>
                                    <w:szCs w:val="18"/>
                                  </w:rPr>
                                  <w:t>5</w:t>
                                </w:r>
                                <w:r w:rsidR="00554BCB">
                                  <w:rPr>
                                    <w:sz w:val="18"/>
                                    <w:szCs w:val="18"/>
                                  </w:rPr>
                                  <w:t>1</w:t>
                                </w:r>
                              </w:p>
                              <w:p w14:paraId="4B2BA365" w14:textId="077C7D0C" w:rsidR="007F0439" w:rsidRPr="00E90B8A" w:rsidRDefault="007F0439" w:rsidP="007F0439">
                                <w:pPr>
                                  <w:pStyle w:val="BoxTitle"/>
                                  <w:spacing w:before="0" w:beforeAutospacing="0"/>
                                  <w:rPr>
                                    <w:sz w:val="18"/>
                                    <w:szCs w:val="18"/>
                                  </w:rPr>
                                </w:pPr>
                                <w:r w:rsidRPr="00E90B8A">
                                  <w:rPr>
                                    <w:sz w:val="18"/>
                                    <w:szCs w:val="18"/>
                                  </w:rPr>
                                  <w:t>Q</w:t>
                                </w:r>
                                <w:r>
                                  <w:rPr>
                                    <w:sz w:val="18"/>
                                    <w:szCs w:val="18"/>
                                  </w:rPr>
                                  <w:t>5</w:t>
                                </w:r>
                                <w:r w:rsidR="00CD6B3B">
                                  <w:rPr>
                                    <w:sz w:val="18"/>
                                    <w:szCs w:val="18"/>
                                  </w:rPr>
                                  <w:t>9</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7E981E9" id="Group 32900965" o:spid="_x0000_s1296" alt="Question" style="position:absolute;left:0;text-align:left;margin-left:-.65pt;margin-top:-4.4pt;width:453.55pt;height:91.85pt;z-index:-251658126;mso-height-relative:margin" coordorigin=",628" coordsize="57600,11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">
                <v:shape id="Freeform 52" o:spid="_x0000_s1297"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D31B869" w14:textId="77777777" w:rsidR="00AF2429" w:rsidRDefault="007F0439" w:rsidP="007F0439">
                        <w:pPr>
                          <w:pStyle w:val="BoxTitle"/>
                          <w:spacing w:before="0" w:beforeAutospacing="0"/>
                        </w:pPr>
                        <w:r w:rsidRPr="007F6876">
                          <w:t>QUESTION</w:t>
                        </w:r>
                      </w:p>
                      <w:p w14:paraId="4ED11C66" w14:textId="5A88CD1D" w:rsidR="007F0439" w:rsidRDefault="007F0439" w:rsidP="007F0439">
                        <w:pPr>
                          <w:pStyle w:val="BoxTitle"/>
                          <w:spacing w:before="0" w:beforeAutospacing="0"/>
                        </w:pPr>
                        <w:r w:rsidRPr="007F6876">
                          <w:t>QUESTION</w:t>
                        </w:r>
                        <w:r>
                          <w:t>S</w:t>
                        </w:r>
                      </w:p>
                    </w:txbxContent>
                  </v:textbox>
                </v:shape>
                <v:group id="Group 53" o:spid="_x0000_s1298" style="position:absolute;top:3160;width:57600;height:9142" coordorigin="1837,1790" coordsize="9302,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">
                  <v:shape id="Freeform 54" o:spid="_x0000_s1299" style="position:absolute;left:1837;top:1790;width:9302;height:987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" path="m,l9354,r,7809l,7809,,e" fillcolor="#edf2ea" stroked="f">
                    <v:path arrowok="t" o:connecttype="custom" o:connectlocs="0,1265;9302,1265;9302,11140;0,11140;0,1265" o:connectangles="0,0,0,0,0"/>
                  </v:shape>
                </v:group>
                <v:group id="Group 630671477" o:spid="_x0000_s1300"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">
                  <v:shape id="Freeform 58" o:spid="_x0000_s130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" path="m,l1815,e" filled="f" strokecolor="#72ab6a" strokeweight=".5pt">
                    <v:path arrowok="t" o:connecttype="custom" o:connectlocs="0,0;1073495,0" o:connectangles="0,0"/>
                  </v:shape>
                  <v:shape id="Freeform 66" o:spid="_x0000_s130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DD5F439" w14:textId="04836F78" w:rsidR="00AF2429" w:rsidRDefault="007F0439" w:rsidP="007F0439">
                          <w:pPr>
                            <w:pStyle w:val="BoxTitle"/>
                            <w:spacing w:before="0" w:beforeAutospacing="0"/>
                            <w:rPr>
                              <w:sz w:val="18"/>
                              <w:szCs w:val="18"/>
                            </w:rPr>
                          </w:pPr>
                          <w:r w:rsidRPr="00E90B8A">
                            <w:rPr>
                              <w:sz w:val="18"/>
                              <w:szCs w:val="18"/>
                            </w:rPr>
                            <w:t>Q</w:t>
                          </w:r>
                          <w:r>
                            <w:rPr>
                              <w:sz w:val="18"/>
                              <w:szCs w:val="18"/>
                            </w:rPr>
                            <w:t>5</w:t>
                          </w:r>
                          <w:r w:rsidR="00554BCB">
                            <w:rPr>
                              <w:sz w:val="18"/>
                              <w:szCs w:val="18"/>
                            </w:rPr>
                            <w:t>1</w:t>
                          </w:r>
                        </w:p>
                        <w:p w14:paraId="4B2BA365" w14:textId="077C7D0C" w:rsidR="007F0439" w:rsidRPr="00E90B8A" w:rsidRDefault="007F0439" w:rsidP="007F0439">
                          <w:pPr>
                            <w:pStyle w:val="BoxTitle"/>
                            <w:spacing w:before="0" w:beforeAutospacing="0"/>
                            <w:rPr>
                              <w:sz w:val="18"/>
                              <w:szCs w:val="18"/>
                            </w:rPr>
                          </w:pPr>
                          <w:r w:rsidRPr="00E90B8A">
                            <w:rPr>
                              <w:sz w:val="18"/>
                              <w:szCs w:val="18"/>
                            </w:rPr>
                            <w:t>Q</w:t>
                          </w:r>
                          <w:r>
                            <w:rPr>
                              <w:sz w:val="18"/>
                              <w:szCs w:val="18"/>
                            </w:rPr>
                            <w:t>5</w:t>
                          </w:r>
                          <w:r w:rsidR="00CD6B3B">
                            <w:rPr>
                              <w:sz w:val="18"/>
                              <w:szCs w:val="18"/>
                            </w:rPr>
                            <w:t>9</w:t>
                          </w:r>
                        </w:p>
                      </w:txbxContent>
                    </v:textbox>
                  </v:shape>
                </v:group>
              </v:group>
            </w:pict>
          </mc:Fallback>
        </mc:AlternateContent>
      </w:r>
    </w:p>
    <w:p w14:paraId="4AF3B215" w14:textId="77777777" w:rsidR="007F0439" w:rsidRPr="008642D1" w:rsidRDefault="007F0439" w:rsidP="007F0439">
      <w:pPr>
        <w:pStyle w:val="QuestionBox"/>
      </w:pPr>
    </w:p>
    <w:p w14:paraId="6443B2D6" w14:textId="55856038" w:rsidR="007F0439" w:rsidRPr="008642D1" w:rsidRDefault="007F0439" w:rsidP="007F0439">
      <w:pPr>
        <w:pStyle w:val="QuestionBox"/>
      </w:pPr>
      <w:r w:rsidRPr="00EA1D51">
        <w:rPr>
          <w:lang w:val="en-US"/>
        </w:rPr>
        <w:t xml:space="preserve">Are </w:t>
      </w:r>
      <w:r w:rsidR="00EA1D51" w:rsidRPr="00EA1D51">
        <w:rPr>
          <w:lang w:val="en-US"/>
        </w:rPr>
        <w:t>new education</w:t>
      </w:r>
      <w:r w:rsidRPr="00EA1D51">
        <w:rPr>
          <w:lang w:val="en-US"/>
        </w:rPr>
        <w:t xml:space="preserve"> exceptions desirable to accommodate any new grounds we propose?</w:t>
      </w:r>
    </w:p>
    <w:p w14:paraId="2BFD8338" w14:textId="77777777" w:rsidR="007F0439" w:rsidRPr="00EA1D51" w:rsidRDefault="007F0439" w:rsidP="007F0439">
      <w:pPr>
        <w:pStyle w:val="QuestionBox"/>
        <w:rPr>
          <w:lang w:val="en-US"/>
        </w:rPr>
      </w:pPr>
    </w:p>
    <w:p w14:paraId="6C96BD86" w14:textId="77777777" w:rsidR="007F0439" w:rsidRPr="008642D1" w:rsidRDefault="007F0439" w:rsidP="007F0439">
      <w:pPr>
        <w:pStyle w:val="Heading2"/>
      </w:pPr>
      <w:bookmarkStart w:id="132" w:name="_Toc170302175"/>
      <w:r w:rsidRPr="008642D1">
        <w:t>Exceptions</w:t>
      </w:r>
      <w:bookmarkEnd w:id="132"/>
      <w:r w:rsidRPr="008642D1">
        <w:t xml:space="preserve"> </w:t>
      </w:r>
    </w:p>
    <w:p w14:paraId="6DF1ADFF" w14:textId="77777777" w:rsidR="007F0439" w:rsidRPr="008642D1" w:rsidRDefault="007F0439" w:rsidP="007F0439">
      <w:pPr>
        <w:pStyle w:val="BodyText"/>
      </w:pPr>
      <w:r w:rsidRPr="008642D1">
        <w:t>There are two exceptions relating to education on which we seek feedback. These relate to educational establishments for particular groups, and courses and counselling.</w:t>
      </w:r>
    </w:p>
    <w:p w14:paraId="6BACF443" w14:textId="77777777" w:rsidR="007F0439" w:rsidRPr="008642D1" w:rsidRDefault="007F0439" w:rsidP="007F0439">
      <w:pPr>
        <w:pStyle w:val="Heading3"/>
      </w:pPr>
      <w:bookmarkStart w:id="133" w:name="_Toc161760823"/>
      <w:bookmarkStart w:id="134" w:name="_Toc161770853"/>
      <w:r w:rsidRPr="008642D1">
        <w:t>Exceptions</w:t>
      </w:r>
      <w:bookmarkEnd w:id="133"/>
      <w:bookmarkEnd w:id="134"/>
      <w:r w:rsidRPr="008642D1">
        <w:t xml:space="preserve"> on which we do not seek feedback</w:t>
      </w:r>
    </w:p>
    <w:p w14:paraId="6523AC71" w14:textId="25108D59" w:rsidR="007F0439" w:rsidRPr="008642D1" w:rsidRDefault="007F0439" w:rsidP="007F0439">
      <w:pPr>
        <w:pStyle w:val="BodyText"/>
      </w:pPr>
      <w:r w:rsidRPr="008642D1">
        <w:t xml:space="preserve">As we discussed in Chapter 8, there are two categories of specific exception on which we do not seek feedback. These are exceptions that apply to all grounds (and </w:t>
      </w:r>
      <w:r w:rsidR="00E27F8E">
        <w:t>that</w:t>
      </w:r>
      <w:r w:rsidR="00E27F8E" w:rsidRPr="008642D1">
        <w:t xml:space="preserve"> </w:t>
      </w:r>
      <w:r w:rsidRPr="008642D1">
        <w:t>do not raise issues specific to this review) and exceptions that do not apply to sex. In the table below, we list the exceptions relevant to this chapter that fall into those two categories. We have reviewed all these exceptions but do not discuss them further.</w:t>
      </w:r>
    </w:p>
    <w:tbl>
      <w:tblPr>
        <w:tblStyle w:val="LCTable"/>
        <w:tblW w:w="8363" w:type="dxa"/>
        <w:tblInd w:w="704" w:type="dxa"/>
        <w:tblLook w:val="0420" w:firstRow="1" w:lastRow="0" w:firstColumn="0" w:lastColumn="0" w:noHBand="0" w:noVBand="1"/>
      </w:tblPr>
      <w:tblGrid>
        <w:gridCol w:w="2126"/>
        <w:gridCol w:w="6237"/>
      </w:tblGrid>
      <w:tr w:rsidR="007F0439" w:rsidRPr="008642D1" w14:paraId="77B981F1" w14:textId="77777777" w:rsidTr="007F0439">
        <w:trPr>
          <w:cnfStyle w:val="100000000000" w:firstRow="1" w:lastRow="0" w:firstColumn="0" w:lastColumn="0" w:oddVBand="0" w:evenVBand="0" w:oddHBand="0" w:evenHBand="0" w:firstRowFirstColumn="0" w:firstRowLastColumn="0" w:lastRowFirstColumn="0" w:lastRowLastColumn="0"/>
          <w:trHeight w:val="297"/>
        </w:trPr>
        <w:tc>
          <w:tcPr>
            <w:tcW w:w="8363" w:type="dxa"/>
            <w:gridSpan w:val="2"/>
          </w:tcPr>
          <w:p w14:paraId="249B5FDE" w14:textId="77777777" w:rsidR="007F0439" w:rsidRPr="008642D1" w:rsidRDefault="007F0439">
            <w:pPr>
              <w:rPr>
                <w:rFonts w:cs="Angsana New"/>
                <w:b/>
                <w:bCs/>
                <w:szCs w:val="18"/>
              </w:rPr>
            </w:pPr>
            <w:r w:rsidRPr="008642D1">
              <w:rPr>
                <w:rFonts w:cs="Angsana New"/>
                <w:b/>
                <w:bCs/>
                <w:szCs w:val="18"/>
              </w:rPr>
              <w:t>Exceptions on which we do not seek feedback</w:t>
            </w:r>
          </w:p>
        </w:tc>
      </w:tr>
      <w:tr w:rsidR="007F0439" w:rsidRPr="008642D1" w14:paraId="76447D1F" w14:textId="77777777" w:rsidTr="007F0439">
        <w:trPr>
          <w:trHeight w:val="297"/>
        </w:trPr>
        <w:tc>
          <w:tcPr>
            <w:tcW w:w="8363" w:type="dxa"/>
            <w:gridSpan w:val="2"/>
          </w:tcPr>
          <w:p w14:paraId="22BAE088" w14:textId="77777777" w:rsidR="007F0439" w:rsidRPr="005B15A4" w:rsidRDefault="007F0439">
            <w:pPr>
              <w:rPr>
                <w:rFonts w:cs="Angsana New"/>
                <w:b/>
                <w:szCs w:val="18"/>
              </w:rPr>
            </w:pPr>
            <w:r w:rsidRPr="005B15A4">
              <w:rPr>
                <w:rFonts w:cs="Angsana New"/>
                <w:b/>
                <w:color w:val="6BA539"/>
                <w:szCs w:val="18"/>
              </w:rPr>
              <w:t xml:space="preserve">Exceptions that apply to all grounds — should extend to any new grounds </w:t>
            </w:r>
          </w:p>
        </w:tc>
      </w:tr>
      <w:tr w:rsidR="007F0439" w:rsidRPr="008642D1" w14:paraId="3CBEAC4B" w14:textId="77777777" w:rsidTr="007F0439">
        <w:trPr>
          <w:trHeight w:val="426"/>
        </w:trPr>
        <w:tc>
          <w:tcPr>
            <w:tcW w:w="8363" w:type="dxa"/>
            <w:gridSpan w:val="2"/>
          </w:tcPr>
          <w:p w14:paraId="3C81058C" w14:textId="77777777" w:rsidR="007F0439" w:rsidRPr="008642D1" w:rsidRDefault="007F0439">
            <w:pPr>
              <w:rPr>
                <w:rFonts w:ascii="Metropolis" w:hAnsi="Metropolis" w:cs="Angsana New"/>
                <w:b/>
                <w:color w:val="6BA539"/>
                <w:szCs w:val="18"/>
              </w:rPr>
            </w:pPr>
            <w:r w:rsidRPr="008642D1">
              <w:rPr>
                <w:rFonts w:cs="Angsana New"/>
                <w:szCs w:val="18"/>
              </w:rPr>
              <w:t>None relevant.</w:t>
            </w:r>
          </w:p>
        </w:tc>
      </w:tr>
      <w:tr w:rsidR="007F0439" w:rsidRPr="008642D1" w14:paraId="4F9B33CB" w14:textId="77777777" w:rsidTr="007F0439">
        <w:trPr>
          <w:trHeight w:val="426"/>
        </w:trPr>
        <w:tc>
          <w:tcPr>
            <w:tcW w:w="8363" w:type="dxa"/>
            <w:gridSpan w:val="2"/>
          </w:tcPr>
          <w:p w14:paraId="79E48A51" w14:textId="6C311D6C" w:rsidR="007F0439" w:rsidRPr="005B15A4" w:rsidRDefault="007F0439">
            <w:pPr>
              <w:rPr>
                <w:rFonts w:cs="Angsana New"/>
                <w:b/>
                <w:szCs w:val="18"/>
              </w:rPr>
            </w:pPr>
            <w:r w:rsidRPr="005B15A4">
              <w:rPr>
                <w:rFonts w:cs="Angsana New"/>
                <w:b/>
                <w:color w:val="6BA539"/>
                <w:szCs w:val="18"/>
              </w:rPr>
              <w:t>Exceptions that do not apply to discrimination on the ground</w:t>
            </w:r>
            <w:r w:rsidR="008E528C" w:rsidRPr="005B15A4">
              <w:rPr>
                <w:rFonts w:cs="Angsana New"/>
                <w:b/>
                <w:color w:val="6BA539"/>
                <w:szCs w:val="18"/>
              </w:rPr>
              <w:t xml:space="preserve"> of</w:t>
            </w:r>
            <w:r w:rsidRPr="005B15A4">
              <w:rPr>
                <w:rFonts w:cs="Angsana New"/>
                <w:b/>
                <w:color w:val="6BA539"/>
                <w:szCs w:val="18"/>
              </w:rPr>
              <w:t xml:space="preserve"> sex — should not extend to any new grounds </w:t>
            </w:r>
          </w:p>
        </w:tc>
      </w:tr>
      <w:tr w:rsidR="007F0439" w:rsidRPr="008642D1" w14:paraId="0BD1832E" w14:textId="77777777" w:rsidTr="007F0439">
        <w:trPr>
          <w:trHeight w:val="393"/>
        </w:trPr>
        <w:tc>
          <w:tcPr>
            <w:tcW w:w="8363" w:type="dxa"/>
            <w:gridSpan w:val="2"/>
            <w:shd w:val="clear" w:color="auto" w:fill="F2F2F2" w:themeFill="background1" w:themeFillShade="F2"/>
          </w:tcPr>
          <w:p w14:paraId="101EE205" w14:textId="77777777" w:rsidR="007F0439" w:rsidRPr="005B15A4" w:rsidRDefault="007F0439">
            <w:pPr>
              <w:rPr>
                <w:rFonts w:cs="Angsana New"/>
                <w:szCs w:val="18"/>
              </w:rPr>
            </w:pPr>
            <w:r w:rsidRPr="005B15A4">
              <w:rPr>
                <w:rFonts w:cs="Angsana New"/>
                <w:szCs w:val="18"/>
              </w:rPr>
              <w:t>Vocational training bodies</w:t>
            </w:r>
          </w:p>
        </w:tc>
      </w:tr>
      <w:tr w:rsidR="007F0439" w:rsidRPr="008642D1" w14:paraId="033A4AD8" w14:textId="77777777" w:rsidTr="007F0439">
        <w:trPr>
          <w:trHeight w:val="491"/>
        </w:trPr>
        <w:tc>
          <w:tcPr>
            <w:tcW w:w="2126" w:type="dxa"/>
          </w:tcPr>
          <w:p w14:paraId="7FA23960" w14:textId="77777777" w:rsidR="007F0439" w:rsidRPr="008642D1" w:rsidRDefault="007F0439">
            <w:pPr>
              <w:rPr>
                <w:rFonts w:cs="Angsana New"/>
                <w:szCs w:val="18"/>
              </w:rPr>
            </w:pPr>
            <w:r w:rsidRPr="008642D1">
              <w:rPr>
                <w:rFonts w:cs="Angsana New"/>
                <w:szCs w:val="18"/>
              </w:rPr>
              <w:t>41(1)</w:t>
            </w:r>
          </w:p>
        </w:tc>
        <w:tc>
          <w:tcPr>
            <w:tcW w:w="6237" w:type="dxa"/>
          </w:tcPr>
          <w:p w14:paraId="0D800486" w14:textId="77777777" w:rsidR="007F0439" w:rsidRPr="008642D1" w:rsidRDefault="007F0439">
            <w:pPr>
              <w:rPr>
                <w:rFonts w:cs="Angsana New"/>
                <w:szCs w:val="18"/>
              </w:rPr>
            </w:pPr>
            <w:r w:rsidRPr="008642D1">
              <w:rPr>
                <w:rFonts w:cs="Angsana New"/>
                <w:szCs w:val="18"/>
              </w:rPr>
              <w:t>Exceptions for preferential access to training for people who have been out of work.</w:t>
            </w:r>
          </w:p>
        </w:tc>
      </w:tr>
      <w:tr w:rsidR="007F0439" w:rsidRPr="008642D1" w14:paraId="60B52720" w14:textId="77777777" w:rsidTr="007F0439">
        <w:trPr>
          <w:trHeight w:val="473"/>
        </w:trPr>
        <w:tc>
          <w:tcPr>
            <w:tcW w:w="2126" w:type="dxa"/>
          </w:tcPr>
          <w:p w14:paraId="6E5602DA" w14:textId="77777777" w:rsidR="007F0439" w:rsidRPr="008642D1" w:rsidRDefault="007F0439">
            <w:pPr>
              <w:rPr>
                <w:rFonts w:cs="Angsana New"/>
                <w:szCs w:val="18"/>
              </w:rPr>
            </w:pPr>
            <w:r w:rsidRPr="008642D1">
              <w:rPr>
                <w:rFonts w:cs="Angsana New"/>
                <w:szCs w:val="18"/>
              </w:rPr>
              <w:t>41(4)–(6)</w:t>
            </w:r>
          </w:p>
        </w:tc>
        <w:tc>
          <w:tcPr>
            <w:tcW w:w="6237" w:type="dxa"/>
          </w:tcPr>
          <w:p w14:paraId="74B862D9" w14:textId="77777777" w:rsidR="007F0439" w:rsidRPr="008642D1" w:rsidRDefault="007F0439">
            <w:pPr>
              <w:rPr>
                <w:rFonts w:cs="Angsana New"/>
                <w:szCs w:val="18"/>
              </w:rPr>
            </w:pPr>
            <w:r w:rsidRPr="008642D1">
              <w:rPr>
                <w:rFonts w:cs="Angsana New"/>
                <w:szCs w:val="18"/>
              </w:rPr>
              <w:t>Exceptions for particular age groups.</w:t>
            </w:r>
          </w:p>
        </w:tc>
      </w:tr>
      <w:tr w:rsidR="007F0439" w:rsidRPr="008642D1" w14:paraId="0CD91E92" w14:textId="77777777" w:rsidTr="007F0439">
        <w:trPr>
          <w:trHeight w:val="495"/>
        </w:trPr>
        <w:tc>
          <w:tcPr>
            <w:tcW w:w="2126" w:type="dxa"/>
          </w:tcPr>
          <w:p w14:paraId="20AAE00D" w14:textId="77777777" w:rsidR="007F0439" w:rsidRPr="008642D1" w:rsidRDefault="007F0439">
            <w:pPr>
              <w:rPr>
                <w:rFonts w:cs="Angsana New"/>
                <w:szCs w:val="18"/>
              </w:rPr>
            </w:pPr>
            <w:r w:rsidRPr="008642D1">
              <w:rPr>
                <w:rFonts w:cs="Angsana New"/>
                <w:szCs w:val="18"/>
              </w:rPr>
              <w:t>41(2)–(3) and (7)–(8)</w:t>
            </w:r>
          </w:p>
        </w:tc>
        <w:tc>
          <w:tcPr>
            <w:tcW w:w="6237" w:type="dxa"/>
          </w:tcPr>
          <w:p w14:paraId="56621C00" w14:textId="77777777" w:rsidR="007F0439" w:rsidRPr="008642D1" w:rsidRDefault="007F0439">
            <w:pPr>
              <w:rPr>
                <w:rFonts w:cs="Angsana New"/>
                <w:szCs w:val="18"/>
              </w:rPr>
            </w:pPr>
            <w:r w:rsidRPr="008642D1">
              <w:rPr>
                <w:rFonts w:cs="Angsana New"/>
                <w:szCs w:val="18"/>
              </w:rPr>
              <w:t>Exceptions relating to disability.</w:t>
            </w:r>
          </w:p>
        </w:tc>
      </w:tr>
      <w:tr w:rsidR="007F0439" w:rsidRPr="008642D1" w14:paraId="5AB75D9A" w14:textId="77777777" w:rsidTr="007F0439">
        <w:trPr>
          <w:trHeight w:val="252"/>
        </w:trPr>
        <w:tc>
          <w:tcPr>
            <w:tcW w:w="8363" w:type="dxa"/>
            <w:gridSpan w:val="2"/>
            <w:shd w:val="clear" w:color="auto" w:fill="F2F2F2" w:themeFill="background1" w:themeFillShade="F2"/>
          </w:tcPr>
          <w:p w14:paraId="0076701B" w14:textId="77777777" w:rsidR="007F0439" w:rsidRPr="005B15A4" w:rsidRDefault="007F0439">
            <w:pPr>
              <w:rPr>
                <w:rFonts w:cs="Angsana New"/>
                <w:szCs w:val="18"/>
              </w:rPr>
            </w:pPr>
            <w:r w:rsidRPr="005B15A4">
              <w:rPr>
                <w:rFonts w:cs="Angsana New"/>
                <w:szCs w:val="18"/>
              </w:rPr>
              <w:t>Educational establishments</w:t>
            </w:r>
          </w:p>
        </w:tc>
      </w:tr>
      <w:tr w:rsidR="007F0439" w:rsidRPr="008642D1" w14:paraId="073C4C64" w14:textId="77777777" w:rsidTr="007F0439">
        <w:trPr>
          <w:trHeight w:val="679"/>
        </w:trPr>
        <w:tc>
          <w:tcPr>
            <w:tcW w:w="2126" w:type="dxa"/>
          </w:tcPr>
          <w:p w14:paraId="478EB3B7" w14:textId="77777777" w:rsidR="007F0439" w:rsidRPr="008642D1" w:rsidRDefault="007F0439">
            <w:pPr>
              <w:rPr>
                <w:rFonts w:cs="Angsana New"/>
                <w:szCs w:val="18"/>
              </w:rPr>
            </w:pPr>
            <w:r w:rsidRPr="008642D1">
              <w:rPr>
                <w:rFonts w:cs="Angsana New"/>
                <w:szCs w:val="18"/>
              </w:rPr>
              <w:t>58(2)</w:t>
            </w:r>
          </w:p>
        </w:tc>
        <w:tc>
          <w:tcPr>
            <w:tcW w:w="6237" w:type="dxa"/>
          </w:tcPr>
          <w:p w14:paraId="48913F75" w14:textId="77777777" w:rsidR="007F0439" w:rsidRPr="008642D1" w:rsidRDefault="007F0439">
            <w:pPr>
              <w:rPr>
                <w:rFonts w:cs="Angsana New"/>
                <w:szCs w:val="18"/>
              </w:rPr>
            </w:pPr>
            <w:r w:rsidRPr="008642D1">
              <w:rPr>
                <w:rFonts w:cs="Angsana New"/>
                <w:szCs w:val="18"/>
              </w:rPr>
              <w:t>Exceptions for preferential access to training for people who have been out of work.</w:t>
            </w:r>
          </w:p>
        </w:tc>
      </w:tr>
      <w:tr w:rsidR="007F0439" w:rsidRPr="008642D1" w14:paraId="0E14C962" w14:textId="77777777" w:rsidTr="007F0439">
        <w:trPr>
          <w:trHeight w:val="476"/>
        </w:trPr>
        <w:tc>
          <w:tcPr>
            <w:tcW w:w="2126" w:type="dxa"/>
          </w:tcPr>
          <w:p w14:paraId="2F4B467C" w14:textId="77777777" w:rsidR="007F0439" w:rsidRPr="008642D1" w:rsidRDefault="007F0439">
            <w:pPr>
              <w:rPr>
                <w:rFonts w:cs="Angsana New"/>
                <w:szCs w:val="18"/>
              </w:rPr>
            </w:pPr>
            <w:r w:rsidRPr="008642D1">
              <w:rPr>
                <w:rFonts w:cs="Angsana New"/>
                <w:szCs w:val="18"/>
              </w:rPr>
              <w:t>58(3)–(5)</w:t>
            </w:r>
          </w:p>
        </w:tc>
        <w:tc>
          <w:tcPr>
            <w:tcW w:w="6237" w:type="dxa"/>
          </w:tcPr>
          <w:p w14:paraId="75DBD8B0" w14:textId="77777777" w:rsidR="007F0439" w:rsidRPr="008642D1" w:rsidRDefault="007F0439">
            <w:pPr>
              <w:rPr>
                <w:rFonts w:cs="Angsana New"/>
                <w:szCs w:val="18"/>
              </w:rPr>
            </w:pPr>
            <w:r w:rsidRPr="008642D1">
              <w:rPr>
                <w:rFonts w:cs="Angsana New"/>
                <w:szCs w:val="18"/>
              </w:rPr>
              <w:t>Exceptions for particular age groups.</w:t>
            </w:r>
          </w:p>
        </w:tc>
      </w:tr>
      <w:tr w:rsidR="007F0439" w:rsidRPr="008642D1" w14:paraId="0DF0B025" w14:textId="77777777" w:rsidTr="007F0439">
        <w:trPr>
          <w:trHeight w:val="42"/>
        </w:trPr>
        <w:tc>
          <w:tcPr>
            <w:tcW w:w="2126" w:type="dxa"/>
          </w:tcPr>
          <w:p w14:paraId="4E7E6860" w14:textId="77777777" w:rsidR="007F0439" w:rsidRPr="008642D1" w:rsidRDefault="007F0439">
            <w:pPr>
              <w:rPr>
                <w:rFonts w:cs="Angsana New"/>
                <w:szCs w:val="18"/>
              </w:rPr>
            </w:pPr>
            <w:r w:rsidRPr="008642D1">
              <w:rPr>
                <w:rFonts w:cs="Angsana New"/>
                <w:szCs w:val="18"/>
              </w:rPr>
              <w:t>60</w:t>
            </w:r>
          </w:p>
        </w:tc>
        <w:tc>
          <w:tcPr>
            <w:tcW w:w="6237" w:type="dxa"/>
          </w:tcPr>
          <w:p w14:paraId="6277186B" w14:textId="77777777" w:rsidR="007F0439" w:rsidRPr="008642D1" w:rsidRDefault="007F0439">
            <w:pPr>
              <w:rPr>
                <w:rFonts w:cs="Angsana New"/>
                <w:szCs w:val="18"/>
              </w:rPr>
            </w:pPr>
            <w:r w:rsidRPr="008642D1">
              <w:rPr>
                <w:rFonts w:cs="Angsana New"/>
                <w:szCs w:val="18"/>
              </w:rPr>
              <w:t>Exceptions relating to disability.</w:t>
            </w:r>
          </w:p>
        </w:tc>
      </w:tr>
    </w:tbl>
    <w:p w14:paraId="65A224CD" w14:textId="77777777" w:rsidR="007F0439" w:rsidRPr="008642D1" w:rsidRDefault="007F0439" w:rsidP="007F0439">
      <w:pPr>
        <w:pStyle w:val="BodyText"/>
        <w:numPr>
          <w:ilvl w:val="0"/>
          <w:numId w:val="0"/>
        </w:numPr>
        <w:ind w:left="709"/>
      </w:pPr>
    </w:p>
    <w:p w14:paraId="186AB081" w14:textId="77777777" w:rsidR="007F0439" w:rsidRPr="008642D1" w:rsidRDefault="007F0439" w:rsidP="007F0439">
      <w:pPr>
        <w:pStyle w:val="Heading3"/>
      </w:pPr>
      <w:r w:rsidRPr="008642D1">
        <w:lastRenderedPageBreak/>
        <w:t>Single-sex schools exception — section 58(1)</w:t>
      </w:r>
    </w:p>
    <w:p w14:paraId="50020B25" w14:textId="3CFEEA9C" w:rsidR="007F0439" w:rsidRPr="008642D1" w:rsidRDefault="007F0439" w:rsidP="007F0439">
      <w:pPr>
        <w:pStyle w:val="BodyText"/>
      </w:pPr>
      <w:r w:rsidRPr="008642D1">
        <w:t>Section 58(1) allows educational establishments that are wholly or principally for students of one sex to refuse to admit students of a different sex. As well as sex, it applies to race, religious belief, disability and age. In this section</w:t>
      </w:r>
      <w:r w:rsidR="00310C61">
        <w:t>,</w:t>
      </w:r>
      <w:r w:rsidRPr="008642D1">
        <w:t xml:space="preserve"> we refer to </w:t>
      </w:r>
      <w:r w:rsidRPr="008642D1" w:rsidDel="00310C61">
        <w:t>‘</w:t>
      </w:r>
      <w:r w:rsidRPr="008642D1">
        <w:t>schools</w:t>
      </w:r>
      <w:r w:rsidRPr="008642D1" w:rsidDel="00310C61">
        <w:t>’</w:t>
      </w:r>
      <w:r w:rsidRPr="008642D1">
        <w:t xml:space="preserve"> rather than </w:t>
      </w:r>
      <w:r w:rsidRPr="008642D1" w:rsidDel="00310C61">
        <w:t>‘</w:t>
      </w:r>
      <w:r w:rsidRPr="008642D1">
        <w:t>educational establishments</w:t>
      </w:r>
      <w:r w:rsidRPr="008642D1" w:rsidDel="00310C61">
        <w:t>’</w:t>
      </w:r>
      <w:r w:rsidRPr="008642D1">
        <w:t xml:space="preserve"> because</w:t>
      </w:r>
      <w:r w:rsidRPr="008642D1" w:rsidDel="005908F2">
        <w:t xml:space="preserve"> </w:t>
      </w:r>
      <w:r w:rsidRPr="008642D1">
        <w:t>we have not come across any other single-sex educational establishments.</w:t>
      </w:r>
      <w:r w:rsidRPr="008642D1">
        <w:rPr>
          <w:rStyle w:val="FootnoteReference"/>
        </w:rPr>
        <w:footnoteReference w:id="523"/>
      </w:r>
    </w:p>
    <w:p w14:paraId="797272D0" w14:textId="77777777" w:rsidR="007F0439" w:rsidRPr="008642D1" w:rsidRDefault="007F0439" w:rsidP="007F0439">
      <w:pPr>
        <w:pStyle w:val="Heading4"/>
      </w:pPr>
      <w:r w:rsidRPr="008642D1">
        <w:t>Scope and rationale of the current exception</w:t>
      </w:r>
      <w:r w:rsidRPr="008642D1" w:rsidDel="00D732BB">
        <w:t xml:space="preserve"> </w:t>
      </w:r>
    </w:p>
    <w:p w14:paraId="36AB96BD" w14:textId="77777777" w:rsidR="007F0439" w:rsidRPr="008642D1" w:rsidRDefault="007F0439" w:rsidP="007F0439">
      <w:pPr>
        <w:pStyle w:val="BodyText"/>
      </w:pPr>
      <w:r w:rsidRPr="008642D1">
        <w:t>This exception only applies to decisions about admission. It does not apply to the other forms of discrimination prohibited by section 57.</w:t>
      </w:r>
    </w:p>
    <w:p w14:paraId="6FC2B031" w14:textId="77777777" w:rsidR="007F0439" w:rsidRPr="008642D1" w:rsidRDefault="007F0439" w:rsidP="007F0439">
      <w:pPr>
        <w:pStyle w:val="BodyText"/>
      </w:pPr>
      <w:r w:rsidRPr="008642D1">
        <w:t>The legislative history does not explain the policy rationale behind section 58(1) or the equivalent provision in earlier legislation.</w:t>
      </w:r>
      <w:r w:rsidRPr="008642D1">
        <w:rPr>
          <w:rStyle w:val="FootnoteReference"/>
        </w:rPr>
        <w:footnoteReference w:id="524"/>
      </w:r>
      <w:r w:rsidRPr="008642D1">
        <w:t xml:space="preserve"> The exception reflects a longstanding tradition in Aotearoa New Zealand of schools set up for students of a particular sex, race, religion, age or disability. We suspect the rationale for section 58(1) lies in part in the continuance of tradition. However, the exception might also be seen to accommodate the specific educational needs and preferences of students and their parents. For example, it allows learning environments to be tailored to language, religious and cultural needs or specific disability needs. It may also reflect ideas linked to positive discrimination — the assumption that, in certain circumstances, children from marginalised communities might excel more in environments of their peers. We are not clear whether there is, or continues to be, an evidence base for that assumption. That is something that might be revisited on a general review of the Human Rights Act.  </w:t>
      </w:r>
    </w:p>
    <w:p w14:paraId="1AEE3858" w14:textId="77777777" w:rsidR="007F0439" w:rsidRPr="008642D1" w:rsidRDefault="007F0439" w:rsidP="007F0439">
      <w:pPr>
        <w:pStyle w:val="Heading4"/>
      </w:pPr>
      <w:r w:rsidRPr="008642D1">
        <w:t>Should the exception be amended to reflect any new grounds?</w:t>
      </w:r>
    </w:p>
    <w:p w14:paraId="3FF45B37" w14:textId="77777777" w:rsidR="007F0439" w:rsidRPr="008642D1" w:rsidRDefault="007F0439" w:rsidP="007F0439">
      <w:pPr>
        <w:pStyle w:val="BodyText"/>
      </w:pPr>
      <w:r w:rsidRPr="008642D1">
        <w:t>We are interested to understand whether this exception should be amended to reflect</w:t>
      </w:r>
      <w:r w:rsidRPr="008642D1" w:rsidDel="001A0BF5">
        <w:t xml:space="preserve"> </w:t>
      </w:r>
      <w:r w:rsidRPr="008642D1">
        <w:t>any new grounds we propose.</w:t>
      </w:r>
    </w:p>
    <w:p w14:paraId="1C5C1F41" w14:textId="0FE797BE" w:rsidR="007F0439" w:rsidRPr="008642D1" w:rsidRDefault="007F0439" w:rsidP="007F0439">
      <w:pPr>
        <w:pStyle w:val="BodyText"/>
      </w:pPr>
      <w:r w:rsidRPr="008642D1">
        <w:t>We are not aware of whether any single-sex schools currently refuse admission to students who are transgender or non-binary or who have an innate variation of sex characteristics based on an assessment of their sex assigned at birth</w:t>
      </w:r>
      <w:r w:rsidR="00C269F4">
        <w:t>. We are also unaware of</w:t>
      </w:r>
      <w:r w:rsidRPr="008642D1">
        <w:t xml:space="preserve"> how many would want the ability to do so in future</w:t>
      </w:r>
      <w:r w:rsidR="00BA0E0B">
        <w:t xml:space="preserve"> (if any)</w:t>
      </w:r>
      <w:r w:rsidRPr="008642D1">
        <w:t>. If some schools do refuse admission on that basis, we are interested to understand what evidence they rely on to identify a student’s sex. We understand that many schools require a child’s birth certificate for enrolment</w:t>
      </w:r>
      <w:r w:rsidR="00020CBB">
        <w:t>,</w:t>
      </w:r>
      <w:r w:rsidRPr="008642D1">
        <w:t xml:space="preserve"> but we do not know whether schools rely exclusively on the sex marker recorded on the birth certificate to make enrolment decisions.</w:t>
      </w:r>
      <w:r w:rsidRPr="008642D1">
        <w:rPr>
          <w:rStyle w:val="FootnoteReference"/>
        </w:rPr>
        <w:footnoteReference w:id="525"/>
      </w:r>
    </w:p>
    <w:p w14:paraId="1527C507" w14:textId="77777777" w:rsidR="007F0439" w:rsidRPr="008642D1" w:rsidRDefault="007F0439" w:rsidP="007F0439">
      <w:pPr>
        <w:pStyle w:val="BodyText"/>
      </w:pPr>
      <w:r w:rsidRPr="008642D1">
        <w:t>We wonder if section 58(1) may have very limited impact in practice. As explored in Chapter 8, it is possible many (possibly even all) school admissions fall under Part 1A of the Human Rights Act. Even if (as may be the case) private schools are regulated by Part</w:t>
      </w:r>
      <w:r w:rsidRPr="008642D1">
        <w:rPr>
          <w:rFonts w:ascii="Calibri" w:hAnsi="Calibri" w:cs="Calibri"/>
        </w:rPr>
        <w:t> </w:t>
      </w:r>
      <w:r w:rsidRPr="008642D1">
        <w:t xml:space="preserve">2, we understand there are only 19 single-sex private schools in Aotearoa New </w:t>
      </w:r>
      <w:r w:rsidRPr="008642D1">
        <w:lastRenderedPageBreak/>
        <w:t>Zealand.</w:t>
      </w:r>
      <w:r w:rsidRPr="008642D1">
        <w:rPr>
          <w:rStyle w:val="FootnoteReference"/>
        </w:rPr>
        <w:footnoteReference w:id="526"/>
      </w:r>
      <w:r w:rsidRPr="008642D1">
        <w:t xml:space="preserve"> We understand some transgender and non-binary students may prefer to attend a co-educational school instead of a single-sex school if there is a local option available to them.</w:t>
      </w:r>
      <w:r w:rsidRPr="008642D1">
        <w:rPr>
          <w:rStyle w:val="FootnoteReference"/>
        </w:rPr>
        <w:footnoteReference w:id="527"/>
      </w:r>
      <w:r w:rsidRPr="008642D1">
        <w:t xml:space="preserve"> </w:t>
      </w:r>
    </w:p>
    <w:p w14:paraId="31BE4ACD" w14:textId="46460EC5" w:rsidR="007F0439" w:rsidRPr="008642D1" w:rsidRDefault="007F0439" w:rsidP="007F0439">
      <w:pPr>
        <w:pStyle w:val="Heading5"/>
      </w:pPr>
      <w:r w:rsidRPr="008642D1">
        <w:t>Option 1: do nothing</w:t>
      </w:r>
    </w:p>
    <w:p w14:paraId="6C486938" w14:textId="77777777" w:rsidR="007F0439" w:rsidRPr="008642D1" w:rsidRDefault="007F0439" w:rsidP="007F0439">
      <w:pPr>
        <w:pStyle w:val="BodyText"/>
      </w:pPr>
      <w:r w:rsidRPr="008642D1">
        <w:t>If new prohibited grounds of discrimination were to be included in section 21, one option is to make no change to the exception (including leaving sex undefined). This is the approach taken in most Australian jurisdictions.</w:t>
      </w:r>
      <w:r w:rsidRPr="008642D1">
        <w:rPr>
          <w:rStyle w:val="FootnoteReference"/>
        </w:rPr>
        <w:footnoteReference w:id="528"/>
      </w:r>
      <w:r w:rsidRPr="008642D1">
        <w:t xml:space="preserve"> In practice, this may have little impact for the reasons we explained above. However, until a court or tribunal considers the matter, it may create uncertainty about which students schools can lawfully refuse to admit and may lead to different schools taking different approaches.</w:t>
      </w:r>
    </w:p>
    <w:p w14:paraId="30F985E0" w14:textId="69483330" w:rsidR="007F0439" w:rsidRPr="008642D1" w:rsidRDefault="007F0439" w:rsidP="007F0439">
      <w:pPr>
        <w:pStyle w:val="Heading5"/>
      </w:pPr>
      <w:r w:rsidRPr="008642D1">
        <w:t>Option 2: clarify that section 58(1) does not entitle schools to refuse to admit transgender students whose gender identity aligns with the school’s designated sex</w:t>
      </w:r>
    </w:p>
    <w:p w14:paraId="6F91B804" w14:textId="77777777" w:rsidR="007F0439" w:rsidRPr="008642D1" w:rsidRDefault="007F0439" w:rsidP="007F0439">
      <w:pPr>
        <w:pStyle w:val="BodyText"/>
      </w:pPr>
      <w:r w:rsidRPr="008642D1">
        <w:t xml:space="preserve">This option would provide greater clarity than option 1 and maximise choice and educational opportunities for transgender students. </w:t>
      </w:r>
    </w:p>
    <w:p w14:paraId="444D62E5" w14:textId="77777777" w:rsidR="007F0439" w:rsidRPr="008642D1" w:rsidRDefault="007F0439" w:rsidP="007F0439">
      <w:pPr>
        <w:pStyle w:val="BodyText"/>
      </w:pPr>
      <w:r w:rsidRPr="008642D1">
        <w:t>This option would restrict a school’s ability to refuse a student admission based on a difference between their gender identity and their sex assigned at birth</w:t>
      </w:r>
      <w:r w:rsidRPr="008642D1" w:rsidDel="00EA0D67">
        <w:t>.</w:t>
      </w:r>
      <w:r w:rsidRPr="008642D1">
        <w:t xml:space="preserve"> We are interested to hear feedback from single-sex schools on whether this might cause any difficulties in practice. If so, we are interested </w:t>
      </w:r>
      <w:r w:rsidRPr="008642D1" w:rsidDel="00EA0D67">
        <w:t xml:space="preserve">to </w:t>
      </w:r>
      <w:r w:rsidRPr="008642D1">
        <w:t xml:space="preserve">understand the reasons (if any) why they might want to refuse admission to transgender students whose gender identity aligns with that school’s designated sex. </w:t>
      </w:r>
    </w:p>
    <w:p w14:paraId="67D7C554" w14:textId="14E8278B" w:rsidR="007F0439" w:rsidRPr="008642D1" w:rsidRDefault="007F0439" w:rsidP="007F0439">
      <w:pPr>
        <w:pStyle w:val="Heading5"/>
      </w:pPr>
      <w:r w:rsidRPr="008642D1">
        <w:t xml:space="preserve">Option 3: clarify that section 58(1) entitles schools to refuse to admit students whose sex assigned at birth does not align with the school’s designated sex </w:t>
      </w:r>
    </w:p>
    <w:p w14:paraId="5BBA150F" w14:textId="77777777" w:rsidR="007F0439" w:rsidRPr="008642D1" w:rsidRDefault="007F0439" w:rsidP="007F0439">
      <w:pPr>
        <w:pStyle w:val="BodyText"/>
      </w:pPr>
      <w:r w:rsidRPr="008642D1">
        <w:t xml:space="preserve">This option would also provide greater clarity than option 1. </w:t>
      </w:r>
    </w:p>
    <w:p w14:paraId="0CC6CFB9" w14:textId="77777777" w:rsidR="007F0439" w:rsidRPr="008642D1" w:rsidRDefault="007F0439" w:rsidP="007F0439">
      <w:pPr>
        <w:pStyle w:val="BodyText"/>
      </w:pPr>
      <w:r w:rsidRPr="008642D1">
        <w:t xml:space="preserve">This option would maximise the freedom schools have to make their own admission decisions. Conversely, it would reduce the options available to transgender students. It might therefore exacerbate difficulties they have in accessing education. We are interested to understand better how significant those impacts might be. </w:t>
      </w:r>
    </w:p>
    <w:p w14:paraId="421B9591" w14:textId="29287F91" w:rsidR="007F0439" w:rsidRPr="008642D1" w:rsidRDefault="007F0439" w:rsidP="007F0439">
      <w:pPr>
        <w:pStyle w:val="BodyText"/>
      </w:pPr>
      <w:r w:rsidRPr="008642D1">
        <w:t xml:space="preserve">There may be some practical problems with this option. As we discussed in Chapter 8, there is no current form of identification in Aotearoa New Zealand that records a person’s sex assigned at birth (we discuss birth certificates in the next option). We would like to understand better what forms of evidence single-sex schools currently rely on to establish a student’s sex and how they would continue to do so under this option. </w:t>
      </w:r>
    </w:p>
    <w:p w14:paraId="3745BFB5" w14:textId="77777777" w:rsidR="007F0439" w:rsidRPr="008642D1" w:rsidRDefault="007F0439" w:rsidP="007F0439">
      <w:pPr>
        <w:pStyle w:val="BodyText"/>
      </w:pPr>
      <w:r w:rsidRPr="008642D1">
        <w:lastRenderedPageBreak/>
        <w:t>This option may also create difficulties for some people with an innate variation of sex characteristics if their sex was incorrectly assigned at birth due to ambiguity in their external sex characteristics.</w:t>
      </w:r>
    </w:p>
    <w:p w14:paraId="09D8490A" w14:textId="1371445F" w:rsidR="007F0439" w:rsidRPr="008642D1" w:rsidRDefault="007F0439" w:rsidP="007F0439">
      <w:pPr>
        <w:pStyle w:val="Heading5"/>
      </w:pPr>
      <w:r w:rsidRPr="008642D1">
        <w:t>Option 4: clarify that section 58(1) entitles schools to refuse to admit students whose sex recorded on their birth certificate does not align with the school’s designated sex</w:t>
      </w:r>
      <w:r w:rsidRPr="008642D1" w:rsidDel="00DC01F2">
        <w:t xml:space="preserve"> </w:t>
      </w:r>
    </w:p>
    <w:p w14:paraId="4976C6A5" w14:textId="425B0BD1" w:rsidR="007F0439" w:rsidRPr="008642D1" w:rsidRDefault="007F0439" w:rsidP="007F0439">
      <w:pPr>
        <w:pStyle w:val="BodyText"/>
      </w:pPr>
      <w:r w:rsidRPr="008642D1">
        <w:t xml:space="preserve">Under this option, students seeking admission to a single-sex school may need to have obtained a birth certificate. This means that transgender students might be refused admission if they have not obtained a birth certificate that aligns with their gender identity. This might preclude students who are in an early stage of transitioning. It would also preclude students who do not have the support of a guardian or (in the case of students who are 16 or 17) are unable to access the support of a </w:t>
      </w:r>
      <w:r w:rsidRPr="008642D1" w:rsidDel="00576389">
        <w:t>“</w:t>
      </w:r>
      <w:r w:rsidRPr="008642D1">
        <w:t>suitably qualified third party</w:t>
      </w:r>
      <w:r w:rsidRPr="008642D1" w:rsidDel="00576389">
        <w:t>”</w:t>
      </w:r>
      <w:r w:rsidRPr="008642D1">
        <w:t>.</w:t>
      </w:r>
      <w:r w:rsidRPr="008642D1">
        <w:rPr>
          <w:rStyle w:val="FootnoteReference"/>
        </w:rPr>
        <w:footnoteReference w:id="529"/>
      </w:r>
    </w:p>
    <w:p w14:paraId="6CAF82C1" w14:textId="697675A5" w:rsidR="007F0439" w:rsidRPr="008642D1" w:rsidRDefault="007F0439" w:rsidP="007F0439">
      <w:pPr>
        <w:pStyle w:val="BodyText"/>
      </w:pPr>
      <w:r w:rsidRPr="008642D1">
        <w:t>This option avoids the issues of proof associated with option 3 because the school could make the admission decision by relying on a form of identification that specifies a person’s sex. On the other hand, this option may lead to some inconsistencies and anomalies. For example, transgender students born in another country could be precluded from admission if they have not</w:t>
      </w:r>
      <w:r w:rsidRPr="008642D1" w:rsidDel="00662D1A">
        <w:t xml:space="preserve"> </w:t>
      </w:r>
      <w:r w:rsidRPr="008642D1">
        <w:t>been able to change the sex on their birth certificate. It might also limit options for students who have their nominated sex on their birth certificate recorded as non-binary.</w:t>
      </w:r>
      <w:r w:rsidRPr="008642D1">
        <w:rPr>
          <w:rStyle w:val="FootnoteReference"/>
        </w:rPr>
        <w:footnoteReference w:id="530"/>
      </w:r>
      <w:r w:rsidRPr="008642D1">
        <w:t xml:space="preserve"> </w:t>
      </w:r>
    </w:p>
    <w:p w14:paraId="243805A6" w14:textId="658A5245" w:rsidR="007F0439" w:rsidRPr="008642D1" w:rsidRDefault="007F0439" w:rsidP="00351853">
      <w:pPr>
        <w:pStyle w:val="BodyText"/>
      </w:pPr>
      <w:r w:rsidRPr="008642D1">
        <w:t xml:space="preserve">If this approach were taken, it may be necessary to clarify the relationship with a provision in the Births, Deaths, Marriages, and Relationships Registration Act 2021 that states that agencies are not limited to considering the information </w:t>
      </w:r>
      <w:r w:rsidR="00721F98">
        <w:t>on</w:t>
      </w:r>
      <w:r w:rsidRPr="008642D1">
        <w:t xml:space="preserve"> a birth certificate when ascertaining a person’s sex or gender</w:t>
      </w:r>
      <w:r w:rsidR="00CD2A0E">
        <w:t xml:space="preserve"> for a particular purpose</w:t>
      </w:r>
      <w:r w:rsidRPr="008642D1">
        <w:t>.</w:t>
      </w:r>
      <w:r w:rsidRPr="008642D1">
        <w:rPr>
          <w:rStyle w:val="FootnoteReference"/>
        </w:rPr>
        <w:footnoteReference w:id="531"/>
      </w:r>
    </w:p>
    <w:p w14:paraId="143D7B90" w14:textId="77777777" w:rsidR="007F0439" w:rsidRPr="008642D1" w:rsidRDefault="007F0439" w:rsidP="007F0439">
      <w:pPr>
        <w:pStyle w:val="Heading4"/>
      </w:pPr>
      <w:r w:rsidRPr="008642D1">
        <w:t>Are additional amendments to section 58(1) required to accommodate students who identify outside the gender binary?</w:t>
      </w:r>
    </w:p>
    <w:p w14:paraId="15B9F704" w14:textId="77777777" w:rsidR="007F0439" w:rsidRPr="008642D1" w:rsidRDefault="007F0439" w:rsidP="00351853">
      <w:pPr>
        <w:pStyle w:val="BodyText"/>
      </w:pPr>
      <w:r w:rsidRPr="008642D1">
        <w:t>Single-sex schools, by definition, are not designed to cater for students who have a gender identity that is</w:t>
      </w:r>
      <w:r w:rsidRPr="008642D1" w:rsidDel="001A10D8">
        <w:t xml:space="preserve"> </w:t>
      </w:r>
      <w:r w:rsidRPr="008642D1">
        <w:t>outside the binary of male or female. We are interested to understand whether this is a significant problem in practice. It is possible students who identify outside the gender binary may not wish to attend single-sex schools. On the other hand, some students may not live within the zone of a co-educational school.</w:t>
      </w:r>
    </w:p>
    <w:p w14:paraId="1A4614AB" w14:textId="77777777" w:rsidR="007F0439" w:rsidRPr="008642D1" w:rsidRDefault="007F0439" w:rsidP="00351853">
      <w:pPr>
        <w:pStyle w:val="BodyText"/>
      </w:pPr>
      <w:r w:rsidRPr="008642D1">
        <w:t>We are interested to hear submitters’ views on whether there should be any additional amendments to section 58(1) to accommodate students who identify outside the gender binary. For example, should the law clarify that the section 58(1) exception does not enable educational establishments to refuse admission to these students?</w:t>
      </w:r>
    </w:p>
    <w:p w14:paraId="4B7ABADD" w14:textId="1D660E1E" w:rsidR="007F0439" w:rsidRPr="008642D1" w:rsidRDefault="007F0439" w:rsidP="007F0439">
      <w:pPr>
        <w:pStyle w:val="QuestionBox"/>
      </w:pPr>
      <w:r w:rsidRPr="008642D1">
        <w:rPr>
          <w:noProof/>
        </w:rPr>
        <mc:AlternateContent>
          <mc:Choice Requires="wpg">
            <w:drawing>
              <wp:anchor distT="0" distB="0" distL="114300" distR="114300" simplePos="0" relativeHeight="251658355" behindDoc="1" locked="0" layoutInCell="1" allowOverlap="1" wp14:anchorId="6F38466C" wp14:editId="08CB9A40">
                <wp:simplePos x="0" y="0"/>
                <wp:positionH relativeFrom="column">
                  <wp:posOffset>1533</wp:posOffset>
                </wp:positionH>
                <wp:positionV relativeFrom="paragraph">
                  <wp:posOffset>6722</wp:posOffset>
                </wp:positionV>
                <wp:extent cx="5760085" cy="1483165"/>
                <wp:effectExtent l="0" t="0" r="0" b="3175"/>
                <wp:wrapNone/>
                <wp:docPr id="1293250355" name="Group 1293250355" descr="Question"/>
                <wp:cNvGraphicFramePr/>
                <a:graphic xmlns:a="http://schemas.openxmlformats.org/drawingml/2006/main">
                  <a:graphicData uri="http://schemas.microsoft.com/office/word/2010/wordprocessingGroup">
                    <wpg:wgp>
                      <wpg:cNvGrpSpPr/>
                      <wpg:grpSpPr>
                        <a:xfrm>
                          <a:off x="0" y="0"/>
                          <a:ext cx="5760085" cy="1483165"/>
                          <a:chOff x="0" y="62865"/>
                          <a:chExt cx="5760085" cy="1484038"/>
                        </a:xfrm>
                      </wpg:grpSpPr>
                      <wps:wsp>
                        <wps:cNvPr id="884614467"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273A47" w14:textId="77777777" w:rsidR="00AF2429" w:rsidRDefault="007F0439" w:rsidP="007F0439">
                              <w:pPr>
                                <w:pStyle w:val="BoxTitle"/>
                                <w:spacing w:before="0" w:beforeAutospacing="0"/>
                              </w:pPr>
                              <w:r w:rsidRPr="007F6876">
                                <w:t>QUESTION</w:t>
                              </w:r>
                            </w:p>
                            <w:p w14:paraId="15734580" w14:textId="240717C2" w:rsidR="007F0439" w:rsidRDefault="007F0439" w:rsidP="007F0439">
                              <w:pPr>
                                <w:pStyle w:val="BoxTitle"/>
                                <w:spacing w:before="0" w:beforeAutospacing="0"/>
                              </w:pPr>
                              <w:r w:rsidRPr="007F6876">
                                <w:t>QUESTION</w:t>
                              </w:r>
                              <w:r>
                                <w:t>S</w:t>
                              </w:r>
                            </w:p>
                          </w:txbxContent>
                        </wps:txbx>
                        <wps:bodyPr rot="0" vert="horz" wrap="square" lIns="91440" tIns="0" rIns="0" bIns="45720" anchor="ctr" anchorCtr="0" upright="1">
                          <a:noAutofit/>
                        </wps:bodyPr>
                      </wps:wsp>
                      <wpg:grpSp>
                        <wpg:cNvPr id="1408381755" name="Group 53"/>
                        <wpg:cNvGrpSpPr>
                          <a:grpSpLocks/>
                        </wpg:cNvGrpSpPr>
                        <wpg:grpSpPr bwMode="auto">
                          <a:xfrm>
                            <a:off x="0" y="316170"/>
                            <a:ext cx="5760085" cy="1230733"/>
                            <a:chOff x="1837" y="1791"/>
                            <a:chExt cx="9302" cy="13294"/>
                          </a:xfrm>
                        </wpg:grpSpPr>
                        <wps:wsp>
                          <wps:cNvPr id="112267211" name="Freeform 54"/>
                          <wps:cNvSpPr>
                            <a:spLocks/>
                          </wps:cNvSpPr>
                          <wps:spPr bwMode="auto">
                            <a:xfrm>
                              <a:off x="1837" y="1791"/>
                              <a:ext cx="9302" cy="1329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7356799" name="Group 817356799"/>
                        <wpg:cNvGrpSpPr/>
                        <wpg:grpSpPr>
                          <a:xfrm>
                            <a:off x="0" y="494036"/>
                            <a:ext cx="1443794" cy="252000"/>
                            <a:chOff x="-15880" y="0"/>
                            <a:chExt cx="1444379" cy="252068"/>
                          </a:xfrm>
                        </wpg:grpSpPr>
                        <wps:wsp>
                          <wps:cNvPr id="122428057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30999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E55F7F" w14:textId="7850E626" w:rsidR="00AF2429" w:rsidRDefault="007F0439" w:rsidP="007F0439">
                                <w:pPr>
                                  <w:pStyle w:val="BoxTitle"/>
                                  <w:spacing w:before="0" w:beforeAutospacing="0"/>
                                  <w:rPr>
                                    <w:sz w:val="18"/>
                                    <w:szCs w:val="18"/>
                                  </w:rPr>
                                </w:pPr>
                                <w:r w:rsidRPr="00E90B8A">
                                  <w:rPr>
                                    <w:sz w:val="18"/>
                                    <w:szCs w:val="18"/>
                                  </w:rPr>
                                  <w:t>Q</w:t>
                                </w:r>
                                <w:r w:rsidR="001F5FF3">
                                  <w:rPr>
                                    <w:sz w:val="18"/>
                                    <w:szCs w:val="18"/>
                                  </w:rPr>
                                  <w:t>5</w:t>
                                </w:r>
                                <w:r w:rsidR="00412BE5">
                                  <w:rPr>
                                    <w:sz w:val="18"/>
                                    <w:szCs w:val="18"/>
                                  </w:rPr>
                                  <w:t>2</w:t>
                                </w:r>
                              </w:p>
                              <w:p w14:paraId="20FAABD3" w14:textId="5EF39699" w:rsidR="007F0439" w:rsidRPr="00E90B8A" w:rsidRDefault="007F0439" w:rsidP="007F0439">
                                <w:pPr>
                                  <w:pStyle w:val="BoxTitle"/>
                                  <w:spacing w:before="0" w:beforeAutospacing="0"/>
                                  <w:rPr>
                                    <w:sz w:val="18"/>
                                    <w:szCs w:val="18"/>
                                  </w:rPr>
                                </w:pPr>
                                <w:r w:rsidRPr="00E90B8A">
                                  <w:rPr>
                                    <w:sz w:val="18"/>
                                    <w:szCs w:val="18"/>
                                  </w:rPr>
                                  <w:t>Q</w:t>
                                </w:r>
                                <w:r w:rsidR="00CD6B3B">
                                  <w:rPr>
                                    <w:sz w:val="18"/>
                                    <w:szCs w:val="18"/>
                                  </w:rPr>
                                  <w:t>60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F38466C" id="Group 1293250355" o:spid="_x0000_s1303" alt="Question" style="position:absolute;left:0;text-align:left;margin-left:.1pt;margin-top:.55pt;width:453.55pt;height:116.8pt;z-index:-251658125;mso-height-relative:margin" coordorigin=",628" coordsize="57600,1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">
                <v:shape id="Freeform 52" o:spid="_x0000_s130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F273A47" w14:textId="77777777" w:rsidR="00AF2429" w:rsidRDefault="007F0439" w:rsidP="007F0439">
                        <w:pPr>
                          <w:pStyle w:val="BoxTitle"/>
                          <w:spacing w:before="0" w:beforeAutospacing="0"/>
                        </w:pPr>
                        <w:r w:rsidRPr="007F6876">
                          <w:t>QUESTION</w:t>
                        </w:r>
                      </w:p>
                      <w:p w14:paraId="15734580" w14:textId="240717C2" w:rsidR="007F0439" w:rsidRDefault="007F0439" w:rsidP="007F0439">
                        <w:pPr>
                          <w:pStyle w:val="BoxTitle"/>
                          <w:spacing w:before="0" w:beforeAutospacing="0"/>
                        </w:pPr>
                        <w:r w:rsidRPr="007F6876">
                          <w:t>QUESTION</w:t>
                        </w:r>
                        <w:r>
                          <w:t>S</w:t>
                        </w:r>
                      </w:p>
                    </w:txbxContent>
                  </v:textbox>
                </v:shape>
                <v:group id="Group 53" o:spid="_x0000_s1305" style="position:absolute;top:3161;width:57600;height:12308" coordorigin="1837,1791" coordsize="9302,1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">
                  <v:shape id="Freeform 54" o:spid="_x0000_s1306" style="position:absolute;left:1837;top:1791;width:9302;height:1329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" path="m,l9354,r,7809l,7809,,e" fillcolor="#edf2ea" stroked="f">
                    <v:path arrowok="t" o:connecttype="custom" o:connectlocs="0,1702;9302,1702;9302,14996;0,14996;0,1702" o:connectangles="0,0,0,0,0"/>
                  </v:shape>
                </v:group>
                <v:group id="Group 817356799" o:spid="_x0000_s130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">
                  <v:shape id="Freeform 58" o:spid="_x0000_s130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" path="m,l1815,e" filled="f" strokecolor="#72ab6a" strokeweight=".5pt">
                    <v:path arrowok="t" o:connecttype="custom" o:connectlocs="0,0;1073495,0" o:connectangles="0,0"/>
                  </v:shape>
                  <v:shape id="Freeform 66" o:spid="_x0000_s130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1E55F7F" w14:textId="7850E626" w:rsidR="00AF2429" w:rsidRDefault="007F0439" w:rsidP="007F0439">
                          <w:pPr>
                            <w:pStyle w:val="BoxTitle"/>
                            <w:spacing w:before="0" w:beforeAutospacing="0"/>
                            <w:rPr>
                              <w:sz w:val="18"/>
                              <w:szCs w:val="18"/>
                            </w:rPr>
                          </w:pPr>
                          <w:r w:rsidRPr="00E90B8A">
                            <w:rPr>
                              <w:sz w:val="18"/>
                              <w:szCs w:val="18"/>
                            </w:rPr>
                            <w:t>Q</w:t>
                          </w:r>
                          <w:r w:rsidR="001F5FF3">
                            <w:rPr>
                              <w:sz w:val="18"/>
                              <w:szCs w:val="18"/>
                            </w:rPr>
                            <w:t>5</w:t>
                          </w:r>
                          <w:r w:rsidR="00412BE5">
                            <w:rPr>
                              <w:sz w:val="18"/>
                              <w:szCs w:val="18"/>
                            </w:rPr>
                            <w:t>2</w:t>
                          </w:r>
                        </w:p>
                        <w:p w14:paraId="20FAABD3" w14:textId="5EF39699" w:rsidR="007F0439" w:rsidRPr="00E90B8A" w:rsidRDefault="007F0439" w:rsidP="007F0439">
                          <w:pPr>
                            <w:pStyle w:val="BoxTitle"/>
                            <w:spacing w:before="0" w:beforeAutospacing="0"/>
                            <w:rPr>
                              <w:sz w:val="18"/>
                              <w:szCs w:val="18"/>
                            </w:rPr>
                          </w:pPr>
                          <w:r w:rsidRPr="00E90B8A">
                            <w:rPr>
                              <w:sz w:val="18"/>
                              <w:szCs w:val="18"/>
                            </w:rPr>
                            <w:t>Q</w:t>
                          </w:r>
                          <w:r w:rsidR="00CD6B3B">
                            <w:rPr>
                              <w:sz w:val="18"/>
                              <w:szCs w:val="18"/>
                            </w:rPr>
                            <w:t>60</w:t>
                          </w:r>
                        </w:p>
                      </w:txbxContent>
                    </v:textbox>
                  </v:shape>
                </v:group>
              </v:group>
            </w:pict>
          </mc:Fallback>
        </mc:AlternateContent>
      </w:r>
    </w:p>
    <w:p w14:paraId="737EFC88" w14:textId="77777777" w:rsidR="007F0439" w:rsidRPr="008642D1" w:rsidRDefault="007F0439" w:rsidP="007F0439">
      <w:pPr>
        <w:pStyle w:val="QuestionBox"/>
      </w:pPr>
    </w:p>
    <w:p w14:paraId="7EF351C9" w14:textId="77777777" w:rsidR="00AA5D28" w:rsidRDefault="00AA5D28" w:rsidP="00AA5D28">
      <w:pPr>
        <w:pStyle w:val="QuestionBox"/>
      </w:pPr>
      <w:r w:rsidRPr="00AA5D28">
        <w:lastRenderedPageBreak/>
        <w:t>If new prohibited grounds of discrimination are added to the Human Rights Act 1993 to protect people who are transgender or non-binary or who have an innate variation of sex characteristics, should the exception in section 58(1) for single-sex schools be amended to reflect any new grounds we propose?</w:t>
      </w:r>
    </w:p>
    <w:p w14:paraId="65550991" w14:textId="1161D02D" w:rsidR="007F0439" w:rsidRPr="008642D1" w:rsidRDefault="007F0439" w:rsidP="00AA5D28">
      <w:pPr>
        <w:pStyle w:val="QuestionBox"/>
        <w:ind w:left="0"/>
      </w:pPr>
    </w:p>
    <w:p w14:paraId="7384F605" w14:textId="36CD7364" w:rsidR="001F5FF3" w:rsidRDefault="00D235E1" w:rsidP="007F0439">
      <w:pPr>
        <w:pStyle w:val="QuestionBox"/>
      </w:pPr>
      <w:r w:rsidRPr="008642D1">
        <w:rPr>
          <w:noProof/>
        </w:rPr>
        <mc:AlternateContent>
          <mc:Choice Requires="wpg">
            <w:drawing>
              <wp:anchor distT="0" distB="0" distL="114300" distR="114300" simplePos="0" relativeHeight="251653115" behindDoc="1" locked="0" layoutInCell="1" allowOverlap="1" wp14:anchorId="02D09621" wp14:editId="67853DC4">
                <wp:simplePos x="0" y="0"/>
                <wp:positionH relativeFrom="column">
                  <wp:posOffset>0</wp:posOffset>
                </wp:positionH>
                <wp:positionV relativeFrom="paragraph">
                  <wp:posOffset>0</wp:posOffset>
                </wp:positionV>
                <wp:extent cx="5760085" cy="1761846"/>
                <wp:effectExtent l="0" t="0" r="0" b="0"/>
                <wp:wrapNone/>
                <wp:docPr id="55273994" name="Group 55273994" descr="Question"/>
                <wp:cNvGraphicFramePr/>
                <a:graphic xmlns:a="http://schemas.openxmlformats.org/drawingml/2006/main">
                  <a:graphicData uri="http://schemas.microsoft.com/office/word/2010/wordprocessingGroup">
                    <wpg:wgp>
                      <wpg:cNvGrpSpPr/>
                      <wpg:grpSpPr>
                        <a:xfrm>
                          <a:off x="0" y="0"/>
                          <a:ext cx="5760085" cy="1761846"/>
                          <a:chOff x="0" y="62865"/>
                          <a:chExt cx="5760085" cy="1762883"/>
                        </a:xfrm>
                      </wpg:grpSpPr>
                      <wps:wsp>
                        <wps:cNvPr id="201402055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475991" w14:textId="77777777" w:rsidR="00D235E1" w:rsidRDefault="00D235E1" w:rsidP="00D235E1">
                              <w:pPr>
                                <w:pStyle w:val="BoxTitle"/>
                                <w:spacing w:before="0" w:beforeAutospacing="0"/>
                              </w:pPr>
                              <w:r w:rsidRPr="007F6876">
                                <w:t>QUESTION</w:t>
                              </w:r>
                              <w:r>
                                <w:t>S</w:t>
                              </w:r>
                            </w:p>
                          </w:txbxContent>
                        </wps:txbx>
                        <wps:bodyPr rot="0" vert="horz" wrap="square" lIns="91440" tIns="0" rIns="0" bIns="45720" anchor="ctr" anchorCtr="0" upright="1">
                          <a:noAutofit/>
                        </wps:bodyPr>
                      </wps:wsp>
                      <wpg:grpSp>
                        <wpg:cNvPr id="1118208836" name="Group 53"/>
                        <wpg:cNvGrpSpPr>
                          <a:grpSpLocks/>
                        </wpg:cNvGrpSpPr>
                        <wpg:grpSpPr bwMode="auto">
                          <a:xfrm>
                            <a:off x="0" y="316077"/>
                            <a:ext cx="5760085" cy="1509671"/>
                            <a:chOff x="1837" y="1790"/>
                            <a:chExt cx="9302" cy="16307"/>
                          </a:xfrm>
                        </wpg:grpSpPr>
                        <wps:wsp>
                          <wps:cNvPr id="854327777" name="Freeform 54"/>
                          <wps:cNvSpPr>
                            <a:spLocks/>
                          </wps:cNvSpPr>
                          <wps:spPr bwMode="auto">
                            <a:xfrm>
                              <a:off x="1837" y="1790"/>
                              <a:ext cx="9302" cy="1630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5923055" name="Group 1595923055"/>
                        <wpg:cNvGrpSpPr/>
                        <wpg:grpSpPr>
                          <a:xfrm>
                            <a:off x="0" y="494036"/>
                            <a:ext cx="1443794" cy="252000"/>
                            <a:chOff x="-15880" y="0"/>
                            <a:chExt cx="1444379" cy="252068"/>
                          </a:xfrm>
                        </wpg:grpSpPr>
                        <wps:wsp>
                          <wps:cNvPr id="56591411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20562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43CAF3" w14:textId="77777777" w:rsidR="00D235E1" w:rsidRPr="00E90B8A" w:rsidRDefault="00D235E1" w:rsidP="00D235E1">
                                <w:pPr>
                                  <w:pStyle w:val="BoxTitle"/>
                                  <w:spacing w:before="0" w:beforeAutospacing="0"/>
                                  <w:rPr>
                                    <w:sz w:val="18"/>
                                    <w:szCs w:val="18"/>
                                  </w:rPr>
                                </w:pPr>
                                <w:r w:rsidRPr="00E90B8A">
                                  <w:rPr>
                                    <w:sz w:val="18"/>
                                    <w:szCs w:val="18"/>
                                  </w:rPr>
                                  <w:t>Q</w:t>
                                </w:r>
                                <w:r>
                                  <w:rPr>
                                    <w:sz w:val="18"/>
                                    <w:szCs w:val="18"/>
                                  </w:rPr>
                                  <w:t>53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2D09621" id="Group 55273994" o:spid="_x0000_s1310" alt="Question" style="position:absolute;left:0;text-align:left;margin-left:0;margin-top:0;width:453.55pt;height:138.75pt;z-index:-251663365;mso-height-relative:margin" coordorigin=",628" coordsize="57600,1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">
                <v:shape id="Freeform 52" o:spid="_x0000_s131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F475991" w14:textId="77777777" w:rsidR="00D235E1" w:rsidRDefault="00D235E1" w:rsidP="00D235E1">
                        <w:pPr>
                          <w:pStyle w:val="BoxTitle"/>
                          <w:spacing w:before="0" w:beforeAutospacing="0"/>
                        </w:pPr>
                        <w:r w:rsidRPr="007F6876">
                          <w:t>QUESTION</w:t>
                        </w:r>
                        <w:r>
                          <w:t>S</w:t>
                        </w:r>
                      </w:p>
                    </w:txbxContent>
                  </v:textbox>
                </v:shape>
                <v:group id="Group 53" o:spid="_x0000_s1312" style="position:absolute;top:3160;width:57600;height:15097" coordorigin="1837,1790" coordsize="9302,16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">
                  <v:shape id="Freeform 54" o:spid="_x0000_s1313" style="position:absolute;left:1837;top:1790;width:9302;height:1630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" path="m,l9354,r,7809l,7809,,e" fillcolor="#edf2ea" stroked="f">
                    <v:path arrowok="t" o:connecttype="custom" o:connectlocs="0,2088;9302,2088;9302,18395;0,18395;0,2088" o:connectangles="0,0,0,0,0"/>
                  </v:shape>
                </v:group>
                <v:group id="Group 1595923055" o:spid="_x0000_s131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">
                  <v:shape id="Freeform 58" o:spid="_x0000_s131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" path="m,l1815,e" filled="f" strokecolor="#72ab6a" strokeweight=".5pt">
                    <v:path arrowok="t" o:connecttype="custom" o:connectlocs="0,0;1073495,0" o:connectangles="0,0"/>
                  </v:shape>
                  <v:shape id="Freeform 66" o:spid="_x0000_s131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&#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F43CAF3" w14:textId="77777777" w:rsidR="00D235E1" w:rsidRPr="00E90B8A" w:rsidRDefault="00D235E1" w:rsidP="00D235E1">
                          <w:pPr>
                            <w:pStyle w:val="BoxTitle"/>
                            <w:spacing w:before="0" w:beforeAutospacing="0"/>
                            <w:rPr>
                              <w:sz w:val="18"/>
                              <w:szCs w:val="18"/>
                            </w:rPr>
                          </w:pPr>
                          <w:r w:rsidRPr="00E90B8A">
                            <w:rPr>
                              <w:sz w:val="18"/>
                              <w:szCs w:val="18"/>
                            </w:rPr>
                            <w:t>Q</w:t>
                          </w:r>
                          <w:r>
                            <w:rPr>
                              <w:sz w:val="18"/>
                              <w:szCs w:val="18"/>
                            </w:rPr>
                            <w:t>53</w:t>
                          </w:r>
                        </w:p>
                      </w:txbxContent>
                    </v:textbox>
                  </v:shape>
                </v:group>
              </v:group>
            </w:pict>
          </mc:Fallback>
        </mc:AlternateContent>
      </w:r>
    </w:p>
    <w:p w14:paraId="3683C971" w14:textId="77777777" w:rsidR="000002FE" w:rsidRDefault="000002FE" w:rsidP="007F0439">
      <w:pPr>
        <w:pStyle w:val="QuestionBox"/>
      </w:pPr>
    </w:p>
    <w:p w14:paraId="22CF8422" w14:textId="4EDF109B" w:rsidR="004D3F65" w:rsidRDefault="004D3F65" w:rsidP="007F0439">
      <w:pPr>
        <w:pStyle w:val="QuestionBox"/>
      </w:pPr>
      <w:r w:rsidRPr="004D3F65">
        <w:t>Are additional amendments to section 58(1) required to accommodate students who have a gender identity that is not exclusively male or female?</w:t>
      </w:r>
    </w:p>
    <w:p w14:paraId="29CECF12" w14:textId="5B353217" w:rsidR="007F0439" w:rsidRPr="008642D1" w:rsidRDefault="007F0439" w:rsidP="007F0439">
      <w:pPr>
        <w:pStyle w:val="QuestionBox"/>
      </w:pPr>
      <w:r w:rsidRPr="008642D1">
        <w:rPr>
          <w:noProof/>
        </w:rPr>
        <mc:AlternateContent>
          <mc:Choice Requires="wpg">
            <w:drawing>
              <wp:anchor distT="0" distB="0" distL="114300" distR="114300" simplePos="0" relativeHeight="251658357" behindDoc="1" locked="0" layoutInCell="1" allowOverlap="1" wp14:anchorId="0772F286" wp14:editId="047511C5">
                <wp:simplePos x="0" y="0"/>
                <wp:positionH relativeFrom="column">
                  <wp:posOffset>0</wp:posOffset>
                </wp:positionH>
                <wp:positionV relativeFrom="paragraph">
                  <wp:posOffset>170370</wp:posOffset>
                </wp:positionV>
                <wp:extent cx="1443355" cy="251460"/>
                <wp:effectExtent l="0" t="0" r="42545" b="0"/>
                <wp:wrapNone/>
                <wp:docPr id="1080482817"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35418084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29469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64BCA0" w14:textId="7AFDF52B" w:rsidR="00AF2429" w:rsidRDefault="007F0439" w:rsidP="007F0439">
                              <w:pPr>
                                <w:pStyle w:val="BoxTitle"/>
                                <w:spacing w:before="0" w:beforeAutospacing="0"/>
                                <w:rPr>
                                  <w:sz w:val="18"/>
                                  <w:szCs w:val="18"/>
                                </w:rPr>
                              </w:pPr>
                              <w:r w:rsidRPr="00E90B8A">
                                <w:rPr>
                                  <w:sz w:val="18"/>
                                  <w:szCs w:val="18"/>
                                </w:rPr>
                                <w:t>Q</w:t>
                              </w:r>
                              <w:r w:rsidR="00DC7707">
                                <w:rPr>
                                  <w:sz w:val="18"/>
                                  <w:szCs w:val="18"/>
                                </w:rPr>
                                <w:t>5</w:t>
                              </w:r>
                              <w:r w:rsidR="00936777">
                                <w:rPr>
                                  <w:sz w:val="18"/>
                                  <w:szCs w:val="18"/>
                                </w:rPr>
                                <w:t>4</w:t>
                              </w:r>
                            </w:p>
                            <w:p w14:paraId="3CBB240E" w14:textId="178D64E7" w:rsidR="007F0439" w:rsidRPr="00E90B8A" w:rsidRDefault="007F0439" w:rsidP="007F0439">
                              <w:pPr>
                                <w:pStyle w:val="BoxTitle"/>
                                <w:spacing w:before="0" w:beforeAutospacing="0"/>
                                <w:rPr>
                                  <w:sz w:val="18"/>
                                  <w:szCs w:val="18"/>
                                </w:rPr>
                              </w:pPr>
                              <w:r w:rsidRPr="00E90B8A">
                                <w:rPr>
                                  <w:sz w:val="18"/>
                                  <w:szCs w:val="18"/>
                                </w:rPr>
                                <w:t>Q</w:t>
                              </w:r>
                              <w:r>
                                <w:rPr>
                                  <w:sz w:val="18"/>
                                  <w:szCs w:val="18"/>
                                </w:rPr>
                                <w:t>6</w:t>
                              </w:r>
                              <w:r w:rsidR="00CD6B3B">
                                <w:rPr>
                                  <w:sz w:val="18"/>
                                  <w:szCs w:val="18"/>
                                </w:rPr>
                                <w:t>2</w:t>
                              </w:r>
                            </w:p>
                          </w:txbxContent>
                        </wps:txbx>
                        <wps:bodyPr rot="0" vert="horz" wrap="square" lIns="54000" tIns="82800" rIns="91440" bIns="45720" anchor="ctr" anchorCtr="0" upright="1">
                          <a:noAutofit/>
                        </wps:bodyPr>
                      </wps:wsp>
                    </wpg:wgp>
                  </a:graphicData>
                </a:graphic>
              </wp:anchor>
            </w:drawing>
          </mc:Choice>
          <mc:Fallback>
            <w:pict>
              <v:group w14:anchorId="0772F286" id="_x0000_s1317" style="position:absolute;left:0;text-align:left;margin-left:0;margin-top:13.4pt;width:113.65pt;height:19.8pt;z-index:-251658123"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">
                <v:shape id="Freeform 58" o:spid="_x0000_s131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" path="m,l1815,e" filled="f" strokecolor="#72ab6a" strokeweight=".5pt">
                  <v:path arrowok="t" o:connecttype="custom" o:connectlocs="0,0;1073495,0" o:connectangles="0,0"/>
                </v:shape>
                <v:shape id="Freeform 66" o:spid="_x0000_s131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664BCA0" w14:textId="7AFDF52B" w:rsidR="00AF2429" w:rsidRDefault="007F0439" w:rsidP="007F0439">
                        <w:pPr>
                          <w:pStyle w:val="BoxTitle"/>
                          <w:spacing w:before="0" w:beforeAutospacing="0"/>
                          <w:rPr>
                            <w:sz w:val="18"/>
                            <w:szCs w:val="18"/>
                          </w:rPr>
                        </w:pPr>
                        <w:r w:rsidRPr="00E90B8A">
                          <w:rPr>
                            <w:sz w:val="18"/>
                            <w:szCs w:val="18"/>
                          </w:rPr>
                          <w:t>Q</w:t>
                        </w:r>
                        <w:r w:rsidR="00DC7707">
                          <w:rPr>
                            <w:sz w:val="18"/>
                            <w:szCs w:val="18"/>
                          </w:rPr>
                          <w:t>5</w:t>
                        </w:r>
                        <w:r w:rsidR="00936777">
                          <w:rPr>
                            <w:sz w:val="18"/>
                            <w:szCs w:val="18"/>
                          </w:rPr>
                          <w:t>4</w:t>
                        </w:r>
                      </w:p>
                      <w:p w14:paraId="3CBB240E" w14:textId="178D64E7" w:rsidR="007F0439" w:rsidRPr="00E90B8A" w:rsidRDefault="007F0439" w:rsidP="007F0439">
                        <w:pPr>
                          <w:pStyle w:val="BoxTitle"/>
                          <w:spacing w:before="0" w:beforeAutospacing="0"/>
                          <w:rPr>
                            <w:sz w:val="18"/>
                            <w:szCs w:val="18"/>
                          </w:rPr>
                        </w:pPr>
                        <w:r w:rsidRPr="00E90B8A">
                          <w:rPr>
                            <w:sz w:val="18"/>
                            <w:szCs w:val="18"/>
                          </w:rPr>
                          <w:t>Q</w:t>
                        </w:r>
                        <w:r>
                          <w:rPr>
                            <w:sz w:val="18"/>
                            <w:szCs w:val="18"/>
                          </w:rPr>
                          <w:t>6</w:t>
                        </w:r>
                        <w:r w:rsidR="00CD6B3B">
                          <w:rPr>
                            <w:sz w:val="18"/>
                            <w:szCs w:val="18"/>
                          </w:rPr>
                          <w:t>2</w:t>
                        </w:r>
                      </w:p>
                    </w:txbxContent>
                  </v:textbox>
                </v:shape>
              </v:group>
            </w:pict>
          </mc:Fallback>
        </mc:AlternateContent>
      </w:r>
    </w:p>
    <w:p w14:paraId="30750CA8" w14:textId="1C64C45C" w:rsidR="007F0439" w:rsidRDefault="005D6C9B" w:rsidP="007F0439">
      <w:pPr>
        <w:pStyle w:val="QuestionBox"/>
      </w:pPr>
      <w:r w:rsidRPr="005D6C9B">
        <w:t>Do you have any additional feedback on the practical implications of amending section 58(1)?</w:t>
      </w:r>
    </w:p>
    <w:p w14:paraId="2207BE9F" w14:textId="77777777" w:rsidR="001F5FF3" w:rsidRPr="008642D1" w:rsidRDefault="001F5FF3" w:rsidP="007F0439">
      <w:pPr>
        <w:pStyle w:val="QuestionBox"/>
      </w:pPr>
    </w:p>
    <w:p w14:paraId="496F1117" w14:textId="77777777" w:rsidR="007F0439" w:rsidRPr="008642D1" w:rsidRDefault="007F0439" w:rsidP="007F0439">
      <w:pPr>
        <w:pStyle w:val="Heading3"/>
      </w:pPr>
      <w:r w:rsidRPr="008642D1">
        <w:t>Courses and counselling exception — section 59</w:t>
      </w:r>
    </w:p>
    <w:p w14:paraId="44EF69E9" w14:textId="77777777" w:rsidR="007F0439" w:rsidRPr="008642D1" w:rsidRDefault="007F0439" w:rsidP="007F0439">
      <w:pPr>
        <w:pStyle w:val="BodyText"/>
      </w:pPr>
      <w:r w:rsidRPr="008642D1">
        <w:t xml:space="preserve">There is an exception in section 59 of the Human Rights Act that allows an educational establishment to hold or provide a course or counselling on highly personal matters that is restricted to people of a particular sex, race, ethnic or national origin, or sexual orientation. The section refers to sexual matters or the prevention of violence as examples of highly personal matters. </w:t>
      </w:r>
    </w:p>
    <w:p w14:paraId="2FBEDF38" w14:textId="77777777" w:rsidR="007F0439" w:rsidRPr="008642D1" w:rsidRDefault="007F0439" w:rsidP="007F0439">
      <w:pPr>
        <w:pStyle w:val="BodyText"/>
      </w:pPr>
      <w:r w:rsidRPr="008642D1">
        <w:t xml:space="preserve">The section is almost identically worded to section 45, which contains an exception for courses and counselling in relation to the provision of goods and services. We discussed section 45 in Chapter 10. </w:t>
      </w:r>
    </w:p>
    <w:p w14:paraId="48863D70" w14:textId="1B8F78AB" w:rsidR="007F0439" w:rsidRPr="008642D1" w:rsidRDefault="007F0439" w:rsidP="007F0439">
      <w:pPr>
        <w:pStyle w:val="BodyText"/>
      </w:pPr>
      <w:r w:rsidRPr="008642D1">
        <w:t>We think the scope and rationale of these two exceptions</w:t>
      </w:r>
      <w:r w:rsidRPr="008642D1" w:rsidDel="001720D0">
        <w:t xml:space="preserve"> </w:t>
      </w:r>
      <w:r w:rsidRPr="008642D1">
        <w:t>is identical except that, because section 59 applies to educational establishments, the kind of courses it enables may be a little different. It might support separating school students by sex to provide classes on relationships and sexuality education for example.</w:t>
      </w:r>
    </w:p>
    <w:p w14:paraId="60EFC036" w14:textId="25279EBD" w:rsidR="007F0439" w:rsidRPr="008642D1" w:rsidRDefault="007F0439" w:rsidP="007F0439">
      <w:pPr>
        <w:pStyle w:val="BodyText"/>
      </w:pPr>
      <w:r w:rsidRPr="008642D1">
        <w:t>We think the arguments for and against extending section 59 to new grounds are likely the same as those set out in Chapter 10 in relation to section 45. We do not repeat those arguments here. We are interested in feedback on whether any different considerations apply under section 59.</w:t>
      </w:r>
    </w:p>
    <w:p w14:paraId="19CA51AF" w14:textId="328BC6B3" w:rsidR="007F0439" w:rsidRPr="008642D1" w:rsidRDefault="00AC4919" w:rsidP="007F0439">
      <w:pPr>
        <w:pStyle w:val="QuestionBox"/>
      </w:pPr>
      <w:r w:rsidRPr="008642D1">
        <w:rPr>
          <w:noProof/>
        </w:rPr>
        <mc:AlternateContent>
          <mc:Choice Requires="wpg">
            <w:drawing>
              <wp:anchor distT="0" distB="0" distL="114300" distR="114300" simplePos="0" relativeHeight="251658358" behindDoc="1" locked="0" layoutInCell="1" allowOverlap="1" wp14:anchorId="37529180" wp14:editId="40ECA8E9">
                <wp:simplePos x="0" y="0"/>
                <wp:positionH relativeFrom="column">
                  <wp:posOffset>1533</wp:posOffset>
                </wp:positionH>
                <wp:positionV relativeFrom="paragraph">
                  <wp:posOffset>3965</wp:posOffset>
                </wp:positionV>
                <wp:extent cx="5760085" cy="2219107"/>
                <wp:effectExtent l="0" t="0" r="0" b="0"/>
                <wp:wrapNone/>
                <wp:docPr id="1715416565" name="Group 1715416565" descr="Question"/>
                <wp:cNvGraphicFramePr/>
                <a:graphic xmlns:a="http://schemas.openxmlformats.org/drawingml/2006/main">
                  <a:graphicData uri="http://schemas.microsoft.com/office/word/2010/wordprocessingGroup">
                    <wpg:wgp>
                      <wpg:cNvGrpSpPr/>
                      <wpg:grpSpPr>
                        <a:xfrm>
                          <a:off x="0" y="0"/>
                          <a:ext cx="5760085" cy="2219107"/>
                          <a:chOff x="0" y="62865"/>
                          <a:chExt cx="5760085" cy="2220774"/>
                        </a:xfrm>
                      </wpg:grpSpPr>
                      <wps:wsp>
                        <wps:cNvPr id="11826194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016C95" w14:textId="721E7C3A" w:rsidR="00AC4919" w:rsidRDefault="00AC4919" w:rsidP="00AC4919">
                              <w:pPr>
                                <w:pStyle w:val="BoxTitle"/>
                                <w:spacing w:before="0" w:beforeAutospacing="0"/>
                              </w:pPr>
                              <w:r w:rsidRPr="007F6876">
                                <w:t>QUESTION</w:t>
                              </w:r>
                              <w:r w:rsidR="003021EB">
                                <w:t>S</w:t>
                              </w:r>
                            </w:p>
                          </w:txbxContent>
                        </wps:txbx>
                        <wps:bodyPr rot="0" vert="horz" wrap="square" lIns="91440" tIns="0" rIns="0" bIns="45720" anchor="ctr" anchorCtr="0" upright="1">
                          <a:noAutofit/>
                        </wps:bodyPr>
                      </wps:wsp>
                      <wpg:grpSp>
                        <wpg:cNvPr id="1418809113" name="Group 53"/>
                        <wpg:cNvGrpSpPr>
                          <a:grpSpLocks/>
                        </wpg:cNvGrpSpPr>
                        <wpg:grpSpPr bwMode="auto">
                          <a:xfrm>
                            <a:off x="0" y="316170"/>
                            <a:ext cx="5760085" cy="1967469"/>
                            <a:chOff x="1837" y="1791"/>
                            <a:chExt cx="9302" cy="21252"/>
                          </a:xfrm>
                        </wpg:grpSpPr>
                        <wps:wsp>
                          <wps:cNvPr id="337596827" name="Freeform 54"/>
                          <wps:cNvSpPr>
                            <a:spLocks/>
                          </wps:cNvSpPr>
                          <wps:spPr bwMode="auto">
                            <a:xfrm>
                              <a:off x="1837" y="1791"/>
                              <a:ext cx="9302" cy="2125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9587155" name="Group 1619587155"/>
                        <wpg:cNvGrpSpPr/>
                        <wpg:grpSpPr>
                          <a:xfrm>
                            <a:off x="0" y="494036"/>
                            <a:ext cx="1443794" cy="252000"/>
                            <a:chOff x="-15880" y="0"/>
                            <a:chExt cx="1444379" cy="252068"/>
                          </a:xfrm>
                        </wpg:grpSpPr>
                        <wps:wsp>
                          <wps:cNvPr id="125792925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30374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953448" w14:textId="5090B6D4" w:rsidR="00AF2429" w:rsidRDefault="00AC4919" w:rsidP="00AC4919">
                                <w:pPr>
                                  <w:pStyle w:val="BoxTitle"/>
                                  <w:spacing w:before="0" w:beforeAutospacing="0"/>
                                  <w:rPr>
                                    <w:sz w:val="18"/>
                                    <w:szCs w:val="18"/>
                                  </w:rPr>
                                </w:pPr>
                                <w:r w:rsidRPr="00E90B8A">
                                  <w:rPr>
                                    <w:sz w:val="18"/>
                                    <w:szCs w:val="18"/>
                                  </w:rPr>
                                  <w:t>Q</w:t>
                                </w:r>
                                <w:r w:rsidR="00E416E2">
                                  <w:rPr>
                                    <w:sz w:val="18"/>
                                    <w:szCs w:val="18"/>
                                  </w:rPr>
                                  <w:t>5</w:t>
                                </w:r>
                                <w:r w:rsidR="007B15C7">
                                  <w:rPr>
                                    <w:sz w:val="18"/>
                                    <w:szCs w:val="18"/>
                                  </w:rPr>
                                  <w:t>5</w:t>
                                </w:r>
                              </w:p>
                              <w:p w14:paraId="5DAF8B9C" w14:textId="01A4FD47" w:rsidR="00AC4919" w:rsidRPr="00E90B8A" w:rsidRDefault="00AC4919" w:rsidP="00AC4919">
                                <w:pPr>
                                  <w:pStyle w:val="BoxTitle"/>
                                  <w:spacing w:before="0" w:beforeAutospacing="0"/>
                                  <w:rPr>
                                    <w:sz w:val="18"/>
                                    <w:szCs w:val="18"/>
                                  </w:rPr>
                                </w:pPr>
                                <w:r w:rsidRPr="00E90B8A">
                                  <w:rPr>
                                    <w:sz w:val="18"/>
                                    <w:szCs w:val="18"/>
                                  </w:rPr>
                                  <w:t>Q</w:t>
                                </w:r>
                                <w:r>
                                  <w:rPr>
                                    <w:sz w:val="18"/>
                                    <w:szCs w:val="18"/>
                                  </w:rPr>
                                  <w:t>6</w:t>
                                </w:r>
                                <w:r w:rsidR="00351853">
                                  <w:rPr>
                                    <w:sz w:val="18"/>
                                    <w:szCs w:val="18"/>
                                  </w:rPr>
                                  <w:t>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7529180" id="Group 1715416565" o:spid="_x0000_s1320" alt="Question" style="position:absolute;left:0;text-align:left;margin-left:.1pt;margin-top:.3pt;width:453.55pt;height:174.75pt;z-index:-251658122;mso-height-relative:margin" coordorigin=",628" coordsize="57600,2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">
                <v:shape id="Freeform 52" o:spid="_x0000_s132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C016C95" w14:textId="721E7C3A" w:rsidR="00AC4919" w:rsidRDefault="00AC4919" w:rsidP="00AC4919">
                        <w:pPr>
                          <w:pStyle w:val="BoxTitle"/>
                          <w:spacing w:before="0" w:beforeAutospacing="0"/>
                        </w:pPr>
                        <w:r w:rsidRPr="007F6876">
                          <w:t>QUESTION</w:t>
                        </w:r>
                        <w:r w:rsidR="003021EB">
                          <w:t>S</w:t>
                        </w:r>
                      </w:p>
                    </w:txbxContent>
                  </v:textbox>
                </v:shape>
                <v:group id="Group 53" o:spid="_x0000_s1322" style="position:absolute;top:3161;width:57600;height:19675" coordorigin="1837,1791" coordsize="9302,2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">
                  <v:shape id="Freeform 54" o:spid="_x0000_s1323" style="position:absolute;left:1837;top:1791;width:9302;height:2125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" path="m,l9354,r,7809l,7809,,e" fillcolor="#edf2ea" stroked="f">
                    <v:path arrowok="t" o:connecttype="custom" o:connectlocs="0,2721;9302,2721;9302,23973;0,23973;0,2721" o:connectangles="0,0,0,0,0"/>
                  </v:shape>
                </v:group>
                <v:group id="Group 1619587155" o:spid="_x0000_s132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">
                  <v:shape id="Freeform 58" o:spid="_x0000_s132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" path="m,l1815,e" filled="f" strokecolor="#72ab6a" strokeweight=".5pt">
                    <v:path arrowok="t" o:connecttype="custom" o:connectlocs="0,0;1073495,0" o:connectangles="0,0"/>
                  </v:shape>
                  <v:shape id="Freeform 66" o:spid="_x0000_s132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1953448" w14:textId="5090B6D4" w:rsidR="00AF2429" w:rsidRDefault="00AC4919" w:rsidP="00AC4919">
                          <w:pPr>
                            <w:pStyle w:val="BoxTitle"/>
                            <w:spacing w:before="0" w:beforeAutospacing="0"/>
                            <w:rPr>
                              <w:sz w:val="18"/>
                              <w:szCs w:val="18"/>
                            </w:rPr>
                          </w:pPr>
                          <w:r w:rsidRPr="00E90B8A">
                            <w:rPr>
                              <w:sz w:val="18"/>
                              <w:szCs w:val="18"/>
                            </w:rPr>
                            <w:t>Q</w:t>
                          </w:r>
                          <w:r w:rsidR="00E416E2">
                            <w:rPr>
                              <w:sz w:val="18"/>
                              <w:szCs w:val="18"/>
                            </w:rPr>
                            <w:t>5</w:t>
                          </w:r>
                          <w:r w:rsidR="007B15C7">
                            <w:rPr>
                              <w:sz w:val="18"/>
                              <w:szCs w:val="18"/>
                            </w:rPr>
                            <w:t>5</w:t>
                          </w:r>
                        </w:p>
                        <w:p w14:paraId="5DAF8B9C" w14:textId="01A4FD47" w:rsidR="00AC4919" w:rsidRPr="00E90B8A" w:rsidRDefault="00AC4919" w:rsidP="00AC4919">
                          <w:pPr>
                            <w:pStyle w:val="BoxTitle"/>
                            <w:spacing w:before="0" w:beforeAutospacing="0"/>
                            <w:rPr>
                              <w:sz w:val="18"/>
                              <w:szCs w:val="18"/>
                            </w:rPr>
                          </w:pPr>
                          <w:r w:rsidRPr="00E90B8A">
                            <w:rPr>
                              <w:sz w:val="18"/>
                              <w:szCs w:val="18"/>
                            </w:rPr>
                            <w:t>Q</w:t>
                          </w:r>
                          <w:r>
                            <w:rPr>
                              <w:sz w:val="18"/>
                              <w:szCs w:val="18"/>
                            </w:rPr>
                            <w:t>6</w:t>
                          </w:r>
                          <w:r w:rsidR="00351853">
                            <w:rPr>
                              <w:sz w:val="18"/>
                              <w:szCs w:val="18"/>
                            </w:rPr>
                            <w:t>3</w:t>
                          </w:r>
                        </w:p>
                      </w:txbxContent>
                    </v:textbox>
                  </v:shape>
                </v:group>
              </v:group>
            </w:pict>
          </mc:Fallback>
        </mc:AlternateContent>
      </w:r>
    </w:p>
    <w:p w14:paraId="4FBEEB96" w14:textId="77777777" w:rsidR="007F0439" w:rsidRPr="008642D1" w:rsidRDefault="007F0439" w:rsidP="007F0439">
      <w:pPr>
        <w:pStyle w:val="QuestionBox"/>
      </w:pPr>
    </w:p>
    <w:p w14:paraId="1D47EFFA" w14:textId="275728E7" w:rsidR="007F0439" w:rsidRPr="008642D1" w:rsidRDefault="007F0439" w:rsidP="007F0439">
      <w:pPr>
        <w:pStyle w:val="QuestionBox"/>
      </w:pPr>
      <w:r w:rsidRPr="008642D1">
        <w:t xml:space="preserve">If new grounds of discrimination are added to the Human Rights Act </w:t>
      </w:r>
      <w:r w:rsidR="00D341F4" w:rsidRPr="00D341F4">
        <w:t xml:space="preserve">1993 </w:t>
      </w:r>
      <w:r w:rsidRPr="008642D1">
        <w:t>to protect people who are transgender</w:t>
      </w:r>
      <w:r w:rsidR="00846240">
        <w:t xml:space="preserve"> or</w:t>
      </w:r>
      <w:r w:rsidRPr="008642D1">
        <w:t xml:space="preserve"> non-binary or </w:t>
      </w:r>
      <w:r w:rsidR="00846240">
        <w:t>who</w:t>
      </w:r>
      <w:r w:rsidR="00846240" w:rsidRPr="008642D1">
        <w:t xml:space="preserve"> </w:t>
      </w:r>
      <w:r w:rsidRPr="008642D1">
        <w:t xml:space="preserve">have an innate variation of sex characteristics, should the </w:t>
      </w:r>
      <w:r w:rsidR="00D341F4" w:rsidRPr="00D341F4">
        <w:t xml:space="preserve">exception in section 59 for </w:t>
      </w:r>
      <w:r w:rsidRPr="008642D1">
        <w:t xml:space="preserve">courses and counselling </w:t>
      </w:r>
      <w:r w:rsidR="00D341F4" w:rsidRPr="00D341F4">
        <w:t>be amended</w:t>
      </w:r>
      <w:r w:rsidRPr="008642D1">
        <w:t xml:space="preserve"> to </w:t>
      </w:r>
      <w:r w:rsidR="00D341F4" w:rsidRPr="00D341F4">
        <w:t>reflect</w:t>
      </w:r>
      <w:r w:rsidRPr="008642D1">
        <w:t xml:space="preserve"> those new grounds?</w:t>
      </w:r>
    </w:p>
    <w:p w14:paraId="42DFD654" w14:textId="48E4566E" w:rsidR="00DC7707" w:rsidRDefault="00DC7707" w:rsidP="007F0439">
      <w:pPr>
        <w:pStyle w:val="QuestionBox"/>
      </w:pPr>
      <w:r w:rsidRPr="008642D1">
        <w:rPr>
          <w:noProof/>
        </w:rPr>
        <mc:AlternateContent>
          <mc:Choice Requires="wpg">
            <w:drawing>
              <wp:anchor distT="0" distB="0" distL="114300" distR="114300" simplePos="0" relativeHeight="251658359" behindDoc="1" locked="0" layoutInCell="1" allowOverlap="1" wp14:anchorId="2640D1B9" wp14:editId="7344C770">
                <wp:simplePos x="0" y="0"/>
                <wp:positionH relativeFrom="column">
                  <wp:posOffset>-3175</wp:posOffset>
                </wp:positionH>
                <wp:positionV relativeFrom="paragraph">
                  <wp:posOffset>160299</wp:posOffset>
                </wp:positionV>
                <wp:extent cx="1443355" cy="251460"/>
                <wp:effectExtent l="0" t="0" r="42545" b="0"/>
                <wp:wrapNone/>
                <wp:docPr id="1703572297"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82183516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1489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9D7AB3" w14:textId="2C3FF96C" w:rsidR="00F55592" w:rsidRPr="00E90B8A" w:rsidRDefault="00F55592" w:rsidP="00F55592">
                              <w:pPr>
                                <w:pStyle w:val="BoxTitle"/>
                                <w:spacing w:before="0" w:beforeAutospacing="0"/>
                                <w:rPr>
                                  <w:sz w:val="18"/>
                                  <w:szCs w:val="18"/>
                                </w:rPr>
                              </w:pPr>
                              <w:r w:rsidRPr="00E90B8A">
                                <w:rPr>
                                  <w:sz w:val="18"/>
                                  <w:szCs w:val="18"/>
                                </w:rPr>
                                <w:t>Q</w:t>
                              </w:r>
                              <w:r w:rsidR="00E416E2">
                                <w:rPr>
                                  <w:sz w:val="18"/>
                                  <w:szCs w:val="18"/>
                                </w:rPr>
                                <w:t>5</w:t>
                              </w:r>
                              <w:r w:rsidR="007B15C7">
                                <w:rPr>
                                  <w:sz w:val="18"/>
                                  <w:szCs w:val="18"/>
                                </w:rPr>
                                <w:t>6</w:t>
                              </w:r>
                            </w:p>
                          </w:txbxContent>
                        </wps:txbx>
                        <wps:bodyPr rot="0" vert="horz" wrap="square" lIns="54000" tIns="82800" rIns="91440" bIns="45720" anchor="ctr" anchorCtr="0" upright="1">
                          <a:noAutofit/>
                        </wps:bodyPr>
                      </wps:wsp>
                    </wpg:wgp>
                  </a:graphicData>
                </a:graphic>
              </wp:anchor>
            </w:drawing>
          </mc:Choice>
          <mc:Fallback>
            <w:pict>
              <v:group w14:anchorId="2640D1B9" id="_x0000_s1327" style="position:absolute;left:0;text-align:left;margin-left:-.25pt;margin-top:12.6pt;width:113.65pt;height:19.8pt;z-index:-25165812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">
                <v:shape id="Freeform 58" o:spid="_x0000_s132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" path="m,l1815,e" filled="f" strokecolor="#72ab6a" strokeweight=".5pt">
                  <v:path arrowok="t" o:connecttype="custom" o:connectlocs="0,0;1073495,0" o:connectangles="0,0"/>
                </v:shape>
                <v:shape id="Freeform 66" o:spid="_x0000_s132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D9D7AB3" w14:textId="2C3FF96C" w:rsidR="00F55592" w:rsidRPr="00E90B8A" w:rsidRDefault="00F55592" w:rsidP="00F55592">
                        <w:pPr>
                          <w:pStyle w:val="BoxTitle"/>
                          <w:spacing w:before="0" w:beforeAutospacing="0"/>
                          <w:rPr>
                            <w:sz w:val="18"/>
                            <w:szCs w:val="18"/>
                          </w:rPr>
                        </w:pPr>
                        <w:r w:rsidRPr="00E90B8A">
                          <w:rPr>
                            <w:sz w:val="18"/>
                            <w:szCs w:val="18"/>
                          </w:rPr>
                          <w:t>Q</w:t>
                        </w:r>
                        <w:r w:rsidR="00E416E2">
                          <w:rPr>
                            <w:sz w:val="18"/>
                            <w:szCs w:val="18"/>
                          </w:rPr>
                          <w:t>5</w:t>
                        </w:r>
                        <w:r w:rsidR="007B15C7">
                          <w:rPr>
                            <w:sz w:val="18"/>
                            <w:szCs w:val="18"/>
                          </w:rPr>
                          <w:t>6</w:t>
                        </w:r>
                      </w:p>
                    </w:txbxContent>
                  </v:textbox>
                </v:shape>
              </v:group>
            </w:pict>
          </mc:Fallback>
        </mc:AlternateContent>
      </w:r>
    </w:p>
    <w:p w14:paraId="7731CF23" w14:textId="414D05AF" w:rsidR="00F55592" w:rsidRDefault="00F55592" w:rsidP="007F0439">
      <w:pPr>
        <w:pStyle w:val="QuestionBox"/>
      </w:pPr>
      <w:r w:rsidRPr="00F55592">
        <w:t>Do you have any additional feedback on the practical implications of amending section 59?</w:t>
      </w:r>
    </w:p>
    <w:p w14:paraId="77DF0935" w14:textId="77777777" w:rsidR="00DC7707" w:rsidRPr="008642D1" w:rsidRDefault="00DC7707" w:rsidP="007F0439">
      <w:pPr>
        <w:pStyle w:val="QuestionBox"/>
      </w:pPr>
    </w:p>
    <w:p w14:paraId="37A219FC" w14:textId="77777777" w:rsidR="00DC7707" w:rsidRDefault="00DC7707">
      <w:pPr>
        <w:widowControl w:val="0"/>
        <w:spacing w:after="200" w:line="276" w:lineRule="auto"/>
        <w:rPr>
          <w:rFonts w:ascii="Metropolis" w:eastAsia="Times New Roman" w:hAnsi="Metropolis" w:cs="Times New Roman"/>
          <w:b/>
          <w:caps/>
          <w:color w:val="73AB6E"/>
          <w:szCs w:val="24"/>
          <w:lang w:eastAsia="en-AU"/>
        </w:rPr>
      </w:pPr>
      <w:r>
        <w:lastRenderedPageBreak/>
        <w:br w:type="page"/>
      </w:r>
    </w:p>
    <w:p w14:paraId="6C8E8F61" w14:textId="5764222A" w:rsidR="007F0439" w:rsidRPr="008642D1" w:rsidRDefault="007F0439" w:rsidP="007F0439">
      <w:pPr>
        <w:pStyle w:val="Heading2"/>
      </w:pPr>
      <w:bookmarkStart w:id="135" w:name="_Toc170302176"/>
      <w:r w:rsidRPr="008642D1">
        <w:lastRenderedPageBreak/>
        <w:t>Implications of th</w:t>
      </w:r>
      <w:r w:rsidR="00EF433C">
        <w:t>is</w:t>
      </w:r>
      <w:r w:rsidRPr="008642D1">
        <w:t xml:space="preserve"> review for the Education and Training Act 2020</w:t>
      </w:r>
      <w:bookmarkEnd w:id="135"/>
    </w:p>
    <w:p w14:paraId="341F5E9F" w14:textId="75A0F521" w:rsidR="007F0439" w:rsidRPr="008642D1" w:rsidRDefault="007F0439" w:rsidP="007F0439">
      <w:pPr>
        <w:pStyle w:val="BodyText"/>
      </w:pPr>
      <w:r w:rsidRPr="008642D1">
        <w:t xml:space="preserve">The Education and Training Act contains two provisions </w:t>
      </w:r>
      <w:r w:rsidR="00022779">
        <w:t>that</w:t>
      </w:r>
      <w:r w:rsidR="00022779" w:rsidRPr="008642D1">
        <w:t xml:space="preserve"> </w:t>
      </w:r>
      <w:r w:rsidRPr="008642D1">
        <w:t xml:space="preserve">refer to the Human Rights Act. </w:t>
      </w:r>
    </w:p>
    <w:p w14:paraId="327DC045" w14:textId="41DD9045" w:rsidR="007F0439" w:rsidRPr="008642D1" w:rsidRDefault="007F0439" w:rsidP="007F0439">
      <w:pPr>
        <w:pStyle w:val="BodyText"/>
      </w:pPr>
      <w:r w:rsidRPr="008642D1">
        <w:t>Section 127 (which we discussed above) sets out the primary objectives of boards in state schools when governing schools. One of these objectives is to ensure that the school gives effect to relevant student rights set out in th</w:t>
      </w:r>
      <w:r w:rsidR="00022779">
        <w:t xml:space="preserve">e </w:t>
      </w:r>
      <w:r w:rsidR="00022779" w:rsidRPr="008642D1">
        <w:t xml:space="preserve">Education and Training </w:t>
      </w:r>
      <w:r w:rsidRPr="008642D1">
        <w:t>Act, the New Zealand Bill of Rights Act 1990 and the Human Rights Act.</w:t>
      </w:r>
      <w:r w:rsidRPr="008642D1">
        <w:rPr>
          <w:rStyle w:val="FootnoteReference"/>
        </w:rPr>
        <w:footnoteReference w:id="532"/>
      </w:r>
      <w:r w:rsidRPr="008642D1">
        <w:t xml:space="preserve"> </w:t>
      </w:r>
    </w:p>
    <w:p w14:paraId="1D45EDFC" w14:textId="77777777" w:rsidR="007F0439" w:rsidRPr="008642D1" w:rsidRDefault="007F0439" w:rsidP="007F0439">
      <w:pPr>
        <w:pStyle w:val="BodyText"/>
      </w:pPr>
      <w:r w:rsidRPr="008642D1">
        <w:t>Section 217 sets out the meaning of a serious dispute between a student and the board of the student’s school and this includes a dispute about “any racism or other form of discrimination that is a prohibited ground of discrimination specified in section 21(1) of the Human Rights Act 1993 experienced by the student while at the school”.</w:t>
      </w:r>
      <w:r w:rsidRPr="008642D1">
        <w:rPr>
          <w:rStyle w:val="FootnoteReference"/>
        </w:rPr>
        <w:footnoteReference w:id="533"/>
      </w:r>
      <w:r w:rsidRPr="008642D1">
        <w:t xml:space="preserve"> The Education and Training Act provides a framework for establishing dispute resolution panels to resolve serious disputes between students and school boards but these are not yet in operation.</w:t>
      </w:r>
      <w:r w:rsidRPr="008642D1">
        <w:rPr>
          <w:rStyle w:val="FootnoteReference"/>
        </w:rPr>
        <w:footnoteReference w:id="534"/>
      </w:r>
    </w:p>
    <w:p w14:paraId="1EC7AB00" w14:textId="3BF78F84" w:rsidR="007F0439" w:rsidRPr="008642D1" w:rsidRDefault="007F0439" w:rsidP="007F0439">
      <w:pPr>
        <w:pStyle w:val="BodyText"/>
      </w:pPr>
      <w:r w:rsidRPr="008642D1">
        <w:t>Amending section 21 of the Human Rights Act would clarify that the scope of a board’s objectives in section 127, and what constitutes a “serious dispute” under section 217, includes discrimination against people who are transgender or non-binary or who have an innate variation of sex characteristics. On our preliminary analysis, we do not think this would have significant implications in practice. As we explained above, the primary objectives of school boards already refer to non-discrimination and inclusion.</w:t>
      </w:r>
      <w:r w:rsidRPr="008642D1">
        <w:rPr>
          <w:rStyle w:val="FootnoteReference"/>
        </w:rPr>
        <w:footnoteReference w:id="535"/>
      </w:r>
      <w:r w:rsidRPr="008642D1">
        <w:t xml:space="preserve"> School boards must also have particular regard to the </w:t>
      </w:r>
      <w:r w:rsidR="006020DC">
        <w:t>S</w:t>
      </w:r>
      <w:r w:rsidRPr="008642D1">
        <w:t xml:space="preserve">tatement of </w:t>
      </w:r>
      <w:r w:rsidR="006020DC">
        <w:t>N</w:t>
      </w:r>
      <w:r w:rsidRPr="008642D1">
        <w:t xml:space="preserve">ational </w:t>
      </w:r>
      <w:r w:rsidR="006020DC">
        <w:t>E</w:t>
      </w:r>
      <w:r w:rsidRPr="008642D1">
        <w:t xml:space="preserve">ducation and </w:t>
      </w:r>
      <w:r w:rsidR="006020DC">
        <w:t>L</w:t>
      </w:r>
      <w:r w:rsidRPr="008642D1">
        <w:t xml:space="preserve">earning </w:t>
      </w:r>
      <w:r w:rsidR="006020DC">
        <w:t>P</w:t>
      </w:r>
      <w:r w:rsidRPr="008642D1">
        <w:t>riorities (NELP) issued by the Minister of Education.</w:t>
      </w:r>
      <w:r w:rsidRPr="008642D1">
        <w:rPr>
          <w:rStyle w:val="FootnoteReference"/>
        </w:rPr>
        <w:footnoteReference w:id="536"/>
      </w:r>
      <w:r w:rsidRPr="008642D1">
        <w:t xml:space="preserve"> The NELP currently refers to creating “a safe and inclusive culture where diversity is valued and all learners/ākonga and staff, including those who identify as LGBTQIA+ … feel they belong”.</w:t>
      </w:r>
      <w:r w:rsidRPr="008642D1">
        <w:rPr>
          <w:rStyle w:val="FootnoteReference"/>
        </w:rPr>
        <w:footnoteReference w:id="537"/>
      </w:r>
    </w:p>
    <w:p w14:paraId="3F2FF715" w14:textId="2F329996" w:rsidR="007F0439" w:rsidRPr="008642D1" w:rsidRDefault="007F0439" w:rsidP="007F0439">
      <w:pPr>
        <w:pStyle w:val="QuestionBox"/>
      </w:pPr>
      <w:r w:rsidRPr="008642D1">
        <w:rPr>
          <w:noProof/>
        </w:rPr>
        <mc:AlternateContent>
          <mc:Choice Requires="wpg">
            <w:drawing>
              <wp:anchor distT="0" distB="0" distL="114300" distR="114300" simplePos="0" relativeHeight="251658360" behindDoc="1" locked="0" layoutInCell="1" allowOverlap="1" wp14:anchorId="433AE12A" wp14:editId="073B45C7">
                <wp:simplePos x="0" y="0"/>
                <wp:positionH relativeFrom="column">
                  <wp:posOffset>520</wp:posOffset>
                </wp:positionH>
                <wp:positionV relativeFrom="paragraph">
                  <wp:posOffset>4305</wp:posOffset>
                </wp:positionV>
                <wp:extent cx="5760085" cy="1128153"/>
                <wp:effectExtent l="0" t="0" r="0" b="0"/>
                <wp:wrapNone/>
                <wp:docPr id="480993325" name="Group 480993325" descr="Question"/>
                <wp:cNvGraphicFramePr/>
                <a:graphic xmlns:a="http://schemas.openxmlformats.org/drawingml/2006/main">
                  <a:graphicData uri="http://schemas.microsoft.com/office/word/2010/wordprocessingGroup">
                    <wpg:wgp>
                      <wpg:cNvGrpSpPr/>
                      <wpg:grpSpPr>
                        <a:xfrm>
                          <a:off x="0" y="0"/>
                          <a:ext cx="5760085" cy="1128153"/>
                          <a:chOff x="0" y="62865"/>
                          <a:chExt cx="5760085" cy="1129001"/>
                        </a:xfrm>
                      </wpg:grpSpPr>
                      <wps:wsp>
                        <wps:cNvPr id="1180000217"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BBF828" w14:textId="77777777" w:rsidR="007F0439" w:rsidRDefault="007F0439" w:rsidP="007F0439">
                              <w:pPr>
                                <w:pStyle w:val="BoxTitle"/>
                                <w:spacing w:before="0" w:beforeAutospacing="0"/>
                              </w:pPr>
                              <w:r w:rsidRPr="007F6876">
                                <w:t>QUESTION</w:t>
                              </w:r>
                            </w:p>
                          </w:txbxContent>
                        </wps:txbx>
                        <wps:bodyPr rot="0" vert="horz" wrap="square" lIns="91440" tIns="0" rIns="0" bIns="45720" anchor="ctr" anchorCtr="0" upright="1">
                          <a:noAutofit/>
                        </wps:bodyPr>
                      </wps:wsp>
                      <wpg:grpSp>
                        <wpg:cNvPr id="240127298" name="Group 53"/>
                        <wpg:cNvGrpSpPr>
                          <a:grpSpLocks/>
                        </wpg:cNvGrpSpPr>
                        <wpg:grpSpPr bwMode="auto">
                          <a:xfrm>
                            <a:off x="0" y="316170"/>
                            <a:ext cx="5760085" cy="875696"/>
                            <a:chOff x="1837" y="1791"/>
                            <a:chExt cx="9302" cy="9459"/>
                          </a:xfrm>
                        </wpg:grpSpPr>
                        <wps:wsp>
                          <wps:cNvPr id="644582718" name="Freeform 54"/>
                          <wps:cNvSpPr>
                            <a:spLocks/>
                          </wps:cNvSpPr>
                          <wps:spPr bwMode="auto">
                            <a:xfrm>
                              <a:off x="1837" y="1791"/>
                              <a:ext cx="9302" cy="945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6993933" name="Group 736993933"/>
                        <wpg:cNvGrpSpPr/>
                        <wpg:grpSpPr>
                          <a:xfrm>
                            <a:off x="0" y="494036"/>
                            <a:ext cx="1443794" cy="252000"/>
                            <a:chOff x="-15880" y="0"/>
                            <a:chExt cx="1444379" cy="252068"/>
                          </a:xfrm>
                        </wpg:grpSpPr>
                        <wps:wsp>
                          <wps:cNvPr id="110494615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722602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EFD10B" w14:textId="26C83388" w:rsidR="00AF2429" w:rsidRDefault="007F0439" w:rsidP="007F0439">
                                <w:pPr>
                                  <w:pStyle w:val="BoxTitle"/>
                                  <w:spacing w:before="0" w:beforeAutospacing="0"/>
                                  <w:rPr>
                                    <w:sz w:val="18"/>
                                    <w:szCs w:val="18"/>
                                  </w:rPr>
                                </w:pPr>
                                <w:r w:rsidRPr="00E90B8A">
                                  <w:rPr>
                                    <w:sz w:val="18"/>
                                    <w:szCs w:val="18"/>
                                  </w:rPr>
                                  <w:t>Q</w:t>
                                </w:r>
                                <w:r w:rsidR="007B15C7">
                                  <w:rPr>
                                    <w:sz w:val="18"/>
                                    <w:szCs w:val="18"/>
                                  </w:rPr>
                                  <w:t>57</w:t>
                                </w:r>
                              </w:p>
                              <w:p w14:paraId="74614455" w14:textId="44037D6E" w:rsidR="007F0439" w:rsidRPr="00E90B8A" w:rsidRDefault="007F0439" w:rsidP="007F0439">
                                <w:pPr>
                                  <w:pStyle w:val="BoxTitle"/>
                                  <w:spacing w:before="0" w:beforeAutospacing="0"/>
                                  <w:rPr>
                                    <w:sz w:val="18"/>
                                    <w:szCs w:val="18"/>
                                  </w:rPr>
                                </w:pPr>
                                <w:r w:rsidRPr="00E90B8A">
                                  <w:rPr>
                                    <w:sz w:val="18"/>
                                    <w:szCs w:val="18"/>
                                  </w:rPr>
                                  <w:t>Q</w:t>
                                </w:r>
                                <w:r>
                                  <w:rPr>
                                    <w:sz w:val="18"/>
                                    <w:szCs w:val="18"/>
                                  </w:rPr>
                                  <w:t>6</w:t>
                                </w:r>
                                <w:r w:rsidR="00351853">
                                  <w:rPr>
                                    <w:sz w:val="18"/>
                                    <w:szCs w:val="18"/>
                                  </w:rPr>
                                  <w:t>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33AE12A" id="Group 480993325" o:spid="_x0000_s1330" alt="Question" style="position:absolute;left:0;text-align:left;margin-left:.05pt;margin-top:.35pt;width:453.55pt;height:88.85pt;z-index:-251658120;mso-height-relative:margin" coordorigin=",628" coordsize="57600,1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">
                <v:shape id="Freeform 52" o:spid="_x0000_s133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1BBF828" w14:textId="77777777" w:rsidR="007F0439" w:rsidRDefault="007F0439" w:rsidP="007F0439">
                        <w:pPr>
                          <w:pStyle w:val="BoxTitle"/>
                          <w:spacing w:before="0" w:beforeAutospacing="0"/>
                        </w:pPr>
                        <w:r w:rsidRPr="007F6876">
                          <w:t>QUESTION</w:t>
                        </w:r>
                      </w:p>
                    </w:txbxContent>
                  </v:textbox>
                </v:shape>
                <v:group id="Group 53" o:spid="_x0000_s1332" style="position:absolute;top:3161;width:57600;height:8757" coordorigin="1837,1791" coordsize="9302,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">
                  <v:shape id="Freeform 54" o:spid="_x0000_s1333" style="position:absolute;left:1837;top:1791;width:9302;height:945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" path="m,l9354,r,7809l,7809,,e" fillcolor="#edf2ea" stroked="f">
                    <v:path arrowok="t" o:connecttype="custom" o:connectlocs="0,1211;9302,1211;9302,10670;0,10670;0,1211" o:connectangles="0,0,0,0,0"/>
                  </v:shape>
                </v:group>
                <v:group id="Group 736993933" o:spid="_x0000_s133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">
                  <v:shape id="Freeform 58" o:spid="_x0000_s133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" path="m,l1815,e" filled="f" strokecolor="#72ab6a" strokeweight=".5pt">
                    <v:path arrowok="t" o:connecttype="custom" o:connectlocs="0,0;1073495,0" o:connectangles="0,0"/>
                  </v:shape>
                  <v:shape id="Freeform 66" o:spid="_x0000_s133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4EFD10B" w14:textId="26C83388" w:rsidR="00AF2429" w:rsidRDefault="007F0439" w:rsidP="007F0439">
                          <w:pPr>
                            <w:pStyle w:val="BoxTitle"/>
                            <w:spacing w:before="0" w:beforeAutospacing="0"/>
                            <w:rPr>
                              <w:sz w:val="18"/>
                              <w:szCs w:val="18"/>
                            </w:rPr>
                          </w:pPr>
                          <w:r w:rsidRPr="00E90B8A">
                            <w:rPr>
                              <w:sz w:val="18"/>
                              <w:szCs w:val="18"/>
                            </w:rPr>
                            <w:t>Q</w:t>
                          </w:r>
                          <w:r w:rsidR="007B15C7">
                            <w:rPr>
                              <w:sz w:val="18"/>
                              <w:szCs w:val="18"/>
                            </w:rPr>
                            <w:t>57</w:t>
                          </w:r>
                        </w:p>
                        <w:p w14:paraId="74614455" w14:textId="44037D6E" w:rsidR="007F0439" w:rsidRPr="00E90B8A" w:rsidRDefault="007F0439" w:rsidP="007F0439">
                          <w:pPr>
                            <w:pStyle w:val="BoxTitle"/>
                            <w:spacing w:before="0" w:beforeAutospacing="0"/>
                            <w:rPr>
                              <w:sz w:val="18"/>
                              <w:szCs w:val="18"/>
                            </w:rPr>
                          </w:pPr>
                          <w:r w:rsidRPr="00E90B8A">
                            <w:rPr>
                              <w:sz w:val="18"/>
                              <w:szCs w:val="18"/>
                            </w:rPr>
                            <w:t>Q</w:t>
                          </w:r>
                          <w:r>
                            <w:rPr>
                              <w:sz w:val="18"/>
                              <w:szCs w:val="18"/>
                            </w:rPr>
                            <w:t>6</w:t>
                          </w:r>
                          <w:r w:rsidR="00351853">
                            <w:rPr>
                              <w:sz w:val="18"/>
                              <w:szCs w:val="18"/>
                            </w:rPr>
                            <w:t>4</w:t>
                          </w:r>
                        </w:p>
                      </w:txbxContent>
                    </v:textbox>
                  </v:shape>
                </v:group>
              </v:group>
            </w:pict>
          </mc:Fallback>
        </mc:AlternateContent>
      </w:r>
    </w:p>
    <w:p w14:paraId="1E7BE2E4" w14:textId="77777777" w:rsidR="007F0439" w:rsidRPr="008642D1" w:rsidRDefault="007F0439" w:rsidP="007F0439">
      <w:pPr>
        <w:pStyle w:val="QuestionBox"/>
      </w:pPr>
    </w:p>
    <w:p w14:paraId="6CF7D94B" w14:textId="599C1235" w:rsidR="007F0439" w:rsidRPr="008642D1" w:rsidRDefault="007F0439" w:rsidP="007F0439">
      <w:pPr>
        <w:pStyle w:val="QuestionBox"/>
      </w:pPr>
      <w:r w:rsidRPr="008642D1">
        <w:t xml:space="preserve">Do you have any feedback about </w:t>
      </w:r>
      <w:r w:rsidR="003021EB">
        <w:t>the</w:t>
      </w:r>
      <w:r w:rsidRPr="008642D1">
        <w:t xml:space="preserve"> implications of this review for the Education and Training Act</w:t>
      </w:r>
      <w:r w:rsidR="00090125">
        <w:t xml:space="preserve"> 2020</w:t>
      </w:r>
      <w:r w:rsidRPr="008642D1">
        <w:t>?</w:t>
      </w:r>
    </w:p>
    <w:p w14:paraId="7B57F838" w14:textId="77777777" w:rsidR="007F0439" w:rsidRPr="008642D1" w:rsidRDefault="007F0439" w:rsidP="007F0439"/>
    <w:p w14:paraId="27D8F93C" w14:textId="77777777" w:rsidR="00174F89" w:rsidRPr="00F557D0" w:rsidRDefault="00174F89" w:rsidP="00174F89"/>
    <w:p w14:paraId="49DE2FDD" w14:textId="337286A1" w:rsidR="00174F89" w:rsidRPr="008642D1" w:rsidRDefault="00F557D0" w:rsidP="00174F89">
      <w:pPr>
        <w:pStyle w:val="BodyText"/>
        <w:numPr>
          <w:ilvl w:val="0"/>
          <w:numId w:val="0"/>
        </w:numPr>
        <w:ind w:left="709"/>
      </w:pPr>
      <w:r w:rsidRPr="008642D1">
        <w:rPr>
          <w:rFonts w:eastAsiaTheme="minorHAnsi"/>
          <w:noProof/>
          <w:lang w:eastAsia="en-NZ"/>
        </w:rPr>
        <mc:AlternateContent>
          <mc:Choice Requires="wpg">
            <w:drawing>
              <wp:anchor distT="0" distB="0" distL="114300" distR="114300" simplePos="0" relativeHeight="251658280" behindDoc="1" locked="0" layoutInCell="1" allowOverlap="1" wp14:anchorId="04652C15" wp14:editId="4E020A16">
                <wp:simplePos x="0" y="0"/>
                <wp:positionH relativeFrom="page">
                  <wp:posOffset>1080135</wp:posOffset>
                </wp:positionH>
                <wp:positionV relativeFrom="paragraph">
                  <wp:posOffset>158224</wp:posOffset>
                </wp:positionV>
                <wp:extent cx="1799590" cy="1270"/>
                <wp:effectExtent l="0" t="19050" r="10160" b="17780"/>
                <wp:wrapNone/>
                <wp:docPr id="470703461" name="Group 470703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150183802"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1C6DB0" id="Group 470703461" o:spid="_x0000_s1026" style="position:absolute;margin-left:85.05pt;margin-top:12.45pt;width:141.7pt;height:.1pt;z-index:-251658200;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" path="m,l2097,e" filled="f" strokecolor="#72ab6a" strokeweight="3pt">
                  <v:path arrowok="t" o:connecttype="custom" o:connectlocs="0,0;2097,0" o:connectangles="0,0"/>
                </v:shape>
                <w10:wrap anchorx="page"/>
              </v:group>
            </w:pict>
          </mc:Fallback>
        </mc:AlternateContent>
      </w:r>
    </w:p>
    <w:p w14:paraId="6BDF0C8C" w14:textId="77777777" w:rsidR="00174F89" w:rsidRPr="008642D1" w:rsidRDefault="00174F89" w:rsidP="00174F89">
      <w:pPr>
        <w:pStyle w:val="BodyText"/>
        <w:numPr>
          <w:ilvl w:val="0"/>
          <w:numId w:val="0"/>
        </w:numPr>
        <w:ind w:left="709"/>
      </w:pPr>
    </w:p>
    <w:p w14:paraId="66F139D6" w14:textId="712855DA" w:rsidR="00174F89" w:rsidRPr="008642D1" w:rsidRDefault="00174F89" w:rsidP="00174F89">
      <w:pPr>
        <w:pStyle w:val="BodyText"/>
        <w:numPr>
          <w:ilvl w:val="0"/>
          <w:numId w:val="0"/>
        </w:numPr>
        <w:ind w:left="709"/>
        <w:sectPr w:rsidR="00174F89" w:rsidRPr="008642D1" w:rsidSect="00174F89">
          <w:headerReference w:type="default" r:id="rId57"/>
          <w:footerReference w:type="even" r:id="rId58"/>
          <w:footnotePr>
            <w:numRestart w:val="eachSect"/>
          </w:footnotePr>
          <w:pgSz w:w="11920" w:h="16840"/>
          <w:pgMar w:top="1134" w:right="1134" w:bottom="1134" w:left="1701" w:header="499" w:footer="46" w:gutter="0"/>
          <w:cols w:space="720"/>
        </w:sectPr>
      </w:pPr>
    </w:p>
    <w:p w14:paraId="4F44C4FF" w14:textId="2066357E" w:rsidR="00174F89" w:rsidRPr="008642D1" w:rsidRDefault="00174F89" w:rsidP="00174F89">
      <w:pPr>
        <w:pStyle w:val="HEADING2topchapter-notinTOC"/>
      </w:pPr>
      <w:r w:rsidRPr="008642D1">
        <w:lastRenderedPageBreak/>
        <w:t>CHAPTER 1</w:t>
      </w:r>
      <w:r w:rsidR="004B4C4A" w:rsidRPr="008642D1">
        <w:t>3</w:t>
      </w:r>
    </w:p>
    <w:p w14:paraId="1C4646F3" w14:textId="77777777" w:rsidR="00174F89" w:rsidRPr="008642D1" w:rsidRDefault="00174F89" w:rsidP="00174F89">
      <w:pPr>
        <w:spacing w:line="200" w:lineRule="exact"/>
        <w:rPr>
          <w:szCs w:val="20"/>
        </w:rPr>
      </w:pPr>
      <w:r w:rsidRPr="008642D1">
        <w:rPr>
          <w:noProof/>
          <w:lang w:eastAsia="en-NZ"/>
        </w:rPr>
        <mc:AlternateContent>
          <mc:Choice Requires="wpg">
            <w:drawing>
              <wp:anchor distT="0" distB="0" distL="114300" distR="114300" simplePos="0" relativeHeight="251658276" behindDoc="1" locked="0" layoutInCell="1" allowOverlap="1" wp14:anchorId="425EC535" wp14:editId="48C04BC2">
                <wp:simplePos x="0" y="0"/>
                <wp:positionH relativeFrom="page">
                  <wp:posOffset>1076325</wp:posOffset>
                </wp:positionH>
                <wp:positionV relativeFrom="paragraph">
                  <wp:posOffset>6350</wp:posOffset>
                </wp:positionV>
                <wp:extent cx="1332230" cy="1270"/>
                <wp:effectExtent l="0" t="19050" r="1270" b="17780"/>
                <wp:wrapNone/>
                <wp:docPr id="327138930" name="Group 327138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99685695"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1FCB8" id="Group 327138930" o:spid="_x0000_s1026" style="position:absolute;margin-left:84.75pt;margin-top:.5pt;width:104.9pt;height:.1pt;z-index:-251658204;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" path="m,l2098,e" filled="f" strokecolor="#73ab6e" strokeweight="3pt">
                  <v:path arrowok="t" o:connecttype="custom" o:connectlocs="0,0;2098,0" o:connectangles="0,0"/>
                </v:shape>
                <w10:wrap anchorx="page"/>
              </v:group>
            </w:pict>
          </mc:Fallback>
        </mc:AlternateContent>
      </w:r>
    </w:p>
    <w:p w14:paraId="4F1CA9B9" w14:textId="77777777" w:rsidR="00174F89" w:rsidRPr="008642D1" w:rsidRDefault="00174F89" w:rsidP="00DF306B">
      <w:pPr>
        <w:pStyle w:val="Heading1nonum"/>
        <w:numPr>
          <w:ilvl w:val="0"/>
          <w:numId w:val="24"/>
        </w:numPr>
        <w:spacing w:before="600" w:after="360"/>
      </w:pPr>
      <w:bookmarkStart w:id="136" w:name="_Toc166844460"/>
      <w:bookmarkStart w:id="137" w:name="_Toc170302177"/>
      <w:r w:rsidRPr="008642D1">
        <w:rPr>
          <w:rFonts w:eastAsia="Metropolis Black"/>
        </w:rPr>
        <w:t>Exceptions for single-sex facilities</w:t>
      </w:r>
      <w:bookmarkEnd w:id="136"/>
      <w:bookmarkEnd w:id="137"/>
    </w:p>
    <w:p w14:paraId="19A8090F" w14:textId="77777777" w:rsidR="00174F89" w:rsidRPr="008642D1" w:rsidRDefault="00174F89" w:rsidP="00174F89">
      <w:pPr>
        <w:spacing w:line="200" w:lineRule="exact"/>
        <w:rPr>
          <w:szCs w:val="20"/>
        </w:rPr>
      </w:pPr>
      <w:r w:rsidRPr="008642D1">
        <w:rPr>
          <w:noProof/>
          <w:lang w:eastAsia="en-NZ"/>
        </w:rPr>
        <mc:AlternateContent>
          <mc:Choice Requires="wpg">
            <w:drawing>
              <wp:anchor distT="0" distB="0" distL="114300" distR="114300" simplePos="0" relativeHeight="251658275" behindDoc="1" locked="0" layoutInCell="1" allowOverlap="1" wp14:anchorId="14273296" wp14:editId="3ECC678E">
                <wp:simplePos x="0" y="0"/>
                <wp:positionH relativeFrom="page">
                  <wp:posOffset>1087427</wp:posOffset>
                </wp:positionH>
                <wp:positionV relativeFrom="paragraph">
                  <wp:posOffset>71755</wp:posOffset>
                </wp:positionV>
                <wp:extent cx="1332230" cy="1270"/>
                <wp:effectExtent l="0" t="19050" r="1270" b="17780"/>
                <wp:wrapNone/>
                <wp:docPr id="2479270" name="Group 2479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223838837"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0C9ED" id="Group 2479270" o:spid="_x0000_s1026" style="position:absolute;margin-left:85.6pt;margin-top:5.65pt;width:104.9pt;height:.1pt;z-index:-251658205;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5E7038AC" w14:textId="77777777" w:rsidR="00174F89" w:rsidRPr="008642D1" w:rsidRDefault="00174F89" w:rsidP="00174F89"/>
    <w:p w14:paraId="123B0F7B" w14:textId="77777777" w:rsidR="00174F89" w:rsidRPr="008642D1" w:rsidRDefault="00174F89" w:rsidP="00174F89">
      <w:pPr>
        <w:pStyle w:val="Heading2"/>
      </w:pPr>
      <w:bookmarkStart w:id="138" w:name="_Toc166844461"/>
      <w:bookmarkStart w:id="139" w:name="_Toc170302178"/>
      <w:r w:rsidRPr="008642D1">
        <w:t>Introduction</w:t>
      </w:r>
      <w:bookmarkEnd w:id="138"/>
      <w:bookmarkEnd w:id="139"/>
    </w:p>
    <w:p w14:paraId="301F22E8" w14:textId="7BFE4B77" w:rsidR="004B4C4A" w:rsidRPr="008642D1" w:rsidRDefault="004B4C4A" w:rsidP="004B4C4A">
      <w:pPr>
        <w:pStyle w:val="BodyText"/>
      </w:pPr>
      <w:r w:rsidRPr="008642D1">
        <w:t xml:space="preserve">The Human Rights Act 1993 has two exceptions that allow for single-sex facilities when private </w:t>
      </w:r>
      <w:r w:rsidR="0071619E">
        <w:t>individuals</w:t>
      </w:r>
      <w:r w:rsidR="0071619E" w:rsidRPr="008642D1">
        <w:t xml:space="preserve"> </w:t>
      </w:r>
      <w:r w:rsidRPr="008642D1">
        <w:t>or organisations are providing certain kinds of facilities to the public.</w:t>
      </w:r>
      <w:r w:rsidRPr="008642D1">
        <w:rPr>
          <w:rStyle w:val="FootnoteReference"/>
        </w:rPr>
        <w:footnoteReference w:id="538"/>
      </w:r>
      <w:r w:rsidRPr="008642D1">
        <w:t xml:space="preserve"> These are sections 43(1) and 46. In this chapter, we discuss the scope of and rationale for these exceptions and seek feedback on whether they should be amended to reflect any new grounds of discrimination we propose. We also seek feedback on some related issues:</w:t>
      </w:r>
    </w:p>
    <w:p w14:paraId="358AE324" w14:textId="281160E8" w:rsidR="004B4C4A" w:rsidRPr="008642D1" w:rsidRDefault="004B4C4A" w:rsidP="001E69E7">
      <w:pPr>
        <w:pStyle w:val="BodyText2"/>
        <w:numPr>
          <w:ilvl w:val="3"/>
          <w:numId w:val="59"/>
        </w:numPr>
      </w:pPr>
      <w:r w:rsidRPr="008642D1">
        <w:t>whether an additional amendment to the Human Rights Act is desirable to encourage the provision of single-stall unisex facilities; and</w:t>
      </w:r>
    </w:p>
    <w:p w14:paraId="2C38B325" w14:textId="3DBF66BE" w:rsidR="004B4C4A" w:rsidRPr="008642D1" w:rsidRDefault="004B4C4A" w:rsidP="004B4C4A">
      <w:pPr>
        <w:pStyle w:val="BodyText2"/>
      </w:pPr>
      <w:r w:rsidRPr="008642D1">
        <w:t>whether the position that is settled on in respect of sections 43(1) and 46 should also be reflected elsewhere in the Act (for example, in the sections on education and employment).</w:t>
      </w:r>
    </w:p>
    <w:p w14:paraId="163D6ED5" w14:textId="77777777" w:rsidR="004B4C4A" w:rsidRPr="008642D1" w:rsidRDefault="004B4C4A" w:rsidP="004B4C4A">
      <w:pPr>
        <w:pStyle w:val="BodyText"/>
      </w:pPr>
      <w:r w:rsidRPr="008642D1">
        <w:t>In the chapters on employment matters and land, housing and accommodation, we discussed exceptions that allow for some single-sex accommodation. We do not discuss those exceptions in this chapter, although we acknowledge they may overlap with the provisions we do discuss.</w:t>
      </w:r>
    </w:p>
    <w:p w14:paraId="4DD1936E" w14:textId="77777777" w:rsidR="004B4C4A" w:rsidRPr="008642D1" w:rsidRDefault="004B4C4A" w:rsidP="004B4C4A">
      <w:pPr>
        <w:pStyle w:val="BodyText"/>
      </w:pPr>
      <w:r w:rsidRPr="008642D1">
        <w:t>We recommend reading this chapter alongside Chapter 8, which explains our approach to reviewing Part 2 of the Human Rights Act.</w:t>
      </w:r>
    </w:p>
    <w:p w14:paraId="7C11C9AF" w14:textId="77777777" w:rsidR="004B4C4A" w:rsidRPr="008642D1" w:rsidRDefault="004B4C4A" w:rsidP="004B4C4A">
      <w:pPr>
        <w:pStyle w:val="Heading2"/>
      </w:pPr>
      <w:bookmarkStart w:id="140" w:name="_Toc170302179"/>
      <w:r w:rsidRPr="008642D1">
        <w:t>Scope of the exceptions</w:t>
      </w:r>
      <w:bookmarkEnd w:id="140"/>
      <w:r w:rsidRPr="008642D1">
        <w:t xml:space="preserve"> </w:t>
      </w:r>
    </w:p>
    <w:p w14:paraId="51733FE6" w14:textId="77777777" w:rsidR="004B4C4A" w:rsidRPr="008642D1" w:rsidRDefault="004B4C4A" w:rsidP="004B4C4A">
      <w:pPr>
        <w:pStyle w:val="BodyText"/>
      </w:pPr>
      <w:r w:rsidRPr="008642D1">
        <w:t xml:space="preserve">In Chapter 10, we discussed protections in the Human Rights Act that relate to access to places, vehicles and associated facilities (section 42) and to the provision of goods, services and facilities (section 44). In relation to each of these areas of life, there are exceptions allowing for single-sex facilities. </w:t>
      </w:r>
    </w:p>
    <w:p w14:paraId="4D67482D" w14:textId="72C52A5F" w:rsidR="004B4C4A" w:rsidRPr="008642D1" w:rsidRDefault="004B4C4A" w:rsidP="004B4C4A">
      <w:pPr>
        <w:pStyle w:val="BodyText"/>
      </w:pPr>
      <w:r w:rsidRPr="008642D1">
        <w:t xml:space="preserve">Section 42 of the Human Rights Act makes it unlawful to refuse a person access to or use of places or vehicles available to other members of the public, or any associated facilities, </w:t>
      </w:r>
      <w:r w:rsidRPr="008642D1">
        <w:lastRenderedPageBreak/>
        <w:t xml:space="preserve">by reason of a prohibited ground. Section 43(1) has an exception that allows the maintenance of separate facilities for each sex “on the ground of public decency or public safety”. </w:t>
      </w:r>
    </w:p>
    <w:p w14:paraId="0E48B639" w14:textId="4E2C8B39" w:rsidR="004B4C4A" w:rsidRPr="008642D1" w:rsidRDefault="004B4C4A" w:rsidP="004B4C4A">
      <w:pPr>
        <w:pStyle w:val="BodyText"/>
      </w:pPr>
      <w:r w:rsidRPr="008642D1">
        <w:t>Section 44 of the Human Rights Act makes it unlawful to discriminate when providing goods, facilities or services to the public. Section 46 provides an exception where separate facilities or services are maintained or provided for each sex</w:t>
      </w:r>
      <w:r w:rsidR="00525E4D">
        <w:t>,</w:t>
      </w:r>
      <w:r w:rsidRPr="008642D1">
        <w:t xml:space="preserve"> again “on the ground of public decency or public safety”.</w:t>
      </w:r>
      <w:r w:rsidRPr="008642D1">
        <w:rPr>
          <w:rStyle w:val="FootnoteReference"/>
        </w:rPr>
        <w:footnoteReference w:id="539"/>
      </w:r>
    </w:p>
    <w:p w14:paraId="16837450" w14:textId="77777777" w:rsidR="004B4C4A" w:rsidRPr="008642D1" w:rsidRDefault="004B4C4A" w:rsidP="004B4C4A">
      <w:pPr>
        <w:pStyle w:val="BodyText"/>
      </w:pPr>
      <w:r w:rsidRPr="008642D1">
        <w:t xml:space="preserve">These exceptions only apply to conduct that would otherwise be a breach of sections 42 and 44, respectively. As we have explained elsewhere, this means they would not apply to facilities maintained by public bodies such as local councils. This would likely amount to a government function so the permissibility of single-sex facilities would be determined under the tests in Part 1A. </w:t>
      </w:r>
    </w:p>
    <w:p w14:paraId="4C11DF1A" w14:textId="6A02692C" w:rsidR="004B4C4A" w:rsidRPr="008642D1" w:rsidRDefault="005A3B2B" w:rsidP="004B4C4A">
      <w:pPr>
        <w:pStyle w:val="BodyText"/>
      </w:pPr>
      <w:r>
        <w:t>T</w:t>
      </w:r>
      <w:r w:rsidR="004B4C4A" w:rsidRPr="008642D1">
        <w:t>hese exceptions</w:t>
      </w:r>
      <w:r>
        <w:t xml:space="preserve"> would also not</w:t>
      </w:r>
      <w:r w:rsidR="004B4C4A" w:rsidRPr="008642D1">
        <w:t xml:space="preserve"> apply to facilities to which the public does not have access (because those would fall outside the terms of sections 42 and</w:t>
      </w:r>
      <w:r w:rsidR="004B4C4A" w:rsidRPr="008642D1">
        <w:rPr>
          <w:rFonts w:ascii="Calibri" w:hAnsi="Calibri" w:cs="Calibri"/>
        </w:rPr>
        <w:t> </w:t>
      </w:r>
      <w:r w:rsidR="004B4C4A" w:rsidRPr="008642D1">
        <w:t xml:space="preserve">44). As explained in Chapter 8, that means it is unclear whether these exceptions would apply to facilities provided by employers to their employees or </w:t>
      </w:r>
      <w:r>
        <w:t xml:space="preserve">by </w:t>
      </w:r>
      <w:r w:rsidR="004B4C4A" w:rsidRPr="008642D1">
        <w:t>schools to their pupils.</w:t>
      </w:r>
      <w:r w:rsidR="004B4C4A" w:rsidRPr="008642D1">
        <w:rPr>
          <w:rStyle w:val="FootnoteReference"/>
        </w:rPr>
        <w:footnoteReference w:id="540"/>
      </w:r>
      <w:r w:rsidR="004B4C4A" w:rsidRPr="008642D1">
        <w:t xml:space="preserve"> </w:t>
      </w:r>
    </w:p>
    <w:p w14:paraId="64A8D191" w14:textId="2947840A" w:rsidR="004B4C4A" w:rsidRPr="008642D1" w:rsidRDefault="004B4C4A" w:rsidP="004B4C4A">
      <w:pPr>
        <w:pStyle w:val="BodyText"/>
      </w:pPr>
      <w:r w:rsidRPr="008642D1">
        <w:t xml:space="preserve">We think the most common application of these exceptions would be to facilities in places like </w:t>
      </w:r>
      <w:r w:rsidRPr="004F4A42">
        <w:t>caf</w:t>
      </w:r>
      <w:r w:rsidR="005A3B2B" w:rsidRPr="004F4A42">
        <w:rPr>
          <w:rFonts w:cs="Calibri"/>
        </w:rPr>
        <w:t>é</w:t>
      </w:r>
      <w:r w:rsidRPr="004F4A42">
        <w:t>s</w:t>
      </w:r>
      <w:r w:rsidRPr="008642D1">
        <w:t>, restaurants, shops and gyms and to situations where someone would be partially or fully unclothed such as bathrooms, changing rooms, hostel accommodation and saunas.</w:t>
      </w:r>
    </w:p>
    <w:p w14:paraId="3B7CA1CF" w14:textId="77777777" w:rsidR="004B4C4A" w:rsidRPr="008642D1" w:rsidRDefault="004B4C4A" w:rsidP="004B4C4A">
      <w:pPr>
        <w:pStyle w:val="Heading2"/>
      </w:pPr>
      <w:bookmarkStart w:id="141" w:name="_Toc170302180"/>
      <w:r w:rsidRPr="008642D1">
        <w:t>Rationale for the exceptions</w:t>
      </w:r>
      <w:bookmarkEnd w:id="141"/>
      <w:r w:rsidRPr="008642D1">
        <w:t xml:space="preserve"> </w:t>
      </w:r>
    </w:p>
    <w:p w14:paraId="37585EE3" w14:textId="63D03D4E" w:rsidR="004B4C4A" w:rsidRPr="008642D1" w:rsidRDefault="004B4C4A" w:rsidP="004B4C4A">
      <w:pPr>
        <w:pStyle w:val="BodyText"/>
      </w:pPr>
      <w:r w:rsidRPr="008642D1">
        <w:t xml:space="preserve">Two rationales are clear from the language of these exceptions: “public decency” and “public safety”. </w:t>
      </w:r>
      <w:r w:rsidRPr="008642D1">
        <w:rPr>
          <w:rFonts w:eastAsia="Calibri"/>
        </w:rPr>
        <w:t xml:space="preserve">We think the public decency rationale is grounded in the right to privacy that we explored in Chapter 4, especially the </w:t>
      </w:r>
      <w:r w:rsidRPr="008642D1">
        <w:t>dimension of the right that is about people having control over who gets to see their naked body and see or hear their intimate activities.</w:t>
      </w:r>
      <w:r w:rsidRPr="008642D1">
        <w:rPr>
          <w:rStyle w:val="FootnoteReference"/>
        </w:rPr>
        <w:footnoteReference w:id="541"/>
      </w:r>
      <w:r w:rsidRPr="008642D1">
        <w:t xml:space="preserve"> Like some</w:t>
      </w:r>
      <w:r w:rsidRPr="008642D1">
        <w:rPr>
          <w:rFonts w:eastAsia="Calibri"/>
        </w:rPr>
        <w:t xml:space="preserve"> other exceptions in the Act, the public decency rationale is also grounded in social and cultural assumptions about whether it is acceptable to expose your body and intimate functions to people who are a different sex. Those cultural assumptions may have different significance for different people. They may, for example, have heightened significance for people with religious beliefs relating to modesty. </w:t>
      </w:r>
    </w:p>
    <w:p w14:paraId="543CF864" w14:textId="77777777" w:rsidR="004B4C4A" w:rsidRPr="008642D1" w:rsidRDefault="004B4C4A" w:rsidP="004B4C4A">
      <w:pPr>
        <w:pStyle w:val="BodyText"/>
      </w:pPr>
      <w:r w:rsidRPr="008642D1">
        <w:rPr>
          <w:rFonts w:eastAsia="Calibri"/>
        </w:rPr>
        <w:t xml:space="preserve">There are no clues in the Act about what is meant by public safety. At a minimum, it would seem to involve protection from physical harm such as assault.  </w:t>
      </w:r>
    </w:p>
    <w:p w14:paraId="4211EA92" w14:textId="77777777" w:rsidR="004B4C4A" w:rsidRPr="008642D1" w:rsidRDefault="004B4C4A" w:rsidP="004B4C4A">
      <w:pPr>
        <w:pStyle w:val="BodyText"/>
      </w:pPr>
      <w:r w:rsidRPr="008642D1">
        <w:rPr>
          <w:rFonts w:eastAsia="Calibri"/>
        </w:rPr>
        <w:t xml:space="preserve">We think these exceptions </w:t>
      </w:r>
      <w:r w:rsidRPr="008642D1">
        <w:t>also reflect practical and historical considerations. The social reality at the time the legislation was enacted was that many public bathrooms and changing rooms were separated into men’s and women’s facilities.</w:t>
      </w:r>
      <w:r w:rsidRPr="008642D1">
        <w:rPr>
          <w:rFonts w:eastAsia="Calibri"/>
        </w:rPr>
        <w:t xml:space="preserve"> During legislative </w:t>
      </w:r>
      <w:r w:rsidRPr="008642D1">
        <w:rPr>
          <w:rFonts w:eastAsia="Calibri"/>
        </w:rPr>
        <w:lastRenderedPageBreak/>
        <w:t>debates preceding the Human Rights Commission Act 1977, which contained a similar provision, the chair of the select committee that considered the Bill noted that public decency was linked to “common sense or practice”.</w:t>
      </w:r>
      <w:r w:rsidRPr="008642D1">
        <w:rPr>
          <w:rStyle w:val="FootnoteReference"/>
          <w:rFonts w:eastAsia="Calibri"/>
        </w:rPr>
        <w:footnoteReference w:id="542"/>
      </w:r>
    </w:p>
    <w:p w14:paraId="4460BF80" w14:textId="77777777" w:rsidR="004B4C4A" w:rsidRPr="008642D1" w:rsidRDefault="004B4C4A" w:rsidP="004B4C4A">
      <w:pPr>
        <w:pStyle w:val="Heading2"/>
      </w:pPr>
      <w:bookmarkStart w:id="142" w:name="_Toc170302181"/>
      <w:r w:rsidRPr="008642D1">
        <w:t>Differing perspectives</w:t>
      </w:r>
      <w:bookmarkEnd w:id="142"/>
    </w:p>
    <w:p w14:paraId="4E9F70E2" w14:textId="77777777" w:rsidR="004B4C4A" w:rsidRPr="008642D1" w:rsidRDefault="004B4C4A" w:rsidP="004B4C4A">
      <w:pPr>
        <w:pStyle w:val="BodyText"/>
      </w:pPr>
      <w:r w:rsidRPr="008642D1">
        <w:t>We know that the question of whether people who are transgender or non-binary or who have an innate variation of sex characteristics should be able to access single-sex bathrooms and changing rooms that align with their gender identity is of particular concern to some people in the community. We are interested to understand these concerns better.</w:t>
      </w:r>
    </w:p>
    <w:p w14:paraId="55BA70B5" w14:textId="20BF2AE7" w:rsidR="004B4C4A" w:rsidRPr="008642D1" w:rsidRDefault="004B4C4A" w:rsidP="004B4C4A">
      <w:pPr>
        <w:pStyle w:val="BodyText"/>
      </w:pPr>
      <w:r w:rsidRPr="008642D1">
        <w:t xml:space="preserve">We understand that bathrooms, changing rooms and other facilities where people are partially or fully unclothed can be challenging and unsafe places for people who are transgender or non-binary or who have an innate variation </w:t>
      </w:r>
      <w:r w:rsidR="00FD13D6">
        <w:t>of</w:t>
      </w:r>
      <w:r w:rsidRPr="008642D1">
        <w:t xml:space="preserve"> sex characteristics. Te Kāhui Tika Tangata | Human Rights Commission has described the issue in this way:</w:t>
      </w:r>
      <w:r w:rsidRPr="008642D1">
        <w:rPr>
          <w:rStyle w:val="FootnoteReference"/>
        </w:rPr>
        <w:footnoteReference w:id="543"/>
      </w:r>
    </w:p>
    <w:p w14:paraId="6C82AB17" w14:textId="77777777" w:rsidR="004B4C4A" w:rsidRPr="008642D1" w:rsidRDefault="004B4C4A" w:rsidP="004B4C4A">
      <w:pPr>
        <w:pStyle w:val="QuoteIndent0"/>
      </w:pPr>
      <w:r w:rsidRPr="008642D1">
        <w:t>Trans men and women faced difficulties when they wanted access to toilets or changing rooms. Trans women said they would be refused access to the female toilets, but using a male toilet was both inappropriate and unsafe. Inability to access public toilets had a major, daily impact on many trans people. Fear of these situations and the embarrassment they created led some trans people to limit the places they would go.</w:t>
      </w:r>
    </w:p>
    <w:p w14:paraId="6BEA7B4D" w14:textId="0015C1E1" w:rsidR="004B4C4A" w:rsidRPr="008642D1" w:rsidRDefault="004B4C4A" w:rsidP="004B4C4A">
      <w:pPr>
        <w:pStyle w:val="BodyText"/>
      </w:pPr>
      <w:r w:rsidRPr="008642D1">
        <w:t xml:space="preserve">As we discussed in Chapter 3, 70 per cent of </w:t>
      </w:r>
      <w:r w:rsidRPr="008642D1">
        <w:rPr>
          <w:i/>
          <w:iCs/>
        </w:rPr>
        <w:t xml:space="preserve">Counting Ourselves </w:t>
      </w:r>
      <w:r w:rsidRPr="008642D1">
        <w:t xml:space="preserve">participants (a survey of people who are transgender </w:t>
      </w:r>
      <w:r w:rsidR="007B2870">
        <w:t>or</w:t>
      </w:r>
      <w:r w:rsidR="007B2870" w:rsidRPr="008642D1">
        <w:t xml:space="preserve"> </w:t>
      </w:r>
      <w:r w:rsidRPr="008642D1">
        <w:t>non-binary) had avoided using a public bathroom in the last 12 months because they were afraid of problems using them due to being transgender or non-binary.</w:t>
      </w:r>
      <w:r w:rsidRPr="008642D1">
        <w:rPr>
          <w:rStyle w:val="FootnoteReference"/>
        </w:rPr>
        <w:footnoteReference w:id="544"/>
      </w:r>
      <w:r w:rsidRPr="008642D1">
        <w:t xml:space="preserve"> In another survey, difficulties accessing changing rooms was a reason frequently given by transgender and non-binary participants for why they did not play sport despite wanting to.</w:t>
      </w:r>
      <w:r w:rsidRPr="008642D1">
        <w:rPr>
          <w:vertAlign w:val="superscript"/>
        </w:rPr>
        <w:footnoteReference w:id="545"/>
      </w:r>
    </w:p>
    <w:p w14:paraId="1D89332F" w14:textId="77777777" w:rsidR="004B4C4A" w:rsidRPr="008642D1" w:rsidRDefault="004B4C4A" w:rsidP="004B4C4A">
      <w:pPr>
        <w:pStyle w:val="BodyText"/>
      </w:pPr>
      <w:r w:rsidRPr="008642D1">
        <w:t>We know less about the experiences of people with an innate variation of sex characteristics. However, in an Australian study, some participants reported discrimination in public places or facilities and gave examples like being escorted out of bathrooms.</w:t>
      </w:r>
      <w:r w:rsidRPr="008642D1">
        <w:rPr>
          <w:vertAlign w:val="superscript"/>
        </w:rPr>
        <w:footnoteReference w:id="546"/>
      </w:r>
      <w:r w:rsidRPr="008642D1">
        <w:t xml:space="preserve"> Another publication</w:t>
      </w:r>
      <w:r w:rsidRPr="008642D1">
        <w:rPr>
          <w:rFonts w:eastAsiaTheme="minorHAnsi" w:cstheme="minorBidi"/>
          <w:color w:val="000000"/>
          <w:szCs w:val="20"/>
          <w:shd w:val="clear" w:color="auto" w:fill="FFFFFF"/>
          <w:lang w:eastAsia="en-US"/>
        </w:rPr>
        <w:t xml:space="preserve"> observed that access to bathrooms was a “huge” issue for students with an innate variation of sex characteristics.</w:t>
      </w:r>
      <w:r w:rsidRPr="008642D1">
        <w:rPr>
          <w:rStyle w:val="FootnoteReference"/>
          <w:rFonts w:eastAsiaTheme="minorHAnsi" w:cstheme="minorBidi"/>
          <w:szCs w:val="20"/>
          <w:shd w:val="clear" w:color="auto" w:fill="FFFFFF"/>
          <w:lang w:eastAsia="en-US"/>
        </w:rPr>
        <w:footnoteReference w:id="547"/>
      </w:r>
    </w:p>
    <w:p w14:paraId="337D4F71" w14:textId="77777777" w:rsidR="004B4C4A" w:rsidRPr="008642D1" w:rsidRDefault="004B4C4A" w:rsidP="004B4C4A">
      <w:pPr>
        <w:pStyle w:val="BodyText"/>
        <w:rPr>
          <w:rFonts w:eastAsia="Calibri"/>
        </w:rPr>
      </w:pPr>
      <w:r w:rsidRPr="008642D1">
        <w:rPr>
          <w:rFonts w:eastAsia="Calibri"/>
        </w:rPr>
        <w:t>We understand that access to single-sex bathrooms and changing rooms is also an issue of particular concern for some other people in the community</w:t>
      </w:r>
      <w:r w:rsidRPr="008642D1" w:rsidDel="001E7104">
        <w:rPr>
          <w:rFonts w:eastAsia="Calibri"/>
        </w:rPr>
        <w:t>.</w:t>
      </w:r>
      <w:r w:rsidRPr="008642D1">
        <w:rPr>
          <w:rStyle w:val="FootnoteReference"/>
          <w:rFonts w:eastAsia="Calibri"/>
        </w:rPr>
        <w:footnoteReference w:id="548"/>
      </w:r>
      <w:r w:rsidRPr="008642D1">
        <w:rPr>
          <w:rFonts w:eastAsia="Calibri"/>
        </w:rPr>
        <w:t xml:space="preserve"> The concerns mainly focus </w:t>
      </w:r>
      <w:r w:rsidRPr="008642D1">
        <w:rPr>
          <w:rFonts w:eastAsia="Calibri"/>
        </w:rPr>
        <w:lastRenderedPageBreak/>
        <w:t>on access by transgender women to female-only spaces. Some of the concerns we have seen expressed are that:</w:t>
      </w:r>
      <w:r w:rsidRPr="008642D1">
        <w:rPr>
          <w:rStyle w:val="FootnoteReference"/>
          <w:rFonts w:eastAsia="Calibri"/>
        </w:rPr>
        <w:footnoteReference w:id="549"/>
      </w:r>
    </w:p>
    <w:p w14:paraId="695D72D2" w14:textId="77777777" w:rsidR="004B4C4A" w:rsidRPr="00872ED5" w:rsidRDefault="004B4C4A" w:rsidP="00872ED5">
      <w:pPr>
        <w:pStyle w:val="BodyText2"/>
        <w:numPr>
          <w:ilvl w:val="3"/>
          <w:numId w:val="75"/>
        </w:numPr>
        <w:rPr>
          <w:rFonts w:eastAsia="Calibri"/>
        </w:rPr>
      </w:pPr>
      <w:r w:rsidRPr="00872ED5">
        <w:rPr>
          <w:rFonts w:eastAsia="Calibri"/>
        </w:rPr>
        <w:t xml:space="preserve">cisgender women and girls may feel uncomfortable or have privacy concerns if sharing spaces with transgender women in which they need to remove their clothes; </w:t>
      </w:r>
    </w:p>
    <w:p w14:paraId="410ADB26" w14:textId="77777777" w:rsidR="004B4C4A" w:rsidRPr="008642D1" w:rsidRDefault="004B4C4A" w:rsidP="004B4C4A">
      <w:pPr>
        <w:pStyle w:val="BodyText2"/>
        <w:rPr>
          <w:rFonts w:eastAsia="Calibri"/>
        </w:rPr>
      </w:pPr>
      <w:r w:rsidRPr="008642D1">
        <w:rPr>
          <w:rFonts w:eastAsia="Calibri"/>
        </w:rPr>
        <w:t>transgender women may pose a safety risk to cisgender women; and</w:t>
      </w:r>
    </w:p>
    <w:p w14:paraId="58861A1E" w14:textId="77777777" w:rsidR="004B4C4A" w:rsidRPr="008642D1" w:rsidRDefault="004B4C4A" w:rsidP="004B4C4A">
      <w:pPr>
        <w:pStyle w:val="BodyText2"/>
        <w:rPr>
          <w:rFonts w:eastAsia="Calibri"/>
        </w:rPr>
      </w:pPr>
      <w:r w:rsidRPr="008642D1">
        <w:rPr>
          <w:rFonts w:eastAsia="Calibri"/>
        </w:rPr>
        <w:t>cisgender men may enter single-sex spaces (under the guise of being transgender).</w:t>
      </w:r>
    </w:p>
    <w:p w14:paraId="2BA4DE85" w14:textId="77777777" w:rsidR="004B4C4A" w:rsidRPr="008642D1" w:rsidRDefault="004B4C4A" w:rsidP="004B4C4A">
      <w:pPr>
        <w:pStyle w:val="BodyText"/>
        <w:rPr>
          <w:rFonts w:eastAsia="Calibri"/>
        </w:rPr>
      </w:pPr>
      <w:r w:rsidRPr="008642D1">
        <w:t>We are not aware of similar concerns being raised about sharing single-sex spaces with people who have an innate variation of sex characteristics.</w:t>
      </w:r>
    </w:p>
    <w:p w14:paraId="6EF96430" w14:textId="77777777" w:rsidR="004B4C4A" w:rsidRPr="008642D1" w:rsidRDefault="004B4C4A" w:rsidP="004B4C4A">
      <w:pPr>
        <w:pStyle w:val="BodyText"/>
        <w:rPr>
          <w:rFonts w:eastAsia="Calibri"/>
        </w:rPr>
      </w:pPr>
      <w:r w:rsidRPr="008642D1">
        <w:rPr>
          <w:rFonts w:eastAsia="Calibri"/>
        </w:rPr>
        <w:t>We are interested to understand these concerns better and to learn about what evidence there is in Aotearoa New Zealand to support them.</w:t>
      </w:r>
    </w:p>
    <w:p w14:paraId="70857767" w14:textId="77777777" w:rsidR="004B4C4A" w:rsidRPr="008642D1" w:rsidRDefault="004B4C4A" w:rsidP="004B4C4A">
      <w:pPr>
        <w:pStyle w:val="BodyText"/>
        <w:rPr>
          <w:rFonts w:eastAsia="Calibri"/>
        </w:rPr>
      </w:pPr>
      <w:r w:rsidRPr="008642D1">
        <w:t>These concerns are not universal. For example, we understand that some cisgender women do not have concerns or worries about sharing single-sex spaces with people who are transgender or non-binary (although the results that are generated by surveys on this issue can vary substantially depending on the way the question is posed).</w:t>
      </w:r>
      <w:r w:rsidRPr="008642D1">
        <w:rPr>
          <w:rStyle w:val="FootnoteReference"/>
        </w:rPr>
        <w:footnoteReference w:id="550"/>
      </w:r>
      <w:r w:rsidRPr="008642D1">
        <w:t xml:space="preserve"> </w:t>
      </w:r>
    </w:p>
    <w:p w14:paraId="4B428EE5" w14:textId="77777777" w:rsidR="004B4C4A" w:rsidRPr="008642D1" w:rsidRDefault="004B4C4A" w:rsidP="004B4C4A">
      <w:pPr>
        <w:pStyle w:val="Heading2"/>
      </w:pPr>
      <w:bookmarkStart w:id="144" w:name="_Toc170302182"/>
      <w:r w:rsidRPr="008642D1">
        <w:t>The potential of unisex facilities</w:t>
      </w:r>
      <w:bookmarkEnd w:id="144"/>
      <w:r w:rsidRPr="008642D1">
        <w:t xml:space="preserve"> </w:t>
      </w:r>
    </w:p>
    <w:p w14:paraId="5370D75C" w14:textId="77777777" w:rsidR="004B4C4A" w:rsidRPr="008642D1" w:rsidRDefault="004B4C4A" w:rsidP="004B4C4A">
      <w:pPr>
        <w:pStyle w:val="BodyText"/>
      </w:pPr>
      <w:r w:rsidRPr="008642D1">
        <w:t>As we have explained, the public policy rationales underlying sections 43(1) and 46 of the Human Rights Act are safety and privacy. At the time the Act was enacted, single-sex facilities were seen as the logical way to advance these rationales. We are interested to explore whether these rationales can be advanced in a different way — through provision of unisex facilities. We are also interested to understand whether the Human Rights Act should play a role in furthering a move towards unisex facilities.</w:t>
      </w:r>
    </w:p>
    <w:p w14:paraId="2B02BB0A" w14:textId="13A22534" w:rsidR="004B4C4A" w:rsidRPr="008642D1" w:rsidRDefault="004B4C4A" w:rsidP="004B4C4A">
      <w:pPr>
        <w:pStyle w:val="BodyText"/>
      </w:pPr>
      <w:r w:rsidRPr="008642D1">
        <w:t>By unisex facilities, we mean facilities that are designed to be equally private and accessible to people of any sex or gender identity. We understand some service providers in Aotearoa New Zealand already have unisex facilities</w:t>
      </w:r>
      <w:r w:rsidR="00C652CF">
        <w:t>,</w:t>
      </w:r>
      <w:r w:rsidRPr="008642D1">
        <w:t xml:space="preserve"> although we do not know what proportion. The Building Code sets out requirements for unisex bathrooms if people want to choose that option when building or renovating.</w:t>
      </w:r>
      <w:r w:rsidRPr="008642D1">
        <w:rPr>
          <w:rStyle w:val="FootnoteReference"/>
        </w:rPr>
        <w:footnoteReference w:id="551"/>
      </w:r>
      <w:r w:rsidRPr="008642D1">
        <w:t xml:space="preserve"> Many clothing stores have unisex changing rooms that involve individual cubicles. Unisex changing rooms may be less common for sports facilities because these often involve open </w:t>
      </w:r>
      <w:r w:rsidR="00872ED5">
        <w:t>‘</w:t>
      </w:r>
      <w:r w:rsidRPr="008642D1">
        <w:t>locker</w:t>
      </w:r>
      <w:r w:rsidR="00310C61">
        <w:t>-</w:t>
      </w:r>
      <w:r w:rsidRPr="008642D1">
        <w:t>room</w:t>
      </w:r>
      <w:r w:rsidR="00872ED5">
        <w:t>’</w:t>
      </w:r>
      <w:r w:rsidRPr="008642D1">
        <w:t xml:space="preserve"> type facilities. While these changing rooms may have some private stalls that can be used by people who are self-conscious or have privacy concerns, a person would generally need to walk through the open locker room to access them. </w:t>
      </w:r>
    </w:p>
    <w:p w14:paraId="22CE4793" w14:textId="77777777" w:rsidR="004B4C4A" w:rsidRPr="008642D1" w:rsidRDefault="004B4C4A" w:rsidP="004B4C4A">
      <w:pPr>
        <w:pStyle w:val="Heading3"/>
      </w:pPr>
      <w:r w:rsidRPr="008642D1">
        <w:lastRenderedPageBreak/>
        <w:t>Advantages and disadvantages of unisex facilities</w:t>
      </w:r>
    </w:p>
    <w:p w14:paraId="5E9C9D2E" w14:textId="77777777" w:rsidR="004B4C4A" w:rsidRPr="008642D1" w:rsidRDefault="004B4C4A" w:rsidP="004B4C4A">
      <w:pPr>
        <w:pStyle w:val="BodyText"/>
      </w:pPr>
      <w:r w:rsidRPr="008642D1">
        <w:t xml:space="preserve">Based on our preliminary research, we understand that some advantages of unisex facilities relevant to this review are that all people can use a bathroom or get changed in safety and privacy and without contact with strangers. They also provide a more appropriate option for people who identify outside the gender binary. </w:t>
      </w:r>
    </w:p>
    <w:p w14:paraId="3946D231" w14:textId="46051348" w:rsidR="004B4C4A" w:rsidRPr="008642D1" w:rsidRDefault="004B4C4A" w:rsidP="004B4C4A">
      <w:pPr>
        <w:pStyle w:val="BodyText"/>
      </w:pPr>
      <w:r w:rsidRPr="008642D1">
        <w:t xml:space="preserve">At present, unisex facilities are sometimes provided instead of single-sex facilities and sometimes alongside them. In the latter case, they can provide an option that people (of any sex or gender identity) can choose based on their own assessment of privacy and safety considerations. (Whether people who are transgender can be or should be required to use a unisex facility when a single-sex one is also available is a different issue </w:t>
      </w:r>
      <w:r w:rsidR="00DC28B7">
        <w:t>that</w:t>
      </w:r>
      <w:r w:rsidR="00DC28B7" w:rsidRPr="008642D1">
        <w:t xml:space="preserve"> </w:t>
      </w:r>
      <w:r w:rsidRPr="008642D1">
        <w:t>we discuss later in the chapter.)</w:t>
      </w:r>
    </w:p>
    <w:p w14:paraId="6CFA6B87" w14:textId="3E42D73B" w:rsidR="004B4C4A" w:rsidRPr="008642D1" w:rsidRDefault="004B4C4A" w:rsidP="004B4C4A">
      <w:pPr>
        <w:pStyle w:val="BodyText"/>
      </w:pPr>
      <w:r w:rsidRPr="008642D1">
        <w:t>We have also heard of other benefits of unisex facilities that are less directly relevant to this review.</w:t>
      </w:r>
      <w:r w:rsidRPr="008642D1">
        <w:rPr>
          <w:rStyle w:val="FootnoteReference"/>
        </w:rPr>
        <w:footnoteReference w:id="552"/>
      </w:r>
      <w:r w:rsidRPr="008642D1">
        <w:t xml:space="preserve"> For example, the Building Code requires fewer overall bathrooms if unisex bathrooms are provided.</w:t>
      </w:r>
      <w:r w:rsidRPr="008642D1">
        <w:rPr>
          <w:rStyle w:val="FootnoteReference"/>
        </w:rPr>
        <w:footnoteReference w:id="553"/>
      </w:r>
      <w:r w:rsidRPr="008642D1">
        <w:t xml:space="preserve"> The units can be separately maintained. They provide a more convenient option for caregivers of a different sex or gender identity to the person for whom they are caring. They also mean children do not need to change alongside adults they do not know. </w:t>
      </w:r>
    </w:p>
    <w:p w14:paraId="5DFC100E" w14:textId="254CC914" w:rsidR="004B4C4A" w:rsidRPr="008642D1" w:rsidRDefault="004B4C4A" w:rsidP="004B4C4A">
      <w:pPr>
        <w:pStyle w:val="BodyText"/>
      </w:pPr>
      <w:r w:rsidRPr="008642D1">
        <w:t>To be completely safe and private, unisex facilities need to be well</w:t>
      </w:r>
      <w:r w:rsidR="00DC28B7">
        <w:t xml:space="preserve"> </w:t>
      </w:r>
      <w:r w:rsidRPr="008642D1">
        <w:t>designed. We have read various criticisms of unisex bathrooms.</w:t>
      </w:r>
      <w:r w:rsidRPr="008642D1">
        <w:rPr>
          <w:rStyle w:val="FootnoteReference"/>
        </w:rPr>
        <w:footnoteReference w:id="554"/>
      </w:r>
      <w:r w:rsidRPr="008642D1">
        <w:t xml:space="preserve"> Those criticisms tend to contemplate existing single-sex facilities being converted without careful attention to design into shared unisex bathrooms (for example, with multiple stalls and shared hand</w:t>
      </w:r>
      <w:r w:rsidR="00DC28B7">
        <w:t xml:space="preserve"> </w:t>
      </w:r>
      <w:r w:rsidRPr="008642D1">
        <w:t xml:space="preserve">basins). </w:t>
      </w:r>
    </w:p>
    <w:p w14:paraId="2A00C639" w14:textId="0AB5401E" w:rsidR="004B4C4A" w:rsidRPr="008642D1" w:rsidRDefault="004B4C4A" w:rsidP="004B4C4A">
      <w:pPr>
        <w:pStyle w:val="BodyText"/>
      </w:pPr>
      <w:r w:rsidRPr="008642D1">
        <w:t>For bathrooms in new builds and in buildings undergoing substantial renovations, this issue is addressed in the Building Code. It requires unisex toilets to be fully enclosed with floor to ceiling doors and walls and to include their own handbasin.</w:t>
      </w:r>
      <w:r w:rsidRPr="008642D1">
        <w:rPr>
          <w:rStyle w:val="FootnoteReference"/>
        </w:rPr>
        <w:footnoteReference w:id="555"/>
      </w:r>
      <w:r w:rsidRPr="008642D1">
        <w:t xml:space="preserve"> </w:t>
      </w:r>
    </w:p>
    <w:p w14:paraId="7AC14A13" w14:textId="77777777" w:rsidR="004B4C4A" w:rsidRPr="008642D1" w:rsidRDefault="004B4C4A" w:rsidP="004B4C4A">
      <w:pPr>
        <w:pStyle w:val="BodyText"/>
      </w:pPr>
      <w:r w:rsidRPr="008642D1">
        <w:t>We are not aware of any disadvantages for users associated with well-designed unisex bathrooms, although we welcome feedback from submitters on this. We appreciate there are financial and practical barriers to converting existing single-sex facilities, which we discuss further below.</w:t>
      </w:r>
    </w:p>
    <w:p w14:paraId="6443C525" w14:textId="77777777" w:rsidR="004B4C4A" w:rsidRPr="008642D1" w:rsidRDefault="004B4C4A" w:rsidP="004B4C4A">
      <w:pPr>
        <w:pStyle w:val="Heading3"/>
        <w:rPr>
          <w:b w:val="0"/>
        </w:rPr>
      </w:pPr>
      <w:r w:rsidRPr="008642D1">
        <w:t>Should the Human Rights Act mandate the provision of unisex facilities?</w:t>
      </w:r>
    </w:p>
    <w:p w14:paraId="16EEFB3B" w14:textId="77777777" w:rsidR="004B4C4A" w:rsidRPr="008642D1" w:rsidRDefault="004B4C4A" w:rsidP="004B4C4A">
      <w:pPr>
        <w:pStyle w:val="BodyText"/>
      </w:pPr>
      <w:r w:rsidRPr="008642D1">
        <w:t>We are interested to explore whether it would be desirable to amend the Human Rights Act to require service providers that make facilities such as bathrooms or changing rooms available to the public to have a unisex option (whether instead of or alongside any single-</w:t>
      </w:r>
      <w:r w:rsidRPr="008642D1">
        <w:lastRenderedPageBreak/>
        <w:t>sex facilities). To do so, we need to understand the potential advantages and disadvantages of such a reform.</w:t>
      </w:r>
    </w:p>
    <w:p w14:paraId="6928B14A" w14:textId="77777777" w:rsidR="004B4C4A" w:rsidRPr="008642D1" w:rsidRDefault="004B4C4A" w:rsidP="004B4C4A">
      <w:pPr>
        <w:pStyle w:val="BodyText"/>
      </w:pPr>
      <w:r w:rsidRPr="008642D1">
        <w:t xml:space="preserve">As we have discussed above, well-designed unisex facilities can provide a safe and private option for people of any sex or gender to use. This option could therefore be an effective way of protecting the equality values that underlie the Human Rights Act while also accommodating other relevant interests (such as safety and privacy). </w:t>
      </w:r>
    </w:p>
    <w:p w14:paraId="59266030" w14:textId="29882B41" w:rsidR="004B4C4A" w:rsidRPr="008642D1" w:rsidRDefault="004B4C4A" w:rsidP="004B4C4A">
      <w:pPr>
        <w:pStyle w:val="BodyText"/>
      </w:pPr>
      <w:r w:rsidRPr="008642D1">
        <w:t xml:space="preserve">We understand that the main disadvantage of compelling a move to unisex facilities may be the cost and practical barriers associated with converting existing facilities. There are many single-sex facilities across Aotearoa New Zealand. In some cases, the costs of conversion might be substantial, particularly for larger facilities like changing rooms. The costs might be especially onerous for smaller organisations. Businesses </w:t>
      </w:r>
      <w:r w:rsidR="005E07D4">
        <w:t>that</w:t>
      </w:r>
      <w:r w:rsidR="005E07D4" w:rsidRPr="008642D1">
        <w:t xml:space="preserve"> </w:t>
      </w:r>
      <w:r w:rsidRPr="008642D1">
        <w:t xml:space="preserve">rent their premises may also have little control over the facilities provided within it. </w:t>
      </w:r>
    </w:p>
    <w:p w14:paraId="3044F864" w14:textId="77777777" w:rsidR="004B4C4A" w:rsidRPr="008642D1" w:rsidRDefault="004B4C4A" w:rsidP="004B4C4A">
      <w:pPr>
        <w:pStyle w:val="BodyText"/>
        <w:rPr>
          <w:rFonts w:eastAsia="Calibri"/>
        </w:rPr>
      </w:pPr>
      <w:r w:rsidRPr="008642D1">
        <w:t xml:space="preserve">We are interested to understand these issues more fully. However, we suspect it would be impractical to introduce an immediate requirement for all service providers that make bathrooms or changing rooms available to the public to have a unisex option. </w:t>
      </w:r>
    </w:p>
    <w:p w14:paraId="60F9DDD5" w14:textId="77777777" w:rsidR="004B4C4A" w:rsidRPr="008642D1" w:rsidRDefault="004B4C4A" w:rsidP="004B4C4A">
      <w:pPr>
        <w:pStyle w:val="BodyText"/>
      </w:pPr>
      <w:r w:rsidRPr="008642D1">
        <w:t>There may also be a question about whether the Human Rights Act is the most appropriate regulatory vehicle for achieving such change. For example, an alternative lever for promoting change might be reform of building regulation.</w:t>
      </w:r>
      <w:r w:rsidRPr="008642D1">
        <w:rPr>
          <w:rStyle w:val="FootnoteReference"/>
        </w:rPr>
        <w:footnoteReference w:id="556"/>
      </w:r>
      <w:r w:rsidRPr="008642D1">
        <w:t xml:space="preserve"> </w:t>
      </w:r>
    </w:p>
    <w:p w14:paraId="6CC0157C" w14:textId="48A0526A" w:rsidR="004B4C4A" w:rsidRPr="008642D1" w:rsidRDefault="004B4C4A" w:rsidP="004B4C4A">
      <w:pPr>
        <w:pStyle w:val="BodyText"/>
        <w:rPr>
          <w:rFonts w:eastAsia="Calibri"/>
        </w:rPr>
      </w:pPr>
      <w:r w:rsidRPr="008642D1">
        <w:t xml:space="preserve">It may, however, be appropriate to regulate this issue in the Human Rights Act if that is the most effective way to protect the equality values that underlie the Act while also accommodating other relevant interests. The Human Rights Act does already contain some provisions that anticipate businesses may need to bear some costs and burdens to advance the Act’s vision of substantive equality. These are called ‘reasonable accommodation’ provisions.  </w:t>
      </w:r>
    </w:p>
    <w:p w14:paraId="20051F79" w14:textId="01C92DF8" w:rsidR="004B4C4A" w:rsidRPr="008642D1" w:rsidRDefault="004B4C4A" w:rsidP="004B4C4A">
      <w:pPr>
        <w:pStyle w:val="BodyText"/>
        <w:rPr>
          <w:rFonts w:eastAsia="Calibri"/>
        </w:rPr>
      </w:pPr>
      <w:r w:rsidRPr="008642D1">
        <w:t xml:space="preserve">The </w:t>
      </w:r>
      <w:r w:rsidR="00310C61">
        <w:t>term</w:t>
      </w:r>
      <w:r w:rsidRPr="008642D1">
        <w:t xml:space="preserve"> reasonable accommodation describes an expectation that, in some cases, people must take reasonable measures to adapt an environment to make it accessible to certain groups. The Human Rights Act contains several reasonable accommodation provisions. Most relate to disability</w:t>
      </w:r>
      <w:r w:rsidR="005E07D4">
        <w:t>,</w:t>
      </w:r>
      <w:r w:rsidRPr="008642D1">
        <w:rPr>
          <w:rStyle w:val="FootnoteReference"/>
        </w:rPr>
        <w:footnoteReference w:id="557"/>
      </w:r>
      <w:r w:rsidRPr="008642D1">
        <w:t xml:space="preserve"> but there are also some that relate to sex and to religious or ethical belief.</w:t>
      </w:r>
      <w:r w:rsidRPr="008642D1">
        <w:rPr>
          <w:rStyle w:val="FootnoteReference"/>
        </w:rPr>
        <w:footnoteReference w:id="558"/>
      </w:r>
    </w:p>
    <w:p w14:paraId="7F952E4F" w14:textId="0501D3A6" w:rsidR="004B4C4A" w:rsidRPr="008642D1" w:rsidRDefault="004B4C4A" w:rsidP="004B4C4A">
      <w:pPr>
        <w:pStyle w:val="BodyText"/>
        <w:rPr>
          <w:rFonts w:eastAsia="Calibri"/>
        </w:rPr>
      </w:pPr>
      <w:r w:rsidRPr="008642D1">
        <w:t xml:space="preserve">There are reasonable accommodation provisions in the </w:t>
      </w:r>
      <w:r w:rsidR="005E07D4" w:rsidRPr="008642D1">
        <w:t xml:space="preserve">Human Rights </w:t>
      </w:r>
      <w:r w:rsidRPr="008642D1">
        <w:t>Act that relate to access to goods, services, places and facilities. Specifically, various exceptions for disability can only be relied on if it would be unreasonable to expect the service provider to supply the disabled person with the special services or facilities they require.</w:t>
      </w:r>
      <w:r w:rsidRPr="008642D1">
        <w:rPr>
          <w:rStyle w:val="FootnoteReference"/>
        </w:rPr>
        <w:footnoteReference w:id="559"/>
      </w:r>
      <w:r w:rsidRPr="008642D1">
        <w:t xml:space="preserve"> Those provisions sit alongside section 118 of the Building Act 2004. It requires that, if a building to which members of the public will have access is being constructed or altered, reasonable and adequate access and facilities must be made for people with disabilities.</w:t>
      </w:r>
      <w:r w:rsidRPr="008642D1">
        <w:rPr>
          <w:rStyle w:val="FootnoteReference"/>
        </w:rPr>
        <w:footnoteReference w:id="560"/>
      </w:r>
      <w:r w:rsidRPr="008642D1">
        <w:t xml:space="preserve"> </w:t>
      </w:r>
    </w:p>
    <w:p w14:paraId="191E863C" w14:textId="3C16442E" w:rsidR="004B4C4A" w:rsidRPr="008642D1" w:rsidRDefault="004B4C4A" w:rsidP="004B4C4A">
      <w:pPr>
        <w:pStyle w:val="BodyText"/>
      </w:pPr>
      <w:r w:rsidRPr="008642D1">
        <w:lastRenderedPageBreak/>
        <w:t>It might be appropriate to model a requirement to provide unisex bathrooms or changing rooms along similar lines.</w:t>
      </w:r>
      <w:r w:rsidRPr="008642D1">
        <w:rPr>
          <w:rStyle w:val="FootnoteReference"/>
        </w:rPr>
        <w:footnoteReference w:id="561"/>
      </w:r>
      <w:r w:rsidRPr="008642D1">
        <w:t xml:space="preserve"> For example, a requirement to provide unisex facilities might only apply where that is reasonable or might only apply where a building is being constructed or substantially renovated. </w:t>
      </w:r>
    </w:p>
    <w:p w14:paraId="43107740" w14:textId="1BEA4DD9" w:rsidR="004B4C4A" w:rsidRPr="008642D1" w:rsidRDefault="004B4C4A" w:rsidP="004B4C4A">
      <w:pPr>
        <w:pStyle w:val="BodyText"/>
      </w:pPr>
      <w:r w:rsidRPr="008642D1">
        <w:t>Another way to mitigate the impact of a requirement to provide unisex facilities would be to provide that the new requirement does not take effect immediately. When the Human Rights Commission Act came into effect</w:t>
      </w:r>
      <w:r w:rsidR="00734DF5">
        <w:t xml:space="preserve"> in 1977</w:t>
      </w:r>
      <w:r w:rsidRPr="008642D1">
        <w:t>, there was a temporary exception in section</w:t>
      </w:r>
      <w:r w:rsidRPr="008642D1">
        <w:rPr>
          <w:rFonts w:ascii="Calibri" w:hAnsi="Calibri" w:cs="Calibri"/>
        </w:rPr>
        <w:t> </w:t>
      </w:r>
      <w:r w:rsidRPr="008642D1">
        <w:t xml:space="preserve">17 that applied where it was not reasonably practicable to provide workplace facilities for both men and women. This exception expired in 1982. The intention was to allow employers time to undergo any necessary renovations where facilities did not adequately provide for female employees. </w:t>
      </w:r>
    </w:p>
    <w:p w14:paraId="69BBA8B7" w14:textId="0AA6EE6C" w:rsidR="004B4C4A" w:rsidRPr="008642D1" w:rsidRDefault="00C4415B" w:rsidP="004B4C4A">
      <w:pPr>
        <w:pStyle w:val="BodyText"/>
      </w:pPr>
      <w:r w:rsidRPr="008642D1">
        <w:rPr>
          <w:noProof/>
        </w:rPr>
        <mc:AlternateContent>
          <mc:Choice Requires="wpg">
            <w:drawing>
              <wp:anchor distT="0" distB="0" distL="114300" distR="114300" simplePos="0" relativeHeight="251658361" behindDoc="1" locked="0" layoutInCell="1" allowOverlap="1" wp14:anchorId="6665D073" wp14:editId="5279C54B">
                <wp:simplePos x="0" y="0"/>
                <wp:positionH relativeFrom="column">
                  <wp:posOffset>5715</wp:posOffset>
                </wp:positionH>
                <wp:positionV relativeFrom="paragraph">
                  <wp:posOffset>640080</wp:posOffset>
                </wp:positionV>
                <wp:extent cx="5760085" cy="1057275"/>
                <wp:effectExtent l="0" t="0" r="0" b="9525"/>
                <wp:wrapNone/>
                <wp:docPr id="1855719819" name="Group 1855719819" descr="Question"/>
                <wp:cNvGraphicFramePr/>
                <a:graphic xmlns:a="http://schemas.openxmlformats.org/drawingml/2006/main">
                  <a:graphicData uri="http://schemas.microsoft.com/office/word/2010/wordprocessingGroup">
                    <wpg:wgp>
                      <wpg:cNvGrpSpPr/>
                      <wpg:grpSpPr>
                        <a:xfrm>
                          <a:off x="0" y="0"/>
                          <a:ext cx="5760085" cy="1057275"/>
                          <a:chOff x="0" y="62865"/>
                          <a:chExt cx="5760085" cy="1058086"/>
                        </a:xfrm>
                      </wpg:grpSpPr>
                      <wps:wsp>
                        <wps:cNvPr id="162883959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306C4B" w14:textId="77777777" w:rsidR="004B4C4A" w:rsidRDefault="004B4C4A" w:rsidP="004B4C4A">
                              <w:pPr>
                                <w:pStyle w:val="BoxTitle"/>
                                <w:spacing w:before="0" w:beforeAutospacing="0"/>
                              </w:pPr>
                              <w:r w:rsidRPr="007F6876">
                                <w:t>QUESTION</w:t>
                              </w:r>
                            </w:p>
                          </w:txbxContent>
                        </wps:txbx>
                        <wps:bodyPr rot="0" vert="horz" wrap="square" lIns="91440" tIns="0" rIns="0" bIns="45720" anchor="ctr" anchorCtr="0" upright="1">
                          <a:noAutofit/>
                        </wps:bodyPr>
                      </wps:wsp>
                      <wpg:grpSp>
                        <wpg:cNvPr id="60556124" name="Group 53"/>
                        <wpg:cNvGrpSpPr>
                          <a:grpSpLocks/>
                        </wpg:cNvGrpSpPr>
                        <wpg:grpSpPr bwMode="auto">
                          <a:xfrm>
                            <a:off x="0" y="315984"/>
                            <a:ext cx="5760085" cy="804967"/>
                            <a:chOff x="1837" y="1789"/>
                            <a:chExt cx="9302" cy="8695"/>
                          </a:xfrm>
                        </wpg:grpSpPr>
                        <wps:wsp>
                          <wps:cNvPr id="1655866715" name="Freeform 54"/>
                          <wps:cNvSpPr>
                            <a:spLocks/>
                          </wps:cNvSpPr>
                          <wps:spPr bwMode="auto">
                            <a:xfrm>
                              <a:off x="1837" y="1789"/>
                              <a:ext cx="9302" cy="869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38605" name="Group 53038605"/>
                        <wpg:cNvGrpSpPr/>
                        <wpg:grpSpPr>
                          <a:xfrm>
                            <a:off x="0" y="494036"/>
                            <a:ext cx="1443794" cy="252000"/>
                            <a:chOff x="-15880" y="0"/>
                            <a:chExt cx="1444379" cy="252068"/>
                          </a:xfrm>
                        </wpg:grpSpPr>
                        <wps:wsp>
                          <wps:cNvPr id="172804440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06855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26E541" w14:textId="2D781EAB" w:rsidR="004B4C4A" w:rsidRPr="00E90B8A" w:rsidRDefault="004B4C4A" w:rsidP="004B4C4A">
                                <w:pPr>
                                  <w:pStyle w:val="BoxTitle"/>
                                  <w:spacing w:before="0" w:beforeAutospacing="0"/>
                                  <w:rPr>
                                    <w:sz w:val="18"/>
                                    <w:szCs w:val="18"/>
                                  </w:rPr>
                                </w:pPr>
                                <w:r w:rsidRPr="00E90B8A">
                                  <w:rPr>
                                    <w:sz w:val="18"/>
                                    <w:szCs w:val="18"/>
                                  </w:rPr>
                                  <w:t>Q</w:t>
                                </w:r>
                                <w:r w:rsidR="007B15C7">
                                  <w:rPr>
                                    <w:sz w:val="18"/>
                                    <w:szCs w:val="18"/>
                                  </w:rPr>
                                  <w:t>58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665D073" id="Group 1855719819" o:spid="_x0000_s1337" alt="Question" style="position:absolute;left:0;text-align:left;margin-left:.45pt;margin-top:50.4pt;width:453.55pt;height:83.25pt;z-index:-251658119;mso-height-relative:margin" coordorigin=",628" coordsize="57600,1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">
                <v:shape id="Freeform 52" o:spid="_x0000_s133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6306C4B" w14:textId="77777777" w:rsidR="004B4C4A" w:rsidRDefault="004B4C4A" w:rsidP="004B4C4A">
                        <w:pPr>
                          <w:pStyle w:val="BoxTitle"/>
                          <w:spacing w:before="0" w:beforeAutospacing="0"/>
                        </w:pPr>
                        <w:r w:rsidRPr="007F6876">
                          <w:t>QUESTION</w:t>
                        </w:r>
                      </w:p>
                    </w:txbxContent>
                  </v:textbox>
                </v:shape>
                <v:group id="Group 53" o:spid="_x0000_s1339" style="position:absolute;top:3159;width:57600;height:8050" coordorigin="1837,1789" coordsize="9302,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">
                  <v:shape id="Freeform 54" o:spid="_x0000_s1340" style="position:absolute;left:1837;top:1789;width:9302;height:869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" path="m,l9354,r,7809l,7809,,e" fillcolor="#edf2ea" stroked="f">
                    <v:path arrowok="t" o:connecttype="custom" o:connectlocs="0,1113;9302,1113;9302,9808;0,9808;0,1113" o:connectangles="0,0,0,0,0"/>
                  </v:shape>
                </v:group>
                <v:group id="Group 53038605" o:spid="_x0000_s134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">
                  <v:shape id="Freeform 58" o:spid="_x0000_s134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" path="m,l1815,e" filled="f" strokecolor="#72ab6a" strokeweight=".5pt">
                    <v:path arrowok="t" o:connecttype="custom" o:connectlocs="0,0;1073495,0" o:connectangles="0,0"/>
                  </v:shape>
                  <v:shape id="Freeform 66" o:spid="_x0000_s134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326E541" w14:textId="2D781EAB" w:rsidR="004B4C4A" w:rsidRPr="00E90B8A" w:rsidRDefault="004B4C4A" w:rsidP="004B4C4A">
                          <w:pPr>
                            <w:pStyle w:val="BoxTitle"/>
                            <w:spacing w:before="0" w:beforeAutospacing="0"/>
                            <w:rPr>
                              <w:sz w:val="18"/>
                              <w:szCs w:val="18"/>
                            </w:rPr>
                          </w:pPr>
                          <w:r w:rsidRPr="00E90B8A">
                            <w:rPr>
                              <w:sz w:val="18"/>
                              <w:szCs w:val="18"/>
                            </w:rPr>
                            <w:t>Q</w:t>
                          </w:r>
                          <w:r w:rsidR="007B15C7">
                            <w:rPr>
                              <w:sz w:val="18"/>
                              <w:szCs w:val="18"/>
                            </w:rPr>
                            <w:t>58</w:t>
                          </w:r>
                        </w:p>
                      </w:txbxContent>
                    </v:textbox>
                  </v:shape>
                </v:group>
              </v:group>
            </w:pict>
          </mc:Fallback>
        </mc:AlternateContent>
      </w:r>
      <w:r w:rsidR="004B4C4A" w:rsidRPr="008642D1">
        <w:t xml:space="preserve">In the next section, we present some options for amending the two exceptions for single-sex facilities. A requirement to provide unisex facilities, if introduced, could sit alongside any of these options. </w:t>
      </w:r>
    </w:p>
    <w:p w14:paraId="2EE34397" w14:textId="5776FBCE" w:rsidR="004B4C4A" w:rsidRPr="008642D1" w:rsidRDefault="004B4C4A" w:rsidP="004B4C4A">
      <w:pPr>
        <w:pStyle w:val="QuestionBox"/>
      </w:pPr>
    </w:p>
    <w:p w14:paraId="513E4923" w14:textId="77777777" w:rsidR="004B4C4A" w:rsidRPr="008642D1" w:rsidRDefault="004B4C4A" w:rsidP="004B4C4A">
      <w:pPr>
        <w:pStyle w:val="QuestionBox"/>
      </w:pPr>
    </w:p>
    <w:p w14:paraId="52FB5B64" w14:textId="77777777" w:rsidR="00C4415B" w:rsidRPr="00C4415B" w:rsidRDefault="00C4415B" w:rsidP="00C4415B">
      <w:pPr>
        <w:pStyle w:val="QuestionBox"/>
      </w:pPr>
      <w:r w:rsidRPr="00C4415B">
        <w:t>Is an amendment to the Human Rights Act 1993 desirable to encourage the provision of unisex facilities and, if so, what should it require?</w:t>
      </w:r>
    </w:p>
    <w:p w14:paraId="5DFFB786" w14:textId="77777777" w:rsidR="004B4C4A" w:rsidRPr="008642D1" w:rsidRDefault="004B4C4A" w:rsidP="004B4C4A">
      <w:pPr>
        <w:pStyle w:val="QuestionBox"/>
      </w:pPr>
    </w:p>
    <w:p w14:paraId="5E0408DA" w14:textId="77777777" w:rsidR="004B4C4A" w:rsidRPr="008642D1" w:rsidRDefault="004B4C4A" w:rsidP="004B4C4A">
      <w:pPr>
        <w:pStyle w:val="Heading2"/>
      </w:pPr>
      <w:bookmarkStart w:id="145" w:name="_Toc170302183"/>
      <w:r w:rsidRPr="008642D1">
        <w:t>Should the exceptions be amended?</w:t>
      </w:r>
      <w:bookmarkEnd w:id="145"/>
    </w:p>
    <w:p w14:paraId="5BD476EC" w14:textId="50CD7D78" w:rsidR="004B4C4A" w:rsidRPr="008642D1" w:rsidRDefault="004B4C4A" w:rsidP="004B4C4A">
      <w:pPr>
        <w:pStyle w:val="BodyText"/>
        <w:rPr>
          <w:color w:val="000000"/>
          <w:szCs w:val="20"/>
          <w:shd w:val="clear" w:color="auto" w:fill="FFFFFF"/>
        </w:rPr>
      </w:pPr>
      <w:r w:rsidRPr="008642D1">
        <w:t>We want to understand whether the exceptions in sections 43(1) and 46 should be amended to reflect any new grounds we propose. As explained, these exceptions currently permit the provision and maintenance of separate facilities for “each sex” on the grounds of public decency and public safety.</w:t>
      </w:r>
    </w:p>
    <w:p w14:paraId="00E332E0" w14:textId="77777777" w:rsidR="004B4C4A" w:rsidRPr="008642D1" w:rsidRDefault="004B4C4A" w:rsidP="004B4C4A">
      <w:pPr>
        <w:pStyle w:val="BodyText"/>
        <w:rPr>
          <w:color w:val="000000"/>
          <w:szCs w:val="20"/>
          <w:shd w:val="clear" w:color="auto" w:fill="FFFFFF"/>
        </w:rPr>
      </w:pPr>
      <w:r w:rsidRPr="008642D1">
        <w:t xml:space="preserve">We have identified a </w:t>
      </w:r>
      <w:r w:rsidRPr="008642D1" w:rsidDel="001207A0">
        <w:t xml:space="preserve">wide </w:t>
      </w:r>
      <w:r w:rsidRPr="008642D1">
        <w:t>spectrum of options below to encourage</w:t>
      </w:r>
      <w:r w:rsidRPr="008642D1" w:rsidDel="002556AF">
        <w:t xml:space="preserve"> a full range of</w:t>
      </w:r>
      <w:r w:rsidRPr="008642D1">
        <w:t xml:space="preserve"> feedback. </w:t>
      </w:r>
    </w:p>
    <w:p w14:paraId="27236782" w14:textId="77777777" w:rsidR="004B4C4A" w:rsidRPr="008642D1" w:rsidRDefault="004B4C4A" w:rsidP="004B4C4A">
      <w:pPr>
        <w:pStyle w:val="Heading3"/>
      </w:pPr>
      <w:r w:rsidRPr="008642D1">
        <w:t>Option 1: leave sections 43(1) and 46 unchanged</w:t>
      </w:r>
    </w:p>
    <w:p w14:paraId="1446BF8C" w14:textId="1EFA8BCF" w:rsidR="004B4C4A" w:rsidRPr="008642D1" w:rsidRDefault="004B4C4A" w:rsidP="004B4C4A">
      <w:pPr>
        <w:pStyle w:val="BodyText"/>
      </w:pPr>
      <w:r w:rsidRPr="008642D1">
        <w:t xml:space="preserve">Under this option, service providers could continue to provide separate facilities for men and women. This option would not explicitly entitle them to exclude a transgender person from a facility based on their sex assigned at birth. However, as we discussed generally in Chapter 8, this approach might perpetuate some uncertainty about whether a service provider could lawfully exclude someone on this basis. For example, a provider that wanted to exclude a transgender woman from a female toilet might argue that the exclusion was based on the person’s ‘biological’ sex rather than her gender identity. </w:t>
      </w:r>
    </w:p>
    <w:p w14:paraId="792F0A40" w14:textId="77777777" w:rsidR="004B4C4A" w:rsidRPr="008642D1" w:rsidRDefault="004B4C4A" w:rsidP="004B4C4A">
      <w:pPr>
        <w:pStyle w:val="BodyText"/>
      </w:pPr>
      <w:r w:rsidRPr="008642D1">
        <w:lastRenderedPageBreak/>
        <w:t>This approach (of having an exception for the ground of sex but not specifying its implications for people who are transgender) is taken by the Canadian provinces that have an exception related to single-sex facilities.</w:t>
      </w:r>
      <w:r w:rsidRPr="008642D1">
        <w:rPr>
          <w:rStyle w:val="FootnoteReference"/>
        </w:rPr>
        <w:footnoteReference w:id="562"/>
      </w:r>
    </w:p>
    <w:p w14:paraId="1CA93E23" w14:textId="77777777" w:rsidR="004B4C4A" w:rsidRPr="008642D1" w:rsidRDefault="004B4C4A" w:rsidP="004B4C4A">
      <w:pPr>
        <w:pStyle w:val="Heading3"/>
      </w:pPr>
      <w:r w:rsidRPr="008642D1">
        <w:t>Option 2: clarify that it is lawful to use a facility aligned with your gender identity</w:t>
      </w:r>
    </w:p>
    <w:p w14:paraId="23C190C5" w14:textId="078396AA" w:rsidR="004B4C4A" w:rsidRPr="008642D1" w:rsidRDefault="004B4C4A" w:rsidP="004B4C4A">
      <w:pPr>
        <w:pStyle w:val="BodyText"/>
      </w:pPr>
      <w:r w:rsidRPr="008642D1">
        <w:t>Option 2 would clarify that the exceptions for single-sex facilities do not entitle service providers to prevent someone from using a facility that aligns with their gender identity. We are interested to understand better how much difference this option would make in practice. We think it would probably be consistent with the status quo</w:t>
      </w:r>
      <w:r w:rsidR="00535D17">
        <w:t>,</w:t>
      </w:r>
      <w:r w:rsidRPr="008642D1">
        <w:t xml:space="preserve"> which is, in practice, that people select the bathroom with which they are most comfortable.</w:t>
      </w:r>
    </w:p>
    <w:p w14:paraId="53DB970E" w14:textId="77777777" w:rsidR="004B4C4A" w:rsidRPr="008642D1" w:rsidRDefault="004B4C4A" w:rsidP="004B4C4A">
      <w:pPr>
        <w:pStyle w:val="BodyText"/>
      </w:pPr>
      <w:r w:rsidRPr="008642D1">
        <w:t xml:space="preserve">We are not aware of precedents for this approach in comparable anti-discrimination statutes. </w:t>
      </w:r>
    </w:p>
    <w:p w14:paraId="2A3EC47C" w14:textId="77777777" w:rsidR="004B4C4A" w:rsidRPr="008642D1" w:rsidRDefault="004B4C4A" w:rsidP="004B4C4A">
      <w:pPr>
        <w:pStyle w:val="BodyText"/>
      </w:pPr>
      <w:r w:rsidRPr="008642D1">
        <w:t xml:space="preserve">This option would clarify the legal rights of people who are transgender. This might help to address concerns relating to people who are transgender being accosted in, or prevented from using, bathrooms or other facilities. </w:t>
      </w:r>
    </w:p>
    <w:p w14:paraId="45049F11" w14:textId="77777777" w:rsidR="004B4C4A" w:rsidRPr="008642D1" w:rsidRDefault="004B4C4A" w:rsidP="004B4C4A">
      <w:pPr>
        <w:pStyle w:val="BodyText"/>
      </w:pPr>
      <w:r w:rsidRPr="008642D1">
        <w:t>Unless it was paired with a requirement to introduce unisex facilities, this option would not address explicitly the situation of a person who identifies outside the gender binary (that is, as neither male nor female).</w:t>
      </w:r>
    </w:p>
    <w:p w14:paraId="5D5716BB" w14:textId="77777777" w:rsidR="004B4C4A" w:rsidRPr="008642D1" w:rsidRDefault="004B4C4A" w:rsidP="004B4C4A">
      <w:pPr>
        <w:pStyle w:val="BodyText"/>
      </w:pPr>
      <w:r w:rsidRPr="008642D1">
        <w:t>This option would not address safety and privacy concerns some people have raised about cisgender women and girls sharing single-sex facilities with transgender women.</w:t>
      </w:r>
    </w:p>
    <w:p w14:paraId="710FEFAE" w14:textId="77777777" w:rsidR="004B4C4A" w:rsidRPr="008642D1" w:rsidRDefault="004B4C4A" w:rsidP="004B4C4A">
      <w:pPr>
        <w:pStyle w:val="Heading3"/>
      </w:pPr>
      <w:r w:rsidRPr="008642D1">
        <w:t>Option 3: clarify that facilities can be separated based on sex assigned at birth</w:t>
      </w:r>
    </w:p>
    <w:p w14:paraId="0B6AC7B2" w14:textId="77777777" w:rsidR="004B4C4A" w:rsidRPr="008642D1" w:rsidRDefault="004B4C4A" w:rsidP="004B4C4A">
      <w:pPr>
        <w:pStyle w:val="BodyText"/>
      </w:pPr>
      <w:r w:rsidRPr="008642D1">
        <w:t>The</w:t>
      </w:r>
      <w:r w:rsidRPr="008642D1" w:rsidDel="00F94C73">
        <w:t xml:space="preserve"> </w:t>
      </w:r>
      <w:r w:rsidRPr="008642D1">
        <w:t xml:space="preserve">third option is to clarify that sections 43(1) and 46 permit service providers to exclude people from single-sex facilities that do not align with their sex assigned at birth. </w:t>
      </w:r>
    </w:p>
    <w:p w14:paraId="1A7BB748" w14:textId="77777777" w:rsidR="004B4C4A" w:rsidRPr="008642D1" w:rsidRDefault="004B4C4A" w:rsidP="004B4C4A">
      <w:pPr>
        <w:pStyle w:val="BodyText"/>
      </w:pPr>
      <w:r w:rsidRPr="008642D1">
        <w:t>We are interested to understand better how much difference this would make in practice. We are not aware of places in Aotearoa New Zealand that currently specify that transgender people are unwelcome in a bathroom that accords with their gender identity (although we accept some may exist). We are not sure how many providers would take the opportunity to do that should the law clarify that it is permissible.</w:t>
      </w:r>
    </w:p>
    <w:p w14:paraId="173300CD" w14:textId="39840B15" w:rsidR="004B4C4A" w:rsidRPr="008642D1" w:rsidRDefault="004B4C4A" w:rsidP="004B4C4A">
      <w:pPr>
        <w:pStyle w:val="BodyText"/>
      </w:pPr>
      <w:r w:rsidRPr="008642D1">
        <w:t>If providers did make use of this option, that would meet the safety and privacy concerns some people have raised about cisgender women and girls sharing bathrooms with transgender women. On the other hand, it may increase risks of bathroom use for people who are transgender or non-binary or who have a non-typical gender presentation for any other reason. As we have explained, people who are transgender or non-binary can be placed in danger when required to use bathrooms or changing rooms associated with their sex assigned at birth.</w:t>
      </w:r>
    </w:p>
    <w:p w14:paraId="1AB2826E" w14:textId="49F014B4" w:rsidR="004B4C4A" w:rsidRPr="008642D1" w:rsidRDefault="004B4C4A" w:rsidP="004B4C4A">
      <w:pPr>
        <w:pStyle w:val="BodyText"/>
      </w:pPr>
      <w:r w:rsidRPr="008642D1">
        <w:t xml:space="preserve">We wonder if this option might have some unintended consequences. As we discussed in Chapter 8, we are not aware of any current form of identification in Aotearoa New Zealand that proves a person’s sex assigned at birth. There is no requirement in any event that people carry identification when going about their lives or when entering bathrooms </w:t>
      </w:r>
      <w:r w:rsidRPr="008642D1">
        <w:lastRenderedPageBreak/>
        <w:t>and changing rooms</w:t>
      </w:r>
      <w:r w:rsidR="002C76A8">
        <w:t>. Therefore,</w:t>
      </w:r>
      <w:r w:rsidRPr="008642D1">
        <w:t xml:space="preserve"> this exception would likely be policed informally based on assumptions people make about the ‘biological’ sex of others based on their physical appearance. Even if this option was not intended to affect people with an innate variation of sex characteristics, we think it might do so to the extent they had a non-typical gender presentation. It might also affect other cisgender people who happen to have a non-typical gender expression. For example, we are aware of instances overseas of cisgender women being accosted in bathrooms by people who assume they are transgender because of the way they look and dress.</w:t>
      </w:r>
    </w:p>
    <w:p w14:paraId="4D427427" w14:textId="02EA1136" w:rsidR="004B4C4A" w:rsidRPr="008642D1" w:rsidRDefault="004B4C4A" w:rsidP="004B4C4A">
      <w:pPr>
        <w:pStyle w:val="Heading3"/>
      </w:pPr>
      <w:r w:rsidRPr="008642D1">
        <w:t xml:space="preserve">Option 4: clarify that facilities can be separated based on sex </w:t>
      </w:r>
      <w:r w:rsidR="00535D17">
        <w:t xml:space="preserve">recorded </w:t>
      </w:r>
      <w:r w:rsidRPr="008642D1">
        <w:t>on birth certificate</w:t>
      </w:r>
    </w:p>
    <w:p w14:paraId="096ECCDF" w14:textId="77777777" w:rsidR="004B4C4A" w:rsidRPr="008642D1" w:rsidRDefault="004B4C4A" w:rsidP="004B4C4A">
      <w:pPr>
        <w:pStyle w:val="BodyText"/>
      </w:pPr>
      <w:r w:rsidRPr="008642D1">
        <w:t>The</w:t>
      </w:r>
      <w:r w:rsidRPr="008642D1" w:rsidDel="000724AF">
        <w:t xml:space="preserve"> </w:t>
      </w:r>
      <w:r w:rsidRPr="008642D1">
        <w:t xml:space="preserve">fourth option is to clarify that sections 43(1) and 46 permit service providers to exclude people from single-sex facilities that do not align with the sex recorded on their birth certificate. </w:t>
      </w:r>
    </w:p>
    <w:p w14:paraId="7AB62C2C" w14:textId="2E5A8A5E" w:rsidR="004B4C4A" w:rsidRPr="008642D1" w:rsidRDefault="004B4C4A" w:rsidP="004B4C4A">
      <w:pPr>
        <w:pStyle w:val="BodyText"/>
      </w:pPr>
      <w:r w:rsidRPr="008642D1">
        <w:t xml:space="preserve">This option would mean that someone who has gone through the process in the Births, Deaths, Marriages and Relationships Registration Act 2020 to change the sex </w:t>
      </w:r>
      <w:r w:rsidR="00721F98">
        <w:t xml:space="preserve">recorded </w:t>
      </w:r>
      <w:r w:rsidRPr="008642D1">
        <w:t>on their birth certificate would be legally entitled to use a facility aligning with their nominated sex.</w:t>
      </w:r>
      <w:r w:rsidRPr="008642D1">
        <w:rPr>
          <w:rStyle w:val="CommentReference"/>
          <w:rFonts w:eastAsiaTheme="minorHAnsi" w:cstheme="minorBidi"/>
          <w:color w:val="auto"/>
          <w:lang w:eastAsia="en-US"/>
        </w:rPr>
        <w:t xml:space="preserve"> </w:t>
      </w:r>
      <w:r w:rsidRPr="008642D1">
        <w:t xml:space="preserve"> </w:t>
      </w:r>
    </w:p>
    <w:p w14:paraId="39C997C9" w14:textId="065314EA" w:rsidR="004B4C4A" w:rsidRPr="008642D1" w:rsidRDefault="004B4C4A" w:rsidP="004B4C4A">
      <w:pPr>
        <w:pStyle w:val="BodyText"/>
      </w:pPr>
      <w:r w:rsidRPr="008642D1">
        <w:t>This would mean that some transgender people could use a facility that aligned with their gender identity</w:t>
      </w:r>
      <w:r w:rsidR="00BD1C49">
        <w:t>,</w:t>
      </w:r>
      <w:r w:rsidRPr="008642D1">
        <w:t xml:space="preserve"> but not all. We understand that not all transgender people go through the process of changing their sex </w:t>
      </w:r>
      <w:r w:rsidR="00721F98">
        <w:t xml:space="preserve">recorded </w:t>
      </w:r>
      <w:r w:rsidRPr="008642D1">
        <w:t>on their birth certificate whether due to preference or barriers to access (for example, for people born overseas or young people).</w:t>
      </w:r>
      <w:r w:rsidR="0053776E">
        <w:t xml:space="preserve"> </w:t>
      </w:r>
      <w:r w:rsidRPr="008642D1">
        <w:t>As a result, this option would have a mixed application. It would only partially meet the safety and privacy concerns some people have raised about cisgender women and girls sharing facilities with transgender women</w:t>
      </w:r>
      <w:r w:rsidR="00ED5FB3">
        <w:t>,</w:t>
      </w:r>
      <w:r w:rsidRPr="008642D1">
        <w:t xml:space="preserve"> </w:t>
      </w:r>
      <w:r w:rsidR="00ED5FB3">
        <w:t>a</w:t>
      </w:r>
      <w:r w:rsidRPr="008642D1">
        <w:t xml:space="preserve">nd it would only partially meet the safety and accessibility concerns of people who are transgender </w:t>
      </w:r>
      <w:r w:rsidR="007B2870">
        <w:t>or</w:t>
      </w:r>
      <w:r w:rsidR="007B2870" w:rsidRPr="008642D1">
        <w:t xml:space="preserve"> </w:t>
      </w:r>
      <w:r w:rsidRPr="008642D1">
        <w:t xml:space="preserve">non-binary. It may also cause issues for people who have </w:t>
      </w:r>
      <w:r w:rsidR="00721F98" w:rsidRPr="008642D1">
        <w:t xml:space="preserve">their nominated sex </w:t>
      </w:r>
      <w:r w:rsidRPr="008642D1">
        <w:t>on their birth certificate</w:t>
      </w:r>
      <w:r w:rsidR="00721F98" w:rsidRPr="00721F98">
        <w:t xml:space="preserve"> </w:t>
      </w:r>
      <w:r w:rsidR="00721F98" w:rsidRPr="008642D1">
        <w:t>recorded as non-binary</w:t>
      </w:r>
      <w:r w:rsidRPr="008642D1">
        <w:t xml:space="preserve">. </w:t>
      </w:r>
    </w:p>
    <w:p w14:paraId="05D0C0FB" w14:textId="77777777" w:rsidR="004B4C4A" w:rsidRPr="008642D1" w:rsidRDefault="004B4C4A" w:rsidP="004B4C4A">
      <w:pPr>
        <w:pStyle w:val="BodyText"/>
      </w:pPr>
      <w:r w:rsidRPr="008642D1">
        <w:t xml:space="preserve">As with option 3, we are interested to understand better how much difference this option would make in practice. We are also interested to understand better how it might operate given people in Aotearoa New Zealand are not usually asked to present identification when entering a bathroom or changing room. </w:t>
      </w:r>
    </w:p>
    <w:p w14:paraId="3488112F" w14:textId="4290C470" w:rsidR="004B4C4A" w:rsidRPr="008642D1" w:rsidRDefault="004B4C4A" w:rsidP="004B4C4A">
      <w:pPr>
        <w:pStyle w:val="Heading3"/>
      </w:pPr>
      <w:r w:rsidRPr="008642D1">
        <w:t xml:space="preserve">Possible additional requirements alongside option 3 or 4  </w:t>
      </w:r>
    </w:p>
    <w:p w14:paraId="63081429" w14:textId="77777777" w:rsidR="004B4C4A" w:rsidRPr="008642D1" w:rsidRDefault="004B4C4A" w:rsidP="004B4C4A">
      <w:pPr>
        <w:pStyle w:val="BodyText"/>
      </w:pPr>
      <w:r w:rsidRPr="008642D1">
        <w:t>Because options 3 and 4 would extend the scope of the current exceptions, if one of these were adopted, it might be worth considering one or more additional reforms to mitigate the risks posed to people who are (or who may be perceived as) transgender or non-binary.</w:t>
      </w:r>
    </w:p>
    <w:p w14:paraId="47FA4BCD" w14:textId="77777777" w:rsidR="004B4C4A" w:rsidRPr="008642D1" w:rsidRDefault="004B4C4A" w:rsidP="004B4C4A">
      <w:pPr>
        <w:pStyle w:val="Heading4"/>
      </w:pPr>
      <w:r w:rsidRPr="008642D1">
        <w:t xml:space="preserve">Change the threshold for the exceptions in sections 43(1) and 46 to apply </w:t>
      </w:r>
    </w:p>
    <w:p w14:paraId="683AC851" w14:textId="45E58448" w:rsidR="004B4C4A" w:rsidRPr="008642D1" w:rsidRDefault="004B4C4A" w:rsidP="004B4C4A">
      <w:pPr>
        <w:pStyle w:val="BodyText"/>
        <w:rPr>
          <w:color w:val="262626" w:themeColor="text1" w:themeTint="D9"/>
        </w:rPr>
      </w:pPr>
      <w:r w:rsidRPr="008642D1">
        <w:t xml:space="preserve">It may be worth considering whether to supplement or replace the current threshold of “on the ground of public decency or public safety” with a requirement of reasonableness. There are overseas models for this. </w:t>
      </w:r>
      <w:r w:rsidRPr="008642D1">
        <w:rPr>
          <w:color w:val="000000"/>
          <w:shd w:val="clear" w:color="auto" w:fill="FFFFFF"/>
        </w:rPr>
        <w:t>For example, in Ireland, an exception to the prohibition on gender discrimination with respect to goods and services applies where</w:t>
      </w:r>
      <w:r w:rsidRPr="008642D1">
        <w:rPr>
          <w:color w:val="000000"/>
          <w:sz w:val="18"/>
          <w:szCs w:val="18"/>
          <w:shd w:val="clear" w:color="auto" w:fill="FFFFFF"/>
          <w:vertAlign w:val="superscript"/>
        </w:rPr>
        <w:t xml:space="preserve"> </w:t>
      </w:r>
      <w:r w:rsidRPr="008642D1">
        <w:rPr>
          <w:color w:val="000000"/>
          <w:shd w:val="clear" w:color="auto" w:fill="FFFFFF"/>
        </w:rPr>
        <w:t xml:space="preserve">embarrassment or infringement of privacy can reasonably be expected to result from the </w:t>
      </w:r>
      <w:r w:rsidRPr="008642D1">
        <w:rPr>
          <w:color w:val="000000"/>
          <w:shd w:val="clear" w:color="auto" w:fill="FFFFFF"/>
        </w:rPr>
        <w:lastRenderedPageBreak/>
        <w:t>presence of a person of another gender.</w:t>
      </w:r>
      <w:r w:rsidRPr="008642D1">
        <w:rPr>
          <w:rStyle w:val="FootnoteReference"/>
          <w:shd w:val="clear" w:color="auto" w:fill="FFFFFF"/>
        </w:rPr>
        <w:footnoteReference w:id="563"/>
      </w:r>
      <w:r w:rsidRPr="008642D1">
        <w:rPr>
          <w:color w:val="000000"/>
          <w:shd w:val="clear" w:color="auto" w:fill="FFFFFF"/>
        </w:rPr>
        <w:t xml:space="preserve"> </w:t>
      </w:r>
      <w:r w:rsidRPr="008642D1">
        <w:t>The United Kingdom has an exception permitting gender reassignment discrimination where single-sex services are provided but only if the discrimination is a proportionate means of achieving a legitimate aim.</w:t>
      </w:r>
      <w:r w:rsidRPr="008642D1">
        <w:rPr>
          <w:rStyle w:val="FootnoteReference"/>
        </w:rPr>
        <w:footnoteReference w:id="564"/>
      </w:r>
      <w:r w:rsidRPr="008642D1">
        <w:t xml:space="preserve"> </w:t>
      </w:r>
    </w:p>
    <w:p w14:paraId="3223CB41" w14:textId="77777777" w:rsidR="004B4C4A" w:rsidRPr="008642D1" w:rsidRDefault="004B4C4A" w:rsidP="004B4C4A">
      <w:pPr>
        <w:pStyle w:val="BodyText"/>
      </w:pPr>
      <w:r w:rsidRPr="008642D1">
        <w:t xml:space="preserve">A reasonableness threshold might ensure a more nuanced balancing of relevant rights and interests. The downside would be uncertainty for the providers and users of such facilities because what is reasonable or proportionate would ultimately need to be determined by a court or tribunal. </w:t>
      </w:r>
    </w:p>
    <w:p w14:paraId="223951CF" w14:textId="77777777" w:rsidR="004B4C4A" w:rsidRPr="008642D1" w:rsidRDefault="004B4C4A" w:rsidP="004B4C4A">
      <w:pPr>
        <w:pStyle w:val="Heading4"/>
      </w:pPr>
      <w:r w:rsidRPr="008642D1">
        <w:t>Combine option 3 or 4 with a requirement to provide unisex facilities</w:t>
      </w:r>
    </w:p>
    <w:p w14:paraId="0C0439D6" w14:textId="77777777" w:rsidR="004B4C4A" w:rsidRPr="008642D1" w:rsidRDefault="004B4C4A" w:rsidP="004B4C4A">
      <w:pPr>
        <w:pStyle w:val="BodyText"/>
      </w:pPr>
      <w:r w:rsidRPr="008642D1">
        <w:t xml:space="preserve">As we explained above, a requirement to provide unisex facilities could sit alongside any of the options for reform of sections 43(1) and 46. However, the case for introducing such a requirement could be stronger if option 3 or 4 was adopted. That is because these options would expand the scope of the exceptions and could increase safety risks for people who are (or who look like they are) transgender. </w:t>
      </w:r>
    </w:p>
    <w:p w14:paraId="192B6CBC" w14:textId="77777777" w:rsidR="004B4C4A" w:rsidRPr="008642D1" w:rsidRDefault="004B4C4A" w:rsidP="004B4C4A">
      <w:pPr>
        <w:pStyle w:val="BodyText"/>
      </w:pPr>
      <w:r w:rsidRPr="008642D1">
        <w:t>If option 3 or 4 was combined with a requirement to provide unisex facilities, service providers could either ensure all their facilities were unisex or provide a combination of single-sex and unisex facilities. To the extent they retained single-sex facilities, they would be entitled to require that people only use a single-sex facility that aligns with their sex assigned at birth (option 3) or birth certificate (option 4).</w:t>
      </w:r>
    </w:p>
    <w:p w14:paraId="31F71F4C" w14:textId="1F92D37A" w:rsidR="004B4C4A" w:rsidRPr="008642D1" w:rsidRDefault="004B4C4A" w:rsidP="004B4C4A">
      <w:pPr>
        <w:pStyle w:val="BodyText"/>
      </w:pPr>
      <w:r w:rsidRPr="008642D1">
        <w:t>The wider availability of unisex facilities would help to mitigate the safety concerns associated with options 3 and 4 for people who are (or who look like they are) transgender but may not address them entirely. We have heard anecdotally, for example, about the dangers for transgender young people of being ‘outed’ if they are not permitted to use a bathroom aligning with their gender identity and instead must use a unisex facility.</w:t>
      </w:r>
      <w:r w:rsidRPr="008642D1">
        <w:rPr>
          <w:rStyle w:val="FootnoteReference"/>
        </w:rPr>
        <w:footnoteReference w:id="565"/>
      </w:r>
      <w:r w:rsidRPr="008642D1">
        <w:t xml:space="preserve"> We have also heard of young people having to cross large distances across a school campus to use the only available unisex facility. We would like to understand better whether these issues arise primarily in schools or whether they also arise in the contexts that are covered by sections 42 and 44. </w:t>
      </w:r>
    </w:p>
    <w:p w14:paraId="70786685" w14:textId="445C5777" w:rsidR="004B4C4A" w:rsidRPr="008642D1" w:rsidRDefault="002465D9" w:rsidP="004B4C4A">
      <w:pPr>
        <w:pStyle w:val="BodyText"/>
      </w:pPr>
      <w:r w:rsidRPr="008642D1">
        <w:rPr>
          <w:noProof/>
        </w:rPr>
        <mc:AlternateContent>
          <mc:Choice Requires="wpg">
            <w:drawing>
              <wp:anchor distT="0" distB="0" distL="114300" distR="114300" simplePos="0" relativeHeight="251658362" behindDoc="1" locked="0" layoutInCell="1" allowOverlap="1" wp14:anchorId="4CFC76A8" wp14:editId="2B1A27BA">
                <wp:simplePos x="0" y="0"/>
                <wp:positionH relativeFrom="column">
                  <wp:posOffset>-6247</wp:posOffset>
                </wp:positionH>
                <wp:positionV relativeFrom="paragraph">
                  <wp:posOffset>634970</wp:posOffset>
                </wp:positionV>
                <wp:extent cx="5760085" cy="3062138"/>
                <wp:effectExtent l="0" t="0" r="0" b="5080"/>
                <wp:wrapNone/>
                <wp:docPr id="402157545" name="Group 402157545" descr="Question"/>
                <wp:cNvGraphicFramePr/>
                <a:graphic xmlns:a="http://schemas.openxmlformats.org/drawingml/2006/main">
                  <a:graphicData uri="http://schemas.microsoft.com/office/word/2010/wordprocessingGroup">
                    <wpg:wgp>
                      <wpg:cNvGrpSpPr/>
                      <wpg:grpSpPr>
                        <a:xfrm>
                          <a:off x="0" y="0"/>
                          <a:ext cx="5760085" cy="3062138"/>
                          <a:chOff x="0" y="62865"/>
                          <a:chExt cx="5760085" cy="3065085"/>
                        </a:xfrm>
                      </wpg:grpSpPr>
                      <wps:wsp>
                        <wps:cNvPr id="32899088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2B63C6" w14:textId="2572CAC9" w:rsidR="004B4C4A" w:rsidRDefault="004B4C4A" w:rsidP="004B4C4A">
                              <w:pPr>
                                <w:pStyle w:val="BoxTitle"/>
                                <w:spacing w:before="0" w:beforeAutospacing="0"/>
                              </w:pPr>
                              <w:r w:rsidRPr="007F6876">
                                <w:t>QUESTION</w:t>
                              </w:r>
                              <w:r w:rsidR="009725D9">
                                <w:t>S</w:t>
                              </w:r>
                            </w:p>
                          </w:txbxContent>
                        </wps:txbx>
                        <wps:bodyPr rot="0" vert="horz" wrap="square" lIns="91440" tIns="0" rIns="0" bIns="45720" anchor="ctr" anchorCtr="0" upright="1">
                          <a:noAutofit/>
                        </wps:bodyPr>
                      </wps:wsp>
                      <wpg:grpSp>
                        <wpg:cNvPr id="45022668" name="Group 53"/>
                        <wpg:cNvGrpSpPr>
                          <a:grpSpLocks/>
                        </wpg:cNvGrpSpPr>
                        <wpg:grpSpPr bwMode="auto">
                          <a:xfrm>
                            <a:off x="0" y="315984"/>
                            <a:ext cx="5760085" cy="2811966"/>
                            <a:chOff x="1837" y="1789"/>
                            <a:chExt cx="9302" cy="30374"/>
                          </a:xfrm>
                        </wpg:grpSpPr>
                        <wps:wsp>
                          <wps:cNvPr id="2101881800" name="Freeform 54"/>
                          <wps:cNvSpPr>
                            <a:spLocks/>
                          </wps:cNvSpPr>
                          <wps:spPr bwMode="auto">
                            <a:xfrm>
                              <a:off x="1837" y="1789"/>
                              <a:ext cx="9302" cy="3037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1477465" name="Group 2131477465"/>
                        <wpg:cNvGrpSpPr/>
                        <wpg:grpSpPr>
                          <a:xfrm>
                            <a:off x="0" y="494036"/>
                            <a:ext cx="1443794" cy="252000"/>
                            <a:chOff x="-15880" y="0"/>
                            <a:chExt cx="1444379" cy="252068"/>
                          </a:xfrm>
                        </wpg:grpSpPr>
                        <wps:wsp>
                          <wps:cNvPr id="209511201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1029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152827" w14:textId="036787F6" w:rsidR="004B4C4A" w:rsidRPr="00E90B8A" w:rsidRDefault="004B4C4A" w:rsidP="004B4C4A">
                                <w:pPr>
                                  <w:pStyle w:val="BoxTitle"/>
                                  <w:spacing w:before="0" w:beforeAutospacing="0"/>
                                  <w:rPr>
                                    <w:sz w:val="18"/>
                                    <w:szCs w:val="18"/>
                                  </w:rPr>
                                </w:pPr>
                                <w:r w:rsidRPr="00E90B8A">
                                  <w:rPr>
                                    <w:sz w:val="18"/>
                                    <w:szCs w:val="18"/>
                                  </w:rPr>
                                  <w:t>Q</w:t>
                                </w:r>
                                <w:r w:rsidR="006A10D7">
                                  <w:rPr>
                                    <w:sz w:val="18"/>
                                    <w:szCs w:val="18"/>
                                  </w:rPr>
                                  <w:t>59</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CFC76A8" id="Group 402157545" o:spid="_x0000_s1344" alt="Question" style="position:absolute;left:0;text-align:left;margin-left:-.5pt;margin-top:50pt;width:453.55pt;height:241.1pt;z-index:-251658118;mso-height-relative:margin" coordorigin=",628" coordsize="57600,3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">
                <v:shape id="Freeform 52" o:spid="_x0000_s1345"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12B63C6" w14:textId="2572CAC9" w:rsidR="004B4C4A" w:rsidRDefault="004B4C4A" w:rsidP="004B4C4A">
                        <w:pPr>
                          <w:pStyle w:val="BoxTitle"/>
                          <w:spacing w:before="0" w:beforeAutospacing="0"/>
                        </w:pPr>
                        <w:r w:rsidRPr="007F6876">
                          <w:t>QUESTION</w:t>
                        </w:r>
                        <w:r w:rsidR="009725D9">
                          <w:t>S</w:t>
                        </w:r>
                      </w:p>
                    </w:txbxContent>
                  </v:textbox>
                </v:shape>
                <v:group id="Group 53" o:spid="_x0000_s1346" style="position:absolute;top:3159;width:57600;height:28120" coordorigin="1837,1789" coordsize="9302,3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">
                  <v:shape id="Freeform 54" o:spid="_x0000_s1347" style="position:absolute;left:1837;top:1789;width:9302;height:3037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" path="m,l9354,r,7809l,7809,,e" fillcolor="#edf2ea" stroked="f">
                    <v:path arrowok="t" o:connecttype="custom" o:connectlocs="0,3890;9302,3890;9302,34264;0,34264;0,3890" o:connectangles="0,0,0,0,0"/>
                  </v:shape>
                </v:group>
                <v:group id="Group 2131477465" o:spid="_x0000_s1348"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">
                  <v:shape id="Freeform 58" o:spid="_x0000_s134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" path="m,l1815,e" filled="f" strokecolor="#72ab6a" strokeweight=".5pt">
                    <v:path arrowok="t" o:connecttype="custom" o:connectlocs="0,0;1073495,0" o:connectangles="0,0"/>
                  </v:shape>
                  <v:shape id="Freeform 66" o:spid="_x0000_s135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9152827" w14:textId="036787F6" w:rsidR="004B4C4A" w:rsidRPr="00E90B8A" w:rsidRDefault="004B4C4A" w:rsidP="004B4C4A">
                          <w:pPr>
                            <w:pStyle w:val="BoxTitle"/>
                            <w:spacing w:before="0" w:beforeAutospacing="0"/>
                            <w:rPr>
                              <w:sz w:val="18"/>
                              <w:szCs w:val="18"/>
                            </w:rPr>
                          </w:pPr>
                          <w:r w:rsidRPr="00E90B8A">
                            <w:rPr>
                              <w:sz w:val="18"/>
                              <w:szCs w:val="18"/>
                            </w:rPr>
                            <w:t>Q</w:t>
                          </w:r>
                          <w:r w:rsidR="006A10D7">
                            <w:rPr>
                              <w:sz w:val="18"/>
                              <w:szCs w:val="18"/>
                            </w:rPr>
                            <w:t>59</w:t>
                          </w:r>
                        </w:p>
                      </w:txbxContent>
                    </v:textbox>
                  </v:shape>
                </v:group>
              </v:group>
            </w:pict>
          </mc:Fallback>
        </mc:AlternateContent>
      </w:r>
      <w:r w:rsidR="004B4C4A" w:rsidRPr="008642D1">
        <w:t xml:space="preserve">Other criticisms we have read about banning people who are transgender from facilities associated with their gender and requiring them to use a unisex facility </w:t>
      </w:r>
      <w:r w:rsidR="009B5368">
        <w:t>are</w:t>
      </w:r>
      <w:r w:rsidR="004B4C4A" w:rsidRPr="008642D1">
        <w:t xml:space="preserve"> that it is ‘othering’ and that it displaces people from their gender identities.</w:t>
      </w:r>
      <w:r w:rsidR="004B4C4A" w:rsidRPr="008642D1">
        <w:rPr>
          <w:vertAlign w:val="superscript"/>
        </w:rPr>
        <w:footnoteReference w:id="566"/>
      </w:r>
      <w:r w:rsidR="004B4C4A" w:rsidRPr="008642D1">
        <w:t xml:space="preserve"> </w:t>
      </w:r>
    </w:p>
    <w:p w14:paraId="60FB1FE3" w14:textId="35C43CC6" w:rsidR="004B4C4A" w:rsidRPr="008642D1" w:rsidRDefault="004B4C4A" w:rsidP="004B4C4A">
      <w:pPr>
        <w:pStyle w:val="QuestionBox"/>
      </w:pPr>
    </w:p>
    <w:p w14:paraId="20FE2703" w14:textId="77777777" w:rsidR="004B4C4A" w:rsidRPr="008642D1" w:rsidRDefault="004B4C4A" w:rsidP="004B4C4A">
      <w:pPr>
        <w:pStyle w:val="QuestionBox"/>
      </w:pPr>
    </w:p>
    <w:p w14:paraId="632832B4" w14:textId="77777777" w:rsidR="00310DCA" w:rsidRDefault="00B174AE" w:rsidP="004B4C4A">
      <w:pPr>
        <w:pStyle w:val="QuestionBox"/>
      </w:pPr>
      <w:r w:rsidRPr="00B174AE">
        <w:t>If new grounds of discrimination are added to the Human Rights Act 1993 to protect people who are transgender or non-binary or who have an innate variation of sex characteristics, should the single-sex facilities exceptions in sections 43(1) and 46 be amended to reflect those new grounds?</w:t>
      </w:r>
    </w:p>
    <w:p w14:paraId="5E034DE5" w14:textId="27985359" w:rsidR="00F557D0" w:rsidRDefault="00994563" w:rsidP="004B4C4A">
      <w:pPr>
        <w:pStyle w:val="QuestionBox"/>
      </w:pPr>
      <w:r w:rsidRPr="008642D1">
        <w:rPr>
          <w:noProof/>
        </w:rPr>
        <w:lastRenderedPageBreak/>
        <mc:AlternateContent>
          <mc:Choice Requires="wpg">
            <w:drawing>
              <wp:anchor distT="0" distB="0" distL="114300" distR="114300" simplePos="0" relativeHeight="251676813" behindDoc="1" locked="0" layoutInCell="1" allowOverlap="1" wp14:anchorId="30F0FE51" wp14:editId="6414A399">
                <wp:simplePos x="0" y="0"/>
                <wp:positionH relativeFrom="column">
                  <wp:posOffset>0</wp:posOffset>
                </wp:positionH>
                <wp:positionV relativeFrom="paragraph">
                  <wp:posOffset>158277</wp:posOffset>
                </wp:positionV>
                <wp:extent cx="1443355" cy="251460"/>
                <wp:effectExtent l="0" t="0" r="42545" b="0"/>
                <wp:wrapNone/>
                <wp:docPr id="1625208909"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49667172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272507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9BC89D" w14:textId="45A183DD" w:rsidR="00994563" w:rsidRPr="00E90B8A" w:rsidRDefault="00994563" w:rsidP="00994563">
                              <w:pPr>
                                <w:pStyle w:val="BoxTitle"/>
                                <w:spacing w:before="0" w:beforeAutospacing="0"/>
                                <w:rPr>
                                  <w:sz w:val="18"/>
                                  <w:szCs w:val="18"/>
                                </w:rPr>
                              </w:pPr>
                              <w:r w:rsidRPr="00E90B8A">
                                <w:rPr>
                                  <w:sz w:val="18"/>
                                  <w:szCs w:val="18"/>
                                </w:rPr>
                                <w:t>Q</w:t>
                              </w:r>
                              <w:r>
                                <w:rPr>
                                  <w:sz w:val="18"/>
                                  <w:szCs w:val="18"/>
                                </w:rPr>
                                <w:t>60</w:t>
                              </w:r>
                            </w:p>
                          </w:txbxContent>
                        </wps:txbx>
                        <wps:bodyPr rot="0" vert="horz" wrap="square" lIns="54000" tIns="82800" rIns="91440" bIns="45720" anchor="ctr" anchorCtr="0" upright="1">
                          <a:noAutofit/>
                        </wps:bodyPr>
                      </wps:wsp>
                    </wpg:wgp>
                  </a:graphicData>
                </a:graphic>
              </wp:anchor>
            </w:drawing>
          </mc:Choice>
          <mc:Fallback>
            <w:pict>
              <v:group w14:anchorId="30F0FE51" id="_x0000_s1351" style="position:absolute;left:0;text-align:left;margin-left:0;margin-top:12.45pt;width:113.65pt;height:19.8pt;z-index:-25163966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">
                <v:shape id="Freeform 58" o:spid="_x0000_s135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" path="m,l1815,e" filled="f" strokecolor="#72ab6a" strokeweight=".5pt">
                  <v:path arrowok="t" o:connecttype="custom" o:connectlocs="0,0;1073495,0" o:connectangles="0,0"/>
                </v:shape>
                <v:shape id="Freeform 66" o:spid="_x0000_s135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09BC89D" w14:textId="45A183DD" w:rsidR="00994563" w:rsidRPr="00E90B8A" w:rsidRDefault="00994563" w:rsidP="00994563">
                        <w:pPr>
                          <w:pStyle w:val="BoxTitle"/>
                          <w:spacing w:before="0" w:beforeAutospacing="0"/>
                          <w:rPr>
                            <w:sz w:val="18"/>
                            <w:szCs w:val="18"/>
                          </w:rPr>
                        </w:pPr>
                        <w:r w:rsidRPr="00E90B8A">
                          <w:rPr>
                            <w:sz w:val="18"/>
                            <w:szCs w:val="18"/>
                          </w:rPr>
                          <w:t>Q</w:t>
                        </w:r>
                        <w:r>
                          <w:rPr>
                            <w:sz w:val="18"/>
                            <w:szCs w:val="18"/>
                          </w:rPr>
                          <w:t>60</w:t>
                        </w:r>
                      </w:p>
                    </w:txbxContent>
                  </v:textbox>
                </v:shape>
              </v:group>
            </w:pict>
          </mc:Fallback>
        </mc:AlternateContent>
      </w:r>
    </w:p>
    <w:p w14:paraId="030271C4" w14:textId="49E9C0DA" w:rsidR="0059477D" w:rsidRDefault="00310DCA" w:rsidP="004B4C4A">
      <w:pPr>
        <w:pStyle w:val="QuestionBox"/>
      </w:pPr>
      <w:r w:rsidRPr="00310DCA">
        <w:t>If options 3 or 4 are adopted, are other reforms desirable to mitigate the potential risks of these options for people who are transgender or non-binary?</w:t>
      </w:r>
    </w:p>
    <w:p w14:paraId="44E1FCA9" w14:textId="5456C9DC" w:rsidR="004B4C4A" w:rsidRPr="008642D1" w:rsidRDefault="00994563" w:rsidP="004B4C4A">
      <w:pPr>
        <w:pStyle w:val="QuestionBox"/>
      </w:pPr>
      <w:r w:rsidRPr="008642D1">
        <w:rPr>
          <w:noProof/>
        </w:rPr>
        <mc:AlternateContent>
          <mc:Choice Requires="wpg">
            <w:drawing>
              <wp:anchor distT="0" distB="0" distL="114300" distR="114300" simplePos="0" relativeHeight="251678861" behindDoc="1" locked="0" layoutInCell="1" allowOverlap="1" wp14:anchorId="1E7FBF02" wp14:editId="046DB0A6">
                <wp:simplePos x="0" y="0"/>
                <wp:positionH relativeFrom="column">
                  <wp:posOffset>0</wp:posOffset>
                </wp:positionH>
                <wp:positionV relativeFrom="paragraph">
                  <wp:posOffset>169072</wp:posOffset>
                </wp:positionV>
                <wp:extent cx="1443355" cy="251460"/>
                <wp:effectExtent l="0" t="0" r="42545" b="0"/>
                <wp:wrapNone/>
                <wp:docPr id="1450000651"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59965626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41949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C14902" w14:textId="77777777" w:rsidR="00994563" w:rsidRPr="00E90B8A" w:rsidRDefault="00994563" w:rsidP="00994563">
                              <w:pPr>
                                <w:pStyle w:val="BoxTitle"/>
                                <w:spacing w:before="0" w:beforeAutospacing="0"/>
                                <w:rPr>
                                  <w:sz w:val="18"/>
                                  <w:szCs w:val="18"/>
                                </w:rPr>
                              </w:pPr>
                              <w:r w:rsidRPr="00E90B8A">
                                <w:rPr>
                                  <w:sz w:val="18"/>
                                  <w:szCs w:val="18"/>
                                </w:rPr>
                                <w:t>Q</w:t>
                              </w:r>
                              <w:r>
                                <w:rPr>
                                  <w:sz w:val="18"/>
                                  <w:szCs w:val="18"/>
                                </w:rPr>
                                <w:t>61</w:t>
                              </w:r>
                            </w:p>
                          </w:txbxContent>
                        </wps:txbx>
                        <wps:bodyPr rot="0" vert="horz" wrap="square" lIns="54000" tIns="82800" rIns="91440" bIns="45720" anchor="ctr" anchorCtr="0" upright="1">
                          <a:noAutofit/>
                        </wps:bodyPr>
                      </wps:wsp>
                    </wpg:wgp>
                  </a:graphicData>
                </a:graphic>
              </wp:anchor>
            </w:drawing>
          </mc:Choice>
          <mc:Fallback>
            <w:pict>
              <v:group w14:anchorId="1E7FBF02" id="_x0000_s1354" style="position:absolute;left:0;text-align:left;margin-left:0;margin-top:13.3pt;width:113.65pt;height:19.8pt;z-index:-251637619"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">
                <v:shape id="Freeform 58" o:spid="_x0000_s135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" path="m,l1815,e" filled="f" strokecolor="#72ab6a" strokeweight=".5pt">
                  <v:path arrowok="t" o:connecttype="custom" o:connectlocs="0,0;1073495,0" o:connectangles="0,0"/>
                </v:shape>
                <v:shape id="Freeform 66" o:spid="_x0000_s135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CC14902" w14:textId="77777777" w:rsidR="00994563" w:rsidRPr="00E90B8A" w:rsidRDefault="00994563" w:rsidP="00994563">
                        <w:pPr>
                          <w:pStyle w:val="BoxTitle"/>
                          <w:spacing w:before="0" w:beforeAutospacing="0"/>
                          <w:rPr>
                            <w:sz w:val="18"/>
                            <w:szCs w:val="18"/>
                          </w:rPr>
                        </w:pPr>
                        <w:r w:rsidRPr="00E90B8A">
                          <w:rPr>
                            <w:sz w:val="18"/>
                            <w:szCs w:val="18"/>
                          </w:rPr>
                          <w:t>Q</w:t>
                        </w:r>
                        <w:r>
                          <w:rPr>
                            <w:sz w:val="18"/>
                            <w:szCs w:val="18"/>
                          </w:rPr>
                          <w:t>61</w:t>
                        </w:r>
                      </w:p>
                    </w:txbxContent>
                  </v:textbox>
                </v:shape>
              </v:group>
            </w:pict>
          </mc:Fallback>
        </mc:AlternateContent>
      </w:r>
      <w:r w:rsidR="00310DCA" w:rsidRPr="00310DCA">
        <w:t xml:space="preserve"> </w:t>
      </w:r>
    </w:p>
    <w:p w14:paraId="00ED4EE8" w14:textId="2BE6E7C9" w:rsidR="004B4C4A" w:rsidRPr="008642D1" w:rsidRDefault="0059477D" w:rsidP="004B4C4A">
      <w:pPr>
        <w:pStyle w:val="QuestionBox"/>
      </w:pPr>
      <w:r w:rsidRPr="0059477D">
        <w:t>Do you have any additional feedback on the practical implications of amending the exceptions in sections 43(1) and 46?</w:t>
      </w:r>
      <w:r w:rsidR="004B4C4A" w:rsidRPr="008642D1">
        <w:t xml:space="preserve"> </w:t>
      </w:r>
    </w:p>
    <w:p w14:paraId="121A501C" w14:textId="77777777" w:rsidR="004B4C4A" w:rsidRPr="008642D1" w:rsidRDefault="004B4C4A" w:rsidP="004B4C4A">
      <w:pPr>
        <w:pStyle w:val="QuestionBox"/>
      </w:pPr>
    </w:p>
    <w:p w14:paraId="2AF8CFB5" w14:textId="77777777" w:rsidR="004B4C4A" w:rsidRPr="008642D1" w:rsidRDefault="004B4C4A" w:rsidP="004B4C4A">
      <w:pPr>
        <w:pStyle w:val="Heading2"/>
        <w:tabs>
          <w:tab w:val="left" w:pos="6989"/>
        </w:tabs>
      </w:pPr>
      <w:bookmarkStart w:id="146" w:name="_Toc170302184"/>
      <w:r w:rsidRPr="008642D1">
        <w:t>Single-sex facilities in schools and workplaces</w:t>
      </w:r>
      <w:bookmarkEnd w:id="146"/>
      <w:r w:rsidRPr="008642D1">
        <w:tab/>
      </w:r>
    </w:p>
    <w:p w14:paraId="264519CA" w14:textId="27E85E9E" w:rsidR="004B4C4A" w:rsidRPr="008642D1" w:rsidRDefault="004B4C4A" w:rsidP="004B4C4A">
      <w:pPr>
        <w:pStyle w:val="BodyText"/>
      </w:pPr>
      <w:r w:rsidRPr="008642D1">
        <w:t>The analysis in this chapter so far has focused on sections 42 and 44 (relating to access for the public to goods, services, facilities and places) and the exceptions to them. Single-sex facilities are, however, also common in employment and education settings, which are regulated by other sections in the Human Rights Act. There are some differences in how the Act treats access to single-sex facilities in these contexts. In this section, we explore the current position and ask whether reform is desirable.</w:t>
      </w:r>
    </w:p>
    <w:p w14:paraId="43FB20DA" w14:textId="77777777" w:rsidR="004B4C4A" w:rsidRPr="008642D1" w:rsidRDefault="004B4C4A" w:rsidP="004B4C4A">
      <w:pPr>
        <w:pStyle w:val="Heading3"/>
      </w:pPr>
      <w:r w:rsidRPr="008642D1">
        <w:t>Educational establishments</w:t>
      </w:r>
    </w:p>
    <w:p w14:paraId="142831D0" w14:textId="75F7B340" w:rsidR="004B4C4A" w:rsidRPr="008642D1" w:rsidRDefault="004B4C4A" w:rsidP="004B4C4A">
      <w:pPr>
        <w:pStyle w:val="BodyText"/>
      </w:pPr>
      <w:r w:rsidRPr="008642D1">
        <w:t>In Chapter 12, we set out the forms of discrimination that are unlawful for educational establishments under section 57 of the Human Rights Act. These include denying or restricting a student’s access to any “benefits or services” and subjecting a student to a “detriment”.</w:t>
      </w:r>
      <w:r w:rsidRPr="008642D1">
        <w:rPr>
          <w:rStyle w:val="FootnoteReference"/>
        </w:rPr>
        <w:footnoteReference w:id="567"/>
      </w:r>
      <w:r w:rsidRPr="008642D1">
        <w:t xml:space="preserve"> We are interested to understand better whether excluding a transgender student from a single-sex facility that aligns with their gender identity would fall within that wording and therefore be in breach of section 57.</w:t>
      </w:r>
    </w:p>
    <w:p w14:paraId="650BB5DA" w14:textId="77777777" w:rsidR="004B4C4A" w:rsidRPr="008642D1" w:rsidRDefault="004B4C4A" w:rsidP="004B4C4A">
      <w:pPr>
        <w:pStyle w:val="BodyText"/>
      </w:pPr>
      <w:r w:rsidRPr="008642D1">
        <w:t xml:space="preserve">The lack of an exclusion from section 57 to permit single-sex facilities might suggest the drafters did not consider that requiring students to use a bathroom that aligns with their sex constitutes a detriment or restricts access to a benefit or service within the terms of section 57. However, the drafters were unlikely to have had transgender students in mind. Different issues arise when a transgender person (as opposed to a cisgender person) is excluded from a bathroom or changing room that aligns with their gender identity. It is possible this may constitute a detriment or, alternatively, a denial or restriction of access to a service (although, as always, the answer is likely to be fact and context dependent). </w:t>
      </w:r>
    </w:p>
    <w:p w14:paraId="0D4C5C5E" w14:textId="3D55DADE" w:rsidR="004B4C4A" w:rsidRPr="008642D1" w:rsidRDefault="004B4C4A" w:rsidP="004B4C4A">
      <w:pPr>
        <w:pStyle w:val="BodyText"/>
      </w:pPr>
      <w:r w:rsidRPr="008642D1">
        <w:t>We are unaware of any New Zealand case law on this point. However, there are decisions from various overseas courts and tribunals</w:t>
      </w:r>
      <w:r w:rsidRPr="008642D1" w:rsidDel="002F7852">
        <w:t xml:space="preserve"> </w:t>
      </w:r>
      <w:r w:rsidRPr="008642D1">
        <w:t>suggesting that denial of access to a bathroom aligned with a transgender person’s gender identity may meet similar tests in human rights statutes such as “denial” of a service, “discrimination”, “adverse treatment” and “less favourable treatment”.</w:t>
      </w:r>
      <w:r w:rsidRPr="008642D1">
        <w:rPr>
          <w:rStyle w:val="FootnoteReference"/>
        </w:rPr>
        <w:footnoteReference w:id="568"/>
      </w:r>
      <w:r w:rsidRPr="008642D1">
        <w:t xml:space="preserve"> </w:t>
      </w:r>
    </w:p>
    <w:p w14:paraId="45803267" w14:textId="77777777" w:rsidR="004B4C4A" w:rsidRPr="008642D1" w:rsidRDefault="004B4C4A" w:rsidP="004B4C4A">
      <w:pPr>
        <w:pStyle w:val="BodyText"/>
      </w:pPr>
      <w:r w:rsidRPr="008642D1">
        <w:t xml:space="preserve">Specifically in the context of education, we are aware of numerous challenges that have been taken in the United States where schools have prevented transgender students </w:t>
      </w:r>
      <w:r w:rsidRPr="008642D1">
        <w:lastRenderedPageBreak/>
        <w:t>from using facilities that align with their gender identity. Although the outcomes of cases have varied, we understand that some appellate courts have found this is capable of constituting discrimination under the relevant law.</w:t>
      </w:r>
      <w:r w:rsidRPr="008642D1">
        <w:rPr>
          <w:rStyle w:val="FootnoteReference"/>
        </w:rPr>
        <w:footnoteReference w:id="569"/>
      </w:r>
      <w:r w:rsidRPr="008642D1">
        <w:t xml:space="preserve"> </w:t>
      </w:r>
    </w:p>
    <w:p w14:paraId="621A725B" w14:textId="77777777" w:rsidR="004B4C4A" w:rsidRPr="008642D1" w:rsidRDefault="004B4C4A" w:rsidP="004B4C4A">
      <w:pPr>
        <w:pStyle w:val="BodyText"/>
      </w:pPr>
      <w:r w:rsidRPr="008642D1">
        <w:t>We are interested to learn about any practical implications of the lack of an express exception from section 57 for single-sex facilities. For example, we would like to know whether it is causing any problems in practice and, if so, what ought to be done about it within the context of this review. One possibility might be to align the legal position with whatever position is settled on in respect of sections 43(1) and 46 (the exceptions applying to goods, services and facilities discussed earlier in the chapter). The issues discussed above with respect to unisex facilities may also be relevant in education settings.</w:t>
      </w:r>
    </w:p>
    <w:p w14:paraId="2BA1FE34" w14:textId="77777777" w:rsidR="004B4C4A" w:rsidRPr="008642D1" w:rsidRDefault="004B4C4A" w:rsidP="004B4C4A">
      <w:pPr>
        <w:pStyle w:val="BodyText"/>
      </w:pPr>
      <w:r w:rsidRPr="008642D1">
        <w:t xml:space="preserve">While recommending a completely new sex exception might be beyond the scope of our review, we are interested to receive feedback on these issues before we decide. </w:t>
      </w:r>
    </w:p>
    <w:p w14:paraId="00A1CF03" w14:textId="77777777" w:rsidR="004B4C4A" w:rsidRPr="008642D1" w:rsidRDefault="004B4C4A" w:rsidP="004B4C4A">
      <w:pPr>
        <w:pStyle w:val="BodyText"/>
      </w:pPr>
      <w:r w:rsidRPr="008642D1">
        <w:t>As we have discussed elsewhere, it is possible section 57 has very little practical application as many acts of educational establishments would likely amount to government functions covered by Part 1A of the Human Rights Act.</w:t>
      </w:r>
      <w:r w:rsidRPr="008642D1">
        <w:rPr>
          <w:rStyle w:val="FootnoteReference"/>
        </w:rPr>
        <w:footnoteReference w:id="570"/>
      </w:r>
      <w:r w:rsidRPr="008642D1">
        <w:t xml:space="preserve"> </w:t>
      </w:r>
    </w:p>
    <w:p w14:paraId="0226119D" w14:textId="27F0A4BF" w:rsidR="004B4C4A" w:rsidRPr="008642D1" w:rsidRDefault="004B4C4A" w:rsidP="004B4C4A">
      <w:pPr>
        <w:pStyle w:val="QuestionBox"/>
      </w:pPr>
      <w:r w:rsidRPr="008642D1">
        <w:rPr>
          <w:noProof/>
        </w:rPr>
        <mc:AlternateContent>
          <mc:Choice Requires="wpg">
            <w:drawing>
              <wp:anchor distT="0" distB="0" distL="114300" distR="114300" simplePos="0" relativeHeight="251658363" behindDoc="1" locked="0" layoutInCell="1" allowOverlap="1" wp14:anchorId="55ED02F6" wp14:editId="1B37E041">
                <wp:simplePos x="0" y="0"/>
                <wp:positionH relativeFrom="column">
                  <wp:posOffset>0</wp:posOffset>
                </wp:positionH>
                <wp:positionV relativeFrom="paragraph">
                  <wp:posOffset>-635</wp:posOffset>
                </wp:positionV>
                <wp:extent cx="5760085" cy="1128153"/>
                <wp:effectExtent l="0" t="0" r="0" b="3810"/>
                <wp:wrapNone/>
                <wp:docPr id="1276969028" name="Group 1276969028" descr="Question"/>
                <wp:cNvGraphicFramePr/>
                <a:graphic xmlns:a="http://schemas.openxmlformats.org/drawingml/2006/main">
                  <a:graphicData uri="http://schemas.microsoft.com/office/word/2010/wordprocessingGroup">
                    <wpg:wgp>
                      <wpg:cNvGrpSpPr/>
                      <wpg:grpSpPr>
                        <a:xfrm>
                          <a:off x="0" y="0"/>
                          <a:ext cx="5760085" cy="1128153"/>
                          <a:chOff x="0" y="62865"/>
                          <a:chExt cx="5760085" cy="1129001"/>
                        </a:xfrm>
                      </wpg:grpSpPr>
                      <wps:wsp>
                        <wps:cNvPr id="41866165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6293E8" w14:textId="77777777" w:rsidR="004B4C4A" w:rsidRDefault="004B4C4A" w:rsidP="004B4C4A">
                              <w:pPr>
                                <w:pStyle w:val="BoxTitle"/>
                                <w:spacing w:before="0" w:beforeAutospacing="0"/>
                              </w:pPr>
                              <w:r w:rsidRPr="007F6876">
                                <w:t>QUESTION</w:t>
                              </w:r>
                            </w:p>
                          </w:txbxContent>
                        </wps:txbx>
                        <wps:bodyPr rot="0" vert="horz" wrap="square" lIns="91440" tIns="0" rIns="0" bIns="45720" anchor="ctr" anchorCtr="0" upright="1">
                          <a:noAutofit/>
                        </wps:bodyPr>
                      </wps:wsp>
                      <wpg:grpSp>
                        <wpg:cNvPr id="2119565167" name="Group 53"/>
                        <wpg:cNvGrpSpPr>
                          <a:grpSpLocks/>
                        </wpg:cNvGrpSpPr>
                        <wpg:grpSpPr bwMode="auto">
                          <a:xfrm>
                            <a:off x="0" y="316170"/>
                            <a:ext cx="5760085" cy="875696"/>
                            <a:chOff x="1837" y="1791"/>
                            <a:chExt cx="9302" cy="9459"/>
                          </a:xfrm>
                        </wpg:grpSpPr>
                        <wps:wsp>
                          <wps:cNvPr id="910745896" name="Freeform 54"/>
                          <wps:cNvSpPr>
                            <a:spLocks/>
                          </wps:cNvSpPr>
                          <wps:spPr bwMode="auto">
                            <a:xfrm>
                              <a:off x="1837" y="1791"/>
                              <a:ext cx="9302" cy="945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0956650" name="Group 1710956650"/>
                        <wpg:cNvGrpSpPr/>
                        <wpg:grpSpPr>
                          <a:xfrm>
                            <a:off x="0" y="494036"/>
                            <a:ext cx="1443794" cy="252000"/>
                            <a:chOff x="-15880" y="0"/>
                            <a:chExt cx="1444379" cy="252068"/>
                          </a:xfrm>
                        </wpg:grpSpPr>
                        <wps:wsp>
                          <wps:cNvPr id="50786187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20668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EECEB7" w14:textId="3365B4F7" w:rsidR="004B4C4A" w:rsidRPr="00E90B8A" w:rsidRDefault="004B4C4A" w:rsidP="004B4C4A">
                                <w:pPr>
                                  <w:pStyle w:val="BoxTitle"/>
                                  <w:spacing w:before="0" w:beforeAutospacing="0"/>
                                  <w:rPr>
                                    <w:sz w:val="18"/>
                                    <w:szCs w:val="18"/>
                                  </w:rPr>
                                </w:pPr>
                                <w:r w:rsidRPr="00E90B8A">
                                  <w:rPr>
                                    <w:sz w:val="18"/>
                                    <w:szCs w:val="18"/>
                                  </w:rPr>
                                  <w:t>Q</w:t>
                                </w:r>
                                <w:r>
                                  <w:rPr>
                                    <w:sz w:val="18"/>
                                    <w:szCs w:val="18"/>
                                  </w:rPr>
                                  <w:t>6</w:t>
                                </w:r>
                                <w:r w:rsidR="002465D9">
                                  <w:rPr>
                                    <w:sz w:val="18"/>
                                    <w:szCs w:val="18"/>
                                  </w:rPr>
                                  <w:t>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5ED02F6" id="Group 1276969028" o:spid="_x0000_s1357" alt="Question" style="position:absolute;left:0;text-align:left;margin-left:0;margin-top:-.05pt;width:453.55pt;height:88.85pt;z-index:-251658117;mso-height-relative:margin" coordorigin=",628" coordsize="57600,1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">
                <v:shape id="Freeform 52" o:spid="_x0000_s135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26293E8" w14:textId="77777777" w:rsidR="004B4C4A" w:rsidRDefault="004B4C4A" w:rsidP="004B4C4A">
                        <w:pPr>
                          <w:pStyle w:val="BoxTitle"/>
                          <w:spacing w:before="0" w:beforeAutospacing="0"/>
                        </w:pPr>
                        <w:r w:rsidRPr="007F6876">
                          <w:t>QUESTION</w:t>
                        </w:r>
                      </w:p>
                    </w:txbxContent>
                  </v:textbox>
                </v:shape>
                <v:group id="Group 53" o:spid="_x0000_s1359" style="position:absolute;top:3161;width:57600;height:8757" coordorigin="1837,1791" coordsize="9302,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">
                  <v:shape id="Freeform 54" o:spid="_x0000_s1360" style="position:absolute;left:1837;top:1791;width:9302;height:945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" path="m,l9354,r,7809l,7809,,e" fillcolor="#edf2ea" stroked="f">
                    <v:path arrowok="t" o:connecttype="custom" o:connectlocs="0,1211;9302,1211;9302,10670;0,10670;0,1211" o:connectangles="0,0,0,0,0"/>
                  </v:shape>
                </v:group>
                <v:group id="Group 1710956650" o:spid="_x0000_s136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">
                  <v:shape id="Freeform 58" o:spid="_x0000_s136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" path="m,l1815,e" filled="f" strokecolor="#72ab6a" strokeweight=".5pt">
                    <v:path arrowok="t" o:connecttype="custom" o:connectlocs="0,0;1073495,0" o:connectangles="0,0"/>
                  </v:shape>
                  <v:shape id="Freeform 66" o:spid="_x0000_s136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1EECEB7" w14:textId="3365B4F7" w:rsidR="004B4C4A" w:rsidRPr="00E90B8A" w:rsidRDefault="004B4C4A" w:rsidP="004B4C4A">
                          <w:pPr>
                            <w:pStyle w:val="BoxTitle"/>
                            <w:spacing w:before="0" w:beforeAutospacing="0"/>
                            <w:rPr>
                              <w:sz w:val="18"/>
                              <w:szCs w:val="18"/>
                            </w:rPr>
                          </w:pPr>
                          <w:r w:rsidRPr="00E90B8A">
                            <w:rPr>
                              <w:sz w:val="18"/>
                              <w:szCs w:val="18"/>
                            </w:rPr>
                            <w:t>Q</w:t>
                          </w:r>
                          <w:r>
                            <w:rPr>
                              <w:sz w:val="18"/>
                              <w:szCs w:val="18"/>
                            </w:rPr>
                            <w:t>6</w:t>
                          </w:r>
                          <w:r w:rsidR="002465D9">
                            <w:rPr>
                              <w:sz w:val="18"/>
                              <w:szCs w:val="18"/>
                            </w:rPr>
                            <w:t>2</w:t>
                          </w:r>
                        </w:p>
                      </w:txbxContent>
                    </v:textbox>
                  </v:shape>
                </v:group>
              </v:group>
            </w:pict>
          </mc:Fallback>
        </mc:AlternateContent>
      </w:r>
    </w:p>
    <w:p w14:paraId="6DD722C7" w14:textId="77777777" w:rsidR="004B4C4A" w:rsidRPr="008642D1" w:rsidRDefault="004B4C4A" w:rsidP="004B4C4A">
      <w:pPr>
        <w:pStyle w:val="QuestionBox"/>
      </w:pPr>
    </w:p>
    <w:p w14:paraId="0250A1FB" w14:textId="7C67E2D9" w:rsidR="004B4C4A" w:rsidRPr="008642D1" w:rsidRDefault="004B4C4A" w:rsidP="004B4C4A">
      <w:pPr>
        <w:pStyle w:val="QuestionBox"/>
      </w:pPr>
      <w:r w:rsidRPr="008642D1">
        <w:t xml:space="preserve">Do you have any feedback </w:t>
      </w:r>
      <w:r w:rsidR="00F425E6" w:rsidRPr="00F425E6">
        <w:t>on the</w:t>
      </w:r>
      <w:r w:rsidRPr="008642D1">
        <w:t xml:space="preserve"> implications of this review for single-sex facilities in education?</w:t>
      </w:r>
    </w:p>
    <w:p w14:paraId="2A8F9727" w14:textId="77777777" w:rsidR="00F425E6" w:rsidRPr="008642D1" w:rsidRDefault="00F425E6" w:rsidP="004B4C4A">
      <w:pPr>
        <w:pStyle w:val="QuestionBox"/>
      </w:pPr>
    </w:p>
    <w:p w14:paraId="4601DD27" w14:textId="77777777" w:rsidR="004B4C4A" w:rsidRPr="008642D1" w:rsidRDefault="004B4C4A" w:rsidP="004B4C4A">
      <w:pPr>
        <w:pStyle w:val="Heading3"/>
      </w:pPr>
      <w:r w:rsidRPr="008642D1">
        <w:t>Employment matters</w:t>
      </w:r>
    </w:p>
    <w:p w14:paraId="508E09B1" w14:textId="4E019644" w:rsidR="004B4C4A" w:rsidRPr="008642D1" w:rsidRDefault="004B4C4A" w:rsidP="004B4C4A">
      <w:pPr>
        <w:pStyle w:val="BodyText"/>
      </w:pPr>
      <w:r w:rsidRPr="008642D1">
        <w:t>Similar issues arise in respect of workplaces. In Chapter 9</w:t>
      </w:r>
      <w:r w:rsidR="006B01A7">
        <w:t>,</w:t>
      </w:r>
      <w:r w:rsidRPr="008642D1">
        <w:t xml:space="preserve"> we set out the forms of discrimination that are unlawful for employers under section 22 of the Human Rights Act. These include subjecting an employee to a “detriment”. </w:t>
      </w:r>
    </w:p>
    <w:p w14:paraId="7416B40C" w14:textId="77777777" w:rsidR="004B4C4A" w:rsidRPr="008642D1" w:rsidRDefault="004B4C4A" w:rsidP="004B4C4A">
      <w:pPr>
        <w:pStyle w:val="BodyText"/>
      </w:pPr>
      <w:r w:rsidRPr="008642D1">
        <w:t xml:space="preserve">The absence of any exclusion from section 22 to permit single-sex facilities in the workplace might again suggest the drafters did not consider that requiring employees to use a bathroom that aligns with their sex constitutes a detriment within the terms of section 22. Again, however, the drafters were unlikely to have had transgender employees in mind. </w:t>
      </w:r>
    </w:p>
    <w:p w14:paraId="26062E04" w14:textId="051C1C00" w:rsidR="004B4C4A" w:rsidRPr="008642D1" w:rsidRDefault="004B4C4A" w:rsidP="004B4C4A">
      <w:pPr>
        <w:pStyle w:val="BodyText"/>
      </w:pPr>
      <w:r w:rsidRPr="008642D1">
        <w:t xml:space="preserve">We think excluding a transgender employee from a single-sex facility in the workplace that aligns with their gender identity might constitute a “detriment” within the terms of section 22 (although, again, the answer would be fact and context dependent). We are unaware of any New Zealand case law on this point. However, the overseas case law discussed above in the context of education would be relevant. We are also aware of some overseas decisions directly concerning workplaces. In the United Kingdom, the </w:t>
      </w:r>
      <w:r w:rsidRPr="008642D1">
        <w:lastRenderedPageBreak/>
        <w:t>Employment Tribunal has held that requiring a gender fluid employee to use a disabled bathroom is gender reassignment discrimination.</w:t>
      </w:r>
      <w:r w:rsidRPr="008642D1">
        <w:rPr>
          <w:rStyle w:val="FootnoteReference"/>
        </w:rPr>
        <w:footnoteReference w:id="571"/>
      </w:r>
      <w:r w:rsidRPr="008642D1">
        <w:t xml:space="preserve"> There are also United States cases saying that an employer’s refusal to allow a transgender employee to use the bathroom consistent with their gender identity can be gender identity discrimination (including when a gender-neutral toilet was available).</w:t>
      </w:r>
      <w:r w:rsidRPr="008642D1">
        <w:rPr>
          <w:rStyle w:val="FootnoteReference"/>
        </w:rPr>
        <w:footnoteReference w:id="572"/>
      </w:r>
      <w:r w:rsidRPr="008642D1">
        <w:t xml:space="preserve"> </w:t>
      </w:r>
    </w:p>
    <w:p w14:paraId="56201A75" w14:textId="77777777" w:rsidR="004B4C4A" w:rsidRPr="008642D1" w:rsidRDefault="004B4C4A" w:rsidP="004B4C4A">
      <w:pPr>
        <w:pStyle w:val="BodyText"/>
      </w:pPr>
      <w:r w:rsidRPr="008642D1">
        <w:t>As with educational establishments, we are interested to learn about any practical implications of the lack of an express exception from section 22 for single-sex facilities — for example, whether it is causing any problems in practice and, if so, what ought to be done about it within the context of this review. We invite feedback on whether it is desirable to align the legal position with whatever position is settled on in respect of sections 43(1) and 46 (the exceptions for single-sex facilities discussed earlier in the chapter). The issues discussed above with respect to unisex facilities may also be relevant in an employment context.</w:t>
      </w:r>
    </w:p>
    <w:p w14:paraId="28A3CD87" w14:textId="77777777" w:rsidR="004B4C4A" w:rsidRPr="008642D1" w:rsidRDefault="004B4C4A" w:rsidP="004B4C4A">
      <w:pPr>
        <w:pStyle w:val="BodyText"/>
      </w:pPr>
      <w:r w:rsidRPr="008642D1">
        <w:t xml:space="preserve">Again, while recommending a completely new sex exception might be beyond the scope of our review, we are interested to receive feedback on this issue before we decide. </w:t>
      </w:r>
    </w:p>
    <w:p w14:paraId="4846A229" w14:textId="02D7D76D" w:rsidR="004B4C4A" w:rsidRPr="008642D1" w:rsidRDefault="004B4C4A" w:rsidP="004B4C4A">
      <w:pPr>
        <w:pStyle w:val="QuestionBox"/>
      </w:pPr>
      <w:r w:rsidRPr="008642D1">
        <w:rPr>
          <w:noProof/>
        </w:rPr>
        <mc:AlternateContent>
          <mc:Choice Requires="wpg">
            <w:drawing>
              <wp:anchor distT="0" distB="0" distL="114300" distR="114300" simplePos="0" relativeHeight="251658364" behindDoc="1" locked="0" layoutInCell="1" allowOverlap="1" wp14:anchorId="2D70165D" wp14:editId="4016B63E">
                <wp:simplePos x="0" y="0"/>
                <wp:positionH relativeFrom="column">
                  <wp:posOffset>0</wp:posOffset>
                </wp:positionH>
                <wp:positionV relativeFrom="paragraph">
                  <wp:posOffset>0</wp:posOffset>
                </wp:positionV>
                <wp:extent cx="5760085" cy="1128153"/>
                <wp:effectExtent l="0" t="0" r="0" b="0"/>
                <wp:wrapNone/>
                <wp:docPr id="1226856577" name="Group 1226856577" descr="Question"/>
                <wp:cNvGraphicFramePr/>
                <a:graphic xmlns:a="http://schemas.openxmlformats.org/drawingml/2006/main">
                  <a:graphicData uri="http://schemas.microsoft.com/office/word/2010/wordprocessingGroup">
                    <wpg:wgp>
                      <wpg:cNvGrpSpPr/>
                      <wpg:grpSpPr>
                        <a:xfrm>
                          <a:off x="0" y="0"/>
                          <a:ext cx="5760085" cy="1128153"/>
                          <a:chOff x="0" y="62865"/>
                          <a:chExt cx="5760085" cy="1129001"/>
                        </a:xfrm>
                      </wpg:grpSpPr>
                      <wps:wsp>
                        <wps:cNvPr id="632045142"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9BB7BA" w14:textId="77777777" w:rsidR="004B4C4A" w:rsidRDefault="004B4C4A" w:rsidP="004B4C4A">
                              <w:pPr>
                                <w:pStyle w:val="BoxTitle"/>
                                <w:spacing w:before="0" w:beforeAutospacing="0"/>
                              </w:pPr>
                              <w:r w:rsidRPr="007F6876">
                                <w:t>QUESTION</w:t>
                              </w:r>
                            </w:p>
                          </w:txbxContent>
                        </wps:txbx>
                        <wps:bodyPr rot="0" vert="horz" wrap="square" lIns="91440" tIns="0" rIns="0" bIns="45720" anchor="ctr" anchorCtr="0" upright="1">
                          <a:noAutofit/>
                        </wps:bodyPr>
                      </wps:wsp>
                      <wpg:grpSp>
                        <wpg:cNvPr id="492440119" name="Group 53"/>
                        <wpg:cNvGrpSpPr>
                          <a:grpSpLocks/>
                        </wpg:cNvGrpSpPr>
                        <wpg:grpSpPr bwMode="auto">
                          <a:xfrm>
                            <a:off x="0" y="316170"/>
                            <a:ext cx="5760085" cy="875696"/>
                            <a:chOff x="1837" y="1791"/>
                            <a:chExt cx="9302" cy="9459"/>
                          </a:xfrm>
                        </wpg:grpSpPr>
                        <wps:wsp>
                          <wps:cNvPr id="63119516" name="Freeform 54"/>
                          <wps:cNvSpPr>
                            <a:spLocks/>
                          </wps:cNvSpPr>
                          <wps:spPr bwMode="auto">
                            <a:xfrm>
                              <a:off x="1837" y="1791"/>
                              <a:ext cx="9302" cy="945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456876" name="Group 404456876"/>
                        <wpg:cNvGrpSpPr/>
                        <wpg:grpSpPr>
                          <a:xfrm>
                            <a:off x="0" y="494036"/>
                            <a:ext cx="1443794" cy="252000"/>
                            <a:chOff x="-15880" y="0"/>
                            <a:chExt cx="1444379" cy="252068"/>
                          </a:xfrm>
                        </wpg:grpSpPr>
                        <wps:wsp>
                          <wps:cNvPr id="165579244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60729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9BD33E" w14:textId="6E4D2CDC" w:rsidR="004B4C4A" w:rsidRPr="00E90B8A" w:rsidRDefault="004B4C4A" w:rsidP="004B4C4A">
                                <w:pPr>
                                  <w:pStyle w:val="BoxTitle"/>
                                  <w:spacing w:before="0" w:beforeAutospacing="0"/>
                                  <w:rPr>
                                    <w:sz w:val="18"/>
                                    <w:szCs w:val="18"/>
                                  </w:rPr>
                                </w:pPr>
                                <w:r w:rsidRPr="00E90B8A">
                                  <w:rPr>
                                    <w:sz w:val="18"/>
                                    <w:szCs w:val="18"/>
                                  </w:rPr>
                                  <w:t>Q</w:t>
                                </w:r>
                                <w:r w:rsidR="002465D9">
                                  <w:rPr>
                                    <w:sz w:val="18"/>
                                    <w:szCs w:val="18"/>
                                  </w:rPr>
                                  <w:t>63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D70165D" id="Group 1226856577" o:spid="_x0000_s1364" alt="Question" style="position:absolute;left:0;text-align:left;margin-left:0;margin-top:0;width:453.55pt;height:88.85pt;z-index:-251658116;mso-height-relative:margin" coordorigin=",628" coordsize="57600,1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">
                <v:shape id="Freeform 52" o:spid="_x0000_s1365"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59BB7BA" w14:textId="77777777" w:rsidR="004B4C4A" w:rsidRDefault="004B4C4A" w:rsidP="004B4C4A">
                        <w:pPr>
                          <w:pStyle w:val="BoxTitle"/>
                          <w:spacing w:before="0" w:beforeAutospacing="0"/>
                        </w:pPr>
                        <w:r w:rsidRPr="007F6876">
                          <w:t>QUESTION</w:t>
                        </w:r>
                      </w:p>
                    </w:txbxContent>
                  </v:textbox>
                </v:shape>
                <v:group id="Group 53" o:spid="_x0000_s1366" style="position:absolute;top:3161;width:57600;height:8757" coordorigin="1837,1791" coordsize="9302,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">
                  <v:shape id="Freeform 54" o:spid="_x0000_s1367" style="position:absolute;left:1837;top:1791;width:9302;height:945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" path="m,l9354,r,7809l,7809,,e" fillcolor="#edf2ea" stroked="f">
                    <v:path arrowok="t" o:connecttype="custom" o:connectlocs="0,1211;9302,1211;9302,10670;0,10670;0,1211" o:connectangles="0,0,0,0,0"/>
                  </v:shape>
                </v:group>
                <v:group id="Group 404456876" o:spid="_x0000_s1368"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">
                  <v:shape id="Freeform 58" o:spid="_x0000_s136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" path="m,l1815,e" filled="f" strokecolor="#72ab6a" strokeweight=".5pt">
                    <v:path arrowok="t" o:connecttype="custom" o:connectlocs="0,0;1073495,0" o:connectangles="0,0"/>
                  </v:shape>
                  <v:shape id="Freeform 66" o:spid="_x0000_s137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A9BD33E" w14:textId="6E4D2CDC" w:rsidR="004B4C4A" w:rsidRPr="00E90B8A" w:rsidRDefault="004B4C4A" w:rsidP="004B4C4A">
                          <w:pPr>
                            <w:pStyle w:val="BoxTitle"/>
                            <w:spacing w:before="0" w:beforeAutospacing="0"/>
                            <w:rPr>
                              <w:sz w:val="18"/>
                              <w:szCs w:val="18"/>
                            </w:rPr>
                          </w:pPr>
                          <w:r w:rsidRPr="00E90B8A">
                            <w:rPr>
                              <w:sz w:val="18"/>
                              <w:szCs w:val="18"/>
                            </w:rPr>
                            <w:t>Q</w:t>
                          </w:r>
                          <w:r w:rsidR="002465D9">
                            <w:rPr>
                              <w:sz w:val="18"/>
                              <w:szCs w:val="18"/>
                            </w:rPr>
                            <w:t>63</w:t>
                          </w:r>
                        </w:p>
                      </w:txbxContent>
                    </v:textbox>
                  </v:shape>
                </v:group>
              </v:group>
            </w:pict>
          </mc:Fallback>
        </mc:AlternateContent>
      </w:r>
    </w:p>
    <w:p w14:paraId="03D88CBC" w14:textId="77777777" w:rsidR="004B4C4A" w:rsidRPr="008642D1" w:rsidRDefault="004B4C4A" w:rsidP="004B4C4A">
      <w:pPr>
        <w:pStyle w:val="QuestionBox"/>
      </w:pPr>
    </w:p>
    <w:p w14:paraId="24DB99EB" w14:textId="24A42B8A" w:rsidR="004B4C4A" w:rsidRPr="008642D1" w:rsidRDefault="004B4C4A" w:rsidP="007E010B">
      <w:pPr>
        <w:pStyle w:val="QuestionBox"/>
      </w:pPr>
      <w:r w:rsidRPr="008642D1">
        <w:t xml:space="preserve">Do you have any feedback </w:t>
      </w:r>
      <w:r w:rsidR="007E010B" w:rsidRPr="007E010B">
        <w:t>on the</w:t>
      </w:r>
      <w:r w:rsidRPr="008642D1">
        <w:t xml:space="preserve"> implications of this review for single-sex facilities in employment?</w:t>
      </w:r>
    </w:p>
    <w:p w14:paraId="17AC9EDF" w14:textId="77777777" w:rsidR="004B4C4A" w:rsidRPr="008642D1" w:rsidRDefault="004B4C4A" w:rsidP="004B4C4A">
      <w:pPr>
        <w:pStyle w:val="BodyText"/>
        <w:numPr>
          <w:ilvl w:val="0"/>
          <w:numId w:val="0"/>
        </w:numPr>
      </w:pPr>
    </w:p>
    <w:p w14:paraId="313A2231" w14:textId="77777777" w:rsidR="00174F89" w:rsidRDefault="00174F89" w:rsidP="00174F89">
      <w:pPr>
        <w:pStyle w:val="BodyText"/>
        <w:numPr>
          <w:ilvl w:val="0"/>
          <w:numId w:val="0"/>
        </w:numPr>
        <w:ind w:left="709" w:hanging="709"/>
      </w:pPr>
    </w:p>
    <w:p w14:paraId="73BCE4AC" w14:textId="7E6AB056" w:rsidR="00F557D0" w:rsidRPr="008642D1" w:rsidRDefault="00F557D0" w:rsidP="00174F89">
      <w:pPr>
        <w:pStyle w:val="BodyText"/>
        <w:numPr>
          <w:ilvl w:val="0"/>
          <w:numId w:val="0"/>
        </w:numPr>
        <w:ind w:left="709" w:hanging="709"/>
      </w:pPr>
      <w:r w:rsidRPr="008642D1">
        <w:rPr>
          <w:rFonts w:eastAsiaTheme="minorHAnsi"/>
          <w:noProof/>
          <w:lang w:eastAsia="en-NZ"/>
        </w:rPr>
        <mc:AlternateContent>
          <mc:Choice Requires="wpg">
            <w:drawing>
              <wp:anchor distT="0" distB="0" distL="114300" distR="114300" simplePos="0" relativeHeight="251658289" behindDoc="1" locked="0" layoutInCell="1" allowOverlap="1" wp14:anchorId="42AD7BDE" wp14:editId="26A676D7">
                <wp:simplePos x="0" y="0"/>
                <wp:positionH relativeFrom="page">
                  <wp:posOffset>1080135</wp:posOffset>
                </wp:positionH>
                <wp:positionV relativeFrom="paragraph">
                  <wp:posOffset>208915</wp:posOffset>
                </wp:positionV>
                <wp:extent cx="1799590" cy="1270"/>
                <wp:effectExtent l="0" t="19050" r="10160" b="17780"/>
                <wp:wrapNone/>
                <wp:docPr id="1897351992" name="Group 1897351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2087105902"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4E97C" id="Group 1897351992" o:spid="_x0000_s1026" style="position:absolute;margin-left:85.05pt;margin-top:16.45pt;width:141.7pt;height:.1pt;z-index:-251658191;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" path="m,l2097,e" filled="f" strokecolor="#72ab6a" strokeweight="3pt">
                  <v:path arrowok="t" o:connecttype="custom" o:connectlocs="0,0;2097,0" o:connectangles="0,0"/>
                </v:shape>
                <w10:wrap anchorx="page"/>
              </v:group>
            </w:pict>
          </mc:Fallback>
        </mc:AlternateContent>
      </w:r>
    </w:p>
    <w:p w14:paraId="1E3E8B44" w14:textId="352F9B6F" w:rsidR="00174F89" w:rsidRPr="008642D1" w:rsidRDefault="00174F89" w:rsidP="00174F89">
      <w:pPr>
        <w:pStyle w:val="BodyText"/>
        <w:numPr>
          <w:ilvl w:val="0"/>
          <w:numId w:val="0"/>
        </w:numPr>
        <w:ind w:left="709" w:hanging="709"/>
      </w:pPr>
    </w:p>
    <w:p w14:paraId="607184E5" w14:textId="77777777" w:rsidR="00174F89" w:rsidRPr="008642D1" w:rsidRDefault="00174F89" w:rsidP="00174F89">
      <w:pPr>
        <w:pStyle w:val="BodyText"/>
        <w:numPr>
          <w:ilvl w:val="0"/>
          <w:numId w:val="0"/>
        </w:numPr>
        <w:ind w:left="709"/>
      </w:pPr>
    </w:p>
    <w:p w14:paraId="7E04332F" w14:textId="77777777" w:rsidR="00174F89" w:rsidRPr="008642D1" w:rsidRDefault="00174F89" w:rsidP="00174F89">
      <w:pPr>
        <w:pStyle w:val="BodyText"/>
        <w:numPr>
          <w:ilvl w:val="0"/>
          <w:numId w:val="0"/>
        </w:numPr>
        <w:ind w:left="709" w:hanging="709"/>
      </w:pPr>
    </w:p>
    <w:p w14:paraId="022C84CB" w14:textId="77777777" w:rsidR="00174F89" w:rsidRPr="008642D1" w:rsidRDefault="00174F89" w:rsidP="00174F89">
      <w:pPr>
        <w:pStyle w:val="BodyText"/>
        <w:numPr>
          <w:ilvl w:val="0"/>
          <w:numId w:val="0"/>
        </w:numPr>
        <w:ind w:left="709"/>
        <w:sectPr w:rsidR="00174F89" w:rsidRPr="008642D1" w:rsidSect="00174F89">
          <w:headerReference w:type="default" r:id="rId59"/>
          <w:footerReference w:type="even" r:id="rId60"/>
          <w:footnotePr>
            <w:numRestart w:val="eachSect"/>
          </w:footnotePr>
          <w:pgSz w:w="11920" w:h="16840"/>
          <w:pgMar w:top="1134" w:right="1134" w:bottom="1134" w:left="1701" w:header="499" w:footer="46" w:gutter="0"/>
          <w:cols w:space="720"/>
          <w:docGrid w:linePitch="272"/>
        </w:sectPr>
      </w:pPr>
    </w:p>
    <w:p w14:paraId="00EF16D3" w14:textId="155DAFE4" w:rsidR="00174F89" w:rsidRPr="008642D1" w:rsidRDefault="00174F89" w:rsidP="00174F89">
      <w:pPr>
        <w:pStyle w:val="HEADING2topchapter-notinTOC"/>
      </w:pPr>
      <w:r w:rsidRPr="008642D1">
        <w:lastRenderedPageBreak/>
        <w:t>CHAPTER 1</w:t>
      </w:r>
      <w:r w:rsidR="00F80BAC" w:rsidRPr="008642D1">
        <w:t>4</w:t>
      </w:r>
    </w:p>
    <w:p w14:paraId="6F4B3D2C" w14:textId="77777777" w:rsidR="00174F89" w:rsidRPr="008642D1" w:rsidRDefault="00174F89" w:rsidP="00174F89">
      <w:pPr>
        <w:spacing w:line="200" w:lineRule="exact"/>
        <w:rPr>
          <w:szCs w:val="20"/>
        </w:rPr>
      </w:pPr>
      <w:r w:rsidRPr="008642D1">
        <w:rPr>
          <w:noProof/>
          <w:lang w:eastAsia="en-NZ"/>
        </w:rPr>
        <mc:AlternateContent>
          <mc:Choice Requires="wpg">
            <w:drawing>
              <wp:anchor distT="0" distB="0" distL="114300" distR="114300" simplePos="0" relativeHeight="251658278" behindDoc="1" locked="0" layoutInCell="1" allowOverlap="1" wp14:anchorId="044DDDA0" wp14:editId="3A3BE4EB">
                <wp:simplePos x="0" y="0"/>
                <wp:positionH relativeFrom="page">
                  <wp:posOffset>1076325</wp:posOffset>
                </wp:positionH>
                <wp:positionV relativeFrom="paragraph">
                  <wp:posOffset>6350</wp:posOffset>
                </wp:positionV>
                <wp:extent cx="1332230" cy="1270"/>
                <wp:effectExtent l="0" t="19050" r="1270" b="17780"/>
                <wp:wrapNone/>
                <wp:docPr id="717728005" name="Group 717728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699478084"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95CBF" id="Group 717728005" o:spid="_x0000_s1026" style="position:absolute;margin-left:84.75pt;margin-top:.5pt;width:104.9pt;height:.1pt;z-index:-251658202;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3476AB61" w14:textId="77777777" w:rsidR="00174F89" w:rsidRPr="008642D1" w:rsidRDefault="00174F89" w:rsidP="00DF306B">
      <w:pPr>
        <w:pStyle w:val="Heading1nonum"/>
        <w:numPr>
          <w:ilvl w:val="0"/>
          <w:numId w:val="24"/>
        </w:numPr>
        <w:spacing w:before="600" w:after="360"/>
        <w:rPr>
          <w:rFonts w:eastAsia="Metropolis Black"/>
        </w:rPr>
      </w:pPr>
      <w:bookmarkStart w:id="147" w:name="_Toc166844468"/>
      <w:bookmarkStart w:id="148" w:name="_Toc170302185"/>
      <w:r w:rsidRPr="008642D1">
        <w:rPr>
          <w:rFonts w:eastAsia="Metropolis Black"/>
        </w:rPr>
        <w:t>Competitive sports</w:t>
      </w:r>
      <w:bookmarkEnd w:id="147"/>
      <w:bookmarkEnd w:id="148"/>
    </w:p>
    <w:p w14:paraId="47996C59" w14:textId="77777777" w:rsidR="00174F89" w:rsidRPr="008642D1" w:rsidRDefault="00174F89" w:rsidP="00174F89">
      <w:pPr>
        <w:spacing w:line="200" w:lineRule="exact"/>
        <w:rPr>
          <w:szCs w:val="20"/>
        </w:rPr>
      </w:pPr>
      <w:r w:rsidRPr="008642D1">
        <w:rPr>
          <w:noProof/>
          <w:lang w:eastAsia="en-NZ"/>
        </w:rPr>
        <mc:AlternateContent>
          <mc:Choice Requires="wpg">
            <w:drawing>
              <wp:anchor distT="0" distB="0" distL="114300" distR="114300" simplePos="0" relativeHeight="251658277" behindDoc="1" locked="0" layoutInCell="1" allowOverlap="1" wp14:anchorId="26C9E224" wp14:editId="29F53F98">
                <wp:simplePos x="0" y="0"/>
                <wp:positionH relativeFrom="page">
                  <wp:posOffset>1087427</wp:posOffset>
                </wp:positionH>
                <wp:positionV relativeFrom="paragraph">
                  <wp:posOffset>71755</wp:posOffset>
                </wp:positionV>
                <wp:extent cx="1332230" cy="1270"/>
                <wp:effectExtent l="0" t="19050" r="1270" b="17780"/>
                <wp:wrapNone/>
                <wp:docPr id="1455771583" name="Group 1455771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102040586"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44C3CA" id="Group 1455771583" o:spid="_x0000_s1026" style="position:absolute;margin-left:85.6pt;margin-top:5.65pt;width:104.9pt;height:.1pt;z-index:-251658203;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dX/QIAAOA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&#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63DE7071" w14:textId="77777777" w:rsidR="00174F89" w:rsidRPr="008642D1" w:rsidRDefault="00174F89" w:rsidP="00174F89"/>
    <w:p w14:paraId="678C7E48" w14:textId="77777777" w:rsidR="00174F89" w:rsidRPr="008642D1" w:rsidRDefault="00174F89" w:rsidP="00174F89">
      <w:pPr>
        <w:pStyle w:val="Heading2"/>
      </w:pPr>
      <w:bookmarkStart w:id="149" w:name="_Toc166844469"/>
      <w:bookmarkStart w:id="150" w:name="_Toc170302186"/>
      <w:r w:rsidRPr="008642D1">
        <w:t>Introduction</w:t>
      </w:r>
      <w:bookmarkEnd w:id="149"/>
      <w:bookmarkEnd w:id="150"/>
    </w:p>
    <w:p w14:paraId="78033E4C" w14:textId="75B45AAC" w:rsidR="00F80BAC" w:rsidRPr="008642D1" w:rsidRDefault="00F80BAC" w:rsidP="00F80BAC">
      <w:pPr>
        <w:pStyle w:val="BodyText"/>
      </w:pPr>
      <w:r w:rsidRPr="008642D1">
        <w:t>The Human Rights Act 1993 has an exception in section 49(1) that allows competitive sports to be limited to one sex in some circumstances. In this chapter</w:t>
      </w:r>
      <w:r w:rsidR="00F73235">
        <w:t>,</w:t>
      </w:r>
      <w:r w:rsidRPr="008642D1">
        <w:t xml:space="preserve"> we discuss the scope of and rationale for this exception and seek feedback on whether it should be amended to reflect any new grounds of discrimination we propose. </w:t>
      </w:r>
    </w:p>
    <w:p w14:paraId="2F79D43C" w14:textId="77777777" w:rsidR="00F80BAC" w:rsidRPr="008642D1" w:rsidRDefault="00F80BAC" w:rsidP="00F80BAC">
      <w:pPr>
        <w:pStyle w:val="BodyText"/>
      </w:pPr>
      <w:r w:rsidRPr="008642D1">
        <w:t>We recommend reading this chapter alongside Chapter 8, which explains our approach to reviewing Part 2 of the Human Rights Act.</w:t>
      </w:r>
    </w:p>
    <w:p w14:paraId="6FCFC78D" w14:textId="77777777" w:rsidR="00F80BAC" w:rsidRPr="008642D1" w:rsidRDefault="00F80BAC" w:rsidP="00F80BAC">
      <w:pPr>
        <w:pStyle w:val="Heading2"/>
      </w:pPr>
      <w:bookmarkStart w:id="151" w:name="_Toc170302187"/>
      <w:r w:rsidRPr="008642D1">
        <w:t>Scope of the exception</w:t>
      </w:r>
      <w:bookmarkEnd w:id="151"/>
      <w:r w:rsidRPr="008642D1">
        <w:t xml:space="preserve"> </w:t>
      </w:r>
    </w:p>
    <w:p w14:paraId="1127708D" w14:textId="77777777" w:rsidR="00F80BAC" w:rsidRPr="008642D1" w:rsidRDefault="00F80BAC" w:rsidP="00F80BAC">
      <w:pPr>
        <w:pStyle w:val="BodyText"/>
      </w:pPr>
      <w:r w:rsidRPr="008642D1">
        <w:t>Section 49(1) of the Human Rights Act allows people of one sex to be excluded from participating in a competitive sports activity in which the strength, stamina or physique of competitors is relevant. It is an exception to section 44, which prohibits discrimination in the provision of goods, services and facilities. We discussed section 44 in Chapter 10.</w:t>
      </w:r>
    </w:p>
    <w:p w14:paraId="31157C4F" w14:textId="1B144611" w:rsidR="00F80BAC" w:rsidRPr="008642D1" w:rsidRDefault="00F80BAC" w:rsidP="00F80BAC">
      <w:pPr>
        <w:pStyle w:val="BodyText"/>
      </w:pPr>
      <w:r w:rsidRPr="008642D1">
        <w:t>There are several important points to note about the scope of the exception in section</w:t>
      </w:r>
      <w:r w:rsidRPr="008642D1">
        <w:rPr>
          <w:rFonts w:ascii="Calibri" w:hAnsi="Calibri" w:cs="Calibri"/>
        </w:rPr>
        <w:t> </w:t>
      </w:r>
      <w:r w:rsidRPr="008642D1">
        <w:t xml:space="preserve">49(1). The exception applies to </w:t>
      </w:r>
      <w:r w:rsidRPr="008642D1" w:rsidDel="00493DC9">
        <w:t>“</w:t>
      </w:r>
      <w:r w:rsidRPr="008642D1">
        <w:t>competitive</w:t>
      </w:r>
      <w:r w:rsidRPr="008642D1" w:rsidDel="00493DC9">
        <w:t>”</w:t>
      </w:r>
      <w:r w:rsidRPr="008642D1">
        <w:t xml:space="preserve"> sports activities</w:t>
      </w:r>
      <w:r w:rsidR="00C652CF">
        <w:t>,</w:t>
      </w:r>
      <w:r w:rsidRPr="008642D1">
        <w:t xml:space="preserve"> although it does not define this. Ihi Aotearoa | Sport New Zealand has defined competitive sports or activities as involving participation through an organised structure such as in a league or club competition, a tournament or competitive event.</w:t>
      </w:r>
      <w:r w:rsidRPr="008642D1">
        <w:rPr>
          <w:rStyle w:val="FootnoteReference"/>
        </w:rPr>
        <w:footnoteReference w:id="573"/>
      </w:r>
      <w:r w:rsidRPr="008642D1">
        <w:t xml:space="preserve"> The exception could therefore apply to sports at a wide range of levels ranging from secondary school sport and social leagues right through to national</w:t>
      </w:r>
      <w:r w:rsidR="00A55779">
        <w:t>-</w:t>
      </w:r>
      <w:r w:rsidRPr="008642D1">
        <w:t xml:space="preserve">level tournaments and Olympic qualifying events.  </w:t>
      </w:r>
    </w:p>
    <w:p w14:paraId="204EA730" w14:textId="77777777" w:rsidR="00F80BAC" w:rsidRPr="008642D1" w:rsidRDefault="00F80BAC" w:rsidP="00F80BAC">
      <w:pPr>
        <w:pStyle w:val="BodyText"/>
      </w:pPr>
      <w:r w:rsidRPr="008642D1">
        <w:t>The exception does not allow people to be excluded from coaching, umpiring, refereeing or sports administration.</w:t>
      </w:r>
      <w:r w:rsidRPr="008642D1">
        <w:rPr>
          <w:rStyle w:val="FootnoteReference"/>
        </w:rPr>
        <w:footnoteReference w:id="574"/>
      </w:r>
      <w:r w:rsidRPr="008642D1">
        <w:t xml:space="preserve"> In addition, the exception does not apply to sporting activities for children under 12 years old.</w:t>
      </w:r>
      <w:r w:rsidRPr="008642D1">
        <w:rPr>
          <w:rStyle w:val="FootnoteReference"/>
        </w:rPr>
        <w:footnoteReference w:id="575"/>
      </w:r>
    </w:p>
    <w:p w14:paraId="047090AB" w14:textId="77777777" w:rsidR="00F80BAC" w:rsidRPr="008642D1" w:rsidRDefault="00F80BAC" w:rsidP="00F80BAC">
      <w:pPr>
        <w:pStyle w:val="BodyText"/>
      </w:pPr>
      <w:r w:rsidRPr="008642D1">
        <w:t>It is also relevant to note that section 49(1) only provides an exception to conduct that would otherwise be a breach of section 44.</w:t>
      </w:r>
      <w:r w:rsidRPr="008642D1" w:rsidDel="00F01ABB">
        <w:t xml:space="preserve"> As we have explained elsewhere, this means section 49(1) would not apply if the discriminatory treatment was by a government </w:t>
      </w:r>
      <w:r w:rsidRPr="008642D1" w:rsidDel="00F01ABB">
        <w:lastRenderedPageBreak/>
        <w:t>department or involved the exercise of a government function</w:t>
      </w:r>
      <w:r w:rsidRPr="008642D1">
        <w:t>.</w:t>
      </w:r>
      <w:r w:rsidRPr="008642D1">
        <w:rPr>
          <w:rStyle w:val="FootnoteReference"/>
        </w:rPr>
        <w:footnoteReference w:id="576"/>
      </w:r>
      <w:r w:rsidRPr="008642D1" w:rsidDel="00F01ABB">
        <w:t xml:space="preserve"> Instead, </w:t>
      </w:r>
      <w:r w:rsidRPr="008642D1">
        <w:t>the permissibility of any differences in treatment would be determined by the tests in Part 1A of the Human Rights Act</w:t>
      </w:r>
      <w:r w:rsidRPr="008642D1" w:rsidDel="00F01ABB">
        <w:t>.</w:t>
      </w:r>
      <w:r w:rsidRPr="008642D1">
        <w:t xml:space="preserve"> </w:t>
      </w:r>
    </w:p>
    <w:p w14:paraId="6D6A9462" w14:textId="745E8ECC" w:rsidR="00F80BAC" w:rsidRPr="008642D1" w:rsidRDefault="00F80BAC" w:rsidP="00F80BAC">
      <w:pPr>
        <w:pStyle w:val="BodyText"/>
      </w:pPr>
      <w:r w:rsidRPr="008642D1">
        <w:t>This</w:t>
      </w:r>
      <w:r w:rsidRPr="008642D1" w:rsidDel="00F01ABB">
        <w:t xml:space="preserve"> also means </w:t>
      </w:r>
      <w:r w:rsidRPr="008642D1">
        <w:t xml:space="preserve">section 49(1) will only be relevant where the sporting activity is available to </w:t>
      </w:r>
      <w:r w:rsidRPr="008642D1" w:rsidDel="00A55779">
        <w:t>“</w:t>
      </w:r>
      <w:r w:rsidRPr="008642D1">
        <w:t>the public or to any section of the public</w:t>
      </w:r>
      <w:r w:rsidRPr="008642D1" w:rsidDel="00A55779">
        <w:t>”</w:t>
      </w:r>
      <w:r w:rsidRPr="008642D1">
        <w:t>.</w:t>
      </w:r>
      <w:r w:rsidRPr="008642D1">
        <w:rPr>
          <w:rStyle w:val="FootnoteReference"/>
        </w:rPr>
        <w:footnoteReference w:id="577"/>
      </w:r>
      <w:r w:rsidRPr="008642D1">
        <w:t xml:space="preserve">  </w:t>
      </w:r>
    </w:p>
    <w:p w14:paraId="2CCB7082" w14:textId="77777777" w:rsidR="00F80BAC" w:rsidRPr="008642D1" w:rsidRDefault="00F80BAC" w:rsidP="00F80BAC">
      <w:pPr>
        <w:pStyle w:val="Heading2"/>
      </w:pPr>
      <w:bookmarkStart w:id="152" w:name="_Toc170302188"/>
      <w:r w:rsidRPr="008642D1">
        <w:t>Rationales for the exception</w:t>
      </w:r>
      <w:bookmarkEnd w:id="152"/>
      <w:r w:rsidRPr="008642D1">
        <w:t xml:space="preserve"> </w:t>
      </w:r>
    </w:p>
    <w:p w14:paraId="13A7FD47" w14:textId="77777777" w:rsidR="00F80BAC" w:rsidRPr="008642D1" w:rsidRDefault="00F80BAC" w:rsidP="00F80BAC">
      <w:pPr>
        <w:pStyle w:val="BodyText"/>
      </w:pPr>
      <w:r w:rsidRPr="008642D1">
        <w:t xml:space="preserve">The legislative history does not clearly indicate the rationale for section 49(1). However, we have identified four likely rationales from the history, context and language of the provision. </w:t>
      </w:r>
    </w:p>
    <w:p w14:paraId="2EAC3C4D" w14:textId="1278D642" w:rsidR="00F80BAC" w:rsidRPr="008642D1" w:rsidRDefault="00F80BAC" w:rsidP="00F80BAC">
      <w:pPr>
        <w:pStyle w:val="BodyText"/>
        <w:tabs>
          <w:tab w:val="num" w:pos="709"/>
        </w:tabs>
      </w:pPr>
      <w:r w:rsidRPr="008642D1">
        <w:t>First, like many of the other exceptions we have discussed in this Issues Paper, we think the rationale behind section 49(1) may be linked in part to custom</w:t>
      </w:r>
      <w:r w:rsidRPr="008642D1" w:rsidDel="00344607">
        <w:t xml:space="preserve">. </w:t>
      </w:r>
      <w:r w:rsidRPr="008642D1">
        <w:t>There is</w:t>
      </w:r>
      <w:r w:rsidRPr="008642D1" w:rsidDel="00344607">
        <w:t xml:space="preserve"> </w:t>
      </w:r>
      <w:r w:rsidRPr="008642D1">
        <w:t xml:space="preserve">a long history of competitive sports being separated into men’s and women’s categories both in </w:t>
      </w:r>
      <w:r w:rsidR="00663BEE">
        <w:t xml:space="preserve">Aotearoa </w:t>
      </w:r>
      <w:r w:rsidRPr="008642D1">
        <w:t>New Zealand and internationally.</w:t>
      </w:r>
      <w:r w:rsidRPr="008642D1">
        <w:rPr>
          <w:rStyle w:val="FootnoteReference"/>
        </w:rPr>
        <w:footnoteReference w:id="578"/>
      </w:r>
      <w:r w:rsidRPr="008642D1">
        <w:t xml:space="preserve"> </w:t>
      </w:r>
    </w:p>
    <w:p w14:paraId="20920F98" w14:textId="617F8D49" w:rsidR="00F80BAC" w:rsidRPr="008642D1" w:rsidRDefault="00F80BAC" w:rsidP="00F80BAC">
      <w:pPr>
        <w:pStyle w:val="BodyText"/>
        <w:tabs>
          <w:tab w:val="num" w:pos="709"/>
        </w:tabs>
      </w:pPr>
      <w:r w:rsidRPr="008642D1">
        <w:t>The Human Rights Commission Act 1977 had an exception that allowed people of one sex to be excluded from a competitive sporting event or activity “in which persons of one sex generally compete separately from persons of the other”.</w:t>
      </w:r>
      <w:r w:rsidRPr="008642D1">
        <w:rPr>
          <w:color w:val="262626" w:themeColor="text1" w:themeTint="D9"/>
          <w:sz w:val="18"/>
          <w:vertAlign w:val="superscript"/>
        </w:rPr>
        <w:footnoteReference w:id="579"/>
      </w:r>
      <w:r w:rsidRPr="008642D1">
        <w:t xml:space="preserve"> This appears to have been based on social reasons for separate competition. The legislative history referred to examples such as a women’s bowling club </w:t>
      </w:r>
      <w:r w:rsidR="0058537D">
        <w:t xml:space="preserve">or a </w:t>
      </w:r>
      <w:r w:rsidRPr="008642D1">
        <w:t>tennis tournament where it was customary for each sex to compete separately.</w:t>
      </w:r>
      <w:r w:rsidRPr="008642D1">
        <w:rPr>
          <w:rStyle w:val="FootnoteReference"/>
        </w:rPr>
        <w:footnoteReference w:id="580"/>
      </w:r>
      <w:r w:rsidRPr="008642D1" w:rsidDel="00DE71EA">
        <w:rPr>
          <w:rStyle w:val="FootnoteReference"/>
        </w:rPr>
        <w:t xml:space="preserve"> </w:t>
      </w:r>
    </w:p>
    <w:p w14:paraId="1E6D07D9" w14:textId="77777777" w:rsidR="00F80BAC" w:rsidRPr="008642D1" w:rsidRDefault="00F80BAC" w:rsidP="00F80BAC">
      <w:pPr>
        <w:pStyle w:val="BodyText"/>
      </w:pPr>
      <w:r w:rsidRPr="008642D1">
        <w:t xml:space="preserve">However, the introduction of the phrase “strength, stamina or physique of competitors” in 1993 suggests that custom was no longer considered sufficient on its own to justify sex-separated sports. These words suggest two further rationales. </w:t>
      </w:r>
    </w:p>
    <w:p w14:paraId="57D2CA33" w14:textId="782B30DB" w:rsidR="00F80BAC" w:rsidRPr="008642D1" w:rsidRDefault="00F80BAC" w:rsidP="00F80BAC">
      <w:pPr>
        <w:pStyle w:val="BodyText"/>
      </w:pPr>
      <w:r w:rsidRPr="008642D1">
        <w:t>One is fair competition. We think the logic underlying section 49(1) is</w:t>
      </w:r>
      <w:r w:rsidRPr="008642D1" w:rsidDel="00B5070E">
        <w:t xml:space="preserve"> </w:t>
      </w:r>
      <w:r w:rsidRPr="008642D1">
        <w:t xml:space="preserve">that men have advantages in some sports due to their </w:t>
      </w:r>
      <w:r w:rsidR="00CB6577">
        <w:t>“</w:t>
      </w:r>
      <w:r w:rsidRPr="008642D1">
        <w:t>strength, stamina or physique</w:t>
      </w:r>
      <w:r w:rsidR="00CB6577">
        <w:t>”</w:t>
      </w:r>
      <w:r w:rsidRPr="008642D1">
        <w:t xml:space="preserve"> and so sex-separated competitive sports are necessary to ensure fair competition for women. The legislative history indicates that section 49(1) was modelled on a very similar Australian exception</w:t>
      </w:r>
      <w:r w:rsidR="00A45848">
        <w:t xml:space="preserve"> that</w:t>
      </w:r>
      <w:r w:rsidRPr="008642D1">
        <w:t xml:space="preserve"> had this rationale.</w:t>
      </w:r>
      <w:r w:rsidRPr="008642D1">
        <w:rPr>
          <w:rStyle w:val="FootnoteReference"/>
        </w:rPr>
        <w:footnoteReference w:id="581"/>
      </w:r>
    </w:p>
    <w:p w14:paraId="4CA3F379" w14:textId="236448A4" w:rsidR="00F80BAC" w:rsidRPr="008642D1" w:rsidRDefault="00F80BAC" w:rsidP="00F80BAC">
      <w:pPr>
        <w:pStyle w:val="BodyText"/>
      </w:pPr>
      <w:r w:rsidRPr="008642D1">
        <w:t>Another</w:t>
      </w:r>
      <w:r w:rsidRPr="008642D1" w:rsidDel="00C332F3">
        <w:t xml:space="preserve"> </w:t>
      </w:r>
      <w:r w:rsidRPr="008642D1">
        <w:t xml:space="preserve">is safety. The logic here is that due to men’s </w:t>
      </w:r>
      <w:r w:rsidR="00D56659">
        <w:t>“</w:t>
      </w:r>
      <w:r w:rsidRPr="008642D1">
        <w:t>strength, stamina and physique</w:t>
      </w:r>
      <w:r w:rsidR="00D56659">
        <w:t>”</w:t>
      </w:r>
      <w:r w:rsidRPr="008642D1">
        <w:t xml:space="preserve">, female athletes might be injured if they competed in events with men. This concern might arise in contact sports such as rugby, wrestling and boxing. </w:t>
      </w:r>
    </w:p>
    <w:p w14:paraId="48C046D8" w14:textId="1A2A621F" w:rsidR="00F80BAC" w:rsidRPr="008642D1" w:rsidRDefault="00F80BAC" w:rsidP="00F80BAC">
      <w:pPr>
        <w:pStyle w:val="BodyText"/>
      </w:pPr>
      <w:r w:rsidRPr="008642D1">
        <w:lastRenderedPageBreak/>
        <w:t>These two rationales of fair competition and safety were reflected</w:t>
      </w:r>
      <w:r w:rsidRPr="008642D1" w:rsidDel="00D8483C">
        <w:t xml:space="preserve"> </w:t>
      </w:r>
      <w:r w:rsidRPr="008642D1">
        <w:t>in a submission on the Human Rights Bill from the New Zealand Assembly for Sport, a body established by national sporting organisations.</w:t>
      </w:r>
      <w:r w:rsidRPr="008642D1">
        <w:rPr>
          <w:rStyle w:val="FootnoteReference"/>
        </w:rPr>
        <w:footnoteReference w:id="582"/>
      </w:r>
      <w:r w:rsidRPr="008642D1">
        <w:t xml:space="preserve"> It wanted the exception to apply from the age of 10 years because it considered girls would perform better in single-sex activities, </w:t>
      </w:r>
      <w:r w:rsidR="00144CFE">
        <w:t xml:space="preserve">some </w:t>
      </w:r>
      <w:r w:rsidRPr="008642D1">
        <w:t xml:space="preserve">boys might “substantially outweigh and outreach girls of the same age”, some sports involved physical contact and risk, and international rules required separate competitions for </w:t>
      </w:r>
      <w:r w:rsidR="00904628">
        <w:t>males and females</w:t>
      </w:r>
      <w:r w:rsidRPr="008642D1">
        <w:t>.</w:t>
      </w:r>
      <w:r w:rsidRPr="008642D1">
        <w:rPr>
          <w:rStyle w:val="FootnoteReference"/>
        </w:rPr>
        <w:footnoteReference w:id="583"/>
      </w:r>
      <w:r w:rsidRPr="008642D1">
        <w:t xml:space="preserve">    </w:t>
      </w:r>
    </w:p>
    <w:p w14:paraId="136A96CD" w14:textId="0F1FE12E" w:rsidR="00F80BAC" w:rsidRPr="008642D1" w:rsidRDefault="00F80BAC" w:rsidP="00F80BAC">
      <w:pPr>
        <w:pStyle w:val="BodyText"/>
        <w:tabs>
          <w:tab w:val="clear" w:pos="709"/>
        </w:tabs>
      </w:pPr>
      <w:r w:rsidRPr="008642D1">
        <w:t xml:space="preserve">We think these rationales of fair competition and safety ultimately link back to a broad underlying goal of supporting participation in sport for a marginalised group </w:t>
      </w:r>
      <w:r w:rsidR="00BF7A1A">
        <w:t xml:space="preserve">— </w:t>
      </w:r>
      <w:r w:rsidRPr="008642D1">
        <w:t>specifically, women. The historical exclusion of women from sport provides important context. Modern sport, which emerged around the middle of the nineteenth century, has been described as “primarily designed … to be for and about (white) boys and men”.</w:t>
      </w:r>
      <w:r w:rsidRPr="008642D1">
        <w:rPr>
          <w:rStyle w:val="FootnoteReference"/>
        </w:rPr>
        <w:footnoteReference w:id="584"/>
      </w:r>
      <w:r w:rsidRPr="008642D1">
        <w:t xml:space="preserve"> Several rationales have historically been used to exclude women’s participation in sport. It was thought sport would be harmful to women’s health (particularly reproductive), that it was unattractive and that sport would “masculinise” female athletes.</w:t>
      </w:r>
      <w:r w:rsidRPr="008642D1">
        <w:rPr>
          <w:rStyle w:val="FootnoteReference"/>
        </w:rPr>
        <w:footnoteReference w:id="585"/>
      </w:r>
      <w:r w:rsidRPr="008642D1">
        <w:t xml:space="preserve"> Further, since most sports were developed </w:t>
      </w:r>
      <w:r w:rsidR="00FA0676">
        <w:t>“in the relative absence of women</w:t>
      </w:r>
      <w:r w:rsidR="008C4160">
        <w:t>”</w:t>
      </w:r>
      <w:r w:rsidRPr="008642D1">
        <w:t xml:space="preserve">, they were </w:t>
      </w:r>
      <w:r w:rsidR="00E7135C">
        <w:t>mainly</w:t>
      </w:r>
      <w:r w:rsidRPr="008642D1">
        <w:t xml:space="preserve"> designed to “test the abilities and capacities of the male body”.</w:t>
      </w:r>
      <w:r w:rsidRPr="008642D1">
        <w:rPr>
          <w:rStyle w:val="FootnoteReference"/>
        </w:rPr>
        <w:footnoteReference w:id="586"/>
      </w:r>
      <w:r w:rsidRPr="008642D1">
        <w:t xml:space="preserve"> The creation of women’s sub-categories was a common strategy to overcome this historic</w:t>
      </w:r>
      <w:r w:rsidR="00005190">
        <w:t>al</w:t>
      </w:r>
      <w:r w:rsidRPr="008642D1">
        <w:t xml:space="preserve"> disadvantage and secure female participation in competitive sports.</w:t>
      </w:r>
      <w:r w:rsidRPr="008642D1">
        <w:rPr>
          <w:rStyle w:val="FootnoteReference"/>
        </w:rPr>
        <w:footnoteReference w:id="587"/>
      </w:r>
    </w:p>
    <w:p w14:paraId="7B27F123" w14:textId="77777777" w:rsidR="00F80BAC" w:rsidRPr="008642D1" w:rsidRDefault="00F80BAC" w:rsidP="00F80BAC">
      <w:pPr>
        <w:pStyle w:val="BodyText"/>
        <w:shd w:val="clear" w:color="auto" w:fill="FFFFFF" w:themeFill="background1"/>
      </w:pPr>
      <w:r w:rsidRPr="008642D1">
        <w:t>This participation rationale aligns with the ideas of equality and fair play that we identified in Chapter 4 as values underlying the Human Rights Act.</w:t>
      </w:r>
    </w:p>
    <w:p w14:paraId="465AD489" w14:textId="77777777" w:rsidR="00F80BAC" w:rsidRPr="008642D1" w:rsidRDefault="00F80BAC" w:rsidP="00F80BAC">
      <w:pPr>
        <w:pStyle w:val="Heading2"/>
      </w:pPr>
      <w:bookmarkStart w:id="153" w:name="_Toc170302189"/>
      <w:r w:rsidRPr="008642D1">
        <w:t>Current practice</w:t>
      </w:r>
      <w:bookmarkEnd w:id="153"/>
      <w:r w:rsidRPr="008642D1">
        <w:t xml:space="preserve"> </w:t>
      </w:r>
    </w:p>
    <w:p w14:paraId="25985952" w14:textId="77777777" w:rsidR="00F80BAC" w:rsidRPr="008642D1" w:rsidRDefault="00F80BAC" w:rsidP="00F80BAC">
      <w:pPr>
        <w:pStyle w:val="BodyText"/>
      </w:pPr>
      <w:r w:rsidRPr="008642D1">
        <w:t xml:space="preserve">We are interested to understand whether section 49(1) should be amended to reflect any new grounds we propose. In particular, we need to consider how section 49(1) should apply to people who are transgender or non-binary or who have an innate variation of sex characteristics. </w:t>
      </w:r>
    </w:p>
    <w:p w14:paraId="60A7788D" w14:textId="77777777" w:rsidR="00F80BAC" w:rsidRPr="008642D1" w:rsidRDefault="00F80BAC" w:rsidP="00F80BAC">
      <w:pPr>
        <w:pStyle w:val="BodyText"/>
      </w:pPr>
      <w:r w:rsidRPr="008642D1">
        <w:t>It is helpful to first understand current practice at the international and domestic level with respect to participation of athletes who are transgender or non-binary or who have an innate variation of sex characteristics in single-sex sports. The overall picture is complicated as there are many different sporting organisations, each taking different approaches.</w:t>
      </w:r>
    </w:p>
    <w:p w14:paraId="13C8AA4B" w14:textId="5B913A88" w:rsidR="00F80BAC" w:rsidRPr="008642D1" w:rsidRDefault="00F80BAC" w:rsidP="00F80BAC">
      <w:pPr>
        <w:pStyle w:val="BodyText"/>
      </w:pPr>
      <w:r w:rsidRPr="008642D1">
        <w:lastRenderedPageBreak/>
        <w:t>Where sporting bodies do have restrictions that apply to athletes who are transgender or non-binary or who have an innate variation of sex characteristics, fair competition is often put forward as the rationale. Other stated rationales include protecting the integrity of women’s sport, ensuring equal opportunity to participate and succeed in the sport</w:t>
      </w:r>
      <w:r w:rsidR="00EF3FC0">
        <w:t>,</w:t>
      </w:r>
      <w:r w:rsidRPr="008642D1">
        <w:t xml:space="preserve"> and participant safety. Complying with international rules is often a rationale for domestic policies.</w:t>
      </w:r>
    </w:p>
    <w:p w14:paraId="1439B665" w14:textId="77777777" w:rsidR="00F80BAC" w:rsidRPr="008642D1" w:rsidRDefault="00F80BAC" w:rsidP="00F80BAC">
      <w:pPr>
        <w:pStyle w:val="Heading3"/>
      </w:pPr>
      <w:r w:rsidRPr="008642D1">
        <w:t xml:space="preserve">International — determined by each sport </w:t>
      </w:r>
    </w:p>
    <w:p w14:paraId="05170E8C" w14:textId="77777777" w:rsidR="00F80BAC" w:rsidRPr="008642D1" w:rsidRDefault="00F80BAC" w:rsidP="00F80BAC">
      <w:pPr>
        <w:pStyle w:val="BodyText"/>
      </w:pPr>
      <w:r w:rsidRPr="008642D1">
        <w:t>While the International Olympic Committee (IOC) initially took a position on when transgender athletes may compete in men’s and women’s sporting events,</w:t>
      </w:r>
      <w:r w:rsidRPr="008642D1">
        <w:rPr>
          <w:rStyle w:val="FootnoteReference"/>
        </w:rPr>
        <w:footnoteReference w:id="588"/>
      </w:r>
      <w:r w:rsidRPr="008642D1">
        <w:t xml:space="preserve"> it now considers this should be left to individual sports to determine. In 2021, the IOC issued a framework with principles for sporting organisations to consider when developing and implementing eligibility rules for athletes who are transgender or non-binary or who have an innate variation of sex characteristics. These principles are inclusion, prevention of harm, non-discrimination, fairness, no presumption of advantage, evidence-based approach, primacy of health and bodily autonomy, stakeholder-centred approach, right to privacy and periodic reviews.</w:t>
      </w:r>
      <w:r w:rsidRPr="008642D1">
        <w:rPr>
          <w:rStyle w:val="FootnoteReference"/>
        </w:rPr>
        <w:footnoteReference w:id="589"/>
      </w:r>
      <w:r w:rsidRPr="008642D1">
        <w:t xml:space="preserve"> </w:t>
      </w:r>
    </w:p>
    <w:p w14:paraId="6095B9C5" w14:textId="6FA1F414" w:rsidR="00F80BAC" w:rsidRPr="008642D1" w:rsidRDefault="00F80BAC" w:rsidP="00F80BAC">
      <w:pPr>
        <w:pStyle w:val="BodyText"/>
      </w:pPr>
      <w:r w:rsidRPr="008642D1">
        <w:t>Many international sporting bodies have developed a policy on participation of transgender athletes in their code, typically following a process of reviewing relevant evidence.</w:t>
      </w:r>
      <w:r w:rsidRPr="008642D1">
        <w:rPr>
          <w:rStyle w:val="FootnoteReference"/>
        </w:rPr>
        <w:footnoteReference w:id="590"/>
      </w:r>
      <w:r w:rsidRPr="008642D1">
        <w:t xml:space="preserve"> Policies vary widely depending on the sport</w:t>
      </w:r>
      <w:r w:rsidR="00E73574">
        <w:t>,</w:t>
      </w:r>
      <w:r w:rsidRPr="008642D1">
        <w:t xml:space="preserve"> and some are more restrictive than others. However, almost all the international policies we have seen impose some kind of restrictions on transgender athletes.</w:t>
      </w:r>
    </w:p>
    <w:p w14:paraId="6B049B26" w14:textId="77777777" w:rsidR="00F80BAC" w:rsidRPr="008642D1" w:rsidRDefault="00F80BAC" w:rsidP="00F80BAC">
      <w:pPr>
        <w:pStyle w:val="Heading3"/>
      </w:pPr>
      <w:r w:rsidRPr="008642D1">
        <w:t xml:space="preserve">Domestic — level of competition often relevant </w:t>
      </w:r>
    </w:p>
    <w:p w14:paraId="2AC0DFD1" w14:textId="5C03DDFE" w:rsidR="00F80BAC" w:rsidRPr="008642D1" w:rsidRDefault="00F80BAC" w:rsidP="00F80BAC">
      <w:pPr>
        <w:pStyle w:val="BodyText"/>
      </w:pPr>
      <w:r w:rsidRPr="008642D1">
        <w:t>In Aotearoa New Zealand, it is also up to individual sports to develop policies for their codes on transgender participation. Some national sporting bodies already have policies in place while others are in the process of developing one.</w:t>
      </w:r>
      <w:r w:rsidR="00C25464">
        <w:rPr>
          <w:rStyle w:val="FootnoteReference"/>
        </w:rPr>
        <w:footnoteReference w:id="591"/>
      </w:r>
      <w:r w:rsidRPr="008642D1">
        <w:t xml:space="preserve"> </w:t>
      </w:r>
    </w:p>
    <w:p w14:paraId="445714B1" w14:textId="77777777" w:rsidR="00F80BAC" w:rsidRPr="008642D1" w:rsidRDefault="00F80BAC" w:rsidP="00F80BAC">
      <w:pPr>
        <w:pStyle w:val="BodyText"/>
      </w:pPr>
      <w:r w:rsidRPr="008642D1">
        <w:t>Most of the New Zealand policies we have seen specify that the rules of the international governing body apply to international or selection competitions. Many organisations take a more inclusive approach to domestic events, although this is not always the case.</w:t>
      </w:r>
    </w:p>
    <w:p w14:paraId="5BC193E1" w14:textId="509DA726" w:rsidR="00F80BAC" w:rsidRPr="008642D1" w:rsidRDefault="00F80BAC" w:rsidP="00F80BAC">
      <w:pPr>
        <w:pStyle w:val="BodyText"/>
      </w:pPr>
      <w:r w:rsidRPr="008642D1">
        <w:lastRenderedPageBreak/>
        <w:t>For community-level sport, guiding principles published by Sport New Zealand suggest that inclusion should be an overarching principle, meaning:</w:t>
      </w:r>
      <w:r w:rsidRPr="008642D1">
        <w:rPr>
          <w:rStyle w:val="FootnoteReference"/>
        </w:rPr>
        <w:footnoteReference w:id="592"/>
      </w:r>
    </w:p>
    <w:p w14:paraId="2C5306D1" w14:textId="77777777" w:rsidR="00F80BAC" w:rsidRPr="008642D1" w:rsidRDefault="00F80BAC" w:rsidP="00F80BAC">
      <w:pPr>
        <w:pStyle w:val="Quote"/>
      </w:pPr>
      <w:r w:rsidRPr="008642D1">
        <w:t>Every New Zealander has the right to participate in Sport and to be treated with respect, empathy and positive regard. Transgender people can take part in sports in the gender they identify with.</w:t>
      </w:r>
    </w:p>
    <w:p w14:paraId="08393EDF" w14:textId="695B3878" w:rsidR="00F80BAC" w:rsidRPr="008642D1" w:rsidRDefault="00F80BAC" w:rsidP="00F80BAC">
      <w:pPr>
        <w:pStyle w:val="BodyText"/>
      </w:pPr>
      <w:r w:rsidRPr="008642D1">
        <w:t>The other guiding principles are</w:t>
      </w:r>
      <w:r w:rsidR="0078241D">
        <w:t>:</w:t>
      </w:r>
      <w:r w:rsidRPr="008642D1">
        <w:t xml:space="preserve"> wellbeing and safety</w:t>
      </w:r>
      <w:r w:rsidR="0078241D">
        <w:t>;</w:t>
      </w:r>
      <w:r w:rsidRPr="008642D1">
        <w:t xml:space="preserve"> privacy and dignity</w:t>
      </w:r>
      <w:r w:rsidR="0078241D">
        <w:t>;</w:t>
      </w:r>
      <w:r w:rsidRPr="008642D1">
        <w:t xml:space="preserve"> anti-discrimination, anti-bullying and anti-harassment</w:t>
      </w:r>
      <w:r w:rsidR="00486B24">
        <w:t>;</w:t>
      </w:r>
      <w:r w:rsidRPr="008642D1">
        <w:t xml:space="preserve"> listening and responding</w:t>
      </w:r>
      <w:r w:rsidR="00486B24">
        <w:t>;</w:t>
      </w:r>
      <w:r w:rsidRPr="008642D1">
        <w:t xml:space="preserve"> and education.</w:t>
      </w:r>
      <w:r w:rsidRPr="008642D1">
        <w:rPr>
          <w:rStyle w:val="FootnoteReference"/>
        </w:rPr>
        <w:footnoteReference w:id="593"/>
      </w:r>
      <w:r w:rsidRPr="008642D1">
        <w:t xml:space="preserve"> </w:t>
      </w:r>
    </w:p>
    <w:p w14:paraId="172D944E" w14:textId="2A82F745" w:rsidR="00F80BAC" w:rsidRPr="008642D1" w:rsidRDefault="00F80BAC" w:rsidP="00F80BAC">
      <w:pPr>
        <w:pStyle w:val="BodyText"/>
      </w:pPr>
      <w:r w:rsidRPr="008642D1">
        <w:t>We understand that several sporting organisations are currently working with Sport New Zealand to develop policies on transgender inclusion in community sport based on these guiding principles. We also understand that some sporting organisations may already have less formal practices (including, in some cases, practices that are inclusive of transgender athletes).</w:t>
      </w:r>
      <w:r w:rsidRPr="008642D1">
        <w:rPr>
          <w:rStyle w:val="FootnoteReference"/>
        </w:rPr>
        <w:footnoteReference w:id="594"/>
      </w:r>
      <w:r w:rsidRPr="008642D1">
        <w:t xml:space="preserve">  </w:t>
      </w:r>
    </w:p>
    <w:p w14:paraId="4A9F3D04" w14:textId="77777777" w:rsidR="00F80BAC" w:rsidRPr="008642D1" w:rsidRDefault="00F80BAC" w:rsidP="00F80BAC">
      <w:pPr>
        <w:pStyle w:val="BodyText"/>
      </w:pPr>
      <w:r w:rsidRPr="008642D1">
        <w:t>Sport New Zealand says that, at the elite level, sports are generally guided by the international sporting body for the sport.</w:t>
      </w:r>
      <w:r w:rsidRPr="008642D1">
        <w:rPr>
          <w:rStyle w:val="FootnoteReference"/>
        </w:rPr>
        <w:footnoteReference w:id="595"/>
      </w:r>
      <w:r w:rsidRPr="008642D1">
        <w:t xml:space="preserve"> It can be unclear when competitive sport is considered community level and when it is considered elite level as the dividing line can differ between sports.</w:t>
      </w:r>
      <w:r w:rsidRPr="008642D1">
        <w:rPr>
          <w:rStyle w:val="FootnoteReference"/>
        </w:rPr>
        <w:footnoteReference w:id="596"/>
      </w:r>
      <w:r w:rsidRPr="008642D1">
        <w:t xml:space="preserve"> As we explained above, the exception in section 49(1) can apply to both community and elite level sport.</w:t>
      </w:r>
    </w:p>
    <w:p w14:paraId="59F4A3A2" w14:textId="77777777" w:rsidR="00F80BAC" w:rsidRPr="008642D1" w:rsidRDefault="00F80BAC" w:rsidP="00F80BAC">
      <w:pPr>
        <w:pStyle w:val="Heading3"/>
      </w:pPr>
      <w:r w:rsidRPr="008642D1">
        <w:t>Restrictions are generally focused on transgender women</w:t>
      </w:r>
    </w:p>
    <w:p w14:paraId="19366E3F" w14:textId="77777777" w:rsidR="00F80BAC" w:rsidRPr="008642D1" w:rsidRDefault="00F80BAC" w:rsidP="00F80BAC">
      <w:pPr>
        <w:pStyle w:val="BodyText"/>
      </w:pPr>
      <w:r w:rsidRPr="008642D1">
        <w:t xml:space="preserve">In the policies applying to individual sports we have seen, it is common for sports to restrict the participation of transgender women in women’s sporting competitions (particularly at the international level). The type of restriction depends on the sport but can include complete exclusion of transgender women and non-binary athletes who have undergone male puberty or requiring athletes to maintain testosterone levels below a certain level. By comparison, many sports allow transgender men to compete in men’s sports subject to signing an assumption of risk form and obtaining a therapeutic use exemption if taking hormones. </w:t>
      </w:r>
    </w:p>
    <w:p w14:paraId="58302C0B" w14:textId="77777777" w:rsidR="00F80BAC" w:rsidRPr="008642D1" w:rsidRDefault="00F80BAC" w:rsidP="00F80BAC">
      <w:pPr>
        <w:pStyle w:val="BodyText"/>
      </w:pPr>
      <w:r w:rsidRPr="008642D1">
        <w:t xml:space="preserve">It seems uncommon for policies to specifically refer to athletes who identify outside the gender binary. However, restrictions applying to transgender athletes will usually apply to such athletes if they wish to compete in a category that differs from their sex assigned at birth. </w:t>
      </w:r>
    </w:p>
    <w:p w14:paraId="4B1694F0" w14:textId="77777777" w:rsidR="00F80BAC" w:rsidRPr="008642D1" w:rsidRDefault="00F80BAC" w:rsidP="00F80BAC">
      <w:pPr>
        <w:pStyle w:val="BodyText"/>
      </w:pPr>
      <w:r w:rsidRPr="008642D1">
        <w:lastRenderedPageBreak/>
        <w:t>We are only aware of two international sporting bodies with rules on participation of athletes with an innate variation of sex characteristics — World Athletics and World Aquatics.</w:t>
      </w:r>
      <w:r w:rsidRPr="008642D1">
        <w:rPr>
          <w:rStyle w:val="FootnoteReference"/>
        </w:rPr>
        <w:footnoteReference w:id="597"/>
      </w:r>
      <w:r w:rsidRPr="008642D1">
        <w:t xml:space="preserve"> These rules only apply to some innate variations of sex characteristics. </w:t>
      </w:r>
    </w:p>
    <w:p w14:paraId="3C5C8717" w14:textId="77777777" w:rsidR="00F80BAC" w:rsidRPr="008642D1" w:rsidRDefault="00F80BAC" w:rsidP="00F80BAC">
      <w:pPr>
        <w:pStyle w:val="BodyText"/>
      </w:pPr>
      <w:r w:rsidRPr="008642D1">
        <w:t xml:space="preserve">The guiding principles for community sport developed by Sport New Zealand do not specifically address participation of athletes with an innate variation of sex characteristics.  </w:t>
      </w:r>
    </w:p>
    <w:p w14:paraId="44B75745" w14:textId="77777777" w:rsidR="00F80BAC" w:rsidRPr="008642D1" w:rsidRDefault="00F80BAC" w:rsidP="00F80BAC">
      <w:pPr>
        <w:pStyle w:val="Heading2"/>
      </w:pPr>
      <w:bookmarkStart w:id="154" w:name="_Toc170302190"/>
      <w:r w:rsidRPr="008642D1">
        <w:t>Differing perspectives</w:t>
      </w:r>
      <w:bookmarkEnd w:id="154"/>
      <w:r w:rsidRPr="008642D1">
        <w:t xml:space="preserve"> </w:t>
      </w:r>
    </w:p>
    <w:p w14:paraId="489BCAB5" w14:textId="77777777" w:rsidR="00F80BAC" w:rsidRPr="008642D1" w:rsidRDefault="00F80BAC" w:rsidP="00F80BAC">
      <w:pPr>
        <w:pStyle w:val="BodyText"/>
      </w:pPr>
      <w:r w:rsidRPr="008642D1">
        <w:t>We understand that the question of whether transgender athletes can compete in the sports category that aligns with their gender identity is an issue of particular concern to some people in the community. We are interested to understand better the different community perspectives on this issue and to learn what evidence there is in Aotearoa New Zealand to support them.</w:t>
      </w:r>
    </w:p>
    <w:p w14:paraId="1BBC5706" w14:textId="77777777" w:rsidR="00F80BAC" w:rsidRPr="008642D1" w:rsidRDefault="00F80BAC" w:rsidP="00F80BAC">
      <w:pPr>
        <w:pStyle w:val="BodyText"/>
      </w:pPr>
      <w:r w:rsidRPr="008642D1">
        <w:t>As we discussed in Chapter 3, transgender and non-binary athletes have much lower rates of participation in competitive sport than others in the community. Rules that restrict participation and fear of restrictions likely contribute to this. Difficulty in accessing safe and appropriate bathrooms and changing rooms when playing sport can also be an issue. We discussed the issue of single-sex facilities such as bathrooms in Chapter 13.</w:t>
      </w:r>
    </w:p>
    <w:p w14:paraId="23634FC8" w14:textId="7A76CF9F" w:rsidR="00F80BAC" w:rsidRPr="008642D1" w:rsidRDefault="00F80BAC" w:rsidP="00F80BAC">
      <w:pPr>
        <w:pStyle w:val="BodyText"/>
      </w:pPr>
      <w:r w:rsidRPr="008642D1">
        <w:t xml:space="preserve">We do not know whether athletes with an innate variation of sex characteristics are being excluded from competitive sport in </w:t>
      </w:r>
      <w:r w:rsidR="00663BEE">
        <w:t xml:space="preserve">Aotearoa </w:t>
      </w:r>
      <w:r w:rsidRPr="008642D1">
        <w:t xml:space="preserve">New Zealand or face barriers to participation. At the international level, we know that some athletes with innate variations that </w:t>
      </w:r>
      <w:r w:rsidR="00B81231">
        <w:t>affect</w:t>
      </w:r>
      <w:r w:rsidRPr="008642D1">
        <w:t xml:space="preserve"> testosterone levels have faced restrictions on their ability to compete in women’s events.</w:t>
      </w:r>
      <w:r w:rsidRPr="008642D1">
        <w:rPr>
          <w:rStyle w:val="FootnoteReference"/>
        </w:rPr>
        <w:footnoteReference w:id="598"/>
      </w:r>
    </w:p>
    <w:p w14:paraId="33F873E3" w14:textId="77777777" w:rsidR="00F80BAC" w:rsidRPr="008642D1" w:rsidRDefault="00F80BAC" w:rsidP="00F80BAC">
      <w:pPr>
        <w:pStyle w:val="BodyText"/>
      </w:pPr>
      <w:bookmarkStart w:id="155" w:name="_Hlk165983044"/>
      <w:r w:rsidRPr="008642D1">
        <w:t>In our preliminary research and engagement, we heard of several concerns arising from the restrictions that are imposed on athletes who are transgender or non-binary or who have an innate variation of sex characteristics before they can participate in some single-sex competitive sports. These include:</w:t>
      </w:r>
    </w:p>
    <w:bookmarkEnd w:id="155"/>
    <w:p w14:paraId="5D82A933" w14:textId="6ED473C4" w:rsidR="00F80BAC" w:rsidRPr="008642D1" w:rsidRDefault="00DC4BDA" w:rsidP="00F80BAC">
      <w:pPr>
        <w:pStyle w:val="BodyTextnonum"/>
        <w:numPr>
          <w:ilvl w:val="3"/>
          <w:numId w:val="23"/>
        </w:numPr>
        <w:tabs>
          <w:tab w:val="clear" w:pos="1134"/>
          <w:tab w:val="num" w:pos="1133"/>
        </w:tabs>
        <w:ind w:left="1133"/>
      </w:pPr>
      <w:r>
        <w:t xml:space="preserve">side </w:t>
      </w:r>
      <w:r w:rsidR="00157A38">
        <w:t>effects</w:t>
      </w:r>
      <w:r>
        <w:t xml:space="preserve"> from </w:t>
      </w:r>
      <w:r w:rsidR="00FB39F9">
        <w:t>being asked to take testosterone-lowering</w:t>
      </w:r>
      <w:r>
        <w:t xml:space="preserve"> medication</w:t>
      </w:r>
      <w:r w:rsidR="00F80BAC" w:rsidRPr="008642D1">
        <w:t>;</w:t>
      </w:r>
      <w:r w:rsidR="00F80BAC" w:rsidRPr="008642D1">
        <w:rPr>
          <w:rStyle w:val="FootnoteReference"/>
        </w:rPr>
        <w:footnoteReference w:id="599"/>
      </w:r>
    </w:p>
    <w:p w14:paraId="78A1EC48" w14:textId="77777777" w:rsidR="00F80BAC" w:rsidRPr="008642D1" w:rsidRDefault="00F80BAC" w:rsidP="00F80BAC">
      <w:pPr>
        <w:pStyle w:val="BodyTextnonum"/>
        <w:numPr>
          <w:ilvl w:val="3"/>
          <w:numId w:val="23"/>
        </w:numPr>
        <w:tabs>
          <w:tab w:val="clear" w:pos="1134"/>
          <w:tab w:val="num" w:pos="1133"/>
        </w:tabs>
        <w:ind w:left="1133"/>
      </w:pPr>
      <w:r w:rsidRPr="008642D1">
        <w:t>invasive assessments such as genital examinations, chromosomal testing and scanning of sex organs;</w:t>
      </w:r>
      <w:r w:rsidRPr="008642D1">
        <w:rPr>
          <w:rStyle w:val="FootnoteReference"/>
        </w:rPr>
        <w:footnoteReference w:id="600"/>
      </w:r>
    </w:p>
    <w:p w14:paraId="76F26F6D" w14:textId="77777777" w:rsidR="00F80BAC" w:rsidRPr="008642D1" w:rsidRDefault="00F80BAC" w:rsidP="00F80BAC">
      <w:pPr>
        <w:pStyle w:val="BodyTextnonum"/>
        <w:numPr>
          <w:ilvl w:val="3"/>
          <w:numId w:val="23"/>
        </w:numPr>
        <w:tabs>
          <w:tab w:val="clear" w:pos="1134"/>
          <w:tab w:val="num" w:pos="1133"/>
        </w:tabs>
        <w:ind w:left="1133"/>
      </w:pPr>
      <w:r w:rsidRPr="008642D1">
        <w:t>fear of restrictions or adverse reactions (sometimes leading to athletes withdrawing from sports);</w:t>
      </w:r>
      <w:r w:rsidRPr="008642D1">
        <w:rPr>
          <w:rStyle w:val="FootnoteReference"/>
        </w:rPr>
        <w:footnoteReference w:id="601"/>
      </w:r>
    </w:p>
    <w:p w14:paraId="4DA9B0BE" w14:textId="20861713" w:rsidR="00F80BAC" w:rsidRPr="008642D1" w:rsidRDefault="00F80BAC" w:rsidP="00F80BAC">
      <w:pPr>
        <w:pStyle w:val="BodyTextnonum"/>
        <w:numPr>
          <w:ilvl w:val="3"/>
          <w:numId w:val="23"/>
        </w:numPr>
        <w:tabs>
          <w:tab w:val="clear" w:pos="1134"/>
          <w:tab w:val="num" w:pos="1133"/>
        </w:tabs>
        <w:ind w:left="1133"/>
      </w:pPr>
      <w:r w:rsidRPr="008642D1">
        <w:lastRenderedPageBreak/>
        <w:t>athletes feeling they have to choose between participating in a sport they love and being who they are;</w:t>
      </w:r>
      <w:r w:rsidRPr="008642D1">
        <w:rPr>
          <w:rStyle w:val="FootnoteReference"/>
        </w:rPr>
        <w:footnoteReference w:id="602"/>
      </w:r>
      <w:r w:rsidR="00DA20CC">
        <w:t xml:space="preserve"> and</w:t>
      </w:r>
    </w:p>
    <w:p w14:paraId="2CC7271D" w14:textId="77777777" w:rsidR="00F80BAC" w:rsidRPr="008642D1" w:rsidRDefault="00F80BAC" w:rsidP="00F80BAC">
      <w:pPr>
        <w:pStyle w:val="BodyTextnonum"/>
        <w:numPr>
          <w:ilvl w:val="3"/>
          <w:numId w:val="23"/>
        </w:numPr>
        <w:tabs>
          <w:tab w:val="clear" w:pos="1134"/>
          <w:tab w:val="num" w:pos="1133"/>
        </w:tabs>
        <w:ind w:left="1133"/>
      </w:pPr>
      <w:r w:rsidRPr="008642D1">
        <w:t>lack of meaningful competition opportunities for athletes due to being restricted to an open category</w:t>
      </w:r>
      <w:r w:rsidRPr="008642D1" w:rsidDel="00466DAA">
        <w:t>,</w:t>
      </w:r>
      <w:r w:rsidRPr="008642D1">
        <w:t xml:space="preserve"> where these exist.</w:t>
      </w:r>
      <w:r w:rsidRPr="008642D1">
        <w:rPr>
          <w:rStyle w:val="FootnoteReference"/>
        </w:rPr>
        <w:footnoteReference w:id="603"/>
      </w:r>
    </w:p>
    <w:p w14:paraId="6F344EFD" w14:textId="77777777" w:rsidR="00F80BAC" w:rsidRPr="008642D1" w:rsidRDefault="00F80BAC" w:rsidP="00F80BAC">
      <w:pPr>
        <w:pStyle w:val="BodyText"/>
      </w:pPr>
      <w:r w:rsidRPr="008642D1">
        <w:t>We also know that some people and groups have concerns about transgender women being allowed to participate in women’s competitive sport (either some or all of the time). These concerns generally relate to the potential impact of participation by transgender women on the fair competition and safety rationales that underlie section 49(1) and, ultimately, on female participation in competitive sports. More specifically, some concerns we have seen expressed are that:</w:t>
      </w:r>
      <w:r w:rsidRPr="008642D1" w:rsidDel="00A225D2">
        <w:rPr>
          <w:rStyle w:val="FootnoteReference"/>
        </w:rPr>
        <w:t xml:space="preserve"> </w:t>
      </w:r>
    </w:p>
    <w:p w14:paraId="44C72D61" w14:textId="42BBA5BE" w:rsidR="00F80BAC" w:rsidRPr="008642D1" w:rsidRDefault="00F80BAC" w:rsidP="00F80BAC">
      <w:pPr>
        <w:pStyle w:val="BodyTextnonum"/>
        <w:numPr>
          <w:ilvl w:val="3"/>
          <w:numId w:val="23"/>
        </w:numPr>
        <w:tabs>
          <w:tab w:val="clear" w:pos="1134"/>
          <w:tab w:val="num" w:pos="1133"/>
        </w:tabs>
        <w:ind w:left="1133"/>
      </w:pPr>
      <w:r w:rsidRPr="008642D1">
        <w:t xml:space="preserve">transgender women </w:t>
      </w:r>
      <w:r w:rsidR="003505A7">
        <w:t xml:space="preserve">will have an inherent </w:t>
      </w:r>
      <w:r w:rsidRPr="008642D1">
        <w:t>advantage over other female athletes;</w:t>
      </w:r>
      <w:r w:rsidRPr="008642D1">
        <w:rPr>
          <w:rStyle w:val="FootnoteReference"/>
        </w:rPr>
        <w:footnoteReference w:id="604"/>
      </w:r>
    </w:p>
    <w:p w14:paraId="2824CA9D" w14:textId="77777777" w:rsidR="00F80BAC" w:rsidRPr="008642D1" w:rsidRDefault="00F80BAC" w:rsidP="00F80BAC">
      <w:pPr>
        <w:pStyle w:val="BodyTextnonum"/>
        <w:numPr>
          <w:ilvl w:val="3"/>
          <w:numId w:val="23"/>
        </w:numPr>
        <w:tabs>
          <w:tab w:val="clear" w:pos="1134"/>
          <w:tab w:val="num" w:pos="1133"/>
        </w:tabs>
        <w:ind w:left="1133"/>
      </w:pPr>
      <w:r w:rsidRPr="008642D1">
        <w:t>if transgender women can compete against cisgender women, this might erode a space that was “painstakingly built” to allow cisgender women’s inclusion in sport;</w:t>
      </w:r>
      <w:r w:rsidRPr="008642D1">
        <w:rPr>
          <w:rStyle w:val="FootnoteReference"/>
        </w:rPr>
        <w:footnoteReference w:id="605"/>
      </w:r>
    </w:p>
    <w:p w14:paraId="267DC3DA" w14:textId="77777777" w:rsidR="00F80BAC" w:rsidRPr="008642D1" w:rsidRDefault="00F80BAC" w:rsidP="00F80BAC">
      <w:pPr>
        <w:pStyle w:val="BodyTextnonum"/>
        <w:numPr>
          <w:ilvl w:val="3"/>
          <w:numId w:val="23"/>
        </w:numPr>
        <w:tabs>
          <w:tab w:val="clear" w:pos="1134"/>
          <w:tab w:val="num" w:pos="1133"/>
        </w:tabs>
        <w:ind w:left="1133"/>
      </w:pPr>
      <w:r w:rsidRPr="008642D1">
        <w:t>cisgender women may not feel comfortable playing alongside transgender women or sharing a changing room;</w:t>
      </w:r>
      <w:r w:rsidRPr="008642D1">
        <w:rPr>
          <w:rStyle w:val="FootnoteReference"/>
        </w:rPr>
        <w:footnoteReference w:id="606"/>
      </w:r>
      <w:r w:rsidRPr="008642D1">
        <w:t xml:space="preserve"> and</w:t>
      </w:r>
    </w:p>
    <w:p w14:paraId="41CF3B5E" w14:textId="77777777" w:rsidR="00F80BAC" w:rsidRPr="008642D1" w:rsidRDefault="00F80BAC" w:rsidP="00F80BAC">
      <w:pPr>
        <w:pStyle w:val="BodyTextnonum"/>
        <w:numPr>
          <w:ilvl w:val="3"/>
          <w:numId w:val="23"/>
        </w:numPr>
        <w:tabs>
          <w:tab w:val="clear" w:pos="1134"/>
          <w:tab w:val="num" w:pos="1133"/>
        </w:tabs>
        <w:ind w:left="1133"/>
      </w:pPr>
      <w:r w:rsidRPr="008642D1">
        <w:t>playing alongside transgender women may pose a safety risk to cisgender women, particularly in contact sports.</w:t>
      </w:r>
      <w:r w:rsidRPr="008642D1">
        <w:rPr>
          <w:rStyle w:val="FootnoteReference"/>
        </w:rPr>
        <w:footnoteReference w:id="607"/>
      </w:r>
      <w:r w:rsidRPr="008642D1">
        <w:t xml:space="preserve"> </w:t>
      </w:r>
    </w:p>
    <w:p w14:paraId="46254F54" w14:textId="77777777" w:rsidR="00F80BAC" w:rsidRPr="008642D1" w:rsidRDefault="00F80BAC" w:rsidP="00F80BAC">
      <w:pPr>
        <w:pStyle w:val="BodyText"/>
        <w:rPr>
          <w:lang w:bidi="th-TH"/>
        </w:rPr>
      </w:pPr>
      <w:r w:rsidRPr="008642D1">
        <w:rPr>
          <w:lang w:bidi="th-TH"/>
        </w:rPr>
        <w:t>These concerns are not universal. We understand some people in the community do not have concerns about transgender people participating in competitive sports in line with their gender identity, although survey results can vary depending on how the question is framed.</w:t>
      </w:r>
      <w:r w:rsidRPr="008642D1">
        <w:rPr>
          <w:rStyle w:val="FootnoteReference"/>
          <w:lang w:bidi="th-TH"/>
        </w:rPr>
        <w:footnoteReference w:id="608"/>
      </w:r>
      <w:r w:rsidRPr="008642D1">
        <w:rPr>
          <w:lang w:bidi="th-TH"/>
        </w:rPr>
        <w:t xml:space="preserve"> </w:t>
      </w:r>
    </w:p>
    <w:p w14:paraId="20611C9D" w14:textId="09A3C782" w:rsidR="00F80BAC" w:rsidRPr="008642D1" w:rsidRDefault="00F80BAC" w:rsidP="00F80BAC">
      <w:pPr>
        <w:pStyle w:val="BodyText"/>
        <w:rPr>
          <w:lang w:bidi="th-TH"/>
        </w:rPr>
      </w:pPr>
      <w:r w:rsidRPr="008642D1">
        <w:rPr>
          <w:lang w:bidi="th-TH"/>
        </w:rPr>
        <w:t xml:space="preserve">Most of the concerns we have seen expressed relate to participation of transgender women (or non-binary people who were assigned male at birth) in women’s sport rather than participation of transgender men in men’s sport or participation of athletes who have </w:t>
      </w:r>
      <w:r w:rsidRPr="008642D1">
        <w:rPr>
          <w:lang w:bidi="th-TH"/>
        </w:rPr>
        <w:lastRenderedPageBreak/>
        <w:t xml:space="preserve">an innate variation of sex characteristics. However, we also welcome feedback on these issues. </w:t>
      </w:r>
    </w:p>
    <w:p w14:paraId="4893775F" w14:textId="77777777" w:rsidR="00F80BAC" w:rsidRPr="008642D1" w:rsidRDefault="00F80BAC" w:rsidP="00F80BAC">
      <w:pPr>
        <w:pStyle w:val="Heading2"/>
      </w:pPr>
      <w:bookmarkStart w:id="156" w:name="_Toc170302191"/>
      <w:r w:rsidRPr="008642D1">
        <w:t>Evidence backdrop</w:t>
      </w:r>
      <w:bookmarkEnd w:id="156"/>
    </w:p>
    <w:p w14:paraId="5C574429" w14:textId="6ABAAA6A" w:rsidR="00F80BAC" w:rsidRPr="008642D1" w:rsidRDefault="00F80BAC" w:rsidP="00F80BAC">
      <w:pPr>
        <w:pStyle w:val="BodyText"/>
      </w:pPr>
      <w:r w:rsidRPr="008642D1">
        <w:t>We want</w:t>
      </w:r>
      <w:r w:rsidRPr="008642D1" w:rsidDel="00A67255">
        <w:t xml:space="preserve"> </w:t>
      </w:r>
      <w:r w:rsidRPr="008642D1">
        <w:t>to understand better how these differing perspectives are supported by the evidence. Our understanding based on our preliminary research is that the evidence is both emerging and incomplete. There is not room in this Issues Paper for detailed discussion of all the studies we have read nor to discuss how different sporting bodies have approached this evidence. Instead, we identify some of the key themes that emerge from the evidence we have considered.</w:t>
      </w:r>
    </w:p>
    <w:p w14:paraId="1ADED222" w14:textId="77777777" w:rsidR="00F80BAC" w:rsidRPr="008642D1" w:rsidRDefault="00F80BAC" w:rsidP="00F80BAC">
      <w:pPr>
        <w:pStyle w:val="Heading3"/>
      </w:pPr>
      <w:r w:rsidRPr="008642D1">
        <w:t>Some sporting advantages associated with male bodies</w:t>
      </w:r>
    </w:p>
    <w:p w14:paraId="713011C7" w14:textId="4AA77D8E" w:rsidR="00F80BAC" w:rsidRPr="008642D1" w:rsidRDefault="00F80BAC" w:rsidP="00F80BAC">
      <w:pPr>
        <w:pStyle w:val="BodyText"/>
      </w:pPr>
      <w:bookmarkStart w:id="157" w:name="_Hlk166764791"/>
      <w:r w:rsidRPr="008642D1">
        <w:t>Evidence suggests cisgender men have an advantage over cisgender women in sports requiring aerobic endurance, muscular strength, power and speed, with exposure to high levels of testosterone during puberty being the primary cause.</w:t>
      </w:r>
      <w:r w:rsidRPr="008642D1">
        <w:rPr>
          <w:rStyle w:val="FootnoteReference"/>
        </w:rPr>
        <w:footnoteReference w:id="609"/>
      </w:r>
      <w:r w:rsidRPr="008642D1">
        <w:t xml:space="preserve"> As a result of this testosterone, </w:t>
      </w:r>
      <w:r w:rsidR="00727F1F">
        <w:t xml:space="preserve">at a population level, </w:t>
      </w:r>
      <w:r w:rsidRPr="008642D1">
        <w:t>cisgender men have greater muscle mass, less body fat, higher blood haemoglobin concentration and mass, a larger heart, larger airways and lungs, greater height and longer limbs than cisgender women.</w:t>
      </w:r>
      <w:r w:rsidRPr="008642D1">
        <w:rPr>
          <w:rStyle w:val="FootnoteReference"/>
          <w:rFonts w:eastAsiaTheme="majorEastAsia"/>
        </w:rPr>
        <w:footnoteReference w:id="610"/>
      </w:r>
      <w:r w:rsidRPr="008642D1">
        <w:t xml:space="preserve"> </w:t>
      </w:r>
      <w:bookmarkEnd w:id="157"/>
      <w:r w:rsidRPr="008642D1">
        <w:t>Some studies have found differences in male and female athletic performance start to emerge around the age of 12 years.</w:t>
      </w:r>
      <w:r w:rsidRPr="008642D1">
        <w:rPr>
          <w:rStyle w:val="FootnoteReference"/>
          <w:rFonts w:eastAsiaTheme="majorEastAsia"/>
        </w:rPr>
        <w:footnoteReference w:id="611"/>
      </w:r>
      <w:r w:rsidRPr="008642D1">
        <w:t xml:space="preserve"> There is some evidence to show there can be differences in the athletic performance of boys and girls even prior to puberty,</w:t>
      </w:r>
      <w:r w:rsidRPr="008642D1">
        <w:rPr>
          <w:rStyle w:val="FootnoteReference"/>
        </w:rPr>
        <w:footnoteReference w:id="612"/>
      </w:r>
      <w:r w:rsidRPr="008642D1">
        <w:t xml:space="preserve"> although these differences may be minimal.</w:t>
      </w:r>
      <w:r w:rsidRPr="008642D1">
        <w:rPr>
          <w:rStyle w:val="FootnoteReference"/>
        </w:rPr>
        <w:footnoteReference w:id="613"/>
      </w:r>
      <w:r w:rsidRPr="008642D1">
        <w:t xml:space="preserve"> </w:t>
      </w:r>
    </w:p>
    <w:p w14:paraId="5C26FEAB" w14:textId="5E9EC83E" w:rsidR="00F80BAC" w:rsidRPr="008642D1" w:rsidRDefault="00F80BAC" w:rsidP="00F80BAC">
      <w:pPr>
        <w:pStyle w:val="BodyText"/>
      </w:pPr>
      <w:r w:rsidRPr="008642D1">
        <w:t xml:space="preserve">The extent of any male performance advantage will differ depending on the sport. For example, an analysis of men’s and women’s performances in 82 Olympic events found the gender gap </w:t>
      </w:r>
      <w:r w:rsidR="00833732">
        <w:t xml:space="preserve">in world records </w:t>
      </w:r>
      <w:r w:rsidRPr="008642D1">
        <w:t>ranged from 5.5 per cent (800</w:t>
      </w:r>
      <w:r w:rsidR="00A658BB">
        <w:t xml:space="preserve"> </w:t>
      </w:r>
      <w:r w:rsidRPr="008642D1">
        <w:t>m freestyle swimming) to 36.8 per cent (weightlifting).</w:t>
      </w:r>
      <w:r w:rsidRPr="008642D1">
        <w:rPr>
          <w:rStyle w:val="FootnoteReference"/>
          <w:rFonts w:eastAsiaTheme="majorEastAsia"/>
        </w:rPr>
        <w:footnoteReference w:id="614"/>
      </w:r>
      <w:r w:rsidRPr="008642D1">
        <w:t xml:space="preserve"> Differences may be minimal for sports that rely on motor skills more than strength, power or aerobic capacity, such as archery and shooting.</w:t>
      </w:r>
      <w:r w:rsidRPr="008642D1">
        <w:rPr>
          <w:rStyle w:val="FootnoteReference"/>
        </w:rPr>
        <w:footnoteReference w:id="615"/>
      </w:r>
      <w:r w:rsidRPr="008642D1">
        <w:t xml:space="preserve"> A study of elite show jumping performances (an event </w:t>
      </w:r>
      <w:r w:rsidR="00A658BB">
        <w:t>that</w:t>
      </w:r>
      <w:r w:rsidR="00A658BB" w:rsidRPr="008642D1">
        <w:t xml:space="preserve"> </w:t>
      </w:r>
      <w:r w:rsidRPr="008642D1">
        <w:t xml:space="preserve">is not separated by sex) found </w:t>
      </w:r>
      <w:r w:rsidR="0022271C">
        <w:lastRenderedPageBreak/>
        <w:t xml:space="preserve">that overall there were </w:t>
      </w:r>
      <w:r w:rsidRPr="008642D1">
        <w:t xml:space="preserve">no statistically significant differences </w:t>
      </w:r>
      <w:r w:rsidR="003A61D3">
        <w:t>between</w:t>
      </w:r>
      <w:r w:rsidRPr="008642D1">
        <w:t xml:space="preserve"> the final ranking or points of male and female riders.</w:t>
      </w:r>
      <w:r w:rsidRPr="008642D1">
        <w:rPr>
          <w:rStyle w:val="FootnoteReference"/>
          <w:rFonts w:eastAsiaTheme="majorEastAsia"/>
        </w:rPr>
        <w:footnoteReference w:id="616"/>
      </w:r>
      <w:r w:rsidRPr="008642D1">
        <w:t xml:space="preserve"> </w:t>
      </w:r>
    </w:p>
    <w:p w14:paraId="5F04DE3B" w14:textId="77777777" w:rsidR="00F80BAC" w:rsidRPr="008642D1" w:rsidRDefault="00F80BAC" w:rsidP="00F80BAC">
      <w:pPr>
        <w:pStyle w:val="Heading3"/>
      </w:pPr>
      <w:r w:rsidRPr="008642D1">
        <w:t>Whether transgender women may have an advantage over cisgender women</w:t>
      </w:r>
    </w:p>
    <w:p w14:paraId="58CE5DCA" w14:textId="77777777" w:rsidR="00F80BAC" w:rsidRPr="008642D1" w:rsidRDefault="00F80BAC" w:rsidP="00F80BAC">
      <w:pPr>
        <w:pStyle w:val="BodyText"/>
      </w:pPr>
      <w:r w:rsidRPr="008642D1">
        <w:t xml:space="preserve">Whether transgender women athletes have an advantage over cisgender female athletes appears to be a more complex question. When considering this issue, it is helpful to differentiate between three different groups of athletes. </w:t>
      </w:r>
    </w:p>
    <w:p w14:paraId="7FF0FED9" w14:textId="77777777" w:rsidR="00F80BAC" w:rsidRPr="008642D1" w:rsidRDefault="00F80BAC" w:rsidP="00F80BAC">
      <w:pPr>
        <w:pStyle w:val="Heading4"/>
      </w:pPr>
      <w:r w:rsidRPr="008642D1">
        <w:t>Transgender women who have not experienced male puberty</w:t>
      </w:r>
    </w:p>
    <w:p w14:paraId="5B6DBD52" w14:textId="2747C046" w:rsidR="00F80BAC" w:rsidRPr="008642D1" w:rsidRDefault="00F80BAC" w:rsidP="00F80BAC">
      <w:pPr>
        <w:pStyle w:val="BodyText"/>
      </w:pPr>
      <w:r w:rsidRPr="008642D1">
        <w:t xml:space="preserve">The first group is transgender women who have not experienced male puberty due to taking puberty blockers. Such athletes will not have a performance advantage associated with male puberty. We are not aware of research that specifically looks at whether transgender women athletes who have not been through male puberty may have a competitive advantage over cisgender female athletes. Several international sporting organisations </w:t>
      </w:r>
      <w:r w:rsidR="00AC27A4">
        <w:t xml:space="preserve">have </w:t>
      </w:r>
      <w:r w:rsidR="005E473F">
        <w:t>different rules depending on whether a transgender woman athlete has</w:t>
      </w:r>
      <w:r w:rsidRPr="008642D1">
        <w:t xml:space="preserve"> experienced male puberty.</w:t>
      </w:r>
      <w:r w:rsidRPr="008642D1">
        <w:rPr>
          <w:rStyle w:val="FootnoteReference"/>
        </w:rPr>
        <w:footnoteReference w:id="617"/>
      </w:r>
      <w:r w:rsidRPr="008642D1">
        <w:t xml:space="preserve"> </w:t>
      </w:r>
    </w:p>
    <w:p w14:paraId="1C04E19C" w14:textId="77777777" w:rsidR="00F80BAC" w:rsidRPr="008642D1" w:rsidRDefault="00F80BAC" w:rsidP="00F80BAC">
      <w:pPr>
        <w:pStyle w:val="Heading4"/>
      </w:pPr>
      <w:r w:rsidRPr="008642D1">
        <w:t>Transgender women who have experienced male puberty and are not undergoing gender-affirming hormone therapy</w:t>
      </w:r>
    </w:p>
    <w:p w14:paraId="024FE9F4" w14:textId="77777777" w:rsidR="00F80BAC" w:rsidRPr="008642D1" w:rsidRDefault="00F80BAC" w:rsidP="00F80BAC">
      <w:pPr>
        <w:pStyle w:val="BodyText"/>
      </w:pPr>
      <w:r w:rsidRPr="008642D1">
        <w:t>The second group is transgender women who have experienced male puberty and who are not undergoing gender-affirming hormone therapy (oestrogen supplementation and testosterone suppression). As a group, such athletes would be expected to have a performance advantage over cisgender women as a group</w:t>
      </w:r>
      <w:r w:rsidRPr="008642D1" w:rsidDel="006F7402">
        <w:t>.</w:t>
      </w:r>
      <w:r w:rsidRPr="008642D1">
        <w:rPr>
          <w:rStyle w:val="FootnoteReference"/>
        </w:rPr>
        <w:footnoteReference w:id="618"/>
      </w:r>
      <w:r w:rsidRPr="008642D1" w:rsidDel="00451903">
        <w:t xml:space="preserve"> </w:t>
      </w:r>
      <w:r w:rsidRPr="008642D1">
        <w:t>Most of the international sporting policies we have seen prevent athletes in this category from competing in women’s sports.</w:t>
      </w:r>
    </w:p>
    <w:p w14:paraId="4ECEE5AB" w14:textId="2695F134" w:rsidR="00F80BAC" w:rsidRPr="008642D1" w:rsidRDefault="00F80BAC" w:rsidP="00F80BAC">
      <w:pPr>
        <w:pStyle w:val="Heading4"/>
      </w:pPr>
      <w:r w:rsidRPr="008642D1">
        <w:t>Transgender women who have experienced male puberty and who are undergoing gender</w:t>
      </w:r>
      <w:r w:rsidR="00650180">
        <w:t>-</w:t>
      </w:r>
      <w:r w:rsidRPr="008642D1">
        <w:t xml:space="preserve">affirming hormone </w:t>
      </w:r>
      <w:r w:rsidR="00C36E7F">
        <w:t>therapy</w:t>
      </w:r>
    </w:p>
    <w:p w14:paraId="724DBB85" w14:textId="6718200C" w:rsidR="00F80BAC" w:rsidRPr="008642D1" w:rsidRDefault="00F80BAC" w:rsidP="00F80BAC">
      <w:pPr>
        <w:pStyle w:val="BodyText"/>
      </w:pPr>
      <w:r w:rsidRPr="008642D1">
        <w:t xml:space="preserve">The third group is transgender women who have experienced male puberty and who have subsequently commenced gender-affirming hormone </w:t>
      </w:r>
      <w:r w:rsidR="00C36E7F">
        <w:t>therapy</w:t>
      </w:r>
      <w:r w:rsidRPr="008642D1">
        <w:t xml:space="preserve">. A critical question in relation to athletes in this category is the extent to which gender-affirming hormone </w:t>
      </w:r>
      <w:r w:rsidR="00C36E7F">
        <w:t>therapy</w:t>
      </w:r>
      <w:r w:rsidRPr="008642D1">
        <w:t xml:space="preserve"> may mitigate the biological effects of male puberty. Evidence on this issue is still emerging</w:t>
      </w:r>
      <w:r w:rsidR="00BA31DC">
        <w:t>,</w:t>
      </w:r>
      <w:r w:rsidRPr="008642D1">
        <w:t xml:space="preserve"> and there are some significant limitations to the evidence that is currently available. One is that there are very few studies of transgender athletes. Most of the studies that are available look at changes in non-athletes who have undergone gender-</w:t>
      </w:r>
      <w:r w:rsidRPr="008642D1">
        <w:lastRenderedPageBreak/>
        <w:t xml:space="preserve">affirming hormone </w:t>
      </w:r>
      <w:r w:rsidR="00C36E7F">
        <w:t>therapy</w:t>
      </w:r>
      <w:r w:rsidRPr="008642D1">
        <w:t>. There is also a lack of sport-specific research. The studies we have seen generally test specific measures such as grip strength, jump height and number of press ups, and it may not be straightforward to apply the findings of such studies to a particular sport. Another limitation is a lack of longitudinal research on the long</w:t>
      </w:r>
      <w:r w:rsidR="00BA31DC">
        <w:t>-</w:t>
      </w:r>
      <w:r w:rsidRPr="008642D1">
        <w:t xml:space="preserve">term impacts of gender-affirming hormone </w:t>
      </w:r>
      <w:r w:rsidR="00C36E7F">
        <w:t>therapy</w:t>
      </w:r>
      <w:r w:rsidRPr="008642D1">
        <w:t xml:space="preserve">. </w:t>
      </w:r>
    </w:p>
    <w:p w14:paraId="2B1FCB76" w14:textId="18A3716E" w:rsidR="00F80BAC" w:rsidRPr="008642D1" w:rsidRDefault="00F80BAC" w:rsidP="00F80BAC">
      <w:pPr>
        <w:pStyle w:val="BodyText"/>
      </w:pPr>
      <w:r w:rsidRPr="008642D1">
        <w:t xml:space="preserve">Evidence suggests that taking gender-affirming hormone </w:t>
      </w:r>
      <w:r w:rsidR="00C36E7F">
        <w:t>therapy</w:t>
      </w:r>
      <w:r w:rsidRPr="008642D1">
        <w:t xml:space="preserve"> affects body composition and physical performance. For example, studies have shown that transgender women who have undergone hormone therapy for a certain period have decreased strength, lean body mass, muscle area, muscular strength and haemoglobin.</w:t>
      </w:r>
      <w:r w:rsidRPr="008642D1">
        <w:rPr>
          <w:rStyle w:val="FootnoteReference"/>
        </w:rPr>
        <w:footnoteReference w:id="619"/>
      </w:r>
      <w:r w:rsidRPr="008642D1">
        <w:t xml:space="preserve"> However, there is differing evidence as to whether taking gender-affirming hormone </w:t>
      </w:r>
      <w:r w:rsidR="00C36E7F">
        <w:t>therapy</w:t>
      </w:r>
      <w:r w:rsidRPr="008642D1">
        <w:t xml:space="preserve"> can completely mitigate the effects of male puberty on sporting performance. Some studies show transgender women continue to perform better compared to cisgender women on a range of measures, others show very little difference and still others show worse performance on some measures.</w:t>
      </w:r>
      <w:r w:rsidRPr="008642D1">
        <w:rPr>
          <w:rStyle w:val="FootnoteReference"/>
        </w:rPr>
        <w:footnoteReference w:id="620"/>
      </w:r>
      <w:r w:rsidRPr="008642D1">
        <w:t xml:space="preserve"> The results seem to depend in part on the particular attribute that is being measured and the length of time for which hormone therapy is taken.</w:t>
      </w:r>
    </w:p>
    <w:p w14:paraId="7DCD484D" w14:textId="77777777" w:rsidR="00F80BAC" w:rsidRPr="008642D1" w:rsidRDefault="00F80BAC" w:rsidP="00F80BAC">
      <w:pPr>
        <w:pStyle w:val="Heading3"/>
      </w:pPr>
      <w:r w:rsidRPr="008642D1">
        <w:t xml:space="preserve">Safety considerations </w:t>
      </w:r>
    </w:p>
    <w:p w14:paraId="475BBB64" w14:textId="77777777" w:rsidR="00F80BAC" w:rsidRPr="008642D1" w:rsidRDefault="00F80BAC" w:rsidP="00F80BAC">
      <w:pPr>
        <w:pStyle w:val="BodyText"/>
      </w:pPr>
      <w:r w:rsidRPr="008642D1">
        <w:t>We are not aware of studies that assess whether cisgender women have an increased risk of injury when they are playing sport with transgender women. We imagine there may be difficulties in carrying out this kind of research.</w:t>
      </w:r>
    </w:p>
    <w:p w14:paraId="2530CA44" w14:textId="05539A5D" w:rsidR="00F80BAC" w:rsidRPr="008642D1" w:rsidRDefault="00F80BAC" w:rsidP="00F80BAC">
      <w:pPr>
        <w:pStyle w:val="BodyText"/>
      </w:pPr>
      <w:r w:rsidRPr="008642D1">
        <w:t>World Rugby carried out modelling to assess the safety implications of transgender women playing women’s rugby. This appears to be based on data on cisgender rugby players rather than transgender players. Its modelling suggested that elite men’s rugby involved head and neck forces that were 20 to 30 per cent greater than in women’s elite rugby while scrum forces in men’s rugby were 40 to 120 per cent higher than in women’s rugby.</w:t>
      </w:r>
      <w:r w:rsidRPr="008642D1">
        <w:rPr>
          <w:rStyle w:val="FootnoteReference"/>
        </w:rPr>
        <w:footnoteReference w:id="621"/>
      </w:r>
      <w:r w:rsidRPr="008642D1">
        <w:t xml:space="preserve">  </w:t>
      </w:r>
    </w:p>
    <w:p w14:paraId="5BCC4B7F" w14:textId="04B8A2F0" w:rsidR="00F80BAC" w:rsidRPr="008642D1" w:rsidRDefault="00F80BAC" w:rsidP="00F80BAC">
      <w:pPr>
        <w:pStyle w:val="BodyText"/>
      </w:pPr>
      <w:r w:rsidRPr="008642D1">
        <w:t>Some concerns about safety risks may be based on differences in height and weight. A recent laboratory study that compared transgender and cisgender athletes commented that “[o]ne of the most noticeable disparities between gender groups was in height and mass”.</w:t>
      </w:r>
      <w:r w:rsidR="003A7102">
        <w:rPr>
          <w:rStyle w:val="FootnoteReference"/>
        </w:rPr>
        <w:footnoteReference w:id="622"/>
      </w:r>
      <w:r w:rsidRPr="008642D1">
        <w:t xml:space="preserve"> The transgender women in the study were, on average, taller and heavier than the cisgender women.</w:t>
      </w:r>
      <w:r w:rsidRPr="008642D1">
        <w:rPr>
          <w:rStyle w:val="FootnoteReference"/>
        </w:rPr>
        <w:footnoteReference w:id="623"/>
      </w:r>
      <w:r w:rsidRPr="008642D1">
        <w:t xml:space="preserve">  </w:t>
      </w:r>
    </w:p>
    <w:p w14:paraId="47793B33" w14:textId="77777777" w:rsidR="00F80BAC" w:rsidRPr="008642D1" w:rsidRDefault="00F80BAC" w:rsidP="00F80BAC">
      <w:pPr>
        <w:pStyle w:val="BodyText"/>
      </w:pPr>
      <w:r w:rsidRPr="008642D1">
        <w:t xml:space="preserve">Differences in height and weight can also arise when cisgender athletes are competing. In some sports, weight bands and age brackets are used to ameliorate these concerns.   </w:t>
      </w:r>
    </w:p>
    <w:p w14:paraId="10E0FB3B" w14:textId="77777777" w:rsidR="00F80BAC" w:rsidRPr="008642D1" w:rsidRDefault="00F80BAC" w:rsidP="00F80BAC">
      <w:pPr>
        <w:pStyle w:val="Heading3"/>
      </w:pPr>
      <w:r w:rsidRPr="008642D1">
        <w:t xml:space="preserve">Impact of innate variations of sex characteristics on athletic performance </w:t>
      </w:r>
    </w:p>
    <w:p w14:paraId="2212C8E6" w14:textId="2961A01F" w:rsidR="00F80BAC" w:rsidRPr="008642D1" w:rsidRDefault="00F80BAC" w:rsidP="00F80BAC">
      <w:pPr>
        <w:pStyle w:val="BodyText"/>
      </w:pPr>
      <w:r w:rsidRPr="008642D1">
        <w:t xml:space="preserve">As we discussed in Chapter 2, there are many different innate variations of sex characteristics. Some of these would not have any impact on athlete performance while some might have characteristics that could inhibit athletic performance such as a heart defect or short stature.  </w:t>
      </w:r>
    </w:p>
    <w:p w14:paraId="45B1D774" w14:textId="72F78AB5" w:rsidR="00F80BAC" w:rsidRPr="008642D1" w:rsidRDefault="00F80BAC" w:rsidP="00F80BAC">
      <w:pPr>
        <w:pStyle w:val="BodyText"/>
      </w:pPr>
      <w:r w:rsidRPr="008642D1">
        <w:t>Most of the research of which we are aware that considers whether athletes with an innate variation of sex characteristics could have a performance advantage over other athletes has focused on women with hyperandrogenism. This is where the body produces high levels of androgens (including testosterone).</w:t>
      </w:r>
      <w:r w:rsidRPr="008642D1">
        <w:rPr>
          <w:rStyle w:val="FootnoteReference"/>
        </w:rPr>
        <w:footnoteReference w:id="624"/>
      </w:r>
      <w:r w:rsidRPr="008642D1">
        <w:t xml:space="preserve"> Hyperandrogenism can be caused by some innate variations of sex characteristics but can also have other causes.</w:t>
      </w:r>
      <w:r w:rsidRPr="008642D1">
        <w:rPr>
          <w:rStyle w:val="FootnoteReference"/>
        </w:rPr>
        <w:footnoteReference w:id="625"/>
      </w:r>
      <w:r w:rsidRPr="008642D1">
        <w:t xml:space="preserve"> </w:t>
      </w:r>
    </w:p>
    <w:p w14:paraId="52A343F2" w14:textId="525DC158" w:rsidR="00F80BAC" w:rsidRPr="008642D1" w:rsidRDefault="00F80BAC" w:rsidP="00F80BAC">
      <w:pPr>
        <w:pStyle w:val="BodyText"/>
      </w:pPr>
      <w:r w:rsidRPr="008642D1">
        <w:t xml:space="preserve">One study found that high free testosterone levels in female athletes were associated with higher athletic performance than female athletes with low free testosterone levels in certain </w:t>
      </w:r>
      <w:r w:rsidR="00645449">
        <w:t xml:space="preserve">athletics </w:t>
      </w:r>
      <w:r w:rsidRPr="008642D1">
        <w:t>events.</w:t>
      </w:r>
      <w:r w:rsidRPr="008642D1">
        <w:rPr>
          <w:rStyle w:val="FootnoteReference"/>
        </w:rPr>
        <w:footnoteReference w:id="626"/>
      </w:r>
      <w:r w:rsidRPr="008642D1">
        <w:t xml:space="preserve"> Another</w:t>
      </w:r>
      <w:r w:rsidRPr="008642D1" w:rsidDel="00251736">
        <w:t xml:space="preserve"> </w:t>
      </w:r>
      <w:r w:rsidRPr="008642D1">
        <w:t>study found that hyperandrogenic female athletes had more lean body mass and higher maximum oxygen consumption levels (VO</w:t>
      </w:r>
      <w:r w:rsidRPr="008642D1">
        <w:rPr>
          <w:vertAlign w:val="subscript"/>
        </w:rPr>
        <w:t>2</w:t>
      </w:r>
      <w:r w:rsidRPr="008642D1">
        <w:t xml:space="preserve"> max) than non-hyperandrogenic women athletes.</w:t>
      </w:r>
      <w:r w:rsidRPr="008642D1">
        <w:rPr>
          <w:rStyle w:val="FootnoteReference"/>
        </w:rPr>
        <w:footnoteReference w:id="627"/>
      </w:r>
    </w:p>
    <w:p w14:paraId="5C728DB4" w14:textId="6C017D6F" w:rsidR="00F80BAC" w:rsidRPr="008642D1" w:rsidRDefault="00F80BAC" w:rsidP="00F80BAC">
      <w:pPr>
        <w:pStyle w:val="Heading2"/>
      </w:pPr>
      <w:bookmarkStart w:id="159" w:name="_Toc170302192"/>
      <w:r w:rsidRPr="008642D1">
        <w:t xml:space="preserve">Should the exception be </w:t>
      </w:r>
      <w:r w:rsidR="00A30AFA">
        <w:t>amended</w:t>
      </w:r>
      <w:r w:rsidRPr="008642D1">
        <w:t>?</w:t>
      </w:r>
      <w:bookmarkEnd w:id="159"/>
    </w:p>
    <w:p w14:paraId="31B316B9" w14:textId="77777777" w:rsidR="00F80BAC" w:rsidRPr="008642D1" w:rsidRDefault="00F80BAC" w:rsidP="00F80BAC">
      <w:pPr>
        <w:pStyle w:val="BodyText"/>
      </w:pPr>
      <w:r w:rsidRPr="008642D1">
        <w:t xml:space="preserve">We want to understand whether section 49(1) should be amended to reflect any new grounds we propose. We have identified a </w:t>
      </w:r>
      <w:r w:rsidRPr="008642D1" w:rsidDel="00930510">
        <w:t xml:space="preserve">wide </w:t>
      </w:r>
      <w:r w:rsidRPr="008642D1">
        <w:t xml:space="preserve">spectrum of options below </w:t>
      </w:r>
      <w:r w:rsidRPr="008642D1" w:rsidDel="00930510">
        <w:t xml:space="preserve">to </w:t>
      </w:r>
      <w:r w:rsidRPr="008642D1">
        <w:t>encourage</w:t>
      </w:r>
      <w:r w:rsidRPr="008642D1" w:rsidDel="00930510">
        <w:t xml:space="preserve"> a full range of</w:t>
      </w:r>
      <w:r w:rsidRPr="008642D1">
        <w:t xml:space="preserve"> feedback. It is possible there might need to be a mix of options. For example, the same legislative response </w:t>
      </w:r>
      <w:r w:rsidRPr="008642D1">
        <w:rPr>
          <w:shd w:val="clear" w:color="auto" w:fill="FFFFFF" w:themeFill="background1"/>
        </w:rPr>
        <w:t>might not be appropriate</w:t>
      </w:r>
      <w:r w:rsidRPr="008642D1">
        <w:t xml:space="preserve"> for each</w:t>
      </w:r>
      <w:r w:rsidRPr="008642D1" w:rsidDel="009D756E">
        <w:t xml:space="preserve"> of the three groups with which this </w:t>
      </w:r>
      <w:r w:rsidRPr="008642D1">
        <w:t>review</w:t>
      </w:r>
      <w:r w:rsidRPr="008642D1" w:rsidDel="009D756E">
        <w:t xml:space="preserve"> is concerned</w:t>
      </w:r>
      <w:r w:rsidRPr="008642D1">
        <w:t xml:space="preserve">. </w:t>
      </w:r>
    </w:p>
    <w:p w14:paraId="3E7B7300" w14:textId="77777777" w:rsidR="00F80BAC" w:rsidRPr="008642D1" w:rsidRDefault="00F80BAC" w:rsidP="00F80BAC">
      <w:pPr>
        <w:pStyle w:val="BodyText"/>
      </w:pPr>
      <w:r w:rsidRPr="008642D1">
        <w:t>For all these options, we have assumed, in line with section 49(2) of the Act, that no exception would apply to competitive sports for children under 12 years or to coaches, umpires, referees or administrators</w:t>
      </w:r>
      <w:r w:rsidRPr="008642D1" w:rsidDel="004B57FC">
        <w:t>.</w:t>
      </w:r>
      <w:r w:rsidRPr="008642D1">
        <w:t xml:space="preserve"> </w:t>
      </w:r>
    </w:p>
    <w:p w14:paraId="20F79EE5" w14:textId="77777777" w:rsidR="00F80BAC" w:rsidRPr="008642D1" w:rsidRDefault="00F80BAC" w:rsidP="00F80BAC">
      <w:pPr>
        <w:pStyle w:val="Heading3"/>
      </w:pPr>
      <w:r w:rsidRPr="008642D1">
        <w:t>Option 1: leave section 49 unchanged</w:t>
      </w:r>
    </w:p>
    <w:p w14:paraId="56976D24" w14:textId="77777777" w:rsidR="00F80BAC" w:rsidRPr="008642D1" w:rsidRDefault="00F80BAC" w:rsidP="00F80BAC">
      <w:pPr>
        <w:pStyle w:val="BodyText"/>
      </w:pPr>
      <w:r w:rsidRPr="008642D1">
        <w:t xml:space="preserve">One option is to retain the current wording of section 49(1). Sports organisations could continue to rely on the exception to </w:t>
      </w:r>
      <w:r w:rsidRPr="008642D1">
        <w:rPr>
          <w:shd w:val="clear" w:color="auto" w:fill="FFFFFF" w:themeFill="background1"/>
        </w:rPr>
        <w:t xml:space="preserve">exclude </w:t>
      </w:r>
      <w:r w:rsidRPr="008642D1">
        <w:t xml:space="preserve">persons of one sex from competitive sporting events where the strength, stamina or physique of competitors is relevant. </w:t>
      </w:r>
    </w:p>
    <w:p w14:paraId="0A42CF87" w14:textId="12CE6FEE" w:rsidR="00F80BAC" w:rsidRPr="008642D1" w:rsidRDefault="00F80BAC" w:rsidP="00F80BAC">
      <w:pPr>
        <w:pStyle w:val="BodyText"/>
      </w:pPr>
      <w:r w:rsidRPr="008642D1">
        <w:t xml:space="preserve">Since section 49(1) has never been litigated, there is some uncertainty about what the </w:t>
      </w:r>
      <w:r w:rsidR="00B178AF">
        <w:t>“</w:t>
      </w:r>
      <w:r w:rsidRPr="008642D1">
        <w:t>strength, stamina and physique</w:t>
      </w:r>
      <w:r w:rsidR="00B178AF">
        <w:t>”</w:t>
      </w:r>
      <w:r w:rsidRPr="008642D1">
        <w:t xml:space="preserve"> requirement involves. </w:t>
      </w:r>
      <w:bookmarkStart w:id="160" w:name="_Hlk167975804"/>
      <w:r w:rsidRPr="008642D1">
        <w:t xml:space="preserve">Exceptions that use similar wording in Australia have been interpreted as requiring the sport to demonstrate that competition would be uneven because of differences in </w:t>
      </w:r>
      <w:r w:rsidR="00D6002C">
        <w:t>the</w:t>
      </w:r>
      <w:r w:rsidRPr="008642D1">
        <w:t xml:space="preserve"> strength, stamina or physique</w:t>
      </w:r>
      <w:bookmarkEnd w:id="160"/>
      <w:r w:rsidR="008213EA">
        <w:t xml:space="preserve"> of male and female competitors</w:t>
      </w:r>
      <w:r w:rsidRPr="008642D1">
        <w:t>.</w:t>
      </w:r>
      <w:r w:rsidRPr="008642D1">
        <w:rPr>
          <w:rStyle w:val="FootnoteReference"/>
        </w:rPr>
        <w:footnoteReference w:id="628"/>
      </w:r>
      <w:r w:rsidRPr="008642D1">
        <w:t xml:space="preserve"> It is possible that a New Zealand court or tribunal might also take that approach. </w:t>
      </w:r>
    </w:p>
    <w:p w14:paraId="40203287" w14:textId="590516DB" w:rsidR="00F80BAC" w:rsidRPr="008642D1" w:rsidRDefault="00F80BAC" w:rsidP="00F80BAC">
      <w:pPr>
        <w:pStyle w:val="BodyText"/>
      </w:pPr>
      <w:r w:rsidRPr="008642D1">
        <w:t xml:space="preserve">A disadvantage of </w:t>
      </w:r>
      <w:r w:rsidR="00B618D0">
        <w:t>o</w:t>
      </w:r>
      <w:r w:rsidRPr="008642D1">
        <w:t>ption 1 is it would likely cause</w:t>
      </w:r>
      <w:r w:rsidRPr="008642D1" w:rsidDel="006253A5">
        <w:t xml:space="preserve"> </w:t>
      </w:r>
      <w:r w:rsidRPr="008642D1">
        <w:t xml:space="preserve">uncertainty as to how the exception applies to people who are transgender or non-binary or who have an innate variation of sex characteristics. This is because of the different interpretations that can be taken of “sex” as we discussed in Chapters 7 and 8. If sex is not defined in the Act, sports organisations may be unsure who they are legally allowed to exclude under section 49(1). This option might result in litigation causing significant uncertainty and cost for organisations as well as participants. </w:t>
      </w:r>
    </w:p>
    <w:p w14:paraId="2E3F3FA2" w14:textId="77777777" w:rsidR="00F80BAC" w:rsidRPr="008642D1" w:rsidRDefault="00F80BAC" w:rsidP="00F80BAC">
      <w:pPr>
        <w:pStyle w:val="BodyText"/>
      </w:pPr>
      <w:r w:rsidRPr="008642D1">
        <w:t>It is unlikely that a cisgender athlete with an innate variation of sex characteristics could be excluded under this option. It would therefore maximise participation for those athletes. It would not address any concerns people might have about elevated testosterone associated with some variations.</w:t>
      </w:r>
    </w:p>
    <w:p w14:paraId="4B78F47B" w14:textId="77777777" w:rsidR="00F80BAC" w:rsidRPr="008642D1" w:rsidRDefault="00F80BAC" w:rsidP="00F80BAC">
      <w:pPr>
        <w:pStyle w:val="Heading3"/>
      </w:pPr>
      <w:r w:rsidRPr="008642D1">
        <w:t>Option 2: do not apply the exception to new grounds of discrimination</w:t>
      </w:r>
    </w:p>
    <w:p w14:paraId="7A47E939" w14:textId="7D4D7318" w:rsidR="00F80BAC" w:rsidRPr="008642D1" w:rsidRDefault="00F80BAC" w:rsidP="00F80BAC">
      <w:pPr>
        <w:pStyle w:val="BodyText"/>
      </w:pPr>
      <w:r w:rsidRPr="008642D1">
        <w:t xml:space="preserve">Another option is to clarify that section 49(1) does not allow an organisation to exclude people from competitive sporting activities for men or for women on the basis they are transgender or non-binary or </w:t>
      </w:r>
      <w:r w:rsidR="00865DBF" w:rsidRPr="005F72A9">
        <w:rPr>
          <w:rFonts w:eastAsia="Calibri" w:cs="Arial"/>
        </w:rPr>
        <w:t>they</w:t>
      </w:r>
      <w:r w:rsidR="00865DBF">
        <w:rPr>
          <w:rFonts w:eastAsia="Calibri" w:cs="Arial"/>
          <w:b/>
          <w:bCs/>
        </w:rPr>
        <w:t xml:space="preserve"> </w:t>
      </w:r>
      <w:r w:rsidRPr="008642D1">
        <w:t>have an innate variation of sex characteristics</w:t>
      </w:r>
      <w:r w:rsidRPr="008642D1" w:rsidDel="006460F3">
        <w:t>.</w:t>
      </w:r>
      <w:r w:rsidRPr="008642D1" w:rsidDel="00AA127C">
        <w:t xml:space="preserve"> </w:t>
      </w:r>
      <w:r w:rsidRPr="008642D1">
        <w:t>For example, language along the following lines might be inserted into section 49:</w:t>
      </w:r>
    </w:p>
    <w:p w14:paraId="33CB280B" w14:textId="77777777" w:rsidR="00F80BAC" w:rsidRPr="008642D1" w:rsidRDefault="00F80BAC" w:rsidP="00D32A78">
      <w:pPr>
        <w:pStyle w:val="QuoteIndent0"/>
      </w:pPr>
      <w:r w:rsidRPr="008642D1">
        <w:t xml:space="preserve">Nothing in section 49(1) shall enable a person to be excluded from the category that aligns with their gender identity. </w:t>
      </w:r>
    </w:p>
    <w:p w14:paraId="13CBFD0C" w14:textId="77777777" w:rsidR="00F80BAC" w:rsidRPr="008642D1" w:rsidRDefault="00F80BAC" w:rsidP="00D32A78">
      <w:pPr>
        <w:pStyle w:val="QuoteIndent0"/>
      </w:pPr>
      <w:r w:rsidRPr="008642D1">
        <w:t xml:space="preserve">Nothing in section 49(1) shall enable a person to be excluded from a competitive sporting activity on the basis they have an innate variation of sex characteristics.  </w:t>
      </w:r>
    </w:p>
    <w:p w14:paraId="13B7810A" w14:textId="77777777" w:rsidR="00F80BAC" w:rsidRPr="008642D1" w:rsidRDefault="00F80BAC" w:rsidP="00F80BAC">
      <w:pPr>
        <w:pStyle w:val="BodyText"/>
      </w:pPr>
      <w:r w:rsidRPr="008642D1">
        <w:t>It might also be desirable to spell out the implications for people who identify outside the gender binary. For example, the provision might specify that a person who is non-binary may not be excluded from the category that best aligns with their gender identity.</w:t>
      </w:r>
    </w:p>
    <w:p w14:paraId="01DE21A5" w14:textId="77777777" w:rsidR="00F80BAC" w:rsidRPr="008642D1" w:rsidRDefault="00F80BAC" w:rsidP="00F80BAC">
      <w:pPr>
        <w:pStyle w:val="BodyText"/>
      </w:pPr>
      <w:r w:rsidRPr="008642D1">
        <w:t xml:space="preserve">This approach would create a bright line that would provide sporting organisations with clarity about their obligations. </w:t>
      </w:r>
    </w:p>
    <w:p w14:paraId="41BD7595" w14:textId="46A84612" w:rsidR="00F80BAC" w:rsidRPr="008642D1" w:rsidRDefault="00F80BAC" w:rsidP="00F80BAC">
      <w:pPr>
        <w:pStyle w:val="BodyText"/>
      </w:pPr>
      <w:r w:rsidRPr="008642D1">
        <w:t>Under this approach, athletes who are transgender or non-binary or who have an innate variation of sex characteristics may feel more confident to play competitive sports without fear of being challenged, asked intrusive questions, made to take tests or excluded from the team that aligns with their gender identity. This approach would also align with the community sport guidelines developed by Sport New Zealand, which provide that transgender people should be able to take part in sports in line with their gender identity.</w:t>
      </w:r>
      <w:r w:rsidRPr="008642D1">
        <w:rPr>
          <w:rStyle w:val="FootnoteReference"/>
        </w:rPr>
        <w:footnoteReference w:id="629"/>
      </w:r>
    </w:p>
    <w:p w14:paraId="1C54A947" w14:textId="77777777" w:rsidR="00F80BAC" w:rsidRPr="008642D1" w:rsidRDefault="00F80BAC" w:rsidP="00F80BAC">
      <w:pPr>
        <w:pStyle w:val="BodyText"/>
      </w:pPr>
      <w:r w:rsidRPr="008642D1">
        <w:t>This approach would not address any safety concerns that could arise from allowing transgender women to compete against cisgender women without restriction, for example, in contact sports such as boxing, wrestling, judo and rugby. In some cases</w:t>
      </w:r>
      <w:r w:rsidRPr="008642D1" w:rsidDel="009C08F9">
        <w:t xml:space="preserve">, </w:t>
      </w:r>
      <w:r w:rsidRPr="008642D1">
        <w:t>there may be other measures that sports could take to address safety concerns such as using weight categories.</w:t>
      </w:r>
      <w:r w:rsidRPr="008642D1">
        <w:rPr>
          <w:rStyle w:val="FootnoteReference"/>
        </w:rPr>
        <w:footnoteReference w:id="630"/>
      </w:r>
    </w:p>
    <w:p w14:paraId="76EED298" w14:textId="77777777" w:rsidR="00F80BAC" w:rsidRPr="008642D1" w:rsidRDefault="00F80BAC" w:rsidP="00F80BAC">
      <w:pPr>
        <w:pStyle w:val="BodyText"/>
      </w:pPr>
      <w:r w:rsidRPr="008642D1">
        <w:t xml:space="preserve">This approach would not address any competitive advantage transgender women athletes might have over cisgender women athletes in the particular sport. Similarly, this approach would not allow a sport to place any restrictions on participation of an athlete with an innate variation of sex characteristics even if there was evidence that a variation provided a competitive advantage. </w:t>
      </w:r>
    </w:p>
    <w:p w14:paraId="43120E33" w14:textId="77777777" w:rsidR="00F80BAC" w:rsidRPr="008642D1" w:rsidRDefault="00F80BAC" w:rsidP="00F80BAC">
      <w:pPr>
        <w:pStyle w:val="BodyText"/>
      </w:pPr>
      <w:r w:rsidRPr="008642D1">
        <w:t xml:space="preserve">This approach may make it difficult for sporting organisations to comply with rules set by their international governing bodies that apply to domestic qualifying events. Most of the international policies we have seen have some restrictions on participation of transgender women in women’s sport. This approach also involves a single approach for all competitive sports despite these being very different in terms of the primary muscles used, the strength and stamina required and the degree of contact between participants. </w:t>
      </w:r>
    </w:p>
    <w:p w14:paraId="26B79378" w14:textId="77777777" w:rsidR="00F80BAC" w:rsidRPr="008642D1" w:rsidRDefault="00F80BAC" w:rsidP="00F80BAC">
      <w:pPr>
        <w:pStyle w:val="Heading3"/>
      </w:pPr>
      <w:r w:rsidRPr="008642D1">
        <w:t xml:space="preserve">Option 3: apply section 49(1) to new grounds of discrimination </w:t>
      </w:r>
    </w:p>
    <w:p w14:paraId="6BA12D5F" w14:textId="77777777" w:rsidR="00F80BAC" w:rsidRPr="008642D1" w:rsidRDefault="00F80BAC" w:rsidP="00F80BAC">
      <w:pPr>
        <w:pStyle w:val="BodyText"/>
      </w:pPr>
      <w:r w:rsidRPr="008642D1">
        <w:t>This option would involve amending section 49(1) so that the exception (as currently worded) also applies to any new grounds of discrimination. An example of this approach is the exception in Australian Commonwealth legislation which provides:</w:t>
      </w:r>
      <w:r w:rsidRPr="008642D1">
        <w:rPr>
          <w:vertAlign w:val="superscript"/>
        </w:rPr>
        <w:footnoteReference w:id="631"/>
      </w:r>
    </w:p>
    <w:p w14:paraId="215679FE" w14:textId="77777777" w:rsidR="00F80BAC" w:rsidRPr="008642D1" w:rsidRDefault="00F80BAC" w:rsidP="00D32A78">
      <w:pPr>
        <w:pStyle w:val="QuoteIndent0"/>
      </w:pPr>
      <w:r w:rsidRPr="008642D1">
        <w:t>Nothing in Division 1 or 2 renders it unlawful to discriminate on the ground of sex, gender identity or intersex status by excluding persons from participation in any competitive sporting activity in which the strength, stamina or physique of competitors is relevant.</w:t>
      </w:r>
    </w:p>
    <w:p w14:paraId="0D92CF15" w14:textId="77777777" w:rsidR="00F80BAC" w:rsidRPr="008642D1" w:rsidRDefault="00F80BAC" w:rsidP="00F80BAC">
      <w:pPr>
        <w:pStyle w:val="BodyText"/>
      </w:pPr>
      <w:r w:rsidRPr="008642D1">
        <w:t>Under this option, sporting organisations that want to rely on the exception would need to be able to demonstrate that the strength, stamina or physique of competitors is relevant to that code. That is already the position for sex-separated sporting activities.</w:t>
      </w:r>
    </w:p>
    <w:p w14:paraId="541F08E2" w14:textId="77777777" w:rsidR="00F80BAC" w:rsidRPr="008642D1" w:rsidRDefault="00F80BAC" w:rsidP="00F80BAC">
      <w:pPr>
        <w:pStyle w:val="BodyText"/>
      </w:pPr>
      <w:r w:rsidRPr="008642D1">
        <w:t xml:space="preserve">This option does not expressly account for differences such as whether a person has gone through puberty, the duration of any hormone replacement therapy or the type of innate variation of sex characteristics a person has. However, this could be relevant to whether there are differences in relative strength or physique. </w:t>
      </w:r>
    </w:p>
    <w:p w14:paraId="45A49F0B" w14:textId="77777777" w:rsidR="00F80BAC" w:rsidRPr="008642D1" w:rsidRDefault="00F80BAC" w:rsidP="00F80BAC">
      <w:pPr>
        <w:pStyle w:val="BodyText"/>
      </w:pPr>
      <w:r w:rsidRPr="008642D1">
        <w:t>If this option were to be adopted, it might be advisable to limit its application to competitive sporting events that are restricted to people of one sex.</w:t>
      </w:r>
    </w:p>
    <w:p w14:paraId="577633C6" w14:textId="77777777" w:rsidR="00F80BAC" w:rsidRPr="008642D1" w:rsidRDefault="00F80BAC" w:rsidP="00F80BAC">
      <w:pPr>
        <w:pStyle w:val="Heading3"/>
      </w:pPr>
      <w:r w:rsidRPr="008642D1">
        <w:t>Option 4: a separate and unqualified exception for new grounds of discrimination</w:t>
      </w:r>
    </w:p>
    <w:p w14:paraId="6CAD1768" w14:textId="77777777" w:rsidR="00F80BAC" w:rsidRPr="008642D1" w:rsidRDefault="00F80BAC" w:rsidP="00F80BAC">
      <w:pPr>
        <w:pStyle w:val="BodyText"/>
      </w:pPr>
      <w:r w:rsidRPr="008642D1">
        <w:t>This option would involve a separate exception that applies to new grounds and that is not qualified by reference to the strength, stamina and physique of competitors. This is the approach taken in New South Wales (in relation to transgender competitors). Its anti-discrimination legislation provides:</w:t>
      </w:r>
      <w:r w:rsidRPr="008642D1">
        <w:rPr>
          <w:vertAlign w:val="superscript"/>
        </w:rPr>
        <w:footnoteReference w:id="632"/>
      </w:r>
      <w:r w:rsidRPr="008642D1">
        <w:rPr>
          <w:vertAlign w:val="superscript"/>
        </w:rPr>
        <w:t xml:space="preserve"> </w:t>
      </w:r>
    </w:p>
    <w:p w14:paraId="4767E0E0" w14:textId="77777777" w:rsidR="00F80BAC" w:rsidRPr="008642D1" w:rsidRDefault="00F80BAC" w:rsidP="00F80BAC">
      <w:pPr>
        <w:pStyle w:val="Quote"/>
      </w:pPr>
      <w:bookmarkStart w:id="161" w:name="_Hlk168392331"/>
      <w:r w:rsidRPr="008642D1">
        <w:rPr>
          <w:shd w:val="clear" w:color="auto" w:fill="FFFFFF"/>
        </w:rPr>
        <w:t>Nothing in this Part renders unlawful the exclusion of a transgender person from participation in any sporting activity for members of the sex with which the transgender person identifies.</w:t>
      </w:r>
    </w:p>
    <w:bookmarkEnd w:id="161"/>
    <w:p w14:paraId="772AC105" w14:textId="77777777" w:rsidR="00F80BAC" w:rsidRPr="008642D1" w:rsidRDefault="00F80BAC" w:rsidP="00F80BAC">
      <w:pPr>
        <w:pStyle w:val="BodyText"/>
      </w:pPr>
      <w:r w:rsidRPr="008642D1">
        <w:t>This option would enable sporting organisations to decide for themselves whether people who are transgender or non-binary or who have an innate variation of sex characteristics can participate in men’s or women’s competitive sporting activities and on what terms.</w:t>
      </w:r>
    </w:p>
    <w:p w14:paraId="3E3BE03E" w14:textId="0ED56D60" w:rsidR="00F80BAC" w:rsidRPr="008642D1" w:rsidRDefault="00F80BAC" w:rsidP="00F80BAC">
      <w:pPr>
        <w:pStyle w:val="BodyText"/>
      </w:pPr>
      <w:r w:rsidRPr="008642D1">
        <w:t xml:space="preserve">We think it is appropriate to consult on this option given there is an Australasian precedent. However, we think there would need to be a very clear evidence-based justification to apply a more restrictive approach to participation of athletes who are transgender or non-binary or who have an innate variation of sex characteristics than to cisgender participation in a sporting event for the opposite sex. In the absence of clear justification, we think this approach would undermine the values of equality and dignity that underlie the Human Rights Act. It is also relevant to note there is currently a </w:t>
      </w:r>
      <w:r w:rsidR="004275C9">
        <w:t>m</w:t>
      </w:r>
      <w:r w:rsidRPr="008642D1">
        <w:t>ember’s Bill that proposes to replace the New South Wales exception with a more limited exception.</w:t>
      </w:r>
      <w:r w:rsidRPr="008642D1">
        <w:rPr>
          <w:rStyle w:val="FootnoteReference"/>
        </w:rPr>
        <w:footnoteReference w:id="633"/>
      </w:r>
    </w:p>
    <w:p w14:paraId="1A167514" w14:textId="77777777" w:rsidR="00F80BAC" w:rsidRPr="008642D1" w:rsidRDefault="00F80BAC" w:rsidP="00F80BAC">
      <w:pPr>
        <w:pStyle w:val="Heading3"/>
      </w:pPr>
      <w:r w:rsidRPr="008642D1">
        <w:t>Option 5: apply section 49(1) to women’s sport only</w:t>
      </w:r>
    </w:p>
    <w:p w14:paraId="6A964FD6" w14:textId="77777777" w:rsidR="00F80BAC" w:rsidRPr="008642D1" w:rsidRDefault="00F80BAC" w:rsidP="00F80BAC">
      <w:pPr>
        <w:pStyle w:val="BodyText"/>
      </w:pPr>
      <w:r w:rsidRPr="008642D1">
        <w:t>This option would involve reforming section 49(1) so that it would only allow sex-separated competitive sporting activities for women and would allow men or anyone assigned male at birth to be excluded from those events. For example, the exception might read:</w:t>
      </w:r>
    </w:p>
    <w:p w14:paraId="2381C133" w14:textId="7422BB27" w:rsidR="00F80BAC" w:rsidRPr="008642D1" w:rsidRDefault="00F80BAC" w:rsidP="00F80BAC">
      <w:pPr>
        <w:pStyle w:val="Quote"/>
      </w:pPr>
      <w:r w:rsidRPr="008642D1">
        <w:t>…</w:t>
      </w:r>
      <w:r w:rsidR="0060656E">
        <w:t xml:space="preserve"> </w:t>
      </w:r>
      <w:r w:rsidRPr="008642D1">
        <w:t>nothing in section 44 shall prevent the exclusion of men or persons assigned male at birth from participation in any competitive sporting activity for women in which the strength, stamina or physique of competitors is relevant.</w:t>
      </w:r>
    </w:p>
    <w:p w14:paraId="43DD900D" w14:textId="77777777" w:rsidR="00F80BAC" w:rsidRPr="008642D1" w:rsidRDefault="00F80BAC" w:rsidP="00F80BAC">
      <w:pPr>
        <w:pStyle w:val="BodyText"/>
      </w:pPr>
      <w:r w:rsidRPr="008642D1">
        <w:t xml:space="preserve">Under this option, </w:t>
      </w:r>
      <w:r w:rsidRPr="008642D1" w:rsidDel="008147E8">
        <w:t>t</w:t>
      </w:r>
      <w:r w:rsidRPr="008642D1">
        <w:t xml:space="preserve">here would be no exception allowing a separate men’s competitive sport category. Effectively, this would mean that sports could have a women’s category and an open category. The open category would be available to anyone regardless of their sex, gender identity or sex characteristics. </w:t>
      </w:r>
    </w:p>
    <w:p w14:paraId="25EC2A5A" w14:textId="77777777" w:rsidR="00F80BAC" w:rsidRPr="008642D1" w:rsidRDefault="00F80BAC" w:rsidP="00F80BAC">
      <w:pPr>
        <w:pStyle w:val="BodyText"/>
      </w:pPr>
      <w:r w:rsidRPr="008642D1">
        <w:t xml:space="preserve">This option would allow transgender men to compete with cisgender men without restriction, although we understand most sports already allow this. All non-binary athletes could compete in the open category, and non-binary athletes assigned female at birth could choose to participate in the women’s category. This option would allow sports to exclude transgender women from participating in women’s sport in which the strength, stamina or physique of competitors is relevant, regardless of whether they have undergone male puberty or taken hormone therapy. Option 5 would not have any specific restrictions on athletes with an innate variation of sex characteristics. </w:t>
      </w:r>
    </w:p>
    <w:p w14:paraId="70217A30" w14:textId="26D69E7B" w:rsidR="00F80BAC" w:rsidRPr="008642D1" w:rsidRDefault="00F80BAC" w:rsidP="00F80BAC">
      <w:pPr>
        <w:pStyle w:val="BodyText"/>
      </w:pPr>
      <w:r w:rsidRPr="008642D1">
        <w:t>Despite the name of the open category, in practice</w:t>
      </w:r>
      <w:r w:rsidR="005A2FF5">
        <w:t>,</w:t>
      </w:r>
      <w:r w:rsidRPr="008642D1">
        <w:t xml:space="preserve"> this category would likely predominantly consist of cisgender men. </w:t>
      </w:r>
    </w:p>
    <w:p w14:paraId="4F5965D1" w14:textId="77777777" w:rsidR="00F80BAC" w:rsidRPr="008642D1" w:rsidRDefault="00F80BAC" w:rsidP="00F80BAC">
      <w:pPr>
        <w:pStyle w:val="Heading3"/>
      </w:pPr>
      <w:r w:rsidRPr="008642D1">
        <w:t>Option 6: an exception for new grounds that only applies where required to advance underlying policy rationales</w:t>
      </w:r>
    </w:p>
    <w:p w14:paraId="33A3EFCC" w14:textId="77777777" w:rsidR="00F80BAC" w:rsidRPr="008642D1" w:rsidRDefault="00F80BAC" w:rsidP="00F80BAC">
      <w:pPr>
        <w:pStyle w:val="BodyText"/>
      </w:pPr>
      <w:r w:rsidRPr="008642D1">
        <w:t>This would involve an exception that allows a</w:t>
      </w:r>
      <w:r w:rsidRPr="008642D1" w:rsidDel="00886B38">
        <w:t xml:space="preserve"> </w:t>
      </w:r>
      <w:r w:rsidRPr="008642D1">
        <w:t>person to be excluded from a competitive sporting activity that aligns with their gender identity (or to be required to comply with a condition to compete such as undergoing hormone therapy) where this is required to advance underlying policy objectives. For example, the exception might specify that, to rely on the exception, a sporting body would need to establish that the exclusion or condition is reasonably required to:</w:t>
      </w:r>
    </w:p>
    <w:p w14:paraId="33333C07" w14:textId="77777777" w:rsidR="00F80BAC" w:rsidRPr="008642D1" w:rsidRDefault="00F80BAC" w:rsidP="00F80BAC">
      <w:pPr>
        <w:pStyle w:val="BodyTextnonum"/>
        <w:numPr>
          <w:ilvl w:val="3"/>
          <w:numId w:val="23"/>
        </w:numPr>
        <w:tabs>
          <w:tab w:val="clear" w:pos="1134"/>
          <w:tab w:val="num" w:pos="1133"/>
        </w:tabs>
        <w:ind w:left="1133"/>
      </w:pPr>
      <w:r w:rsidRPr="008642D1">
        <w:t>secure fair competition between participants having regard to the level of the competition and the</w:t>
      </w:r>
      <w:r w:rsidRPr="008642D1" w:rsidDel="001165EC">
        <w:t xml:space="preserve"> </w:t>
      </w:r>
      <w:r w:rsidRPr="008642D1">
        <w:t xml:space="preserve">public interest in broad community participation in sporting activities;  </w:t>
      </w:r>
    </w:p>
    <w:p w14:paraId="4F92A6FE" w14:textId="77777777" w:rsidR="00F80BAC" w:rsidRPr="008642D1" w:rsidRDefault="00F80BAC" w:rsidP="00F80BAC">
      <w:pPr>
        <w:pStyle w:val="BodyTextnonum"/>
        <w:numPr>
          <w:ilvl w:val="3"/>
          <w:numId w:val="23"/>
        </w:numPr>
        <w:tabs>
          <w:tab w:val="clear" w:pos="1134"/>
          <w:tab w:val="num" w:pos="1133"/>
        </w:tabs>
        <w:ind w:left="1133"/>
      </w:pPr>
      <w:r w:rsidRPr="008642D1">
        <w:t xml:space="preserve">ensure the physical safety of all participants; or </w:t>
      </w:r>
    </w:p>
    <w:p w14:paraId="481D3EEE" w14:textId="77777777" w:rsidR="00F80BAC" w:rsidRPr="008642D1" w:rsidRDefault="00F80BAC" w:rsidP="00F80BAC">
      <w:pPr>
        <w:pStyle w:val="BodyTextnonum"/>
        <w:numPr>
          <w:ilvl w:val="3"/>
          <w:numId w:val="23"/>
        </w:numPr>
        <w:tabs>
          <w:tab w:val="clear" w:pos="1134"/>
          <w:tab w:val="num" w:pos="1133"/>
        </w:tabs>
        <w:ind w:left="1133"/>
      </w:pPr>
      <w:r w:rsidRPr="008642D1">
        <w:t xml:space="preserve">comply with international rules that apply to that sport. </w:t>
      </w:r>
    </w:p>
    <w:p w14:paraId="25041671" w14:textId="706CE0AA" w:rsidR="00F80BAC" w:rsidRPr="008642D1" w:rsidRDefault="00F80BAC" w:rsidP="00F80BAC">
      <w:pPr>
        <w:pStyle w:val="BodyText"/>
      </w:pPr>
      <w:r w:rsidRPr="008642D1">
        <w:t>There are some overseas precedents that are somewhat similar. For example, in Western Australia, a “gender reassigned person” can be excluded from a competitive sporting activity for the sex with which they identify if they would have a significant performance advantage as a result of their medical history.</w:t>
      </w:r>
      <w:r w:rsidRPr="008642D1">
        <w:rPr>
          <w:rStyle w:val="FootnoteReference"/>
        </w:rPr>
        <w:footnoteReference w:id="634"/>
      </w:r>
      <w:r w:rsidRPr="008642D1">
        <w:t xml:space="preserve"> The sport exception in the United Kingdom allows a “transsexual person” to be excluded from a “gender-affected activity” if this is necessary to secure fair competition or the safety of competitors.</w:t>
      </w:r>
      <w:r w:rsidRPr="008642D1">
        <w:rPr>
          <w:rStyle w:val="FootnoteReference"/>
        </w:rPr>
        <w:footnoteReference w:id="635"/>
      </w:r>
      <w:r w:rsidRPr="008642D1">
        <w:t xml:space="preserve"> The </w:t>
      </w:r>
      <w:r w:rsidR="004275C9">
        <w:t>m</w:t>
      </w:r>
      <w:r w:rsidRPr="008642D1">
        <w:t>ember’s Bill currently before the New South Wales Parliament proposes an exception that would only apply if strength, stamina and physique is relevant and if exclusion is reasonable and proportionate in all the circumstances.</w:t>
      </w:r>
      <w:r w:rsidRPr="008642D1">
        <w:rPr>
          <w:rStyle w:val="FootnoteReference"/>
        </w:rPr>
        <w:footnoteReference w:id="636"/>
      </w:r>
    </w:p>
    <w:p w14:paraId="28DDA8B2" w14:textId="77777777" w:rsidR="00F80BAC" w:rsidRPr="008642D1" w:rsidRDefault="00F80BAC" w:rsidP="00F80BAC">
      <w:pPr>
        <w:pStyle w:val="BodyText"/>
      </w:pPr>
      <w:r w:rsidRPr="008642D1">
        <w:t xml:space="preserve">The wording we have suggested for this option is designed to achieve a proportionate balance between the rationale of fair competition and the public interest in securing broad community participation in sporting activities. We think this will allow for different rules to develop depending on the level of competition. What is reasonably required to achieve fair competition seems to us to be different depending on whether the sporting activity is at the grassroots or elite level.  </w:t>
      </w:r>
    </w:p>
    <w:p w14:paraId="5A9D7E9E" w14:textId="6DC38E3F" w:rsidR="00F80BAC" w:rsidRPr="008642D1" w:rsidRDefault="00F80BAC" w:rsidP="00F80BAC">
      <w:pPr>
        <w:pStyle w:val="BodyText"/>
      </w:pPr>
      <w:r w:rsidRPr="008642D1">
        <w:t xml:space="preserve">An alternative would be to define “competitive sporting activity” as only including elite sport and not community sport. However, we understand this is a grey line that differs between sporting codes and so could result in the exception applying very differently between sports. Further, safety considerations may arise at any level. For those reasons, in </w:t>
      </w:r>
      <w:r w:rsidR="0060656E">
        <w:t>o</w:t>
      </w:r>
      <w:r w:rsidRPr="008642D1">
        <w:t xml:space="preserve">ption 6, we treat the level of the competitive sporting activity as a factor relevant to whether the exception is reasonably required for fair competition rather than as a threshold matter. </w:t>
      </w:r>
    </w:p>
    <w:p w14:paraId="670F57F3" w14:textId="77777777" w:rsidR="00F80BAC" w:rsidRPr="008642D1" w:rsidRDefault="00F80BAC" w:rsidP="00F80BAC">
      <w:pPr>
        <w:pStyle w:val="BodyText"/>
      </w:pPr>
      <w:r w:rsidRPr="008642D1">
        <w:t xml:space="preserve">In addition to the fair competition rationale, this option would allow a sporting organisation to rely on the alternative rationales of ensuring physical safety or complying with international rules. When relying on either of these rationales, an organisation would not need to consider the level of the sport or the desirability of broad community participation. We imagine that, in practice, international rules would primarily apply to elite-level events. </w:t>
      </w:r>
    </w:p>
    <w:p w14:paraId="52ADFC56" w14:textId="2E43F8DB" w:rsidR="00F80BAC" w:rsidRPr="008642D1" w:rsidRDefault="00F80BAC" w:rsidP="00F80BAC">
      <w:pPr>
        <w:pStyle w:val="BodyText"/>
      </w:pPr>
      <w:r w:rsidRPr="008642D1">
        <w:t>This option involves a narrower and more sport-specific exception than other options</w:t>
      </w:r>
      <w:r w:rsidRPr="008642D1" w:rsidDel="00DD069B">
        <w:t xml:space="preserve"> </w:t>
      </w:r>
      <w:r w:rsidRPr="008642D1">
        <w:t xml:space="preserve">we have set out and would require reliance on the exception to be grounded in evidence. An organisation would only be able to exclude an athlete from a competitive sporting activity if it could establish it was reasonably required for fair competition, safety or to comply with international rules. This option would therefore allow regard to be given to emerging evidence and sport-specific considerations. For example, when considering the issue of fair competition, a sporting body could consider relevant evidence on whether transgender competitors could have a performance advantage over other competitors in that sport. A practical issue with </w:t>
      </w:r>
      <w:r w:rsidR="004F379F">
        <w:t>o</w:t>
      </w:r>
      <w:r w:rsidRPr="008642D1">
        <w:t xml:space="preserve">ption 6 is that, for some sports, there may be very little relevant evidence available.  </w:t>
      </w:r>
    </w:p>
    <w:p w14:paraId="77B66121" w14:textId="7D09257E" w:rsidR="00F80BAC" w:rsidRPr="008642D1" w:rsidRDefault="00F557D0" w:rsidP="00F80BAC">
      <w:pPr>
        <w:pStyle w:val="BodyText"/>
      </w:pPr>
      <w:r w:rsidRPr="008642D1">
        <w:rPr>
          <w:noProof/>
        </w:rPr>
        <mc:AlternateContent>
          <mc:Choice Requires="wpg">
            <w:drawing>
              <wp:anchor distT="0" distB="0" distL="114300" distR="114300" simplePos="0" relativeHeight="251658379" behindDoc="1" locked="0" layoutInCell="1" allowOverlap="1" wp14:anchorId="1F2E5A1D" wp14:editId="2642C0E3">
                <wp:simplePos x="0" y="0"/>
                <wp:positionH relativeFrom="column">
                  <wp:posOffset>7686</wp:posOffset>
                </wp:positionH>
                <wp:positionV relativeFrom="paragraph">
                  <wp:posOffset>977900</wp:posOffset>
                </wp:positionV>
                <wp:extent cx="5760085" cy="1403132"/>
                <wp:effectExtent l="0" t="0" r="0" b="6985"/>
                <wp:wrapNone/>
                <wp:docPr id="888639529" name="Group 888639529" descr="Question"/>
                <wp:cNvGraphicFramePr/>
                <a:graphic xmlns:a="http://schemas.openxmlformats.org/drawingml/2006/main">
                  <a:graphicData uri="http://schemas.microsoft.com/office/word/2010/wordprocessingGroup">
                    <wpg:wgp>
                      <wpg:cNvGrpSpPr/>
                      <wpg:grpSpPr>
                        <a:xfrm>
                          <a:off x="0" y="0"/>
                          <a:ext cx="5760085" cy="1403132"/>
                          <a:chOff x="0" y="62865"/>
                          <a:chExt cx="5760085" cy="1404327"/>
                        </a:xfrm>
                      </wpg:grpSpPr>
                      <wps:wsp>
                        <wps:cNvPr id="124149832"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DD9C82" w14:textId="77777777" w:rsidR="00177931" w:rsidRDefault="00177931" w:rsidP="00177931">
                              <w:pPr>
                                <w:pStyle w:val="BoxTitle"/>
                                <w:spacing w:before="0" w:beforeAutospacing="0"/>
                              </w:pPr>
                              <w:r w:rsidRPr="007F6876">
                                <w:t>QUESTION</w:t>
                              </w:r>
                            </w:p>
                          </w:txbxContent>
                        </wps:txbx>
                        <wps:bodyPr rot="0" vert="horz" wrap="square" lIns="91440" tIns="0" rIns="0" bIns="45720" anchor="ctr" anchorCtr="0" upright="1">
                          <a:noAutofit/>
                        </wps:bodyPr>
                      </wps:wsp>
                      <wpg:grpSp>
                        <wpg:cNvPr id="491401864" name="Group 53"/>
                        <wpg:cNvGrpSpPr>
                          <a:grpSpLocks/>
                        </wpg:cNvGrpSpPr>
                        <wpg:grpSpPr bwMode="auto">
                          <a:xfrm>
                            <a:off x="0" y="316077"/>
                            <a:ext cx="5760085" cy="1151115"/>
                            <a:chOff x="1837" y="1790"/>
                            <a:chExt cx="9302" cy="12434"/>
                          </a:xfrm>
                        </wpg:grpSpPr>
                        <wps:wsp>
                          <wps:cNvPr id="501982870" name="Freeform 54"/>
                          <wps:cNvSpPr>
                            <a:spLocks/>
                          </wps:cNvSpPr>
                          <wps:spPr bwMode="auto">
                            <a:xfrm>
                              <a:off x="1837" y="1790"/>
                              <a:ext cx="9302" cy="1243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6330317" name="Group 1956330317"/>
                        <wpg:cNvGrpSpPr/>
                        <wpg:grpSpPr>
                          <a:xfrm>
                            <a:off x="0" y="494036"/>
                            <a:ext cx="1443794" cy="252000"/>
                            <a:chOff x="-15880" y="0"/>
                            <a:chExt cx="1444379" cy="252068"/>
                          </a:xfrm>
                        </wpg:grpSpPr>
                        <wps:wsp>
                          <wps:cNvPr id="162905131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79504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CA0124" w14:textId="70FF4302" w:rsidR="00177931" w:rsidRPr="00E90B8A" w:rsidRDefault="00177931" w:rsidP="00177931">
                                <w:pPr>
                                  <w:pStyle w:val="BoxTitle"/>
                                  <w:spacing w:before="0" w:beforeAutospacing="0"/>
                                  <w:rPr>
                                    <w:sz w:val="18"/>
                                    <w:szCs w:val="18"/>
                                  </w:rPr>
                                </w:pPr>
                                <w:r w:rsidRPr="00E90B8A">
                                  <w:rPr>
                                    <w:sz w:val="18"/>
                                    <w:szCs w:val="18"/>
                                  </w:rPr>
                                  <w:t>Q</w:t>
                                </w:r>
                                <w:r>
                                  <w:rPr>
                                    <w:sz w:val="18"/>
                                    <w:szCs w:val="18"/>
                                  </w:rPr>
                                  <w:t>6</w:t>
                                </w:r>
                                <w:r w:rsidR="00B76BD1">
                                  <w:rPr>
                                    <w:sz w:val="18"/>
                                    <w:szCs w:val="18"/>
                                  </w:rPr>
                                  <w:t>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F2E5A1D" id="Group 888639529" o:spid="_x0000_s1371" alt="Question" style="position:absolute;left:0;text-align:left;margin-left:.6pt;margin-top:77pt;width:453.55pt;height:110.5pt;z-index:-251658101;mso-height-relative:margin" coordorigin=",628" coordsize="57600,14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">
                <v:shape id="Freeform 52" o:spid="_x0000_s137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5DD9C82" w14:textId="77777777" w:rsidR="00177931" w:rsidRDefault="00177931" w:rsidP="00177931">
                        <w:pPr>
                          <w:pStyle w:val="BoxTitle"/>
                          <w:spacing w:before="0" w:beforeAutospacing="0"/>
                        </w:pPr>
                        <w:r w:rsidRPr="007F6876">
                          <w:t>QUESTION</w:t>
                        </w:r>
                      </w:p>
                    </w:txbxContent>
                  </v:textbox>
                </v:shape>
                <v:group id="Group 53" o:spid="_x0000_s1373" style="position:absolute;top:3160;width:57600;height:11511" coordorigin="1837,1790" coordsize="9302,1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">
                  <v:shape id="Freeform 54" o:spid="_x0000_s1374" style="position:absolute;left:1837;top:1790;width:9302;height:1243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" path="m,l9354,r,7809l,7809,,e" fillcolor="#edf2ea" stroked="f">
                    <v:path arrowok="t" o:connecttype="custom" o:connectlocs="0,1592;9302,1592;9302,14026;0,14026;0,1592" o:connectangles="0,0,0,0,0"/>
                  </v:shape>
                </v:group>
                <v:group id="Group 1956330317" o:spid="_x0000_s137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">
                  <v:shape id="Freeform 58" o:spid="_x0000_s137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" path="m,l1815,e" filled="f" strokecolor="#72ab6a" strokeweight=".5pt">
                    <v:path arrowok="t" o:connecttype="custom" o:connectlocs="0,0;1073495,0" o:connectangles="0,0"/>
                  </v:shape>
                  <v:shape id="Freeform 66" o:spid="_x0000_s137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1CA0124" w14:textId="70FF4302" w:rsidR="00177931" w:rsidRPr="00E90B8A" w:rsidRDefault="00177931" w:rsidP="00177931">
                          <w:pPr>
                            <w:pStyle w:val="BoxTitle"/>
                            <w:spacing w:before="0" w:beforeAutospacing="0"/>
                            <w:rPr>
                              <w:sz w:val="18"/>
                              <w:szCs w:val="18"/>
                            </w:rPr>
                          </w:pPr>
                          <w:r w:rsidRPr="00E90B8A">
                            <w:rPr>
                              <w:sz w:val="18"/>
                              <w:szCs w:val="18"/>
                            </w:rPr>
                            <w:t>Q</w:t>
                          </w:r>
                          <w:r>
                            <w:rPr>
                              <w:sz w:val="18"/>
                              <w:szCs w:val="18"/>
                            </w:rPr>
                            <w:t>6</w:t>
                          </w:r>
                          <w:r w:rsidR="00B76BD1">
                            <w:rPr>
                              <w:sz w:val="18"/>
                              <w:szCs w:val="18"/>
                            </w:rPr>
                            <w:t>4</w:t>
                          </w:r>
                        </w:p>
                      </w:txbxContent>
                    </v:textbox>
                  </v:shape>
                </v:group>
              </v:group>
            </w:pict>
          </mc:Fallback>
        </mc:AlternateContent>
      </w:r>
      <w:r w:rsidR="00F80BAC" w:rsidRPr="008642D1">
        <w:t>Because this option does not involve a bright-line test, sports organisations might be uncertain whether they can rely on the exception. It might lead to increased litigation. If this option is adopted, it may be useful for an organisation such as Te Kāhui Tika Tangata | Human Rights Commission or Sport New Zealand to develop guidelines to assist sporting bodies.</w:t>
      </w:r>
    </w:p>
    <w:p w14:paraId="5A3D4EE0" w14:textId="4972D1E4" w:rsidR="00F80BAC" w:rsidRPr="008642D1" w:rsidRDefault="00F80BAC" w:rsidP="00F80BAC">
      <w:pPr>
        <w:pStyle w:val="QuestionBox"/>
      </w:pPr>
    </w:p>
    <w:p w14:paraId="3015CF6D" w14:textId="77777777" w:rsidR="00F80BAC" w:rsidRPr="008642D1" w:rsidRDefault="00F80BAC" w:rsidP="00F80BAC">
      <w:pPr>
        <w:pStyle w:val="QuestionBox"/>
      </w:pPr>
    </w:p>
    <w:p w14:paraId="0382A818" w14:textId="6F7E279E" w:rsidR="00F80BAC" w:rsidRPr="008642D1" w:rsidRDefault="00F80BAC" w:rsidP="00777620">
      <w:pPr>
        <w:pStyle w:val="QuestionBox"/>
      </w:pPr>
      <w:r w:rsidRPr="008642D1">
        <w:t xml:space="preserve">Do you think the exception in section 49(1) of the Human Rights Act </w:t>
      </w:r>
      <w:r w:rsidR="00E21969" w:rsidRPr="00E21969">
        <w:t xml:space="preserve">1993 </w:t>
      </w:r>
      <w:r w:rsidR="00CC6C78">
        <w:t>that allow</w:t>
      </w:r>
      <w:r w:rsidR="00755A96">
        <w:t>s</w:t>
      </w:r>
      <w:r w:rsidR="00CC6C78">
        <w:t xml:space="preserve"> </w:t>
      </w:r>
      <w:r w:rsidRPr="008642D1">
        <w:t xml:space="preserve">competitive sports </w:t>
      </w:r>
      <w:r w:rsidR="00CC6C78">
        <w:t xml:space="preserve">to be </w:t>
      </w:r>
      <w:r w:rsidRPr="008642D1">
        <w:t xml:space="preserve">limited to one sex should be amended to </w:t>
      </w:r>
      <w:r w:rsidR="00E21969" w:rsidRPr="00E21969">
        <w:t>reflect any</w:t>
      </w:r>
      <w:r w:rsidRPr="008642D1">
        <w:t xml:space="preserve"> new grounds </w:t>
      </w:r>
      <w:r w:rsidR="00E21969" w:rsidRPr="00E21969">
        <w:t>we propose?</w:t>
      </w:r>
    </w:p>
    <w:p w14:paraId="02ADF68C" w14:textId="77777777" w:rsidR="00F80BAC" w:rsidRDefault="00F80BAC" w:rsidP="00F80BAC">
      <w:pPr>
        <w:pStyle w:val="BodyTextnonum"/>
        <w:numPr>
          <w:ilvl w:val="0"/>
          <w:numId w:val="0"/>
        </w:numPr>
        <w:ind w:left="1134"/>
      </w:pPr>
    </w:p>
    <w:p w14:paraId="012B35E9" w14:textId="77777777" w:rsidR="00B33FEE" w:rsidRPr="008642D1" w:rsidRDefault="00B33FEE" w:rsidP="00F80BAC">
      <w:pPr>
        <w:pStyle w:val="BodyTextnonum"/>
        <w:numPr>
          <w:ilvl w:val="0"/>
          <w:numId w:val="0"/>
        </w:numPr>
        <w:ind w:left="1134"/>
      </w:pPr>
    </w:p>
    <w:p w14:paraId="6E3D7B33" w14:textId="77777777" w:rsidR="00174F89" w:rsidRPr="008642D1" w:rsidRDefault="00174F89" w:rsidP="00174F89">
      <w:pPr>
        <w:pStyle w:val="BodyText"/>
        <w:numPr>
          <w:ilvl w:val="0"/>
          <w:numId w:val="0"/>
        </w:numPr>
        <w:sectPr w:rsidR="00174F89" w:rsidRPr="008642D1" w:rsidSect="00174F89">
          <w:headerReference w:type="default" r:id="rId61"/>
          <w:footerReference w:type="even" r:id="rId62"/>
          <w:footnotePr>
            <w:numRestart w:val="eachSect"/>
          </w:footnotePr>
          <w:pgSz w:w="11920" w:h="16840"/>
          <w:pgMar w:top="1134" w:right="1134" w:bottom="1134" w:left="1701" w:header="499" w:footer="46" w:gutter="0"/>
          <w:cols w:space="720"/>
          <w:docGrid w:linePitch="272"/>
        </w:sectPr>
      </w:pPr>
      <w:r w:rsidRPr="008642D1">
        <w:rPr>
          <w:rFonts w:eastAsiaTheme="minorHAnsi"/>
          <w:noProof/>
          <w:lang w:eastAsia="en-NZ"/>
        </w:rPr>
        <mc:AlternateContent>
          <mc:Choice Requires="wpg">
            <w:drawing>
              <wp:anchor distT="0" distB="0" distL="114300" distR="114300" simplePos="0" relativeHeight="251658281" behindDoc="1" locked="0" layoutInCell="1" allowOverlap="1" wp14:anchorId="40956CC1" wp14:editId="6C748580">
                <wp:simplePos x="0" y="0"/>
                <wp:positionH relativeFrom="page">
                  <wp:posOffset>1080135</wp:posOffset>
                </wp:positionH>
                <wp:positionV relativeFrom="paragraph">
                  <wp:posOffset>253256</wp:posOffset>
                </wp:positionV>
                <wp:extent cx="1799590" cy="1270"/>
                <wp:effectExtent l="0" t="19050" r="10160" b="17780"/>
                <wp:wrapNone/>
                <wp:docPr id="1255663062" name="Group 1255663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1775258019"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02ADF" id="Group 1255663062" o:spid="_x0000_s1026" style="position:absolute;margin-left:85.05pt;margin-top:19.95pt;width:141.7pt;height:.1pt;z-index:-251658199;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" path="m,l2097,e" filled="f" strokecolor="#72ab6a" strokeweight="3pt">
                  <v:path arrowok="t" o:connecttype="custom" o:connectlocs="0,0;2097,0" o:connectangles="0,0"/>
                </v:shape>
                <w10:wrap anchorx="page"/>
              </v:group>
            </w:pict>
          </mc:Fallback>
        </mc:AlternateContent>
      </w:r>
    </w:p>
    <w:p w14:paraId="47AC4B1D" w14:textId="43910073" w:rsidR="00174F89" w:rsidRPr="008642D1" w:rsidRDefault="00174F89" w:rsidP="00174F89">
      <w:pPr>
        <w:pStyle w:val="HEADING2topchapter-notinTOC"/>
      </w:pPr>
      <w:r w:rsidRPr="008642D1">
        <w:t>CHAPTER 1</w:t>
      </w:r>
      <w:r w:rsidR="001961AE" w:rsidRPr="008642D1">
        <w:t>5</w:t>
      </w:r>
    </w:p>
    <w:p w14:paraId="37CA6D7B" w14:textId="77777777" w:rsidR="00174F89" w:rsidRPr="008642D1" w:rsidRDefault="00174F89" w:rsidP="00174F89">
      <w:pPr>
        <w:spacing w:line="200" w:lineRule="exact"/>
        <w:rPr>
          <w:szCs w:val="20"/>
        </w:rPr>
      </w:pPr>
      <w:r w:rsidRPr="008642D1">
        <w:rPr>
          <w:noProof/>
          <w:lang w:eastAsia="en-NZ"/>
        </w:rPr>
        <mc:AlternateContent>
          <mc:Choice Requires="wpg">
            <w:drawing>
              <wp:anchor distT="0" distB="0" distL="114300" distR="114300" simplePos="0" relativeHeight="251658291" behindDoc="1" locked="0" layoutInCell="1" allowOverlap="1" wp14:anchorId="485EABA8" wp14:editId="72EC18D4">
                <wp:simplePos x="0" y="0"/>
                <wp:positionH relativeFrom="page">
                  <wp:posOffset>1076325</wp:posOffset>
                </wp:positionH>
                <wp:positionV relativeFrom="paragraph">
                  <wp:posOffset>6350</wp:posOffset>
                </wp:positionV>
                <wp:extent cx="1332230" cy="1270"/>
                <wp:effectExtent l="0" t="19050" r="1270" b="17780"/>
                <wp:wrapNone/>
                <wp:docPr id="1341178437" name="Group 1341178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053083102"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98398C" id="Group 1341178437" o:spid="_x0000_s1026" style="position:absolute;margin-left:84.75pt;margin-top:.5pt;width:104.9pt;height:.1pt;z-index:-251658189;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4F/AIAAOA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&#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6BD6C845" w14:textId="77777777" w:rsidR="00174F89" w:rsidRPr="008642D1" w:rsidRDefault="00174F89" w:rsidP="00DF306B">
      <w:pPr>
        <w:pStyle w:val="Heading1nonum"/>
        <w:numPr>
          <w:ilvl w:val="0"/>
          <w:numId w:val="24"/>
        </w:numPr>
        <w:spacing w:before="600" w:after="360"/>
        <w:rPr>
          <w:rFonts w:eastAsia="Metropolis Black"/>
        </w:rPr>
      </w:pPr>
      <w:bookmarkStart w:id="162" w:name="_Toc166844476"/>
      <w:bookmarkStart w:id="163" w:name="_Toc170302193"/>
      <w:r w:rsidRPr="008642D1">
        <w:rPr>
          <w:rFonts w:eastAsia="Metropolis Black"/>
        </w:rPr>
        <w:t>Other issues in Part 2</w:t>
      </w:r>
      <w:bookmarkEnd w:id="162"/>
      <w:bookmarkEnd w:id="163"/>
    </w:p>
    <w:p w14:paraId="29CDEEF0" w14:textId="77777777" w:rsidR="00174F89" w:rsidRPr="008642D1" w:rsidRDefault="00174F89" w:rsidP="00174F89">
      <w:pPr>
        <w:spacing w:line="200" w:lineRule="exact"/>
        <w:rPr>
          <w:szCs w:val="20"/>
        </w:rPr>
      </w:pPr>
      <w:r w:rsidRPr="008642D1">
        <w:rPr>
          <w:noProof/>
          <w:lang w:eastAsia="en-NZ"/>
        </w:rPr>
        <mc:AlternateContent>
          <mc:Choice Requires="wpg">
            <w:drawing>
              <wp:anchor distT="0" distB="0" distL="114300" distR="114300" simplePos="0" relativeHeight="251658290" behindDoc="1" locked="0" layoutInCell="1" allowOverlap="1" wp14:anchorId="6681842F" wp14:editId="11B8F2FE">
                <wp:simplePos x="0" y="0"/>
                <wp:positionH relativeFrom="page">
                  <wp:posOffset>1087427</wp:posOffset>
                </wp:positionH>
                <wp:positionV relativeFrom="paragraph">
                  <wp:posOffset>71755</wp:posOffset>
                </wp:positionV>
                <wp:extent cx="1332230" cy="1270"/>
                <wp:effectExtent l="0" t="19050" r="1270" b="17780"/>
                <wp:wrapNone/>
                <wp:docPr id="1219791564" name="Group 1219791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482277596"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B4082" id="Group 1219791564" o:spid="_x0000_s1026" style="position:absolute;margin-left:85.6pt;margin-top:5.65pt;width:104.9pt;height:.1pt;z-index:-251658190;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s/QIAAN8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5C542801" w14:textId="77777777" w:rsidR="00174F89" w:rsidRPr="008642D1" w:rsidRDefault="00174F89" w:rsidP="00174F89"/>
    <w:p w14:paraId="238F9EC2" w14:textId="77777777" w:rsidR="00174F89" w:rsidRPr="008642D1" w:rsidRDefault="00174F89" w:rsidP="00174F89">
      <w:pPr>
        <w:pStyle w:val="Heading2"/>
      </w:pPr>
      <w:bookmarkStart w:id="164" w:name="_Toc166844477"/>
      <w:bookmarkStart w:id="165" w:name="_Toc170302194"/>
      <w:r w:rsidRPr="008642D1">
        <w:t>Introduction</w:t>
      </w:r>
      <w:bookmarkEnd w:id="164"/>
      <w:bookmarkEnd w:id="165"/>
    </w:p>
    <w:p w14:paraId="402771A8" w14:textId="4FCF2C6F" w:rsidR="001961AE" w:rsidRPr="008642D1" w:rsidRDefault="001961AE" w:rsidP="001961AE">
      <w:pPr>
        <w:pStyle w:val="BodyText"/>
      </w:pPr>
      <w:r w:rsidRPr="008642D1">
        <w:t>In this chapter</w:t>
      </w:r>
      <w:r w:rsidR="00F73235">
        <w:t>,</w:t>
      </w:r>
      <w:r w:rsidRPr="008642D1">
        <w:t xml:space="preserve"> we examine issues arising under three </w:t>
      </w:r>
      <w:r w:rsidRPr="008642D1">
        <w:rPr>
          <w:lang w:eastAsia="zh-CN" w:bidi="th-TH"/>
        </w:rPr>
        <w:t>subparts at the end of Part</w:t>
      </w:r>
      <w:r w:rsidRPr="008642D1">
        <w:rPr>
          <w:rFonts w:ascii="Calibri" w:hAnsi="Calibri" w:cs="Calibri"/>
          <w:lang w:eastAsia="zh-CN" w:bidi="th-TH"/>
        </w:rPr>
        <w:t> </w:t>
      </w:r>
      <w:r w:rsidRPr="008642D1">
        <w:rPr>
          <w:lang w:eastAsia="zh-CN" w:bidi="th-TH"/>
        </w:rPr>
        <w:t>2 of the Human Rights Act 1993 that do not sit within any particular area of life. These subparts are called “Other forms of discrimination”, “Special provisions relating to superannuation schemes” and “Other matters”.</w:t>
      </w:r>
      <w:r w:rsidRPr="008642D1">
        <w:t xml:space="preserve"> </w:t>
      </w:r>
    </w:p>
    <w:p w14:paraId="44400D94" w14:textId="77777777" w:rsidR="001961AE" w:rsidRPr="008642D1" w:rsidRDefault="001961AE" w:rsidP="00566E2A">
      <w:pPr>
        <w:pStyle w:val="Heading2"/>
        <w:rPr>
          <w:b w:val="0"/>
          <w:bCs/>
          <w:caps w:val="0"/>
        </w:rPr>
      </w:pPr>
      <w:bookmarkStart w:id="166" w:name="_Toc161760826"/>
      <w:bookmarkStart w:id="167" w:name="_Toc161770856"/>
      <w:bookmarkStart w:id="168" w:name="_Toc170302195"/>
      <w:r w:rsidRPr="008642D1">
        <w:t>Other forms of discrimination</w:t>
      </w:r>
      <w:bookmarkEnd w:id="166"/>
      <w:bookmarkEnd w:id="167"/>
      <w:bookmarkEnd w:id="168"/>
    </w:p>
    <w:p w14:paraId="6855AE8B" w14:textId="77777777" w:rsidR="001961AE" w:rsidRPr="008642D1" w:rsidRDefault="001961AE" w:rsidP="001961AE">
      <w:pPr>
        <w:pStyle w:val="BodyText"/>
      </w:pPr>
      <w:r w:rsidRPr="008642D1">
        <w:t>The subpart called “Other forms of discrimination” identifies some specific types of conduct as unlawful discrimination. As we explained in Chapter 8, three of these are enlarging provisions that expand the scope of all the protections in Part 2 (for example, by clarifying that people are liable in certain circumstances for the actions of their agents and employees).</w:t>
      </w:r>
      <w:r w:rsidRPr="008642D1">
        <w:rPr>
          <w:rStyle w:val="FootnoteReference"/>
        </w:rPr>
        <w:footnoteReference w:id="637"/>
      </w:r>
      <w:r w:rsidRPr="008642D1">
        <w:t xml:space="preserve"> We do not think these three provisions raise issues that warrant consideration in this review (other than one instance of binary language that we discuss along with others in Chapter 17).</w:t>
      </w:r>
      <w:r w:rsidRPr="008642D1">
        <w:rPr>
          <w:rStyle w:val="FootnoteReference"/>
        </w:rPr>
        <w:footnoteReference w:id="638"/>
      </w:r>
    </w:p>
    <w:p w14:paraId="3A160B26" w14:textId="77777777" w:rsidR="001961AE" w:rsidRPr="008642D1" w:rsidRDefault="001961AE" w:rsidP="001961AE">
      <w:pPr>
        <w:pStyle w:val="BodyText"/>
      </w:pPr>
      <w:r w:rsidRPr="008642D1">
        <w:t xml:space="preserve">The other sections in this subpart specify that several discrete types of conduct are unlawful discrimination. These are provisions that do not fit into the main body of Part 2 because they follow a different logic. For example, some of them:  </w:t>
      </w:r>
    </w:p>
    <w:p w14:paraId="7AB685EC" w14:textId="77777777" w:rsidR="001961AE" w:rsidRPr="008642D1" w:rsidRDefault="001961AE" w:rsidP="001961AE">
      <w:pPr>
        <w:pStyle w:val="BodyTextnonum"/>
        <w:numPr>
          <w:ilvl w:val="3"/>
          <w:numId w:val="37"/>
        </w:numPr>
      </w:pPr>
      <w:r w:rsidRPr="008642D1">
        <w:t>only apply to some prohibited grounds of discrimination rather than all prohibited grounds;</w:t>
      </w:r>
      <w:r w:rsidRPr="008642D1">
        <w:rPr>
          <w:rStyle w:val="FootnoteReference"/>
        </w:rPr>
        <w:footnoteReference w:id="639"/>
      </w:r>
    </w:p>
    <w:p w14:paraId="473C95C3" w14:textId="77777777" w:rsidR="001961AE" w:rsidRPr="008642D1" w:rsidRDefault="001961AE" w:rsidP="001961AE">
      <w:pPr>
        <w:pStyle w:val="BodyTextnonum"/>
        <w:numPr>
          <w:ilvl w:val="3"/>
          <w:numId w:val="23"/>
        </w:numPr>
      </w:pPr>
      <w:r w:rsidRPr="008642D1">
        <w:t>extend protection on a different logic altogether than the prohibited grounds;</w:t>
      </w:r>
      <w:r w:rsidRPr="008642D1">
        <w:rPr>
          <w:rStyle w:val="FootnoteReference"/>
        </w:rPr>
        <w:footnoteReference w:id="640"/>
      </w:r>
      <w:r w:rsidRPr="008642D1">
        <w:t xml:space="preserve"> </w:t>
      </w:r>
    </w:p>
    <w:p w14:paraId="7A4A2A62" w14:textId="77777777" w:rsidR="001961AE" w:rsidRPr="008642D1" w:rsidRDefault="001961AE" w:rsidP="001961AE">
      <w:pPr>
        <w:pStyle w:val="BodyTextnonum"/>
        <w:numPr>
          <w:ilvl w:val="3"/>
          <w:numId w:val="23"/>
        </w:numPr>
      </w:pPr>
      <w:r w:rsidRPr="008642D1">
        <w:t>apply to conduct in all the areas of life regulated by Part 2;</w:t>
      </w:r>
      <w:r w:rsidRPr="008642D1">
        <w:rPr>
          <w:rStyle w:val="FootnoteReference"/>
        </w:rPr>
        <w:footnoteReference w:id="641"/>
      </w:r>
      <w:r w:rsidRPr="008642D1">
        <w:t xml:space="preserve"> </w:t>
      </w:r>
    </w:p>
    <w:p w14:paraId="0A48FBEC" w14:textId="77777777" w:rsidR="001961AE" w:rsidRPr="008642D1" w:rsidRDefault="001961AE" w:rsidP="001961AE">
      <w:pPr>
        <w:pStyle w:val="BodyTextnonum"/>
        <w:numPr>
          <w:ilvl w:val="3"/>
          <w:numId w:val="23"/>
        </w:numPr>
      </w:pPr>
      <w:r w:rsidRPr="008642D1">
        <w:t>regulate an entirely different area of life to those identified in Part 2;</w:t>
      </w:r>
      <w:r w:rsidRPr="008642D1">
        <w:rPr>
          <w:rStyle w:val="FootnoteReference"/>
        </w:rPr>
        <w:footnoteReference w:id="642"/>
      </w:r>
      <w:r w:rsidRPr="008642D1">
        <w:t xml:space="preserve"> or</w:t>
      </w:r>
    </w:p>
    <w:p w14:paraId="2CF54C33" w14:textId="66EAC47B" w:rsidR="001961AE" w:rsidRPr="008642D1" w:rsidRDefault="001961AE" w:rsidP="001961AE">
      <w:pPr>
        <w:pStyle w:val="BodyTextnonum"/>
        <w:numPr>
          <w:ilvl w:val="3"/>
          <w:numId w:val="23"/>
        </w:numPr>
      </w:pPr>
      <w:r w:rsidRPr="008642D1">
        <w:t>regulate a type of adverse treatment that, although harmful to equality, is not exactly about treating one group of people differently from others in comparable circumstances (which is the focus of most Part 2 protections).</w:t>
      </w:r>
      <w:r w:rsidRPr="008642D1">
        <w:rPr>
          <w:rStyle w:val="FootnoteReference"/>
        </w:rPr>
        <w:footnoteReference w:id="643"/>
      </w:r>
    </w:p>
    <w:p w14:paraId="59791498" w14:textId="1D91F7FD" w:rsidR="001961AE" w:rsidRPr="008642D1" w:rsidRDefault="001961AE" w:rsidP="001961AE">
      <w:pPr>
        <w:pStyle w:val="BodyText"/>
      </w:pPr>
      <w:r w:rsidRPr="008642D1">
        <w:t>Of these ‘other forms of discrimination’, two fall outside the scope of this review for reasons explained in Chapter 1.</w:t>
      </w:r>
      <w:r w:rsidRPr="008642D1">
        <w:rPr>
          <w:rStyle w:val="FootnoteReference"/>
        </w:rPr>
        <w:footnoteReference w:id="644"/>
      </w:r>
      <w:r w:rsidRPr="008642D1">
        <w:t xml:space="preserve"> Three others concern subject matter that is not connected to this review.</w:t>
      </w:r>
      <w:r w:rsidRPr="008642D1">
        <w:rPr>
          <w:rStyle w:val="FootnoteReference"/>
        </w:rPr>
        <w:footnoteReference w:id="645"/>
      </w:r>
      <w:r w:rsidRPr="008642D1">
        <w:t xml:space="preserve"> That leaves one remaining provision (concerning sexual harassment), which we discuss below. </w:t>
      </w:r>
    </w:p>
    <w:p w14:paraId="151803C8" w14:textId="66D9CBF7" w:rsidR="001961AE" w:rsidRPr="008642D1" w:rsidRDefault="001961AE" w:rsidP="001961AE">
      <w:pPr>
        <w:pStyle w:val="BodyText"/>
      </w:pPr>
      <w:r w:rsidRPr="008642D1">
        <w:t>We also seek feedback on whether any additional ‘other forms of discrimination’ should be added to this subpart to address issues of particular concern to people who are transgender or non-binary or who have an innate variation of sex characteristics. Specifically, we ask whether there should be a provision addressing harassment of people who fall into these groups, and whether there should be a provision clarifying the circumstances in which medical interventions on children and young people with an innate variation of sex characteristic are permissible.</w:t>
      </w:r>
    </w:p>
    <w:p w14:paraId="5555CD19" w14:textId="77777777" w:rsidR="001961AE" w:rsidRPr="008642D1" w:rsidRDefault="001961AE" w:rsidP="001961AE">
      <w:pPr>
        <w:pStyle w:val="Heading3"/>
      </w:pPr>
      <w:r w:rsidRPr="008642D1">
        <w:t>Sexual harassment</w:t>
      </w:r>
    </w:p>
    <w:p w14:paraId="57AA0FD2" w14:textId="2B6F043C" w:rsidR="001961AE" w:rsidRPr="008642D1" w:rsidRDefault="001961AE" w:rsidP="001961AE">
      <w:pPr>
        <w:pStyle w:val="BodyText"/>
      </w:pPr>
      <w:r w:rsidRPr="008642D1">
        <w:rPr>
          <w:lang w:val="mi-NZ"/>
        </w:rPr>
        <w:t>Section 62 of the Human Rights Act is about sexual harassment.</w:t>
      </w:r>
      <w:r w:rsidRPr="008642D1">
        <w:rPr>
          <w:rStyle w:val="FootnoteReference"/>
          <w:lang w:val="mi-NZ"/>
        </w:rPr>
        <w:footnoteReference w:id="646"/>
      </w:r>
      <w:r w:rsidRPr="008642D1">
        <w:rPr>
          <w:lang w:val="mi-NZ"/>
        </w:rPr>
        <w:t xml:space="preserve"> Sexual harassment</w:t>
      </w:r>
      <w:r w:rsidRPr="008642D1">
        <w:rPr>
          <w:rStyle w:val="FootnoteReference"/>
          <w:lang w:val="mi-NZ"/>
        </w:rPr>
        <w:t xml:space="preserve"> </w:t>
      </w:r>
      <w:r w:rsidRPr="008642D1">
        <w:rPr>
          <w:lang w:val="mi-NZ"/>
        </w:rPr>
        <w:t>involves behaviour of a sexual nature rather than behaviour driven by hostility to someone based on their sex (although that can sometimes be a reason for the behaviour). Anyone can take a claim of sexual harassment regardless of their sex, gender identity or sex characteristics.</w:t>
      </w:r>
      <w:r w:rsidRPr="008642D1">
        <w:t xml:space="preserve"> </w:t>
      </w:r>
      <w:r w:rsidRPr="008642D1">
        <w:rPr>
          <w:lang w:val="mi-NZ"/>
        </w:rPr>
        <w:t xml:space="preserve">Section 62 covers two kinds of sexual harrasment: </w:t>
      </w:r>
    </w:p>
    <w:p w14:paraId="322DE007" w14:textId="1905FC3C" w:rsidR="001961AE" w:rsidRPr="008642D1" w:rsidRDefault="001961AE" w:rsidP="001E69E7">
      <w:pPr>
        <w:pStyle w:val="BodyText2"/>
        <w:numPr>
          <w:ilvl w:val="3"/>
          <w:numId w:val="62"/>
        </w:numPr>
        <w:rPr>
          <w:lang w:val="mi-NZ"/>
        </w:rPr>
      </w:pPr>
      <w:r w:rsidRPr="008642D1">
        <w:t>asking a person for sexual contact where there is an (implied or overt) promise of preferential treatment or threat of detrimental treatment; and</w:t>
      </w:r>
    </w:p>
    <w:p w14:paraId="24F8463C" w14:textId="363351EC" w:rsidR="001961AE" w:rsidRPr="008642D1" w:rsidRDefault="001961AE" w:rsidP="001961AE">
      <w:pPr>
        <w:pStyle w:val="BodyText2"/>
        <w:numPr>
          <w:ilvl w:val="3"/>
          <w:numId w:val="35"/>
        </w:numPr>
        <w:rPr>
          <w:lang w:val="mi-NZ"/>
        </w:rPr>
      </w:pPr>
      <w:r w:rsidRPr="008642D1">
        <w:t>subjecting a person to language, visual material or physical behaviour of a sexual nature that is “unwelcome or offensive” and is either repeated or so significant that it has a detrimental effect on them in the area of life in which it occurs.</w:t>
      </w:r>
    </w:p>
    <w:p w14:paraId="63AB2F88" w14:textId="77777777" w:rsidR="001961AE" w:rsidRPr="008642D1" w:rsidRDefault="001961AE" w:rsidP="001961AE">
      <w:pPr>
        <w:pStyle w:val="BodyText"/>
      </w:pPr>
      <w:r w:rsidRPr="008642D1">
        <w:rPr>
          <w:lang w:val="mi-NZ"/>
        </w:rPr>
        <w:t>Sexual harrassment is unlawful in all the areas of life regulated by Part 2 as well as when participating “in fora for the exchange of ideas and information”.</w:t>
      </w:r>
      <w:r w:rsidRPr="008642D1">
        <w:rPr>
          <w:rStyle w:val="FootnoteReference"/>
          <w:lang w:val="mi-NZ"/>
        </w:rPr>
        <w:footnoteReference w:id="647"/>
      </w:r>
      <w:r w:rsidRPr="008642D1">
        <w:rPr>
          <w:lang w:val="mi-NZ"/>
        </w:rPr>
        <w:t xml:space="preserve"> </w:t>
      </w:r>
    </w:p>
    <w:p w14:paraId="394B560A" w14:textId="70D321A9" w:rsidR="001961AE" w:rsidRPr="008642D1" w:rsidRDefault="001961AE" w:rsidP="001961AE">
      <w:pPr>
        <w:pStyle w:val="BodyText"/>
      </w:pPr>
      <w:r w:rsidRPr="008642D1">
        <w:rPr>
          <w:lang w:val="mi-NZ"/>
        </w:rPr>
        <w:t xml:space="preserve">We do not have New Zealand data on the rates of sexual harassment for people who are transgender or non-binary or who have an innate variation of sex characteristics. As we explained in Chapter 3, we do know that people in Aotearoa New Zealand who are </w:t>
      </w:r>
      <w:r w:rsidRPr="008642D1">
        <w:t xml:space="preserve">transgender </w:t>
      </w:r>
      <w:r w:rsidR="007B2870">
        <w:t>or</w:t>
      </w:r>
      <w:r w:rsidR="007B2870" w:rsidRPr="008642D1">
        <w:t xml:space="preserve"> </w:t>
      </w:r>
      <w:r w:rsidRPr="008642D1">
        <w:t>non-binary experience much higher rates of sexual violence than the general population. There is also Australian data suggesting that people who are non-binary and people with an innate variation of sex characteristics can experience higher rates of sexual harassment than others in workplaces.</w:t>
      </w:r>
      <w:r w:rsidRPr="008642D1">
        <w:rPr>
          <w:rStyle w:val="FootnoteReference"/>
        </w:rPr>
        <w:footnoteReference w:id="648"/>
      </w:r>
      <w:r w:rsidRPr="008642D1">
        <w:t xml:space="preserve">  </w:t>
      </w:r>
    </w:p>
    <w:p w14:paraId="1A308B1C" w14:textId="77777777" w:rsidR="001961AE" w:rsidRPr="008642D1" w:rsidRDefault="001961AE" w:rsidP="001961AE">
      <w:pPr>
        <w:pStyle w:val="BodyText"/>
      </w:pPr>
      <w:r w:rsidRPr="008642D1">
        <w:t>We are interested to receive feedback on whether there are any issues with the wording of section 62 that may be relevant to this review. For example, we have heard anecdotally that it is common for people who are transgender or who have an innate variation of sex characteristics to be asked intrusive questions about their genitalia. We think those kinds of questions would already be covered by section 62 because they would amount to unwelcome or offensive language of a sexual nature. However,</w:t>
      </w:r>
      <w:r w:rsidRPr="008642D1" w:rsidDel="0062167E">
        <w:t xml:space="preserve"> </w:t>
      </w:r>
      <w:r w:rsidRPr="008642D1">
        <w:t>we are interested to understand this better.</w:t>
      </w:r>
    </w:p>
    <w:p w14:paraId="661E456F" w14:textId="6B0174C4" w:rsidR="001961AE" w:rsidRPr="008642D1" w:rsidRDefault="00913866" w:rsidP="001961AE">
      <w:pPr>
        <w:pStyle w:val="QuestionBox"/>
      </w:pPr>
      <w:r w:rsidRPr="008642D1">
        <w:rPr>
          <w:noProof/>
        </w:rPr>
        <mc:AlternateContent>
          <mc:Choice Requires="wpg">
            <w:drawing>
              <wp:anchor distT="0" distB="0" distL="114300" distR="114300" simplePos="0" relativeHeight="251658365" behindDoc="1" locked="0" layoutInCell="1" allowOverlap="1" wp14:anchorId="31E962BD" wp14:editId="56597025">
                <wp:simplePos x="0" y="0"/>
                <wp:positionH relativeFrom="column">
                  <wp:posOffset>1533</wp:posOffset>
                </wp:positionH>
                <wp:positionV relativeFrom="paragraph">
                  <wp:posOffset>-1022</wp:posOffset>
                </wp:positionV>
                <wp:extent cx="5760085" cy="858581"/>
                <wp:effectExtent l="0" t="0" r="0" b="0"/>
                <wp:wrapNone/>
                <wp:docPr id="1749470432" name="Group 1749470432" descr="Question"/>
                <wp:cNvGraphicFramePr/>
                <a:graphic xmlns:a="http://schemas.openxmlformats.org/drawingml/2006/main">
                  <a:graphicData uri="http://schemas.microsoft.com/office/word/2010/wordprocessingGroup">
                    <wpg:wgp>
                      <wpg:cNvGrpSpPr/>
                      <wpg:grpSpPr>
                        <a:xfrm>
                          <a:off x="0" y="0"/>
                          <a:ext cx="5760085" cy="858581"/>
                          <a:chOff x="0" y="62865"/>
                          <a:chExt cx="5760085" cy="859227"/>
                        </a:xfrm>
                      </wpg:grpSpPr>
                      <wps:wsp>
                        <wps:cNvPr id="429521727"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034DAF" w14:textId="2F2D036E" w:rsidR="00913866" w:rsidRDefault="00913866" w:rsidP="00913866">
                              <w:pPr>
                                <w:pStyle w:val="BoxTitle"/>
                                <w:spacing w:before="0" w:beforeAutospacing="0"/>
                              </w:pPr>
                              <w:r w:rsidRPr="007F6876">
                                <w:t>QUESTION</w:t>
                              </w:r>
                            </w:p>
                          </w:txbxContent>
                        </wps:txbx>
                        <wps:bodyPr rot="0" vert="horz" wrap="square" lIns="91440" tIns="0" rIns="0" bIns="45720" anchor="ctr" anchorCtr="0" upright="1">
                          <a:noAutofit/>
                        </wps:bodyPr>
                      </wps:wsp>
                      <wpg:grpSp>
                        <wpg:cNvPr id="2028246989" name="Group 53"/>
                        <wpg:cNvGrpSpPr>
                          <a:grpSpLocks/>
                        </wpg:cNvGrpSpPr>
                        <wpg:grpSpPr bwMode="auto">
                          <a:xfrm>
                            <a:off x="0" y="315891"/>
                            <a:ext cx="5760085" cy="606201"/>
                            <a:chOff x="1837" y="1788"/>
                            <a:chExt cx="9302" cy="6548"/>
                          </a:xfrm>
                        </wpg:grpSpPr>
                        <wps:wsp>
                          <wps:cNvPr id="684631477" name="Freeform 54"/>
                          <wps:cNvSpPr>
                            <a:spLocks/>
                          </wps:cNvSpPr>
                          <wps:spPr bwMode="auto">
                            <a:xfrm>
                              <a:off x="1837" y="1788"/>
                              <a:ext cx="9302" cy="654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484926" name="Group 764484926"/>
                        <wpg:cNvGrpSpPr/>
                        <wpg:grpSpPr>
                          <a:xfrm>
                            <a:off x="0" y="494036"/>
                            <a:ext cx="1443794" cy="252000"/>
                            <a:chOff x="-15880" y="0"/>
                            <a:chExt cx="1444379" cy="252068"/>
                          </a:xfrm>
                        </wpg:grpSpPr>
                        <wps:wsp>
                          <wps:cNvPr id="82151390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53867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FC7075" w14:textId="367AC44E" w:rsidR="00913866" w:rsidRPr="00E90B8A" w:rsidRDefault="00913866" w:rsidP="00913866">
                                <w:pPr>
                                  <w:pStyle w:val="BoxTitle"/>
                                  <w:spacing w:before="0" w:beforeAutospacing="0"/>
                                  <w:rPr>
                                    <w:sz w:val="18"/>
                                    <w:szCs w:val="18"/>
                                  </w:rPr>
                                </w:pPr>
                                <w:r w:rsidRPr="00E90B8A">
                                  <w:rPr>
                                    <w:sz w:val="18"/>
                                    <w:szCs w:val="18"/>
                                  </w:rPr>
                                  <w:t>Q</w:t>
                                </w:r>
                                <w:r w:rsidR="006B4826">
                                  <w:rPr>
                                    <w:sz w:val="18"/>
                                    <w:szCs w:val="18"/>
                                  </w:rPr>
                                  <w:t>65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1E962BD" id="Group 1749470432" o:spid="_x0000_s1378" alt="Question" style="position:absolute;left:0;text-align:left;margin-left:.1pt;margin-top:-.1pt;width:453.55pt;height:67.6pt;z-index:-251658115;mso-height-relative:margin" coordorigin=",628" coordsize="5760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">
                <v:shape id="Freeform 52" o:spid="_x0000_s137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E034DAF" w14:textId="2F2D036E" w:rsidR="00913866" w:rsidRDefault="00913866" w:rsidP="00913866">
                        <w:pPr>
                          <w:pStyle w:val="BoxTitle"/>
                          <w:spacing w:before="0" w:beforeAutospacing="0"/>
                        </w:pPr>
                        <w:r w:rsidRPr="007F6876">
                          <w:t>QUESTION</w:t>
                        </w:r>
                      </w:p>
                    </w:txbxContent>
                  </v:textbox>
                </v:shape>
                <v:group id="Group 53" o:spid="_x0000_s1380" style="position:absolute;top:3158;width:57600;height:6062" coordorigin="1837,1788" coordsize="9302,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">
                  <v:shape id="Freeform 54" o:spid="_x0000_s1381" style="position:absolute;left:1837;top:1788;width:9302;height:654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" path="m,l9354,r,7809l,7809,,e" fillcolor="#edf2ea" stroked="f">
                    <v:path arrowok="t" o:connecttype="custom" o:connectlocs="0,839;9302,839;9302,7387;0,7387;0,839" o:connectangles="0,0,0,0,0"/>
                  </v:shape>
                </v:group>
                <v:group id="Group 764484926" o:spid="_x0000_s138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">
                  <v:shape id="Freeform 58" o:spid="_x0000_s138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" path="m,l1815,e" filled="f" strokecolor="#72ab6a" strokeweight=".5pt">
                    <v:path arrowok="t" o:connecttype="custom" o:connectlocs="0,0;1073495,0" o:connectangles="0,0"/>
                  </v:shape>
                  <v:shape id="Freeform 66" o:spid="_x0000_s138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2FC7075" w14:textId="367AC44E" w:rsidR="00913866" w:rsidRPr="00E90B8A" w:rsidRDefault="00913866" w:rsidP="00913866">
                          <w:pPr>
                            <w:pStyle w:val="BoxTitle"/>
                            <w:spacing w:before="0" w:beforeAutospacing="0"/>
                            <w:rPr>
                              <w:sz w:val="18"/>
                              <w:szCs w:val="18"/>
                            </w:rPr>
                          </w:pPr>
                          <w:r w:rsidRPr="00E90B8A">
                            <w:rPr>
                              <w:sz w:val="18"/>
                              <w:szCs w:val="18"/>
                            </w:rPr>
                            <w:t>Q</w:t>
                          </w:r>
                          <w:r w:rsidR="006B4826">
                            <w:rPr>
                              <w:sz w:val="18"/>
                              <w:szCs w:val="18"/>
                            </w:rPr>
                            <w:t>65</w:t>
                          </w:r>
                        </w:p>
                      </w:txbxContent>
                    </v:textbox>
                  </v:shape>
                </v:group>
              </v:group>
            </w:pict>
          </mc:Fallback>
        </mc:AlternateContent>
      </w:r>
    </w:p>
    <w:p w14:paraId="571173FD" w14:textId="77777777" w:rsidR="001961AE" w:rsidRPr="008642D1" w:rsidRDefault="001961AE" w:rsidP="001961AE">
      <w:pPr>
        <w:pStyle w:val="QuestionBox"/>
      </w:pPr>
    </w:p>
    <w:p w14:paraId="3E340985" w14:textId="77777777" w:rsidR="005C0C90" w:rsidRDefault="005C0C90" w:rsidP="001961AE">
      <w:pPr>
        <w:pStyle w:val="QuestionBox"/>
      </w:pPr>
      <w:r w:rsidRPr="005C0C90">
        <w:t>Do you have any feedback on the implications of this review for section 62?</w:t>
      </w:r>
    </w:p>
    <w:p w14:paraId="5565687C" w14:textId="77777777" w:rsidR="001961AE" w:rsidRPr="008642D1" w:rsidRDefault="001961AE" w:rsidP="005C0C90">
      <w:pPr>
        <w:pStyle w:val="QuestionBox"/>
        <w:ind w:left="0"/>
      </w:pPr>
    </w:p>
    <w:p w14:paraId="34020782" w14:textId="22E2658D" w:rsidR="001961AE" w:rsidRPr="008642D1" w:rsidRDefault="001961AE" w:rsidP="001961AE">
      <w:pPr>
        <w:pStyle w:val="Heading3"/>
      </w:pPr>
      <w:r w:rsidRPr="008642D1">
        <w:t>Should Part 2 identify additional “Other forms of discrimination”?</w:t>
      </w:r>
    </w:p>
    <w:p w14:paraId="4CE6D799" w14:textId="65683768" w:rsidR="001961AE" w:rsidRPr="008642D1" w:rsidRDefault="001961AE" w:rsidP="001961AE">
      <w:pPr>
        <w:pStyle w:val="BodyText"/>
      </w:pPr>
      <w:r w:rsidRPr="008642D1">
        <w:t>In recent years, two new prohibitions have been added to the “Other forms of discrimination” subpart to address the needs of vulnerable groups. In 2019, the subpart was updated to prohibit adverse treatment in employment of people affected by family violence</w:t>
      </w:r>
      <w:r w:rsidR="00F82ECC">
        <w:t>,</w:t>
      </w:r>
      <w:r w:rsidRPr="008642D1">
        <w:t xml:space="preserve"> and in 2022</w:t>
      </w:r>
      <w:r w:rsidR="00F82ECC">
        <w:t>,</w:t>
      </w:r>
      <w:r w:rsidRPr="008642D1">
        <w:t xml:space="preserve"> it was updated to prohibit conversion practices.</w:t>
      </w:r>
    </w:p>
    <w:p w14:paraId="4EE9EC76" w14:textId="77777777" w:rsidR="001961AE" w:rsidRPr="008642D1" w:rsidRDefault="001961AE" w:rsidP="001961AE">
      <w:pPr>
        <w:pStyle w:val="BodyText"/>
      </w:pPr>
      <w:r w:rsidRPr="008642D1">
        <w:t>We want to understand whether there should be new provisions added to this subpart to address issues of particular concern to people who are transgender or non-binary or who have an innate variation of sex characteristics. We discuss two possibilities below.</w:t>
      </w:r>
    </w:p>
    <w:p w14:paraId="7F214993" w14:textId="77777777" w:rsidR="001961AE" w:rsidRPr="008642D1" w:rsidRDefault="001961AE" w:rsidP="001961AE">
      <w:pPr>
        <w:pStyle w:val="Heading4"/>
      </w:pPr>
      <w:r w:rsidRPr="008642D1">
        <w:t>Harassment based on gender identity or sex characteristics</w:t>
      </w:r>
    </w:p>
    <w:p w14:paraId="3B107D05" w14:textId="7B01CA43" w:rsidR="001961AE" w:rsidRPr="008642D1" w:rsidRDefault="001961AE" w:rsidP="001961AE">
      <w:pPr>
        <w:pStyle w:val="BodyText"/>
      </w:pPr>
      <w:r w:rsidRPr="008642D1">
        <w:t xml:space="preserve">We want to understand whether the Human Rights Act should prohibit harassment of people because they are transgender or non-binary or </w:t>
      </w:r>
      <w:r w:rsidR="00865DBF" w:rsidRPr="005F72A9">
        <w:rPr>
          <w:rFonts w:eastAsia="Calibri" w:cs="Arial"/>
        </w:rPr>
        <w:t>they</w:t>
      </w:r>
      <w:r w:rsidR="00865DBF">
        <w:rPr>
          <w:rFonts w:eastAsia="Calibri" w:cs="Arial"/>
          <w:b/>
          <w:bCs/>
        </w:rPr>
        <w:t xml:space="preserve"> </w:t>
      </w:r>
      <w:r w:rsidRPr="008642D1">
        <w:t xml:space="preserve">have an innate variation of sex characteristics. </w:t>
      </w:r>
    </w:p>
    <w:p w14:paraId="029902F6" w14:textId="7B63AB53" w:rsidR="001961AE" w:rsidRPr="008642D1" w:rsidRDefault="001961AE" w:rsidP="001961AE">
      <w:pPr>
        <w:pStyle w:val="BodyText"/>
      </w:pPr>
      <w:r w:rsidRPr="008642D1">
        <w:t>The only provision in the Human Rights Act that targets harassment of people based on group characteristics protected by section 21 is the section 63 prohibition of “racial harassment”.</w:t>
      </w:r>
      <w:r w:rsidRPr="008642D1">
        <w:rPr>
          <w:rStyle w:val="FootnoteReference"/>
          <w:lang w:val="mi-NZ"/>
        </w:rPr>
        <w:footnoteReference w:id="649"/>
      </w:r>
      <w:r w:rsidRPr="008642D1">
        <w:t xml:space="preserve"> Section 63 singles out for protection </w:t>
      </w:r>
      <w:r w:rsidRPr="008642D1">
        <w:rPr>
          <w:lang w:val="mi-NZ"/>
        </w:rPr>
        <w:t>three of the section 21 grounds — colour, race and “ethnic or national origins”.</w:t>
      </w:r>
      <w:r w:rsidRPr="008642D1">
        <w:rPr>
          <w:rStyle w:val="FootnoteReference"/>
          <w:lang w:val="mi-NZ"/>
        </w:rPr>
        <w:footnoteReference w:id="650"/>
      </w:r>
      <w:r w:rsidRPr="008642D1">
        <w:rPr>
          <w:lang w:val="mi-NZ"/>
        </w:rPr>
        <w:t xml:space="preserve"> Under section 63, it is unlawful to use language, visual material or physical behaviour that: </w:t>
      </w:r>
    </w:p>
    <w:p w14:paraId="43133830" w14:textId="73A4F918" w:rsidR="001961AE" w:rsidRPr="008642D1" w:rsidRDefault="001961AE" w:rsidP="001E69E7">
      <w:pPr>
        <w:pStyle w:val="BodyText2"/>
        <w:numPr>
          <w:ilvl w:val="3"/>
          <w:numId w:val="63"/>
        </w:numPr>
      </w:pPr>
      <w:r w:rsidRPr="008642D1">
        <w:rPr>
          <w:lang w:val="mi-NZ"/>
        </w:rPr>
        <w:t>“</w:t>
      </w:r>
      <w:r w:rsidRPr="008642D1">
        <w:t xml:space="preserve">expresses hostility against, or brings into contempt or ridicule, any other person” based on these three prohibited grounds; </w:t>
      </w:r>
    </w:p>
    <w:p w14:paraId="535F5258" w14:textId="77777777" w:rsidR="001961AE" w:rsidRPr="008642D1" w:rsidRDefault="001961AE" w:rsidP="001961AE">
      <w:pPr>
        <w:pStyle w:val="BodyText2"/>
      </w:pPr>
      <w:r w:rsidRPr="008642D1">
        <w:t xml:space="preserve">is hurtful or offensive to the person; and </w:t>
      </w:r>
    </w:p>
    <w:p w14:paraId="0AE6E0B3" w14:textId="5AC8107C" w:rsidR="001961AE" w:rsidRPr="008642D1" w:rsidRDefault="001961AE" w:rsidP="001961AE">
      <w:pPr>
        <w:pStyle w:val="BodyText2"/>
      </w:pPr>
      <w:r w:rsidRPr="008642D1">
        <w:t>is either repeated or so significant that it has a detrimental effect on them in the area of life in which it occurs.</w:t>
      </w:r>
      <w:r w:rsidRPr="008642D1">
        <w:rPr>
          <w:rStyle w:val="FootnoteReference"/>
        </w:rPr>
        <w:footnoteReference w:id="651"/>
      </w:r>
    </w:p>
    <w:p w14:paraId="5646E7A0" w14:textId="77777777" w:rsidR="001961AE" w:rsidRPr="008642D1" w:rsidRDefault="001961AE" w:rsidP="001961AE">
      <w:pPr>
        <w:pStyle w:val="BodyText"/>
      </w:pPr>
      <w:r w:rsidRPr="008642D1">
        <w:t xml:space="preserve">The Human Rights Act does not protect people directly from harassment that is motivated by hostility to them based on any of the other group characteristics listed in section 21. For example, it does not make unlawful harassment that is motivated by a person’s sex, religion, political opinion, disability or sexual orientation. </w:t>
      </w:r>
    </w:p>
    <w:p w14:paraId="7930D298" w14:textId="47ADC2A7" w:rsidR="001961AE" w:rsidRPr="008642D1" w:rsidRDefault="001961AE" w:rsidP="001961AE">
      <w:pPr>
        <w:pStyle w:val="BodyText"/>
      </w:pPr>
      <w:r w:rsidRPr="008642D1">
        <w:t>The legislative history does not identify why other groups were not given express protection from harassment. In many jurisdictions, harassment provisions apply to most or all of the prohibited grounds of discrimination.</w:t>
      </w:r>
      <w:r w:rsidRPr="008642D1">
        <w:rPr>
          <w:rStyle w:val="FootnoteReference"/>
        </w:rPr>
        <w:footnoteReference w:id="652"/>
      </w:r>
      <w:r w:rsidRPr="008642D1">
        <w:t xml:space="preserve"> Often</w:t>
      </w:r>
      <w:r w:rsidR="00CB0F1C">
        <w:t>,</w:t>
      </w:r>
      <w:r w:rsidRPr="008642D1">
        <w:t xml:space="preserve"> this includes protection from harassment because a person is transgender or non-binary.</w:t>
      </w:r>
      <w:r w:rsidRPr="008642D1">
        <w:rPr>
          <w:rStyle w:val="FootnoteReference"/>
        </w:rPr>
        <w:footnoteReference w:id="653"/>
      </w:r>
      <w:r w:rsidRPr="008642D1">
        <w:t xml:space="preserve"> In the Northern Territory in Australia, harassment on the basis of both gender identity and sex characteristics is prohibited.</w:t>
      </w:r>
      <w:r w:rsidRPr="008642D1">
        <w:rPr>
          <w:rStyle w:val="FootnoteReference"/>
        </w:rPr>
        <w:footnoteReference w:id="654"/>
      </w:r>
      <w:r w:rsidRPr="008642D1">
        <w:t xml:space="preserve"> The United Nations committee that monitors the International Covenant on Economic, Social and Cultural Rights has recommended that workers should be protected from harassment on broad grounds</w:t>
      </w:r>
      <w:r w:rsidR="00164C01">
        <w:t>,</w:t>
      </w:r>
      <w:r w:rsidRPr="008642D1">
        <w:t xml:space="preserve"> including sex, disability, race, sexual orientation, gender identity and intersex status.</w:t>
      </w:r>
      <w:r w:rsidRPr="008642D1">
        <w:rPr>
          <w:rStyle w:val="FootnoteReference"/>
        </w:rPr>
        <w:footnoteReference w:id="655"/>
      </w:r>
    </w:p>
    <w:p w14:paraId="610BF984" w14:textId="0FDF3C06" w:rsidR="001961AE" w:rsidRPr="008642D1" w:rsidRDefault="001961AE" w:rsidP="001961AE">
      <w:pPr>
        <w:pStyle w:val="BodyText"/>
      </w:pPr>
      <w:r w:rsidRPr="008642D1">
        <w:rPr>
          <w:lang w:val="mi-NZ"/>
        </w:rPr>
        <w:t xml:space="preserve">As we discussed in Chapter 3, there is Australian research indicating that harassment is a serious issue for people who are transgender </w:t>
      </w:r>
      <w:r w:rsidR="007B2870">
        <w:rPr>
          <w:lang w:val="mi-NZ"/>
        </w:rPr>
        <w:t>or</w:t>
      </w:r>
      <w:r w:rsidR="007B2870" w:rsidRPr="008642D1">
        <w:rPr>
          <w:lang w:val="mi-NZ"/>
        </w:rPr>
        <w:t xml:space="preserve"> </w:t>
      </w:r>
      <w:r w:rsidRPr="008642D1">
        <w:rPr>
          <w:lang w:val="mi-NZ"/>
        </w:rPr>
        <w:t>non-binary.</w:t>
      </w:r>
      <w:r w:rsidRPr="008642D1">
        <w:rPr>
          <w:rStyle w:val="FootnoteReference"/>
          <w:lang w:val="mi-NZ"/>
        </w:rPr>
        <w:footnoteReference w:id="656"/>
      </w:r>
      <w:r w:rsidRPr="008642D1">
        <w:rPr>
          <w:lang w:val="mi-NZ"/>
        </w:rPr>
        <w:t xml:space="preserve"> According to the </w:t>
      </w:r>
      <w:r w:rsidRPr="008642D1">
        <w:rPr>
          <w:i/>
          <w:iCs/>
          <w:lang w:val="mi-NZ"/>
        </w:rPr>
        <w:t xml:space="preserve">Counting Ourselves </w:t>
      </w:r>
      <w:r w:rsidRPr="008642D1">
        <w:rPr>
          <w:lang w:val="mi-NZ"/>
        </w:rPr>
        <w:t xml:space="preserve">survey in Aotearoa New Zealand, people who are transgender </w:t>
      </w:r>
      <w:r w:rsidR="007B2870">
        <w:rPr>
          <w:lang w:val="mi-NZ"/>
        </w:rPr>
        <w:t>or</w:t>
      </w:r>
      <w:r w:rsidR="007B2870" w:rsidRPr="008642D1">
        <w:rPr>
          <w:lang w:val="mi-NZ"/>
        </w:rPr>
        <w:t xml:space="preserve"> </w:t>
      </w:r>
      <w:r w:rsidRPr="008642D1">
        <w:rPr>
          <w:lang w:val="mi-NZ"/>
        </w:rPr>
        <w:t>non-binary experience verbal harassment in public places. The survey found it was most common for this to have occurred when using public bathrooms, public transport, gyms or pools or in retail stores.</w:t>
      </w:r>
      <w:r w:rsidRPr="008642D1">
        <w:rPr>
          <w:rStyle w:val="FootnoteReference"/>
          <w:lang w:val="mi-NZ"/>
        </w:rPr>
        <w:footnoteReference w:id="657"/>
      </w:r>
      <w:r w:rsidRPr="008642D1">
        <w:rPr>
          <w:lang w:val="mi-NZ"/>
        </w:rPr>
        <w:t xml:space="preserve"> We do not have specific New Zealand data about harassment in other areas of life protected by Part 2 such as employment and education.</w:t>
      </w:r>
    </w:p>
    <w:p w14:paraId="2370372A" w14:textId="021B810B" w:rsidR="001961AE" w:rsidRPr="008642D1" w:rsidRDefault="001961AE" w:rsidP="001961AE">
      <w:pPr>
        <w:pStyle w:val="BodyText"/>
      </w:pPr>
      <w:r w:rsidRPr="008642D1">
        <w:rPr>
          <w:lang w:val="mi-NZ"/>
        </w:rPr>
        <w:t xml:space="preserve">We have heard in preliminary engagement that some people with an innate variation of sex characteristics also experience harassment and that sometimes it is because people assume they are transgender. </w:t>
      </w:r>
      <w:r w:rsidRPr="008642D1">
        <w:t xml:space="preserve">We understand people may be less likely to be harassed if it is not noticeable to an onlooker that they are transgender or non-binary or </w:t>
      </w:r>
      <w:r w:rsidR="00865DBF" w:rsidRPr="005F72A9">
        <w:rPr>
          <w:rFonts w:eastAsia="Calibri" w:cs="Arial"/>
        </w:rPr>
        <w:t>they</w:t>
      </w:r>
      <w:r w:rsidR="00865DBF">
        <w:rPr>
          <w:rFonts w:eastAsia="Calibri" w:cs="Arial"/>
          <w:b/>
          <w:bCs/>
        </w:rPr>
        <w:t xml:space="preserve"> </w:t>
      </w:r>
      <w:r w:rsidRPr="008642D1">
        <w:t>have an innate variation of sex characteristics.</w:t>
      </w:r>
      <w:r w:rsidRPr="008642D1">
        <w:rPr>
          <w:rStyle w:val="FootnoteReference"/>
        </w:rPr>
        <w:footnoteReference w:id="658"/>
      </w:r>
      <w:r w:rsidRPr="008642D1">
        <w:rPr>
          <w:lang w:val="mi-NZ"/>
        </w:rPr>
        <w:t xml:space="preserve"> </w:t>
      </w:r>
    </w:p>
    <w:p w14:paraId="2301038D" w14:textId="7767FB09" w:rsidR="001961AE" w:rsidRPr="008642D1" w:rsidRDefault="001961AE" w:rsidP="001961AE">
      <w:pPr>
        <w:pStyle w:val="BodyText"/>
        <w:rPr>
          <w:lang w:val="mi-NZ"/>
        </w:rPr>
      </w:pPr>
      <w:r w:rsidRPr="008642D1">
        <w:rPr>
          <w:lang w:val="mi-NZ"/>
        </w:rPr>
        <w:t>We are interested to understand whether there are sufficient legal remedies available to protect people who are transgender or non-binary or who have an innate variation of sex characteristics from harassment. When harassment occurs in the areas of life protected by Part 2 of the Human Rights Act, it will already be unlawful if it meets the tests for discrimination found in those provisions. For example, repeat harassment of a transgender employee in the workplace would likely amount to a “detriment” and therefore be employment discrimination.</w:t>
      </w:r>
      <w:r w:rsidRPr="008642D1">
        <w:rPr>
          <w:rStyle w:val="FootnoteReference"/>
          <w:lang w:val="mi-NZ"/>
        </w:rPr>
        <w:footnoteReference w:id="659"/>
      </w:r>
      <w:r w:rsidRPr="008642D1">
        <w:rPr>
          <w:lang w:val="mi-NZ"/>
        </w:rPr>
        <w:t xml:space="preserve"> An employee might also be able to pursue a personal grievance for bullying under the Employment Relations Act 2000.</w:t>
      </w:r>
      <w:r w:rsidRPr="008642D1">
        <w:rPr>
          <w:rStyle w:val="FootnoteReference"/>
          <w:lang w:val="mi-NZ"/>
        </w:rPr>
        <w:footnoteReference w:id="660"/>
      </w:r>
    </w:p>
    <w:p w14:paraId="78F20206" w14:textId="77777777" w:rsidR="001961AE" w:rsidRPr="008642D1" w:rsidRDefault="001961AE" w:rsidP="001961AE">
      <w:pPr>
        <w:pStyle w:val="BodyText"/>
        <w:rPr>
          <w:lang w:val="mi-NZ"/>
        </w:rPr>
      </w:pPr>
      <w:r w:rsidRPr="008642D1">
        <w:rPr>
          <w:lang w:val="mi-NZ"/>
        </w:rPr>
        <w:t>Other laws also prohibit harassment in some situations. For example, t</w:t>
      </w:r>
      <w:r w:rsidRPr="008642D1">
        <w:t>he Harassment Act 1997 protects members of the public from certain types of harassment and provides both criminal penalties and restraining orders. Other legislation deals with harassment-like activities, for example, the Sexual Violence Act 2019 (in the context of family relationships) and the Harmful Digital Communications Act 2015.</w:t>
      </w:r>
    </w:p>
    <w:p w14:paraId="77449D28" w14:textId="7619FCCA" w:rsidR="001961AE" w:rsidRPr="008642D1" w:rsidRDefault="001961AE" w:rsidP="001961AE">
      <w:pPr>
        <w:pStyle w:val="BodyText"/>
      </w:pPr>
      <w:r w:rsidRPr="008642D1">
        <w:t xml:space="preserve">If current laws are insufficient, we are interested to understand whether it would be desirable to insert a new provision into Part 2 aimed at protecting people from harassment because they are transgender or non-binary or </w:t>
      </w:r>
      <w:r w:rsidR="00865DBF" w:rsidRPr="005F72A9">
        <w:rPr>
          <w:rFonts w:eastAsia="Calibri" w:cs="Arial"/>
        </w:rPr>
        <w:t>they</w:t>
      </w:r>
      <w:r w:rsidR="00865DBF">
        <w:rPr>
          <w:rFonts w:eastAsia="Calibri" w:cs="Arial"/>
          <w:b/>
          <w:bCs/>
        </w:rPr>
        <w:t xml:space="preserve"> </w:t>
      </w:r>
      <w:r w:rsidRPr="008642D1">
        <w:t xml:space="preserve">have an innate variation of sex characteristics. A new provision could be modelled on the racial harassment provision in section 63 and could apply to some or all of the new grounds. </w:t>
      </w:r>
    </w:p>
    <w:p w14:paraId="1E4E06D6" w14:textId="2B1688AC" w:rsidR="001961AE" w:rsidRPr="008642D1" w:rsidRDefault="001961AE" w:rsidP="001961AE">
      <w:pPr>
        <w:pStyle w:val="BodyText"/>
      </w:pPr>
      <w:r w:rsidRPr="008642D1">
        <w:t>The benefit of a new provision is that people who are transgender or non-binary or who have an innate variation of sex characteristics would be protected from repeated or significant harassment when it has a detrimental effect on them in respect of the 11 areas of public life to which the harassment provisions apply. However, some</w:t>
      </w:r>
      <w:r w:rsidRPr="008642D1" w:rsidDel="00BC72F7">
        <w:t xml:space="preserve"> of the forms of harassment that transgender and non-binary people most commonly report (such as in public bathrooms and when using public transport or public facilities) would not necessarily fall within section 63 if new grounds were included. This is because, to qualify, behaviour must either be repeated or so significant that it has a detrimental effect on the person in the area </w:t>
      </w:r>
      <w:r w:rsidRPr="008642D1">
        <w:t>of life in which it occurs</w:t>
      </w:r>
      <w:r w:rsidRPr="008642D1" w:rsidDel="00BC72F7">
        <w:t>.</w:t>
      </w:r>
      <w:r w:rsidRPr="008642D1">
        <w:t xml:space="preserve"> This means behaviour is more likely to qualify in the context of ongoing relationships</w:t>
      </w:r>
      <w:r w:rsidRPr="008642D1" w:rsidDel="00BC72F7">
        <w:t>.</w:t>
      </w:r>
      <w:r w:rsidRPr="008642D1" w:rsidDel="00BC72F7">
        <w:rPr>
          <w:rStyle w:val="FootnoteReference"/>
        </w:rPr>
        <w:footnoteReference w:id="661"/>
      </w:r>
      <w:r w:rsidRPr="008642D1">
        <w:t xml:space="preserve"> </w:t>
      </w:r>
    </w:p>
    <w:p w14:paraId="32690A99" w14:textId="77777777" w:rsidR="001961AE" w:rsidRPr="008642D1" w:rsidRDefault="001961AE" w:rsidP="001961AE">
      <w:pPr>
        <w:pStyle w:val="BodyText"/>
      </w:pPr>
      <w:r w:rsidRPr="008642D1">
        <w:t xml:space="preserve">One difficulty with adding a new provision is that it may </w:t>
      </w:r>
      <w:r w:rsidRPr="008642D1">
        <w:rPr>
          <w:lang w:val="mi-NZ"/>
        </w:rPr>
        <w:t xml:space="preserve">raise consistency issues given how few of the groups protected by section 21 currently receive protection from harassment. </w:t>
      </w:r>
      <w:r w:rsidRPr="008642D1">
        <w:t xml:space="preserve">We do not think it is available to us within the scope of this review to propose a new provision that protects against harassment on all the prohibited grounds in section 21. </w:t>
      </w:r>
      <w:r w:rsidRPr="008642D1">
        <w:rPr>
          <w:lang w:val="mi-NZ"/>
        </w:rPr>
        <w:t xml:space="preserve"> </w:t>
      </w:r>
    </w:p>
    <w:p w14:paraId="21AB103F" w14:textId="6B9D42DB" w:rsidR="00913866" w:rsidRPr="008642D1" w:rsidRDefault="00913866" w:rsidP="00913866">
      <w:pPr>
        <w:pStyle w:val="QuestionBox"/>
      </w:pPr>
      <w:r w:rsidRPr="008642D1">
        <w:rPr>
          <w:noProof/>
        </w:rPr>
        <mc:AlternateContent>
          <mc:Choice Requires="wpg">
            <w:drawing>
              <wp:anchor distT="0" distB="0" distL="114300" distR="114300" simplePos="0" relativeHeight="251658366" behindDoc="1" locked="0" layoutInCell="1" allowOverlap="1" wp14:anchorId="0B1AC65F" wp14:editId="5EF749AB">
                <wp:simplePos x="0" y="0"/>
                <wp:positionH relativeFrom="column">
                  <wp:posOffset>2707</wp:posOffset>
                </wp:positionH>
                <wp:positionV relativeFrom="paragraph">
                  <wp:posOffset>-201</wp:posOffset>
                </wp:positionV>
                <wp:extent cx="5760085" cy="1227137"/>
                <wp:effectExtent l="0" t="0" r="0" b="0"/>
                <wp:wrapNone/>
                <wp:docPr id="1363436283" name="Group 1363436283" descr="Question"/>
                <wp:cNvGraphicFramePr/>
                <a:graphic xmlns:a="http://schemas.openxmlformats.org/drawingml/2006/main">
                  <a:graphicData uri="http://schemas.microsoft.com/office/word/2010/wordprocessingGroup">
                    <wpg:wgp>
                      <wpg:cNvGrpSpPr/>
                      <wpg:grpSpPr>
                        <a:xfrm>
                          <a:off x="0" y="0"/>
                          <a:ext cx="5760085" cy="1227137"/>
                          <a:chOff x="0" y="62865"/>
                          <a:chExt cx="5760085" cy="1228060"/>
                        </a:xfrm>
                      </wpg:grpSpPr>
                      <wps:wsp>
                        <wps:cNvPr id="188471482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CD570E" w14:textId="4906B031" w:rsidR="00913866" w:rsidRDefault="00913866" w:rsidP="00913866">
                              <w:pPr>
                                <w:pStyle w:val="BoxTitle"/>
                                <w:spacing w:before="0" w:beforeAutospacing="0"/>
                              </w:pPr>
                              <w:r w:rsidRPr="007F6876">
                                <w:t>QUESTION</w:t>
                              </w:r>
                            </w:p>
                          </w:txbxContent>
                        </wps:txbx>
                        <wps:bodyPr rot="0" vert="horz" wrap="square" lIns="91440" tIns="0" rIns="0" bIns="45720" anchor="ctr" anchorCtr="0" upright="1">
                          <a:noAutofit/>
                        </wps:bodyPr>
                      </wps:wsp>
                      <wpg:grpSp>
                        <wpg:cNvPr id="1605111433" name="Group 53"/>
                        <wpg:cNvGrpSpPr>
                          <a:grpSpLocks/>
                        </wpg:cNvGrpSpPr>
                        <wpg:grpSpPr bwMode="auto">
                          <a:xfrm>
                            <a:off x="0" y="315892"/>
                            <a:ext cx="5760085" cy="975033"/>
                            <a:chOff x="1837" y="1788"/>
                            <a:chExt cx="9302" cy="10532"/>
                          </a:xfrm>
                        </wpg:grpSpPr>
                        <wps:wsp>
                          <wps:cNvPr id="1934205424" name="Freeform 54"/>
                          <wps:cNvSpPr>
                            <a:spLocks/>
                          </wps:cNvSpPr>
                          <wps:spPr bwMode="auto">
                            <a:xfrm>
                              <a:off x="1837" y="1788"/>
                              <a:ext cx="9302" cy="1053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7024279" name="Group 1527024279"/>
                        <wpg:cNvGrpSpPr/>
                        <wpg:grpSpPr>
                          <a:xfrm>
                            <a:off x="0" y="494036"/>
                            <a:ext cx="1443794" cy="252000"/>
                            <a:chOff x="-15880" y="0"/>
                            <a:chExt cx="1444379" cy="252068"/>
                          </a:xfrm>
                        </wpg:grpSpPr>
                        <wps:wsp>
                          <wps:cNvPr id="169038772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70926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A917B1" w14:textId="22BF6814" w:rsidR="00913866" w:rsidRPr="00E90B8A" w:rsidRDefault="00913866" w:rsidP="00913866">
                                <w:pPr>
                                  <w:pStyle w:val="BoxTitle"/>
                                  <w:spacing w:before="0" w:beforeAutospacing="0"/>
                                  <w:rPr>
                                    <w:sz w:val="18"/>
                                    <w:szCs w:val="18"/>
                                  </w:rPr>
                                </w:pPr>
                                <w:r w:rsidRPr="00E90B8A">
                                  <w:rPr>
                                    <w:sz w:val="18"/>
                                    <w:szCs w:val="18"/>
                                  </w:rPr>
                                  <w:t>Q</w:t>
                                </w:r>
                                <w:r w:rsidR="007977D7">
                                  <w:rPr>
                                    <w:sz w:val="18"/>
                                    <w:szCs w:val="18"/>
                                  </w:rPr>
                                  <w:t>66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B1AC65F" id="Group 1363436283" o:spid="_x0000_s1385" alt="Question" style="position:absolute;left:0;text-align:left;margin-left:.2pt;margin-top:0;width:453.55pt;height:96.6pt;z-index:-251658114;mso-height-relative:margin" coordorigin=",628" coordsize="57600,1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">
                <v:shape id="Freeform 52" o:spid="_x0000_s138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0CD570E" w14:textId="4906B031" w:rsidR="00913866" w:rsidRDefault="00913866" w:rsidP="00913866">
                        <w:pPr>
                          <w:pStyle w:val="BoxTitle"/>
                          <w:spacing w:before="0" w:beforeAutospacing="0"/>
                        </w:pPr>
                        <w:r w:rsidRPr="007F6876">
                          <w:t>QUESTION</w:t>
                        </w:r>
                      </w:p>
                    </w:txbxContent>
                  </v:textbox>
                </v:shape>
                <v:group id="Group 53" o:spid="_x0000_s1387" style="position:absolute;top:3158;width:57600;height:9751" coordorigin="1837,1788" coordsize="9302,1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">
                  <v:shape id="Freeform 54" o:spid="_x0000_s1388" style="position:absolute;left:1837;top:1788;width:9302;height:1053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" path="m,l9354,r,7809l,7809,,e" fillcolor="#edf2ea" stroked="f">
                    <v:path arrowok="t" o:connecttype="custom" o:connectlocs="0,1349;9302,1349;9302,11881;0,11881;0,1349" o:connectangles="0,0,0,0,0"/>
                  </v:shape>
                </v:group>
                <v:group id="Group 1527024279" o:spid="_x0000_s138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">
                  <v:shape id="Freeform 58" o:spid="_x0000_s139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" path="m,l1815,e" filled="f" strokecolor="#72ab6a" strokeweight=".5pt">
                    <v:path arrowok="t" o:connecttype="custom" o:connectlocs="0,0;1073495,0" o:connectangles="0,0"/>
                  </v:shape>
                  <v:shape id="Freeform 66" o:spid="_x0000_s139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6A917B1" w14:textId="22BF6814" w:rsidR="00913866" w:rsidRPr="00E90B8A" w:rsidRDefault="00913866" w:rsidP="00913866">
                          <w:pPr>
                            <w:pStyle w:val="BoxTitle"/>
                            <w:spacing w:before="0" w:beforeAutospacing="0"/>
                            <w:rPr>
                              <w:sz w:val="18"/>
                              <w:szCs w:val="18"/>
                            </w:rPr>
                          </w:pPr>
                          <w:r w:rsidRPr="00E90B8A">
                            <w:rPr>
                              <w:sz w:val="18"/>
                              <w:szCs w:val="18"/>
                            </w:rPr>
                            <w:t>Q</w:t>
                          </w:r>
                          <w:r w:rsidR="007977D7">
                            <w:rPr>
                              <w:sz w:val="18"/>
                              <w:szCs w:val="18"/>
                            </w:rPr>
                            <w:t>66</w:t>
                          </w:r>
                        </w:p>
                      </w:txbxContent>
                    </v:textbox>
                  </v:shape>
                </v:group>
              </v:group>
            </w:pict>
          </mc:Fallback>
        </mc:AlternateContent>
      </w:r>
    </w:p>
    <w:p w14:paraId="65BFE3E7" w14:textId="77777777" w:rsidR="00913866" w:rsidRPr="008642D1" w:rsidRDefault="00913866" w:rsidP="00913866">
      <w:pPr>
        <w:pStyle w:val="QuestionBox"/>
      </w:pPr>
    </w:p>
    <w:p w14:paraId="76576BD9" w14:textId="7B73EF40" w:rsidR="00964E19" w:rsidRDefault="00B65075" w:rsidP="007977D7">
      <w:pPr>
        <w:pStyle w:val="QuestionBox"/>
        <w:rPr>
          <w:lang w:val="mi-NZ"/>
        </w:rPr>
      </w:pPr>
      <w:r w:rsidRPr="00B65075">
        <w:rPr>
          <w:lang w:val="mi-NZ"/>
        </w:rPr>
        <w:t xml:space="preserve">Are there sufficient legal remedies available to address harassment that is directed at a person because they are transgender or non-binary or they have an innate variation of sex characteristics? </w:t>
      </w:r>
    </w:p>
    <w:p w14:paraId="29AE728C" w14:textId="77777777" w:rsidR="00964E19" w:rsidRDefault="00964E19">
      <w:pPr>
        <w:widowControl w:val="0"/>
        <w:spacing w:after="200" w:line="276" w:lineRule="auto"/>
        <w:rPr>
          <w:rFonts w:eastAsia="Metropolis Light" w:cs="Times New Roman"/>
          <w:color w:val="000000" w:themeColor="text1"/>
          <w:szCs w:val="24"/>
          <w:lang w:val="mi-NZ" w:eastAsia="en-AU"/>
        </w:rPr>
      </w:pPr>
      <w:r>
        <w:rPr>
          <w:lang w:val="mi-NZ"/>
        </w:rPr>
        <w:br w:type="page"/>
      </w:r>
    </w:p>
    <w:p w14:paraId="5160F3EE" w14:textId="73EFFCAF" w:rsidR="007977D7" w:rsidRDefault="007977D7" w:rsidP="00913866">
      <w:pPr>
        <w:pStyle w:val="QuestionBox"/>
        <w:rPr>
          <w:lang w:val="mi-NZ"/>
        </w:rPr>
      </w:pPr>
      <w:r w:rsidRPr="008642D1">
        <w:rPr>
          <w:noProof/>
        </w:rPr>
        <mc:AlternateContent>
          <mc:Choice Requires="wpg">
            <w:drawing>
              <wp:anchor distT="0" distB="0" distL="114300" distR="114300" simplePos="0" relativeHeight="251658380" behindDoc="1" locked="0" layoutInCell="1" allowOverlap="1" wp14:anchorId="58BDC9E5" wp14:editId="25609109">
                <wp:simplePos x="0" y="0"/>
                <wp:positionH relativeFrom="column">
                  <wp:posOffset>1533</wp:posOffset>
                </wp:positionH>
                <wp:positionV relativeFrom="paragraph">
                  <wp:posOffset>4739</wp:posOffset>
                </wp:positionV>
                <wp:extent cx="5760085" cy="1271170"/>
                <wp:effectExtent l="0" t="0" r="0" b="5715"/>
                <wp:wrapNone/>
                <wp:docPr id="872967809" name="Group 872967809" descr="Question"/>
                <wp:cNvGraphicFramePr/>
                <a:graphic xmlns:a="http://schemas.openxmlformats.org/drawingml/2006/main">
                  <a:graphicData uri="http://schemas.microsoft.com/office/word/2010/wordprocessingGroup">
                    <wpg:wgp>
                      <wpg:cNvGrpSpPr/>
                      <wpg:grpSpPr>
                        <a:xfrm>
                          <a:off x="0" y="0"/>
                          <a:ext cx="5760085" cy="1271170"/>
                          <a:chOff x="0" y="62865"/>
                          <a:chExt cx="5760085" cy="1272126"/>
                        </a:xfrm>
                      </wpg:grpSpPr>
                      <wps:wsp>
                        <wps:cNvPr id="74011447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ABB35E" w14:textId="77777777" w:rsidR="007977D7" w:rsidRDefault="007977D7" w:rsidP="007977D7">
                              <w:pPr>
                                <w:pStyle w:val="BoxTitle"/>
                                <w:spacing w:before="0" w:beforeAutospacing="0"/>
                              </w:pPr>
                              <w:r w:rsidRPr="007F6876">
                                <w:t>QUESTION</w:t>
                              </w:r>
                            </w:p>
                          </w:txbxContent>
                        </wps:txbx>
                        <wps:bodyPr rot="0" vert="horz" wrap="square" lIns="91440" tIns="0" rIns="0" bIns="45720" anchor="ctr" anchorCtr="0" upright="1">
                          <a:noAutofit/>
                        </wps:bodyPr>
                      </wps:wsp>
                      <wpg:grpSp>
                        <wpg:cNvPr id="1776325020" name="Group 53"/>
                        <wpg:cNvGrpSpPr>
                          <a:grpSpLocks/>
                        </wpg:cNvGrpSpPr>
                        <wpg:grpSpPr bwMode="auto">
                          <a:xfrm>
                            <a:off x="0" y="315891"/>
                            <a:ext cx="5760085" cy="1019100"/>
                            <a:chOff x="1837" y="1788"/>
                            <a:chExt cx="9302" cy="11008"/>
                          </a:xfrm>
                        </wpg:grpSpPr>
                        <wps:wsp>
                          <wps:cNvPr id="2023813163" name="Freeform 54"/>
                          <wps:cNvSpPr>
                            <a:spLocks/>
                          </wps:cNvSpPr>
                          <wps:spPr bwMode="auto">
                            <a:xfrm>
                              <a:off x="1837" y="1788"/>
                              <a:ext cx="9302" cy="1100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920090" name="Group 186920090"/>
                        <wpg:cNvGrpSpPr/>
                        <wpg:grpSpPr>
                          <a:xfrm>
                            <a:off x="0" y="494036"/>
                            <a:ext cx="1443794" cy="252000"/>
                            <a:chOff x="-15880" y="0"/>
                            <a:chExt cx="1444379" cy="252068"/>
                          </a:xfrm>
                        </wpg:grpSpPr>
                        <wps:wsp>
                          <wps:cNvPr id="142988505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42108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0D07C6" w14:textId="5A8455E5" w:rsidR="007977D7" w:rsidRPr="00E90B8A" w:rsidRDefault="007977D7" w:rsidP="007977D7">
                                <w:pPr>
                                  <w:pStyle w:val="BoxTitle"/>
                                  <w:spacing w:before="0" w:beforeAutospacing="0"/>
                                  <w:rPr>
                                    <w:sz w:val="18"/>
                                    <w:szCs w:val="18"/>
                                  </w:rPr>
                                </w:pPr>
                                <w:r w:rsidRPr="00E90B8A">
                                  <w:rPr>
                                    <w:sz w:val="18"/>
                                    <w:szCs w:val="18"/>
                                  </w:rPr>
                                  <w:t>Q</w:t>
                                </w:r>
                                <w:r>
                                  <w:rPr>
                                    <w:sz w:val="18"/>
                                    <w:szCs w:val="18"/>
                                  </w:rPr>
                                  <w:t>67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8BDC9E5" id="Group 872967809" o:spid="_x0000_s1392" alt="Question" style="position:absolute;left:0;text-align:left;margin-left:.1pt;margin-top:.35pt;width:453.55pt;height:100.1pt;z-index:-251658100;mso-height-relative:margin" coordorigin=",628" coordsize="57600,12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">
                <v:shape id="Freeform 52" o:spid="_x0000_s139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FABB35E" w14:textId="77777777" w:rsidR="007977D7" w:rsidRDefault="007977D7" w:rsidP="007977D7">
                        <w:pPr>
                          <w:pStyle w:val="BoxTitle"/>
                          <w:spacing w:before="0" w:beforeAutospacing="0"/>
                        </w:pPr>
                        <w:r w:rsidRPr="007F6876">
                          <w:t>QUESTION</w:t>
                        </w:r>
                      </w:p>
                    </w:txbxContent>
                  </v:textbox>
                </v:shape>
                <v:group id="Group 53" o:spid="_x0000_s1394" style="position:absolute;top:3158;width:57600;height:10191" coordorigin="1837,1788" coordsize="9302,1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">
                  <v:shape id="Freeform 54" o:spid="_x0000_s1395" style="position:absolute;left:1837;top:1788;width:9302;height:1100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" path="m,l9354,r,7809l,7809,,e" fillcolor="#edf2ea" stroked="f">
                    <v:path arrowok="t" o:connecttype="custom" o:connectlocs="0,1410;9302,1410;9302,12418;0,12418;0,1410" o:connectangles="0,0,0,0,0"/>
                  </v:shape>
                </v:group>
                <v:group id="Group 186920090" o:spid="_x0000_s139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">
                  <v:shape id="Freeform 58" o:spid="_x0000_s139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" path="m,l1815,e" filled="f" strokecolor="#72ab6a" strokeweight=".5pt">
                    <v:path arrowok="t" o:connecttype="custom" o:connectlocs="0,0;1073495,0" o:connectangles="0,0"/>
                  </v:shape>
                  <v:shape id="Freeform 66" o:spid="_x0000_s139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90D07C6" w14:textId="5A8455E5" w:rsidR="007977D7" w:rsidRPr="00E90B8A" w:rsidRDefault="007977D7" w:rsidP="007977D7">
                          <w:pPr>
                            <w:pStyle w:val="BoxTitle"/>
                            <w:spacing w:before="0" w:beforeAutospacing="0"/>
                            <w:rPr>
                              <w:sz w:val="18"/>
                              <w:szCs w:val="18"/>
                            </w:rPr>
                          </w:pPr>
                          <w:r w:rsidRPr="00E90B8A">
                            <w:rPr>
                              <w:sz w:val="18"/>
                              <w:szCs w:val="18"/>
                            </w:rPr>
                            <w:t>Q</w:t>
                          </w:r>
                          <w:r>
                            <w:rPr>
                              <w:sz w:val="18"/>
                              <w:szCs w:val="18"/>
                            </w:rPr>
                            <w:t>67</w:t>
                          </w:r>
                        </w:p>
                      </w:txbxContent>
                    </v:textbox>
                  </v:shape>
                </v:group>
              </v:group>
            </w:pict>
          </mc:Fallback>
        </mc:AlternateContent>
      </w:r>
    </w:p>
    <w:p w14:paraId="009BA4D8" w14:textId="77777777" w:rsidR="007977D7" w:rsidRDefault="007977D7" w:rsidP="00913866">
      <w:pPr>
        <w:pStyle w:val="QuestionBox"/>
        <w:rPr>
          <w:lang w:val="mi-NZ"/>
        </w:rPr>
      </w:pPr>
    </w:p>
    <w:p w14:paraId="03459E0F" w14:textId="1474E3EC" w:rsidR="00913866" w:rsidRDefault="0000064D" w:rsidP="00913866">
      <w:pPr>
        <w:pStyle w:val="QuestionBox"/>
      </w:pPr>
      <w:r w:rsidRPr="0000064D">
        <w:rPr>
          <w:lang w:val="mi-NZ"/>
        </w:rPr>
        <w:t>Should</w:t>
      </w:r>
      <w:r w:rsidR="001961AE" w:rsidRPr="0000064D">
        <w:rPr>
          <w:lang w:val="mi-NZ"/>
        </w:rPr>
        <w:t xml:space="preserve"> there be a new provision </w:t>
      </w:r>
      <w:r w:rsidR="001961AE" w:rsidRPr="008642D1">
        <w:t xml:space="preserve">inserted into Part 2 of the Human Rights Act </w:t>
      </w:r>
      <w:r w:rsidRPr="0000064D">
        <w:t xml:space="preserve">1993 </w:t>
      </w:r>
      <w:r w:rsidR="001961AE" w:rsidRPr="008642D1">
        <w:t xml:space="preserve">to protect people from harassment </w:t>
      </w:r>
      <w:r w:rsidRPr="0000064D">
        <w:t xml:space="preserve">directed at them </w:t>
      </w:r>
      <w:r w:rsidR="001961AE" w:rsidRPr="008642D1">
        <w:t>because they are transgender</w:t>
      </w:r>
      <w:r w:rsidR="002A0413">
        <w:t xml:space="preserve"> or</w:t>
      </w:r>
      <w:r w:rsidR="001961AE" w:rsidRPr="008642D1">
        <w:t xml:space="preserve"> non-binary or </w:t>
      </w:r>
      <w:r w:rsidR="002A0413">
        <w:t xml:space="preserve">they </w:t>
      </w:r>
      <w:r w:rsidR="001961AE" w:rsidRPr="008642D1">
        <w:t>have an innate variation of sex characteristics</w:t>
      </w:r>
      <w:r w:rsidRPr="0000064D">
        <w:t>?</w:t>
      </w:r>
    </w:p>
    <w:p w14:paraId="3895A455" w14:textId="77777777" w:rsidR="007977D7" w:rsidRPr="008642D1" w:rsidRDefault="007977D7" w:rsidP="00913866">
      <w:pPr>
        <w:pStyle w:val="QuestionBox"/>
      </w:pPr>
    </w:p>
    <w:p w14:paraId="6C677AF5" w14:textId="77777777" w:rsidR="001961AE" w:rsidRPr="008642D1" w:rsidRDefault="001961AE" w:rsidP="001961AE">
      <w:pPr>
        <w:pStyle w:val="Heading4"/>
      </w:pPr>
      <w:r w:rsidRPr="008642D1">
        <w:t xml:space="preserve">Medical interventions relating to innate variations of sex characteristics </w:t>
      </w:r>
    </w:p>
    <w:p w14:paraId="58E4F98C" w14:textId="34BC9B2A" w:rsidR="001961AE" w:rsidRPr="008642D1" w:rsidRDefault="001961AE" w:rsidP="001961AE">
      <w:pPr>
        <w:pStyle w:val="BodyText"/>
      </w:pPr>
      <w:r w:rsidRPr="008642D1">
        <w:t xml:space="preserve">Another issue we have considered is whether there should be an ‘other form of discrimination’ in Part 2 clarifying the circumstances in which medical interventions on children and young people with an innate variation of sex characteristics are allowed. An example is surgery on children with genitalia that does not conform to norms for male or female bodies. We know this is a matter of deep concern to many people with innate variations of sex characteristics. </w:t>
      </w:r>
    </w:p>
    <w:p w14:paraId="6346431A" w14:textId="20763412" w:rsidR="001961AE" w:rsidRPr="008642D1" w:rsidRDefault="001961AE" w:rsidP="001961AE">
      <w:pPr>
        <w:pStyle w:val="BodyText"/>
      </w:pPr>
      <w:r w:rsidRPr="008642D1">
        <w:t>As we discussed in Chapter 3, there is a long history of surgical ‘correction’ being the dominant medical approach to infants born with an innate variation of sex characteristics. While there have been changes in medical practice over time, some</w:t>
      </w:r>
      <w:r w:rsidRPr="008642D1">
        <w:rPr>
          <w:rFonts w:eastAsiaTheme="minorHAnsi"/>
        </w:rPr>
        <w:t xml:space="preserve"> </w:t>
      </w:r>
      <w:r w:rsidRPr="008642D1">
        <w:rPr>
          <w:rFonts w:eastAsiaTheme="minorHAnsi" w:cstheme="minorBidi"/>
          <w:color w:val="0D0D0D"/>
          <w:szCs w:val="20"/>
          <w:shd w:val="clear" w:color="auto" w:fill="FFFFFF"/>
          <w:lang w:eastAsia="en-US"/>
        </w:rPr>
        <w:t>community experts and researchers believe these surgeries still happen far too often and in cases that cannot be described as medically necessary.</w:t>
      </w:r>
      <w:r w:rsidRPr="008642D1">
        <w:rPr>
          <w:rStyle w:val="FootnoteReference"/>
          <w:rFonts w:eastAsiaTheme="minorHAnsi" w:cstheme="minorBidi"/>
          <w:szCs w:val="20"/>
          <w:shd w:val="clear" w:color="auto" w:fill="FFFFFF"/>
          <w:lang w:eastAsia="en-US"/>
        </w:rPr>
        <w:footnoteReference w:id="662"/>
      </w:r>
    </w:p>
    <w:p w14:paraId="19893515" w14:textId="3ED16855" w:rsidR="001961AE" w:rsidRPr="008642D1" w:rsidRDefault="001961AE" w:rsidP="001961AE">
      <w:pPr>
        <w:pStyle w:val="BodyText"/>
      </w:pPr>
      <w:r w:rsidRPr="008642D1">
        <w:t>Intersex advocates have raised the issue of unnecessary medical interventions on children and young people with innate variations of sex characteristics as a policy issue requiring reform in many different fora. This has included in select committee submissions on Bills that deal with similar issues</w:t>
      </w:r>
      <w:r w:rsidRPr="008642D1">
        <w:rPr>
          <w:rStyle w:val="FootnoteReference"/>
        </w:rPr>
        <w:footnoteReference w:id="663"/>
      </w:r>
      <w:r w:rsidRPr="008642D1">
        <w:t xml:space="preserve"> and submissions to international treaty bodies.</w:t>
      </w:r>
      <w:r w:rsidRPr="008642D1">
        <w:rPr>
          <w:rStyle w:val="FootnoteReference"/>
        </w:rPr>
        <w:footnoteReference w:id="664"/>
      </w:r>
      <w:r w:rsidRPr="008642D1">
        <w:t xml:space="preserve"> </w:t>
      </w:r>
    </w:p>
    <w:p w14:paraId="3FC62B0A" w14:textId="759BE88E" w:rsidR="001961AE" w:rsidRPr="008642D1" w:rsidRDefault="001961AE" w:rsidP="001961AE">
      <w:pPr>
        <w:pStyle w:val="BodyText"/>
      </w:pPr>
      <w:r w:rsidRPr="008642D1">
        <w:t>We have therefore considered carefully whether it would be desirable to include a provision regulating this issue in Part 2 of the Human Rights Act. As we explained earlier in this chapter, the discrete protections in the subpart on “Other forms of discrimination” all follow a different logic from those in the main body of Part 2. For example, some relate to experiences that are distinctive to only some of the groups protected by section 21 or to a different group altogether. Some also regulate types of adverse treatment that, although harmful to equality, are not really about treating one group differently from others in comparable circumstances (which is the focus of most of Part 2).</w:t>
      </w:r>
      <w:r w:rsidRPr="008642D1">
        <w:rPr>
          <w:rStyle w:val="FootnoteReference"/>
        </w:rPr>
        <w:footnoteReference w:id="665"/>
      </w:r>
    </w:p>
    <w:p w14:paraId="306DF241" w14:textId="77777777" w:rsidR="001961AE" w:rsidRPr="008642D1" w:rsidRDefault="001961AE" w:rsidP="001961AE">
      <w:pPr>
        <w:pStyle w:val="BodyText"/>
      </w:pPr>
      <w:r w:rsidRPr="008642D1">
        <w:t>The closest precedent in this subpart for a protection relating to medical interventions associated with innate variations of sex characteristics is section 62A, which bans conversion practices.</w:t>
      </w:r>
      <w:r w:rsidRPr="008642D1">
        <w:rPr>
          <w:rStyle w:val="FootnoteReference"/>
        </w:rPr>
        <w:footnoteReference w:id="666"/>
      </w:r>
      <w:r w:rsidRPr="008642D1">
        <w:t xml:space="preserve"> When the Bill on conversion practices was being considered by the select committee, several submitters proposed that practices intended to change or suppress innate variations of sex characteristics should be covered by the definition of conversion practices. However, this was ultimately considered outside of the Bill’s intent.</w:t>
      </w:r>
      <w:r w:rsidRPr="008642D1">
        <w:rPr>
          <w:rStyle w:val="FootnoteReference"/>
        </w:rPr>
        <w:footnoteReference w:id="667"/>
      </w:r>
      <w:r w:rsidRPr="008642D1">
        <w:t xml:space="preserve">   </w:t>
      </w:r>
    </w:p>
    <w:p w14:paraId="04F3765E" w14:textId="6B90628E" w:rsidR="001961AE" w:rsidRPr="008642D1" w:rsidRDefault="001961AE" w:rsidP="001961AE">
      <w:pPr>
        <w:pStyle w:val="BodyText"/>
      </w:pPr>
      <w:r w:rsidRPr="008642D1">
        <w:t>There might be a case for inserting a provision about medical interventions associated with innate variations of sex into this subpart by analogy with section 62A. However, we can also see some real difficulties in using Part 2 of the Human Rights Act to regulate</w:t>
      </w:r>
      <w:r w:rsidRPr="008642D1" w:rsidDel="009E1CA0">
        <w:t xml:space="preserve"> </w:t>
      </w:r>
      <w:r w:rsidRPr="008642D1">
        <w:t>this issue. It would likely be much more involved than inserting a single provision in the Act (as is the case with conversion practices).</w:t>
      </w:r>
      <w:r w:rsidRPr="008642D1">
        <w:rPr>
          <w:rStyle w:val="FootnoteReference"/>
        </w:rPr>
        <w:footnoteReference w:id="668"/>
      </w:r>
      <w:r w:rsidRPr="008642D1">
        <w:t xml:space="preserve"> Detailed provisions would be needed on which variations are covered by the provisions, the circumstances in which particular forms of medical intervention are prohibited or allowed and (potentially) processes for approving treatment. In the Australian Capital Territory, legislation addressing this issue involves 4</w:t>
      </w:r>
      <w:r w:rsidR="002A4E88">
        <w:t>7</w:t>
      </w:r>
      <w:r w:rsidRPr="008642D1">
        <w:t xml:space="preserve"> sections as well as associated regulations.</w:t>
      </w:r>
      <w:r w:rsidRPr="008642D1">
        <w:rPr>
          <w:rStyle w:val="FootnoteReference"/>
        </w:rPr>
        <w:footnoteReference w:id="669"/>
      </w:r>
      <w:r w:rsidRPr="008642D1">
        <w:t xml:space="preserve"> If it is desirable to address this issue through legislation, it may be more appropriate to do this through stand</w:t>
      </w:r>
      <w:r w:rsidR="00F3104E">
        <w:t>-</w:t>
      </w:r>
      <w:r w:rsidRPr="008642D1">
        <w:t>alone legislation. We have been unable to find any other jurisdiction that addresses this issue through anti-discrimination legislation. Some of the submitters on the Bill addressing conversion practices who supported prohibiting unnecessary medical interventions on people with innate variations of sex characteristics thought this should be dealt with by a specific policy or piece of legislation.</w:t>
      </w:r>
      <w:r w:rsidRPr="008642D1">
        <w:rPr>
          <w:rStyle w:val="FootnoteReference"/>
        </w:rPr>
        <w:footnoteReference w:id="670"/>
      </w:r>
    </w:p>
    <w:p w14:paraId="0B10A3F5" w14:textId="4B9434B0" w:rsidR="001961AE" w:rsidRPr="008642D1" w:rsidRDefault="001961AE" w:rsidP="001961AE">
      <w:pPr>
        <w:pStyle w:val="BodyText"/>
      </w:pPr>
      <w:r w:rsidRPr="008642D1">
        <w:t xml:space="preserve">Another difficulty with having a provision in the Human Rights Act is that it may complicate work that is being done in other policy areas. In 2022, the </w:t>
      </w:r>
      <w:r w:rsidR="00D9204F">
        <w:t>g</w:t>
      </w:r>
      <w:r w:rsidRPr="008642D1">
        <w:t>overnment announced funding to support a rights-based approach to health</w:t>
      </w:r>
      <w:r w:rsidR="00650A3C">
        <w:t xml:space="preserve"> </w:t>
      </w:r>
      <w:r w:rsidRPr="008642D1">
        <w:t>care for children and young people with innate variations of sex characteristics. The funding will enable several initiatives</w:t>
      </w:r>
      <w:r w:rsidR="00164C01">
        <w:t>,</w:t>
      </w:r>
      <w:r w:rsidRPr="008642D1">
        <w:t xml:space="preserve"> including clinical guidelines</w:t>
      </w:r>
      <w:r w:rsidR="00CE024B">
        <w:t xml:space="preserve">, </w:t>
      </w:r>
      <w:r w:rsidR="00071B10">
        <w:t xml:space="preserve">information </w:t>
      </w:r>
      <w:r w:rsidR="00C71E22">
        <w:t>resources</w:t>
      </w:r>
      <w:r w:rsidR="00C722A7">
        <w:t xml:space="preserve"> </w:t>
      </w:r>
      <w:r w:rsidRPr="008642D1">
        <w:t>and peer support services.</w:t>
      </w:r>
      <w:r w:rsidRPr="008642D1">
        <w:rPr>
          <w:rStyle w:val="FootnoteReference"/>
        </w:rPr>
        <w:footnoteReference w:id="671"/>
      </w:r>
      <w:r w:rsidRPr="008642D1">
        <w:t xml:space="preserve"> </w:t>
      </w:r>
    </w:p>
    <w:p w14:paraId="186E9D23" w14:textId="77777777" w:rsidR="001961AE" w:rsidRPr="008642D1" w:rsidRDefault="001961AE" w:rsidP="001961AE">
      <w:pPr>
        <w:pStyle w:val="BodyText"/>
      </w:pPr>
      <w:r w:rsidRPr="008642D1">
        <w:t>Our preliminary conclusion is that it would not be desirable for the Human Rights Act to contain a provision that clarifies the circumstances in which medical interventions on children and young people with an innate variation of sex characteristics are permitted. However, we welcome feedback on this issue.</w:t>
      </w:r>
    </w:p>
    <w:p w14:paraId="668F04DB" w14:textId="036AAF26" w:rsidR="001961AE" w:rsidRPr="008642D1" w:rsidRDefault="001961AE" w:rsidP="001961AE">
      <w:pPr>
        <w:pStyle w:val="BodyText"/>
      </w:pPr>
      <w:r w:rsidRPr="008642D1">
        <w:t>Finally, it is possible that health</w:t>
      </w:r>
      <w:r w:rsidR="00650A3C">
        <w:t xml:space="preserve"> </w:t>
      </w:r>
      <w:r w:rsidRPr="008642D1">
        <w:t xml:space="preserve">care provided by public hospitals would fall under Part 1A of the Human Rights Act rather than Part 2. Therefore, if a provision were added to Part 2 regulating medical interventions on children and young people with an innate variation of sex characteristics, it might be necessary to add that new provision to sections 20J(2) and 21A(1) of the Act, which specify the Part 2 provisions that apply to government and bodies exercising government functions. </w:t>
      </w:r>
    </w:p>
    <w:p w14:paraId="1E12B89F" w14:textId="2FA6D014" w:rsidR="00913866" w:rsidRPr="008642D1" w:rsidRDefault="00913866" w:rsidP="00913866">
      <w:pPr>
        <w:pStyle w:val="QuestionBox"/>
      </w:pPr>
      <w:r w:rsidRPr="008642D1">
        <w:rPr>
          <w:noProof/>
        </w:rPr>
        <mc:AlternateContent>
          <mc:Choice Requires="wpg">
            <w:drawing>
              <wp:anchor distT="0" distB="0" distL="114300" distR="114300" simplePos="0" relativeHeight="251658367" behindDoc="1" locked="0" layoutInCell="1" allowOverlap="1" wp14:anchorId="2D895D0B" wp14:editId="57588C33">
                <wp:simplePos x="0" y="0"/>
                <wp:positionH relativeFrom="column">
                  <wp:posOffset>4386</wp:posOffset>
                </wp:positionH>
                <wp:positionV relativeFrom="paragraph">
                  <wp:posOffset>-266</wp:posOffset>
                </wp:positionV>
                <wp:extent cx="5760085" cy="1329081"/>
                <wp:effectExtent l="0" t="0" r="0" b="4445"/>
                <wp:wrapNone/>
                <wp:docPr id="109187280" name="Group 109187280" descr="Question"/>
                <wp:cNvGraphicFramePr/>
                <a:graphic xmlns:a="http://schemas.openxmlformats.org/drawingml/2006/main">
                  <a:graphicData uri="http://schemas.microsoft.com/office/word/2010/wordprocessingGroup">
                    <wpg:wgp>
                      <wpg:cNvGrpSpPr/>
                      <wpg:grpSpPr>
                        <a:xfrm>
                          <a:off x="0" y="0"/>
                          <a:ext cx="5760085" cy="1329081"/>
                          <a:chOff x="0" y="62865"/>
                          <a:chExt cx="5760085" cy="1330080"/>
                        </a:xfrm>
                      </wpg:grpSpPr>
                      <wps:wsp>
                        <wps:cNvPr id="723002663"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E99C60" w14:textId="7B07539F" w:rsidR="00913866" w:rsidRDefault="00913866" w:rsidP="00913866">
                              <w:pPr>
                                <w:pStyle w:val="BoxTitle"/>
                                <w:spacing w:before="0" w:beforeAutospacing="0"/>
                              </w:pPr>
                              <w:r w:rsidRPr="007F6876">
                                <w:t>QUESTION</w:t>
                              </w:r>
                            </w:p>
                          </w:txbxContent>
                        </wps:txbx>
                        <wps:bodyPr rot="0" vert="horz" wrap="square" lIns="91440" tIns="0" rIns="0" bIns="45720" anchor="ctr" anchorCtr="0" upright="1">
                          <a:noAutofit/>
                        </wps:bodyPr>
                      </wps:wsp>
                      <wpg:grpSp>
                        <wpg:cNvPr id="349793961" name="Group 53"/>
                        <wpg:cNvGrpSpPr>
                          <a:grpSpLocks/>
                        </wpg:cNvGrpSpPr>
                        <wpg:grpSpPr bwMode="auto">
                          <a:xfrm>
                            <a:off x="0" y="315984"/>
                            <a:ext cx="5760085" cy="1076961"/>
                            <a:chOff x="1837" y="1789"/>
                            <a:chExt cx="9302" cy="11633"/>
                          </a:xfrm>
                        </wpg:grpSpPr>
                        <wps:wsp>
                          <wps:cNvPr id="1643293651" name="Freeform 54"/>
                          <wps:cNvSpPr>
                            <a:spLocks/>
                          </wps:cNvSpPr>
                          <wps:spPr bwMode="auto">
                            <a:xfrm>
                              <a:off x="1837" y="1789"/>
                              <a:ext cx="9302" cy="1163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558533" name="Group 431558533"/>
                        <wpg:cNvGrpSpPr/>
                        <wpg:grpSpPr>
                          <a:xfrm>
                            <a:off x="0" y="494036"/>
                            <a:ext cx="1443794" cy="252000"/>
                            <a:chOff x="-15880" y="0"/>
                            <a:chExt cx="1444379" cy="252068"/>
                          </a:xfrm>
                        </wpg:grpSpPr>
                        <wps:wsp>
                          <wps:cNvPr id="7771711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51918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4862CE" w14:textId="143D5978" w:rsidR="00913866" w:rsidRPr="00E90B8A" w:rsidRDefault="00913866" w:rsidP="00913866">
                                <w:pPr>
                                  <w:pStyle w:val="BoxTitle"/>
                                  <w:spacing w:before="0" w:beforeAutospacing="0"/>
                                  <w:rPr>
                                    <w:sz w:val="18"/>
                                    <w:szCs w:val="18"/>
                                  </w:rPr>
                                </w:pPr>
                                <w:r w:rsidRPr="00E90B8A">
                                  <w:rPr>
                                    <w:sz w:val="18"/>
                                    <w:szCs w:val="18"/>
                                  </w:rPr>
                                  <w:t>Q</w:t>
                                </w:r>
                                <w:r w:rsidR="00351853">
                                  <w:rPr>
                                    <w:sz w:val="18"/>
                                    <w:szCs w:val="18"/>
                                  </w:rPr>
                                  <w:t>6</w:t>
                                </w:r>
                                <w:r w:rsidR="00DE7D6B">
                                  <w:rPr>
                                    <w:sz w:val="18"/>
                                    <w:szCs w:val="18"/>
                                  </w:rPr>
                                  <w:t>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D895D0B" id="Group 109187280" o:spid="_x0000_s1399" alt="Question" style="position:absolute;left:0;text-align:left;margin-left:.35pt;margin-top:0;width:453.55pt;height:104.65pt;z-index:-251658113;mso-height-relative:margin" coordorigin=",628" coordsize="57600,1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">
                <v:shape id="Freeform 52" o:spid="_x0000_s140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AE99C60" w14:textId="7B07539F" w:rsidR="00913866" w:rsidRDefault="00913866" w:rsidP="00913866">
                        <w:pPr>
                          <w:pStyle w:val="BoxTitle"/>
                          <w:spacing w:before="0" w:beforeAutospacing="0"/>
                        </w:pPr>
                        <w:r w:rsidRPr="007F6876">
                          <w:t>QUESTION</w:t>
                        </w:r>
                      </w:p>
                    </w:txbxContent>
                  </v:textbox>
                </v:shape>
                <v:group id="Group 53" o:spid="_x0000_s1401" style="position:absolute;top:3159;width:57600;height:10770" coordorigin="1837,1789" coordsize="9302,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">
                  <v:shape id="Freeform 54" o:spid="_x0000_s1402" style="position:absolute;left:1837;top:1789;width:9302;height:1163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" path="m,l9354,r,7809l,7809,,e" fillcolor="#edf2ea" stroked="f">
                    <v:path arrowok="t" o:connecttype="custom" o:connectlocs="0,1490;9302,1490;9302,13123;0,13123;0,1490" o:connectangles="0,0,0,0,0"/>
                  </v:shape>
                </v:group>
                <v:group id="Group 431558533" o:spid="_x0000_s140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">
                  <v:shape id="Freeform 58" o:spid="_x0000_s140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" path="m,l1815,e" filled="f" strokecolor="#72ab6a" strokeweight=".5pt">
                    <v:path arrowok="t" o:connecttype="custom" o:connectlocs="0,0;1073495,0" o:connectangles="0,0"/>
                  </v:shape>
                  <v:shape id="Freeform 66" o:spid="_x0000_s140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74862CE" w14:textId="143D5978" w:rsidR="00913866" w:rsidRPr="00E90B8A" w:rsidRDefault="00913866" w:rsidP="00913866">
                          <w:pPr>
                            <w:pStyle w:val="BoxTitle"/>
                            <w:spacing w:before="0" w:beforeAutospacing="0"/>
                            <w:rPr>
                              <w:sz w:val="18"/>
                              <w:szCs w:val="18"/>
                            </w:rPr>
                          </w:pPr>
                          <w:r w:rsidRPr="00E90B8A">
                            <w:rPr>
                              <w:sz w:val="18"/>
                              <w:szCs w:val="18"/>
                            </w:rPr>
                            <w:t>Q</w:t>
                          </w:r>
                          <w:r w:rsidR="00351853">
                            <w:rPr>
                              <w:sz w:val="18"/>
                              <w:szCs w:val="18"/>
                            </w:rPr>
                            <w:t>6</w:t>
                          </w:r>
                          <w:r w:rsidR="00DE7D6B">
                            <w:rPr>
                              <w:sz w:val="18"/>
                              <w:szCs w:val="18"/>
                            </w:rPr>
                            <w:t>8</w:t>
                          </w:r>
                        </w:p>
                      </w:txbxContent>
                    </v:textbox>
                  </v:shape>
                </v:group>
              </v:group>
            </w:pict>
          </mc:Fallback>
        </mc:AlternateContent>
      </w:r>
    </w:p>
    <w:p w14:paraId="3D653C2E" w14:textId="77777777" w:rsidR="00913866" w:rsidRPr="008642D1" w:rsidRDefault="00913866" w:rsidP="00913866">
      <w:pPr>
        <w:pStyle w:val="QuestionBox"/>
      </w:pPr>
    </w:p>
    <w:p w14:paraId="23BED00A" w14:textId="1D20DC8C" w:rsidR="00DD598B" w:rsidRPr="00DD598B" w:rsidRDefault="00DD598B" w:rsidP="00DD598B">
      <w:pPr>
        <w:pStyle w:val="QuestionBox"/>
      </w:pPr>
      <w:r w:rsidRPr="00DD598B">
        <w:rPr>
          <w:lang w:val="mi-NZ"/>
        </w:rPr>
        <w:t xml:space="preserve">Should there be a new provision added to the “Other forms of discrimination” subpart to </w:t>
      </w:r>
      <w:r w:rsidRPr="00DD598B">
        <w:t>clarify the circumstances in which medical interventions on children and young people with an innate variation of sex characteristics are allowed?</w:t>
      </w:r>
    </w:p>
    <w:p w14:paraId="2ABE0EF4" w14:textId="0B4220C6" w:rsidR="00DE7D6B" w:rsidRDefault="00DE7D6B" w:rsidP="009770E4">
      <w:pPr>
        <w:pStyle w:val="QuestionBox"/>
        <w:rPr>
          <w:lang w:val="mi-NZ"/>
        </w:rPr>
      </w:pPr>
      <w:r w:rsidRPr="008642D1">
        <w:rPr>
          <w:noProof/>
        </w:rPr>
        <mc:AlternateContent>
          <mc:Choice Requires="wpg">
            <w:drawing>
              <wp:anchor distT="0" distB="0" distL="114300" distR="114300" simplePos="0" relativeHeight="251658381" behindDoc="1" locked="0" layoutInCell="1" allowOverlap="1" wp14:anchorId="02F007BA" wp14:editId="2F064AEC">
                <wp:simplePos x="0" y="0"/>
                <wp:positionH relativeFrom="column">
                  <wp:posOffset>1533</wp:posOffset>
                </wp:positionH>
                <wp:positionV relativeFrom="paragraph">
                  <wp:posOffset>4739</wp:posOffset>
                </wp:positionV>
                <wp:extent cx="5760085" cy="1505401"/>
                <wp:effectExtent l="0" t="0" r="0" b="0"/>
                <wp:wrapNone/>
                <wp:docPr id="1947609409" name="Group 1947609409" descr="Question"/>
                <wp:cNvGraphicFramePr/>
                <a:graphic xmlns:a="http://schemas.openxmlformats.org/drawingml/2006/main">
                  <a:graphicData uri="http://schemas.microsoft.com/office/word/2010/wordprocessingGroup">
                    <wpg:wgp>
                      <wpg:cNvGrpSpPr/>
                      <wpg:grpSpPr>
                        <a:xfrm>
                          <a:off x="0" y="0"/>
                          <a:ext cx="5760085" cy="1505401"/>
                          <a:chOff x="0" y="62865"/>
                          <a:chExt cx="5760085" cy="1506533"/>
                        </a:xfrm>
                      </wpg:grpSpPr>
                      <wps:wsp>
                        <wps:cNvPr id="124572582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D50018" w14:textId="77777777" w:rsidR="00DE7D6B" w:rsidRDefault="00DE7D6B" w:rsidP="00DE7D6B">
                              <w:pPr>
                                <w:pStyle w:val="BoxTitle"/>
                                <w:spacing w:before="0" w:beforeAutospacing="0"/>
                              </w:pPr>
                              <w:r w:rsidRPr="007F6876">
                                <w:t>QUESTION</w:t>
                              </w:r>
                            </w:p>
                          </w:txbxContent>
                        </wps:txbx>
                        <wps:bodyPr rot="0" vert="horz" wrap="square" lIns="91440" tIns="0" rIns="0" bIns="45720" anchor="ctr" anchorCtr="0" upright="1">
                          <a:noAutofit/>
                        </wps:bodyPr>
                      </wps:wsp>
                      <wpg:grpSp>
                        <wpg:cNvPr id="2093799437" name="Group 53"/>
                        <wpg:cNvGrpSpPr>
                          <a:grpSpLocks/>
                        </wpg:cNvGrpSpPr>
                        <wpg:grpSpPr bwMode="auto">
                          <a:xfrm>
                            <a:off x="0" y="315891"/>
                            <a:ext cx="5760085" cy="1253507"/>
                            <a:chOff x="1837" y="1788"/>
                            <a:chExt cx="9302" cy="13540"/>
                          </a:xfrm>
                        </wpg:grpSpPr>
                        <wps:wsp>
                          <wps:cNvPr id="2137730966" name="Freeform 54"/>
                          <wps:cNvSpPr>
                            <a:spLocks/>
                          </wps:cNvSpPr>
                          <wps:spPr bwMode="auto">
                            <a:xfrm>
                              <a:off x="1837" y="1788"/>
                              <a:ext cx="9302" cy="1354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0600110" name="Group 1130600110"/>
                        <wpg:cNvGrpSpPr/>
                        <wpg:grpSpPr>
                          <a:xfrm>
                            <a:off x="0" y="494036"/>
                            <a:ext cx="1443794" cy="252000"/>
                            <a:chOff x="-15880" y="0"/>
                            <a:chExt cx="1444379" cy="252068"/>
                          </a:xfrm>
                        </wpg:grpSpPr>
                        <wps:wsp>
                          <wps:cNvPr id="88068790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09351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716526" w14:textId="311B8D67" w:rsidR="00DE7D6B" w:rsidRPr="00E90B8A" w:rsidRDefault="00DE7D6B" w:rsidP="00DE7D6B">
                                <w:pPr>
                                  <w:pStyle w:val="BoxTitle"/>
                                  <w:spacing w:before="0" w:beforeAutospacing="0"/>
                                  <w:rPr>
                                    <w:sz w:val="18"/>
                                    <w:szCs w:val="18"/>
                                  </w:rPr>
                                </w:pPr>
                                <w:r w:rsidRPr="00E90B8A">
                                  <w:rPr>
                                    <w:sz w:val="18"/>
                                    <w:szCs w:val="18"/>
                                  </w:rPr>
                                  <w:t>Q</w:t>
                                </w:r>
                                <w:r>
                                  <w:rPr>
                                    <w:sz w:val="18"/>
                                    <w:szCs w:val="18"/>
                                  </w:rPr>
                                  <w:t>69</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2F007BA" id="Group 1947609409" o:spid="_x0000_s1406" alt="Question" style="position:absolute;left:0;text-align:left;margin-left:.1pt;margin-top:.35pt;width:453.55pt;height:118.55pt;z-index:-251658099;mso-height-relative:margin" coordorigin=",628" coordsize="57600,15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">
                <v:shape id="Freeform 52" o:spid="_x0000_s1407"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4D50018" w14:textId="77777777" w:rsidR="00DE7D6B" w:rsidRDefault="00DE7D6B" w:rsidP="00DE7D6B">
                        <w:pPr>
                          <w:pStyle w:val="BoxTitle"/>
                          <w:spacing w:before="0" w:beforeAutospacing="0"/>
                        </w:pPr>
                        <w:r w:rsidRPr="007F6876">
                          <w:t>QUESTION</w:t>
                        </w:r>
                      </w:p>
                    </w:txbxContent>
                  </v:textbox>
                </v:shape>
                <v:group id="Group 53" o:spid="_x0000_s1408" style="position:absolute;top:3158;width:57600;height:12535" coordorigin="1837,1788" coordsize="9302,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">
                  <v:shape id="Freeform 54" o:spid="_x0000_s1409" style="position:absolute;left:1837;top:1788;width:9302;height:1354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" path="m,l9354,r,7809l,7809,,e" fillcolor="#edf2ea" stroked="f">
                    <v:path arrowok="t" o:connecttype="custom" o:connectlocs="0,1734;9302,1734;9302,15274;0,15274;0,1734" o:connectangles="0,0,0,0,0"/>
                  </v:shape>
                </v:group>
                <v:group id="Group 1130600110" o:spid="_x0000_s1410"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">
                  <v:shape id="Freeform 58" o:spid="_x0000_s141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" path="m,l1815,e" filled="f" strokecolor="#72ab6a" strokeweight=".5pt">
                    <v:path arrowok="t" o:connecttype="custom" o:connectlocs="0,0;1073495,0" o:connectangles="0,0"/>
                  </v:shape>
                  <v:shape id="Freeform 66" o:spid="_x0000_s141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A716526" w14:textId="311B8D67" w:rsidR="00DE7D6B" w:rsidRPr="00E90B8A" w:rsidRDefault="00DE7D6B" w:rsidP="00DE7D6B">
                          <w:pPr>
                            <w:pStyle w:val="BoxTitle"/>
                            <w:spacing w:before="0" w:beforeAutospacing="0"/>
                            <w:rPr>
                              <w:sz w:val="18"/>
                              <w:szCs w:val="18"/>
                            </w:rPr>
                          </w:pPr>
                          <w:r w:rsidRPr="00E90B8A">
                            <w:rPr>
                              <w:sz w:val="18"/>
                              <w:szCs w:val="18"/>
                            </w:rPr>
                            <w:t>Q</w:t>
                          </w:r>
                          <w:r>
                            <w:rPr>
                              <w:sz w:val="18"/>
                              <w:szCs w:val="18"/>
                            </w:rPr>
                            <w:t>69</w:t>
                          </w:r>
                        </w:p>
                      </w:txbxContent>
                    </v:textbox>
                  </v:shape>
                </v:group>
              </v:group>
            </w:pict>
          </mc:Fallback>
        </mc:AlternateContent>
      </w:r>
    </w:p>
    <w:p w14:paraId="24BFB461" w14:textId="77777777" w:rsidR="00DE7D6B" w:rsidRDefault="00DE7D6B" w:rsidP="009770E4">
      <w:pPr>
        <w:pStyle w:val="QuestionBox"/>
        <w:rPr>
          <w:lang w:val="mi-NZ"/>
        </w:rPr>
      </w:pPr>
    </w:p>
    <w:p w14:paraId="62C37FE3" w14:textId="61D20408" w:rsidR="009770E4" w:rsidRPr="009770E4" w:rsidRDefault="009770E4" w:rsidP="009770E4">
      <w:pPr>
        <w:pStyle w:val="QuestionBox"/>
      </w:pPr>
      <w:r w:rsidRPr="009770E4">
        <w:rPr>
          <w:lang w:val="mi-NZ"/>
        </w:rPr>
        <w:t xml:space="preserve">Should there be any additional </w:t>
      </w:r>
      <w:r w:rsidRPr="009770E4">
        <w:t>provisions added to the “</w:t>
      </w:r>
      <w:r w:rsidR="00C21A29">
        <w:t>O</w:t>
      </w:r>
      <w:r w:rsidRPr="009770E4">
        <w:t xml:space="preserve">ther forms of discrimination” </w:t>
      </w:r>
      <w:r w:rsidR="00E42932">
        <w:t xml:space="preserve">subpart </w:t>
      </w:r>
      <w:r w:rsidRPr="009770E4">
        <w:t>to address issues of particular concern to people who are transgender or non-binary or who have an innate variation of sex characteristics (and that are not captured by other provisions in the Human Rights Act 1993)?</w:t>
      </w:r>
    </w:p>
    <w:p w14:paraId="31A9E778" w14:textId="77777777" w:rsidR="009770E4" w:rsidRPr="00DD598B" w:rsidRDefault="009770E4" w:rsidP="00DD598B">
      <w:pPr>
        <w:pStyle w:val="QuestionBox"/>
      </w:pPr>
    </w:p>
    <w:p w14:paraId="5B954F3E" w14:textId="77777777" w:rsidR="001961AE" w:rsidRPr="008642D1" w:rsidRDefault="001961AE" w:rsidP="001961AE">
      <w:pPr>
        <w:pStyle w:val="Heading2"/>
      </w:pPr>
      <w:bookmarkStart w:id="169" w:name="_Toc170302196"/>
      <w:bookmarkStart w:id="170" w:name="_Toc161760827"/>
      <w:bookmarkStart w:id="171" w:name="_Toc161770857"/>
      <w:r w:rsidRPr="008642D1">
        <w:t>Special provisions relating to superannuation schemes</w:t>
      </w:r>
      <w:bookmarkEnd w:id="169"/>
    </w:p>
    <w:p w14:paraId="0A0DD5B8" w14:textId="77777777" w:rsidR="001961AE" w:rsidRPr="008642D1" w:rsidRDefault="001961AE" w:rsidP="001961AE">
      <w:pPr>
        <w:pStyle w:val="BodyText"/>
      </w:pPr>
      <w:r w:rsidRPr="008642D1">
        <w:t>There is a separate subpart in Part 2 of the Human Rights Act that contains some provisions about superannuation schemes. Superannuation schemes provide members with benefits when they retire (or in other circumstances such as accident, disability or sickness).</w:t>
      </w:r>
      <w:r w:rsidRPr="008642D1">
        <w:rPr>
          <w:rStyle w:val="FootnoteReference"/>
        </w:rPr>
        <w:footnoteReference w:id="672"/>
      </w:r>
      <w:r w:rsidRPr="008642D1">
        <w:t xml:space="preserve"> An example is the Government Superannuation Fund, which provides retirement benefits to former state sector employees.</w:t>
      </w:r>
      <w:r w:rsidRPr="008642D1">
        <w:rPr>
          <w:rStyle w:val="FootnoteReference"/>
        </w:rPr>
        <w:footnoteReference w:id="673"/>
      </w:r>
      <w:r w:rsidRPr="008642D1">
        <w:t xml:space="preserve"> Superannuation schemes are different to retirement savings schemes such as KiwiSaver. We understand far fewer people have superannuation schemes than retirement savings schemes.</w:t>
      </w:r>
    </w:p>
    <w:p w14:paraId="4FCC9F4D" w14:textId="77777777" w:rsidR="001961AE" w:rsidRPr="008642D1" w:rsidRDefault="001961AE" w:rsidP="001961AE">
      <w:pPr>
        <w:pStyle w:val="BodyText"/>
      </w:pPr>
      <w:r w:rsidRPr="008642D1">
        <w:t>Only one of the provisions in this subpart about superannuation raises issues relevant to this review. That is section 70(2), which contains an exception making it lawful for superannuation schemes to treat people differently in certain circumstances by reason of their sex.</w:t>
      </w:r>
    </w:p>
    <w:p w14:paraId="7808344C" w14:textId="77777777" w:rsidR="001961AE" w:rsidRPr="008642D1" w:rsidRDefault="001961AE" w:rsidP="001961AE">
      <w:pPr>
        <w:pStyle w:val="BodyText"/>
      </w:pPr>
      <w:r w:rsidRPr="008642D1">
        <w:t>The exception in section 70(2) is not expressly tied to any particular area of life regulated by the Human Rights Act. However, other exceptions for superannuation schemes also found in this subpart are expressly tied to discrimination in employment (section 22) and discrimination in the provision of goods, services and facilities (section 44).</w:t>
      </w:r>
      <w:r w:rsidRPr="008642D1">
        <w:rPr>
          <w:rStyle w:val="FootnoteReference"/>
        </w:rPr>
        <w:footnoteReference w:id="674"/>
      </w:r>
      <w:r w:rsidRPr="008642D1">
        <w:t xml:space="preserve"> We think these are the contexts in which section 70(2) is most likely to be relevant.</w:t>
      </w:r>
    </w:p>
    <w:p w14:paraId="6DCB33F4" w14:textId="77777777" w:rsidR="001961AE" w:rsidRPr="008642D1" w:rsidRDefault="001961AE" w:rsidP="001961AE">
      <w:pPr>
        <w:pStyle w:val="Heading3"/>
      </w:pPr>
      <w:r w:rsidRPr="008642D1">
        <w:t>Scope and rationale of the exception</w:t>
      </w:r>
    </w:p>
    <w:p w14:paraId="27950AA8" w14:textId="528BC4B4" w:rsidR="001961AE" w:rsidRPr="008642D1" w:rsidRDefault="001961AE" w:rsidP="001961AE">
      <w:pPr>
        <w:pStyle w:val="BodyText"/>
      </w:pPr>
      <w:r w:rsidRPr="008642D1">
        <w:t xml:space="preserve">Section 70(2) allows superannuation schemes to provide different benefits to members of each sex even if they have made the same contributions, or to provide the same benefits to members of each sex even if they have made different contributions. The different treatment must be reasonable based on actuarial or statistical data relating to life expectancy, accidents or sickness and any other relevant factors.  </w:t>
      </w:r>
    </w:p>
    <w:p w14:paraId="1BC6A1FB" w14:textId="586B17A1" w:rsidR="001961AE" w:rsidRPr="008642D1" w:rsidRDefault="001961AE" w:rsidP="001961AE">
      <w:pPr>
        <w:pStyle w:val="BodyText"/>
      </w:pPr>
      <w:r w:rsidRPr="008642D1">
        <w:t>This provision is based on an exception in the Human Rights Commission Act 1977. Consideration was given to removing this exception in 1993 with views being divided on whether that should happen.</w:t>
      </w:r>
      <w:r w:rsidRPr="008642D1">
        <w:rPr>
          <w:rStyle w:val="FootnoteReference"/>
        </w:rPr>
        <w:footnoteReference w:id="675"/>
      </w:r>
      <w:r w:rsidRPr="008642D1">
        <w:t xml:space="preserve"> The rationale for including the provision appears to have been retaining a consistent approach between the insurance exception (which we discussed in </w:t>
      </w:r>
      <w:r w:rsidR="00A621DF">
        <w:t>C</w:t>
      </w:r>
      <w:r w:rsidRPr="008642D1">
        <w:t>hapter 10) and superannuation.</w:t>
      </w:r>
      <w:r w:rsidRPr="008642D1">
        <w:rPr>
          <w:rStyle w:val="FootnoteReference"/>
        </w:rPr>
        <w:footnoteReference w:id="676"/>
      </w:r>
    </w:p>
    <w:p w14:paraId="2E40D095" w14:textId="77777777" w:rsidR="001961AE" w:rsidRPr="008642D1" w:rsidRDefault="001961AE" w:rsidP="001961AE">
      <w:pPr>
        <w:pStyle w:val="BodyText"/>
      </w:pPr>
      <w:r w:rsidRPr="008642D1">
        <w:t>We do not know whether the exception in section 70(2) is currently being relied on in practice. From the information we have seen, pensions are more often calculated from a person’s age at retirement, their length of contributory service and their average salary in the years prior to retirement.</w:t>
      </w:r>
      <w:r w:rsidRPr="008642D1">
        <w:rPr>
          <w:rStyle w:val="FootnoteReference"/>
        </w:rPr>
        <w:footnoteReference w:id="677"/>
      </w:r>
      <w:r w:rsidRPr="008642D1">
        <w:t xml:space="preserve"> Two other reasons why section 70(2) may now have limited application are that few superannuation schemes still exist and that it is possible some may fall under Part 1A rather than Part 2 of the Human Rights Act.</w:t>
      </w:r>
      <w:r w:rsidRPr="008642D1">
        <w:rPr>
          <w:rStyle w:val="FootnoteReference"/>
        </w:rPr>
        <w:footnoteReference w:id="678"/>
      </w:r>
      <w:r w:rsidRPr="008642D1">
        <w:t xml:space="preserve"> </w:t>
      </w:r>
    </w:p>
    <w:p w14:paraId="078EB907" w14:textId="77777777" w:rsidR="001961AE" w:rsidRPr="008642D1" w:rsidRDefault="001961AE" w:rsidP="001961AE">
      <w:pPr>
        <w:pStyle w:val="Heading3"/>
      </w:pPr>
      <w:r w:rsidRPr="008642D1">
        <w:t>Should the exception be amended to reflect any new grounds?</w:t>
      </w:r>
    </w:p>
    <w:p w14:paraId="095CED4E" w14:textId="77777777" w:rsidR="001961AE" w:rsidRPr="008642D1" w:rsidRDefault="001961AE" w:rsidP="001961AE">
      <w:pPr>
        <w:pStyle w:val="BodyText"/>
      </w:pPr>
      <w:r w:rsidRPr="008642D1">
        <w:t>We want to understand whether this exception should be amended to reflect any new grounds we propose. Given that section 70(2) may now have limited relevance, we suspect it may be unnecessary to reform the exception. We suspect there may also be a lack of relevant actuarial or statistical data to support applying the exception to new grounds.</w:t>
      </w:r>
    </w:p>
    <w:p w14:paraId="739909D6" w14:textId="3C504ABD" w:rsidR="00913866" w:rsidRPr="008642D1" w:rsidRDefault="00913866" w:rsidP="00913866">
      <w:pPr>
        <w:pStyle w:val="QuestionBox"/>
      </w:pPr>
      <w:r w:rsidRPr="008642D1">
        <w:rPr>
          <w:noProof/>
        </w:rPr>
        <mc:AlternateContent>
          <mc:Choice Requires="wpg">
            <w:drawing>
              <wp:anchor distT="0" distB="0" distL="114300" distR="114300" simplePos="0" relativeHeight="251658368" behindDoc="1" locked="0" layoutInCell="1" allowOverlap="1" wp14:anchorId="6F5010AB" wp14:editId="1C5C746A">
                <wp:simplePos x="0" y="0"/>
                <wp:positionH relativeFrom="column">
                  <wp:posOffset>1533</wp:posOffset>
                </wp:positionH>
                <wp:positionV relativeFrom="paragraph">
                  <wp:posOffset>1177</wp:posOffset>
                </wp:positionV>
                <wp:extent cx="5760085" cy="1472006"/>
                <wp:effectExtent l="0" t="0" r="0" b="0"/>
                <wp:wrapNone/>
                <wp:docPr id="970770584" name="Group 970770584" descr="Question"/>
                <wp:cNvGraphicFramePr/>
                <a:graphic xmlns:a="http://schemas.openxmlformats.org/drawingml/2006/main">
                  <a:graphicData uri="http://schemas.microsoft.com/office/word/2010/wordprocessingGroup">
                    <wpg:wgp>
                      <wpg:cNvGrpSpPr/>
                      <wpg:grpSpPr>
                        <a:xfrm>
                          <a:off x="0" y="0"/>
                          <a:ext cx="5760085" cy="1472006"/>
                          <a:chOff x="0" y="62865"/>
                          <a:chExt cx="5760085" cy="1473113"/>
                        </a:xfrm>
                      </wpg:grpSpPr>
                      <wps:wsp>
                        <wps:cNvPr id="161025030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96A9F7" w14:textId="77777777" w:rsidR="00913866" w:rsidRDefault="00913866" w:rsidP="00913866">
                              <w:pPr>
                                <w:pStyle w:val="BoxTitle"/>
                                <w:spacing w:before="0" w:beforeAutospacing="0"/>
                              </w:pPr>
                              <w:r w:rsidRPr="007F6876">
                                <w:t>QUESTION</w:t>
                              </w:r>
                            </w:p>
                          </w:txbxContent>
                        </wps:txbx>
                        <wps:bodyPr rot="0" vert="horz" wrap="square" lIns="91440" tIns="0" rIns="0" bIns="45720" anchor="ctr" anchorCtr="0" upright="1">
                          <a:noAutofit/>
                        </wps:bodyPr>
                      </wps:wsp>
                      <wpg:grpSp>
                        <wpg:cNvPr id="224431231" name="Group 53"/>
                        <wpg:cNvGrpSpPr>
                          <a:grpSpLocks/>
                        </wpg:cNvGrpSpPr>
                        <wpg:grpSpPr bwMode="auto">
                          <a:xfrm>
                            <a:off x="0" y="315891"/>
                            <a:ext cx="5760085" cy="1220087"/>
                            <a:chOff x="1837" y="1788"/>
                            <a:chExt cx="9302" cy="13179"/>
                          </a:xfrm>
                        </wpg:grpSpPr>
                        <wps:wsp>
                          <wps:cNvPr id="1367608041" name="Freeform 54"/>
                          <wps:cNvSpPr>
                            <a:spLocks/>
                          </wps:cNvSpPr>
                          <wps:spPr bwMode="auto">
                            <a:xfrm>
                              <a:off x="1837" y="1788"/>
                              <a:ext cx="9302" cy="1317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5574637" name="Group 1065574637"/>
                        <wpg:cNvGrpSpPr/>
                        <wpg:grpSpPr>
                          <a:xfrm>
                            <a:off x="0" y="494036"/>
                            <a:ext cx="1443794" cy="252000"/>
                            <a:chOff x="-15880" y="0"/>
                            <a:chExt cx="1444379" cy="252068"/>
                          </a:xfrm>
                        </wpg:grpSpPr>
                        <wps:wsp>
                          <wps:cNvPr id="57635114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41847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5A3580" w14:textId="7CFBFCE0" w:rsidR="00913866" w:rsidRPr="00E90B8A" w:rsidRDefault="00913866" w:rsidP="00913866">
                                <w:pPr>
                                  <w:pStyle w:val="BoxTitle"/>
                                  <w:spacing w:before="0" w:beforeAutospacing="0"/>
                                  <w:rPr>
                                    <w:sz w:val="18"/>
                                    <w:szCs w:val="18"/>
                                  </w:rPr>
                                </w:pPr>
                                <w:r w:rsidRPr="00E90B8A">
                                  <w:rPr>
                                    <w:sz w:val="18"/>
                                    <w:szCs w:val="18"/>
                                  </w:rPr>
                                  <w:t>Q</w:t>
                                </w:r>
                                <w:r>
                                  <w:rPr>
                                    <w:sz w:val="18"/>
                                    <w:szCs w:val="18"/>
                                  </w:rPr>
                                  <w:t>7</w:t>
                                </w:r>
                                <w:r w:rsidR="00CB7486">
                                  <w:rPr>
                                    <w:sz w:val="18"/>
                                    <w:szCs w:val="18"/>
                                  </w:rPr>
                                  <w:t>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F5010AB" id="Group 970770584" o:spid="_x0000_s1413" alt="Question" style="position:absolute;left:0;text-align:left;margin-left:.1pt;margin-top:.1pt;width:453.55pt;height:115.9pt;z-index:-251658112;mso-height-relative:margin" coordorigin=",628" coordsize="57600,1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">
                <v:shape id="Freeform 52" o:spid="_x0000_s141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996A9F7" w14:textId="77777777" w:rsidR="00913866" w:rsidRDefault="00913866" w:rsidP="00913866">
                        <w:pPr>
                          <w:pStyle w:val="BoxTitle"/>
                          <w:spacing w:before="0" w:beforeAutospacing="0"/>
                        </w:pPr>
                        <w:r w:rsidRPr="007F6876">
                          <w:t>QUESTION</w:t>
                        </w:r>
                      </w:p>
                    </w:txbxContent>
                  </v:textbox>
                </v:shape>
                <v:group id="Group 53" o:spid="_x0000_s1415" style="position:absolute;top:3158;width:57600;height:12201" coordorigin="1837,1788" coordsize="9302,1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">
                  <v:shape id="Freeform 54" o:spid="_x0000_s1416" style="position:absolute;left:1837;top:1788;width:9302;height:1317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" path="m,l9354,r,7809l,7809,,e" fillcolor="#edf2ea" stroked="f">
                    <v:path arrowok="t" o:connecttype="custom" o:connectlocs="0,1688;9302,1688;9302,14867;0,14867;0,1688" o:connectangles="0,0,0,0,0"/>
                  </v:shape>
                </v:group>
                <v:group id="Group 1065574637" o:spid="_x0000_s141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">
                  <v:shape id="Freeform 58" o:spid="_x0000_s141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" path="m,l1815,e" filled="f" strokecolor="#72ab6a" strokeweight=".5pt">
                    <v:path arrowok="t" o:connecttype="custom" o:connectlocs="0,0;1073495,0" o:connectangles="0,0"/>
                  </v:shape>
                  <v:shape id="Freeform 66" o:spid="_x0000_s141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B5A3580" w14:textId="7CFBFCE0" w:rsidR="00913866" w:rsidRPr="00E90B8A" w:rsidRDefault="00913866" w:rsidP="00913866">
                          <w:pPr>
                            <w:pStyle w:val="BoxTitle"/>
                            <w:spacing w:before="0" w:beforeAutospacing="0"/>
                            <w:rPr>
                              <w:sz w:val="18"/>
                              <w:szCs w:val="18"/>
                            </w:rPr>
                          </w:pPr>
                          <w:r w:rsidRPr="00E90B8A">
                            <w:rPr>
                              <w:sz w:val="18"/>
                              <w:szCs w:val="18"/>
                            </w:rPr>
                            <w:t>Q</w:t>
                          </w:r>
                          <w:r>
                            <w:rPr>
                              <w:sz w:val="18"/>
                              <w:szCs w:val="18"/>
                            </w:rPr>
                            <w:t>7</w:t>
                          </w:r>
                          <w:r w:rsidR="00CB7486">
                            <w:rPr>
                              <w:sz w:val="18"/>
                              <w:szCs w:val="18"/>
                            </w:rPr>
                            <w:t>0</w:t>
                          </w:r>
                        </w:p>
                      </w:txbxContent>
                    </v:textbox>
                  </v:shape>
                </v:group>
              </v:group>
            </w:pict>
          </mc:Fallback>
        </mc:AlternateContent>
      </w:r>
    </w:p>
    <w:p w14:paraId="1D28FE99" w14:textId="77777777" w:rsidR="00913866" w:rsidRPr="008642D1" w:rsidRDefault="00913866" w:rsidP="00913866">
      <w:pPr>
        <w:pStyle w:val="QuestionBox"/>
      </w:pPr>
    </w:p>
    <w:p w14:paraId="706764E5" w14:textId="62347B55" w:rsidR="00913866" w:rsidRDefault="001961AE" w:rsidP="00913866">
      <w:pPr>
        <w:pStyle w:val="QuestionBox"/>
      </w:pPr>
      <w:r w:rsidRPr="008642D1">
        <w:t xml:space="preserve">If new grounds of discrimination are added to the Human Rights Act </w:t>
      </w:r>
      <w:r w:rsidR="00EC6C6F" w:rsidRPr="00EC6C6F">
        <w:t xml:space="preserve">1993 </w:t>
      </w:r>
      <w:r w:rsidRPr="008642D1">
        <w:t>to protect people who are transgender</w:t>
      </w:r>
      <w:r w:rsidR="002A0413">
        <w:t xml:space="preserve"> or</w:t>
      </w:r>
      <w:r w:rsidRPr="008642D1">
        <w:t xml:space="preserve"> non-binary or </w:t>
      </w:r>
      <w:r w:rsidR="002A0413">
        <w:t>who</w:t>
      </w:r>
      <w:r w:rsidR="002A0413" w:rsidRPr="008642D1">
        <w:t xml:space="preserve"> </w:t>
      </w:r>
      <w:r w:rsidRPr="008642D1">
        <w:t xml:space="preserve">have an innate variation of sex characteristics, should the superannuation exception in section 70(2) </w:t>
      </w:r>
      <w:r w:rsidR="00EC6C6F" w:rsidRPr="00EC6C6F">
        <w:t>be amended</w:t>
      </w:r>
      <w:r w:rsidRPr="008642D1">
        <w:t xml:space="preserve"> to </w:t>
      </w:r>
      <w:r w:rsidR="00EC6C6F" w:rsidRPr="00EC6C6F">
        <w:t>reflect</w:t>
      </w:r>
      <w:r w:rsidRPr="008642D1">
        <w:t xml:space="preserve"> those new grounds?</w:t>
      </w:r>
    </w:p>
    <w:p w14:paraId="53C4FD31" w14:textId="77777777" w:rsidR="00CB7486" w:rsidRPr="008642D1" w:rsidRDefault="00CB7486" w:rsidP="00913866">
      <w:pPr>
        <w:pStyle w:val="QuestionBox"/>
      </w:pPr>
    </w:p>
    <w:p w14:paraId="5A1C040F" w14:textId="22A41A54" w:rsidR="001961AE" w:rsidRPr="008642D1" w:rsidRDefault="001961AE" w:rsidP="00566E2A">
      <w:pPr>
        <w:pStyle w:val="Heading2"/>
        <w:rPr>
          <w:b w:val="0"/>
          <w:bCs/>
          <w:caps w:val="0"/>
        </w:rPr>
      </w:pPr>
      <w:bookmarkStart w:id="172" w:name="_Toc170302197"/>
      <w:r>
        <w:t>O</w:t>
      </w:r>
      <w:r w:rsidRPr="008642D1">
        <w:rPr>
          <w:bCs/>
        </w:rPr>
        <w:t>ther matters</w:t>
      </w:r>
      <w:bookmarkEnd w:id="170"/>
      <w:bookmarkEnd w:id="171"/>
      <w:bookmarkEnd w:id="172"/>
      <w:r w:rsidRPr="008642D1">
        <w:rPr>
          <w:bCs/>
        </w:rPr>
        <w:t xml:space="preserve"> </w:t>
      </w:r>
    </w:p>
    <w:p w14:paraId="7FD4A7CF" w14:textId="77777777" w:rsidR="001961AE" w:rsidRPr="008642D1" w:rsidRDefault="001961AE" w:rsidP="001961AE">
      <w:pPr>
        <w:pStyle w:val="BodyText"/>
      </w:pPr>
      <w:r w:rsidRPr="008642D1">
        <w:t>A final subpart in Part 2 is headed “Other matters”. It contains two general exceptions that we discussed in Chapter 8 — section 73(1) (which concerns positive discrimination generally) and section 74 (which concerns measures related to pregnancy, childbirth and childcare responsibilities).</w:t>
      </w:r>
    </w:p>
    <w:p w14:paraId="1C36B3C7" w14:textId="77777777" w:rsidR="001961AE" w:rsidRPr="008642D1" w:rsidRDefault="001961AE" w:rsidP="001961AE">
      <w:pPr>
        <w:pStyle w:val="BodyText"/>
        <w:tabs>
          <w:tab w:val="num" w:pos="709"/>
        </w:tabs>
      </w:pPr>
      <w:r w:rsidRPr="008642D1">
        <w:t>It is beyond the scope of this review to reconsider the language of section 73(1) of the Human Rights Act because that section applies generally to all the prohibited grounds of discrimination. This would need to await a general review of the Act.</w:t>
      </w:r>
      <w:r w:rsidRPr="008642D1">
        <w:rPr>
          <w:rStyle w:val="FootnoteReference"/>
        </w:rPr>
        <w:footnoteReference w:id="679"/>
      </w:r>
    </w:p>
    <w:p w14:paraId="799B8B44" w14:textId="7C5063BE" w:rsidR="001961AE" w:rsidRPr="008642D1" w:rsidRDefault="001961AE" w:rsidP="001961AE">
      <w:pPr>
        <w:pStyle w:val="BodyText"/>
      </w:pPr>
      <w:r w:rsidRPr="008642D1">
        <w:t>On the other hand, we are interested in feedback on the wording of section 74. That section confirms “for the avoidance of doubt” that it is not a breach of Part 2 of the Human Rights Act to provide preferential treatment because of “a woman’s pregnancy or childbirth” or “a person</w:t>
      </w:r>
      <w:r w:rsidR="0053776E">
        <w:t>’</w:t>
      </w:r>
      <w:r w:rsidRPr="008642D1">
        <w:t>s responsibility for part-time or full-time care of children or dependants”.</w:t>
      </w:r>
      <w:r w:rsidRPr="008642D1">
        <w:rPr>
          <w:rStyle w:val="FootnoteReference"/>
        </w:rPr>
        <w:footnoteReference w:id="680"/>
      </w:r>
      <w:r w:rsidRPr="008642D1">
        <w:t xml:space="preserve"> The sort of preferential treatment contemplated by section 74 might include things like parental leave, breastfeeding rooms in workplaces or malls, or providing bassinet seats on aeroplanes.</w:t>
      </w:r>
    </w:p>
    <w:p w14:paraId="5F3AB5D3" w14:textId="77777777" w:rsidR="001961AE" w:rsidRPr="008642D1" w:rsidRDefault="001961AE" w:rsidP="001961AE">
      <w:pPr>
        <w:pStyle w:val="BodyText"/>
      </w:pPr>
      <w:r w:rsidRPr="008642D1">
        <w:t>We are interested in feedback on whether it would be desirable to reword section 74 to clarify that it applies to anybody who is pregnant or who is giving birth.</w:t>
      </w:r>
      <w:r w:rsidRPr="008642D1">
        <w:rPr>
          <w:rStyle w:val="FootnoteReference"/>
        </w:rPr>
        <w:footnoteReference w:id="681"/>
      </w:r>
      <w:r w:rsidRPr="008642D1">
        <w:t xml:space="preserve"> This might include people who are non-binary, transgender men and some people with an innate variation of sex characteristics who</w:t>
      </w:r>
      <w:r w:rsidRPr="008642D1" w:rsidDel="001E2A23">
        <w:t xml:space="preserve"> </w:t>
      </w:r>
      <w:r w:rsidRPr="008642D1">
        <w:t xml:space="preserve">do not identify as women. As an example, the section might simply refer to “preferential treatment by reason of pregnancy or childbirth”. </w:t>
      </w:r>
    </w:p>
    <w:p w14:paraId="2439088A" w14:textId="53257ABA" w:rsidR="00913866" w:rsidRPr="008642D1" w:rsidRDefault="00913866" w:rsidP="00913866">
      <w:pPr>
        <w:pStyle w:val="QuestionBox"/>
      </w:pPr>
      <w:r w:rsidRPr="008642D1">
        <w:rPr>
          <w:noProof/>
        </w:rPr>
        <mc:AlternateContent>
          <mc:Choice Requires="wpg">
            <w:drawing>
              <wp:anchor distT="0" distB="0" distL="114300" distR="114300" simplePos="0" relativeHeight="251658369" behindDoc="1" locked="0" layoutInCell="1" allowOverlap="1" wp14:anchorId="5FE20DA8" wp14:editId="1108FDCA">
                <wp:simplePos x="0" y="0"/>
                <wp:positionH relativeFrom="column">
                  <wp:posOffset>4386</wp:posOffset>
                </wp:positionH>
                <wp:positionV relativeFrom="paragraph">
                  <wp:posOffset>2392</wp:posOffset>
                </wp:positionV>
                <wp:extent cx="5760085" cy="1084489"/>
                <wp:effectExtent l="0" t="0" r="0" b="1905"/>
                <wp:wrapNone/>
                <wp:docPr id="1721676955" name="Group 1721676955" descr="Question"/>
                <wp:cNvGraphicFramePr/>
                <a:graphic xmlns:a="http://schemas.openxmlformats.org/drawingml/2006/main">
                  <a:graphicData uri="http://schemas.microsoft.com/office/word/2010/wordprocessingGroup">
                    <wpg:wgp>
                      <wpg:cNvGrpSpPr/>
                      <wpg:grpSpPr>
                        <a:xfrm>
                          <a:off x="0" y="0"/>
                          <a:ext cx="5760085" cy="1084489"/>
                          <a:chOff x="0" y="62865"/>
                          <a:chExt cx="5760085" cy="1085304"/>
                        </a:xfrm>
                      </wpg:grpSpPr>
                      <wps:wsp>
                        <wps:cNvPr id="1808765602"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F988F0" w14:textId="77777777" w:rsidR="00913866" w:rsidRDefault="00913866" w:rsidP="00913866">
                              <w:pPr>
                                <w:pStyle w:val="BoxTitle"/>
                                <w:spacing w:before="0" w:beforeAutospacing="0"/>
                              </w:pPr>
                              <w:r w:rsidRPr="007F6876">
                                <w:t>QUESTION</w:t>
                              </w:r>
                            </w:p>
                          </w:txbxContent>
                        </wps:txbx>
                        <wps:bodyPr rot="0" vert="horz" wrap="square" lIns="91440" tIns="0" rIns="0" bIns="45720" anchor="ctr" anchorCtr="0" upright="1">
                          <a:noAutofit/>
                        </wps:bodyPr>
                      </wps:wsp>
                      <wpg:grpSp>
                        <wpg:cNvPr id="564283425" name="Group 53"/>
                        <wpg:cNvGrpSpPr>
                          <a:grpSpLocks/>
                        </wpg:cNvGrpSpPr>
                        <wpg:grpSpPr bwMode="auto">
                          <a:xfrm>
                            <a:off x="0" y="315984"/>
                            <a:ext cx="5760085" cy="832185"/>
                            <a:chOff x="1837" y="1789"/>
                            <a:chExt cx="9302" cy="8989"/>
                          </a:xfrm>
                        </wpg:grpSpPr>
                        <wps:wsp>
                          <wps:cNvPr id="1212210055" name="Freeform 54"/>
                          <wps:cNvSpPr>
                            <a:spLocks/>
                          </wps:cNvSpPr>
                          <wps:spPr bwMode="auto">
                            <a:xfrm>
                              <a:off x="1837" y="1789"/>
                              <a:ext cx="9302" cy="898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1737635" name="Group 831737635"/>
                        <wpg:cNvGrpSpPr/>
                        <wpg:grpSpPr>
                          <a:xfrm>
                            <a:off x="0" y="494036"/>
                            <a:ext cx="1443794" cy="252000"/>
                            <a:chOff x="-15880" y="0"/>
                            <a:chExt cx="1444379" cy="252068"/>
                          </a:xfrm>
                        </wpg:grpSpPr>
                        <wps:wsp>
                          <wps:cNvPr id="63232341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06940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9A9E7C" w14:textId="38F79756" w:rsidR="00913866" w:rsidRPr="00E90B8A" w:rsidRDefault="00913866" w:rsidP="00913866">
                                <w:pPr>
                                  <w:pStyle w:val="BoxTitle"/>
                                  <w:spacing w:before="0" w:beforeAutospacing="0"/>
                                  <w:rPr>
                                    <w:sz w:val="18"/>
                                    <w:szCs w:val="18"/>
                                  </w:rPr>
                                </w:pPr>
                                <w:r w:rsidRPr="00E90B8A">
                                  <w:rPr>
                                    <w:sz w:val="18"/>
                                    <w:szCs w:val="18"/>
                                  </w:rPr>
                                  <w:t>Q</w:t>
                                </w:r>
                                <w:r>
                                  <w:rPr>
                                    <w:sz w:val="18"/>
                                    <w:szCs w:val="18"/>
                                  </w:rPr>
                                  <w:t>7</w:t>
                                </w:r>
                                <w:r w:rsidR="00CB7486">
                                  <w:rPr>
                                    <w:sz w:val="18"/>
                                    <w:szCs w:val="18"/>
                                  </w:rPr>
                                  <w:t>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FE20DA8" id="Group 1721676955" o:spid="_x0000_s1420" alt="Question" style="position:absolute;left:0;text-align:left;margin-left:.35pt;margin-top:.2pt;width:453.55pt;height:85.4pt;z-index:-251658111;mso-height-relative:margin" coordorigin=",628" coordsize="57600,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">
                <v:shape id="Freeform 52" o:spid="_x0000_s142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3F988F0" w14:textId="77777777" w:rsidR="00913866" w:rsidRDefault="00913866" w:rsidP="00913866">
                        <w:pPr>
                          <w:pStyle w:val="BoxTitle"/>
                          <w:spacing w:before="0" w:beforeAutospacing="0"/>
                        </w:pPr>
                        <w:r w:rsidRPr="007F6876">
                          <w:t>QUESTION</w:t>
                        </w:r>
                      </w:p>
                    </w:txbxContent>
                  </v:textbox>
                </v:shape>
                <v:group id="Group 53" o:spid="_x0000_s1422" style="position:absolute;top:3159;width:57600;height:8322" coordorigin="1837,1789" coordsize="9302,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">
                  <v:shape id="Freeform 54" o:spid="_x0000_s1423" style="position:absolute;left:1837;top:1789;width:9302;height:898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" path="m,l9354,r,7809l,7809,,e" fillcolor="#edf2ea" stroked="f">
                    <v:path arrowok="t" o:connecttype="custom" o:connectlocs="0,1151;9302,1151;9302,10140;0,10140;0,1151" o:connectangles="0,0,0,0,0"/>
                  </v:shape>
                </v:group>
                <v:group id="Group 831737635" o:spid="_x0000_s142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">
                  <v:shape id="Freeform 58" o:spid="_x0000_s142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" path="m,l1815,e" filled="f" strokecolor="#72ab6a" strokeweight=".5pt">
                    <v:path arrowok="t" o:connecttype="custom" o:connectlocs="0,0;1073495,0" o:connectangles="0,0"/>
                  </v:shape>
                  <v:shape id="Freeform 66" o:spid="_x0000_s142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&#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49A9E7C" w14:textId="38F79756" w:rsidR="00913866" w:rsidRPr="00E90B8A" w:rsidRDefault="00913866" w:rsidP="00913866">
                          <w:pPr>
                            <w:pStyle w:val="BoxTitle"/>
                            <w:spacing w:before="0" w:beforeAutospacing="0"/>
                            <w:rPr>
                              <w:sz w:val="18"/>
                              <w:szCs w:val="18"/>
                            </w:rPr>
                          </w:pPr>
                          <w:r w:rsidRPr="00E90B8A">
                            <w:rPr>
                              <w:sz w:val="18"/>
                              <w:szCs w:val="18"/>
                            </w:rPr>
                            <w:t>Q</w:t>
                          </w:r>
                          <w:r>
                            <w:rPr>
                              <w:sz w:val="18"/>
                              <w:szCs w:val="18"/>
                            </w:rPr>
                            <w:t>7</w:t>
                          </w:r>
                          <w:r w:rsidR="00CB7486">
                            <w:rPr>
                              <w:sz w:val="18"/>
                              <w:szCs w:val="18"/>
                            </w:rPr>
                            <w:t>1</w:t>
                          </w:r>
                        </w:p>
                      </w:txbxContent>
                    </v:textbox>
                  </v:shape>
                </v:group>
              </v:group>
            </w:pict>
          </mc:Fallback>
        </mc:AlternateContent>
      </w:r>
    </w:p>
    <w:p w14:paraId="71FD0D70" w14:textId="77777777" w:rsidR="00913866" w:rsidRPr="008642D1" w:rsidRDefault="00913866" w:rsidP="00913866">
      <w:pPr>
        <w:pStyle w:val="QuestionBox"/>
      </w:pPr>
    </w:p>
    <w:p w14:paraId="3C9F5F22" w14:textId="1593C9A0" w:rsidR="001961AE" w:rsidRPr="008642D1" w:rsidRDefault="001961AE" w:rsidP="00FE2AE1">
      <w:pPr>
        <w:pStyle w:val="QuestionBox"/>
        <w:rPr>
          <w:rFonts w:eastAsia="Times New Roman"/>
        </w:rPr>
      </w:pPr>
      <w:r w:rsidRPr="008642D1">
        <w:t xml:space="preserve">Should section 74 be </w:t>
      </w:r>
      <w:r w:rsidR="00FE2AE1" w:rsidRPr="00FE2AE1">
        <w:t>amended</w:t>
      </w:r>
      <w:r w:rsidRPr="008642D1">
        <w:t xml:space="preserve"> to clarify that it applies to </w:t>
      </w:r>
      <w:r w:rsidR="00FE2AE1" w:rsidRPr="00FE2AE1">
        <w:t>anybody</w:t>
      </w:r>
      <w:r w:rsidRPr="008642D1">
        <w:t xml:space="preserve"> who </w:t>
      </w:r>
      <w:r w:rsidR="00FE2AE1" w:rsidRPr="00FE2AE1">
        <w:t>is</w:t>
      </w:r>
      <w:r w:rsidRPr="008642D1">
        <w:t xml:space="preserve"> pregnant </w:t>
      </w:r>
      <w:r w:rsidR="00FE2AE1" w:rsidRPr="00FE2AE1">
        <w:t>or who is giving birth regardless of their gender identity?</w:t>
      </w:r>
    </w:p>
    <w:p w14:paraId="0241EE28" w14:textId="77777777" w:rsidR="00174F89" w:rsidRPr="008642D1" w:rsidRDefault="00174F89" w:rsidP="00174F89">
      <w:pPr>
        <w:pStyle w:val="ListNumber"/>
        <w:numPr>
          <w:ilvl w:val="0"/>
          <w:numId w:val="0"/>
        </w:numPr>
        <w:ind w:left="360" w:hanging="360"/>
      </w:pPr>
    </w:p>
    <w:p w14:paraId="365A2277" w14:textId="77777777" w:rsidR="00174F89" w:rsidRPr="008642D1" w:rsidRDefault="00174F89" w:rsidP="00174F89">
      <w:pPr>
        <w:pStyle w:val="BodyText"/>
        <w:numPr>
          <w:ilvl w:val="0"/>
          <w:numId w:val="0"/>
        </w:numPr>
        <w:ind w:left="709" w:hanging="709"/>
      </w:pPr>
    </w:p>
    <w:p w14:paraId="3AE8EFF9" w14:textId="77777777" w:rsidR="00174F89" w:rsidRPr="008642D1" w:rsidRDefault="00174F89" w:rsidP="00174F89">
      <w:pPr>
        <w:pStyle w:val="BodyText"/>
        <w:numPr>
          <w:ilvl w:val="0"/>
          <w:numId w:val="0"/>
        </w:numPr>
        <w:ind w:left="709"/>
      </w:pPr>
      <w:r w:rsidRPr="008642D1">
        <w:rPr>
          <w:rFonts w:eastAsiaTheme="minorHAnsi"/>
          <w:noProof/>
          <w:lang w:eastAsia="en-NZ"/>
        </w:rPr>
        <mc:AlternateContent>
          <mc:Choice Requires="wpg">
            <w:drawing>
              <wp:anchor distT="0" distB="0" distL="114300" distR="114300" simplePos="0" relativeHeight="251658292" behindDoc="1" locked="0" layoutInCell="1" allowOverlap="1" wp14:anchorId="7F4EADAC" wp14:editId="0869908E">
                <wp:simplePos x="0" y="0"/>
                <wp:positionH relativeFrom="page">
                  <wp:posOffset>1080135</wp:posOffset>
                </wp:positionH>
                <wp:positionV relativeFrom="paragraph">
                  <wp:posOffset>19050</wp:posOffset>
                </wp:positionV>
                <wp:extent cx="1800000" cy="1270"/>
                <wp:effectExtent l="0" t="19050" r="10160" b="17780"/>
                <wp:wrapNone/>
                <wp:docPr id="1214064202" name="Group 1214064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134" y="-469"/>
                          <a:chExt cx="2098" cy="2"/>
                        </a:xfrm>
                      </wpg:grpSpPr>
                      <wps:wsp>
                        <wps:cNvPr id="2093125616"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97CC2" id="Group 1214064202" o:spid="_x0000_s1026" style="position:absolute;margin-left:85.05pt;margin-top:1.5pt;width:141.75pt;height:.1pt;z-index:-251658188;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" path="m,l2097,e" filled="f" strokecolor="#72ab6a" strokeweight="3pt">
                  <v:path arrowok="t" o:connecttype="custom" o:connectlocs="0,0;2097,0" o:connectangles="0,0"/>
                </v:shape>
                <w10:wrap anchorx="page"/>
              </v:group>
            </w:pict>
          </mc:Fallback>
        </mc:AlternateContent>
      </w:r>
    </w:p>
    <w:p w14:paraId="154AEB8A" w14:textId="77777777" w:rsidR="00174F89" w:rsidRPr="008642D1" w:rsidRDefault="00174F89" w:rsidP="00174F89">
      <w:pPr>
        <w:pStyle w:val="BodyText"/>
        <w:numPr>
          <w:ilvl w:val="0"/>
          <w:numId w:val="0"/>
        </w:numPr>
        <w:ind w:left="709"/>
      </w:pPr>
    </w:p>
    <w:p w14:paraId="763ADCEE" w14:textId="77777777" w:rsidR="00174F89" w:rsidRPr="008642D1" w:rsidRDefault="00174F89" w:rsidP="00174F89">
      <w:pPr>
        <w:pStyle w:val="BodyText"/>
        <w:numPr>
          <w:ilvl w:val="0"/>
          <w:numId w:val="0"/>
        </w:numPr>
        <w:ind w:left="709" w:hanging="709"/>
      </w:pPr>
    </w:p>
    <w:p w14:paraId="4B3A8175" w14:textId="77777777" w:rsidR="00174F89" w:rsidRPr="008642D1" w:rsidRDefault="00174F89" w:rsidP="00174F89">
      <w:pPr>
        <w:pStyle w:val="BodyText"/>
        <w:numPr>
          <w:ilvl w:val="0"/>
          <w:numId w:val="0"/>
        </w:numPr>
        <w:ind w:left="709"/>
        <w:sectPr w:rsidR="00174F89" w:rsidRPr="008642D1" w:rsidSect="00174F89">
          <w:headerReference w:type="default" r:id="rId63"/>
          <w:footerReference w:type="even" r:id="rId64"/>
          <w:footnotePr>
            <w:numRestart w:val="eachSect"/>
          </w:footnotePr>
          <w:pgSz w:w="11920" w:h="16840"/>
          <w:pgMar w:top="1134" w:right="1134" w:bottom="1134" w:left="1701" w:header="499" w:footer="46" w:gutter="0"/>
          <w:cols w:space="720"/>
          <w:docGrid w:linePitch="272"/>
        </w:sectPr>
      </w:pPr>
    </w:p>
    <w:p w14:paraId="1E854E08" w14:textId="4585D14E" w:rsidR="00174F89" w:rsidRPr="008642D1" w:rsidRDefault="00174F89" w:rsidP="00174F89">
      <w:pPr>
        <w:pStyle w:val="HEADING2topchapter-notinTOC"/>
      </w:pPr>
      <w:r w:rsidRPr="008642D1">
        <w:t>CHAPTER 1</w:t>
      </w:r>
      <w:r w:rsidR="00913866" w:rsidRPr="008642D1">
        <w:t>6</w:t>
      </w:r>
    </w:p>
    <w:p w14:paraId="7B0F4B4A" w14:textId="77777777" w:rsidR="00174F89" w:rsidRPr="008642D1" w:rsidRDefault="00174F89" w:rsidP="00174F89">
      <w:pPr>
        <w:spacing w:line="200" w:lineRule="exact"/>
        <w:rPr>
          <w:szCs w:val="20"/>
        </w:rPr>
      </w:pPr>
      <w:r w:rsidRPr="008642D1">
        <w:rPr>
          <w:noProof/>
          <w:lang w:eastAsia="en-NZ"/>
        </w:rPr>
        <mc:AlternateContent>
          <mc:Choice Requires="wpg">
            <w:drawing>
              <wp:anchor distT="0" distB="0" distL="114300" distR="114300" simplePos="0" relativeHeight="251658294" behindDoc="1" locked="0" layoutInCell="1" allowOverlap="1" wp14:anchorId="54DB4ECF" wp14:editId="7C6B3004">
                <wp:simplePos x="0" y="0"/>
                <wp:positionH relativeFrom="page">
                  <wp:posOffset>1076325</wp:posOffset>
                </wp:positionH>
                <wp:positionV relativeFrom="paragraph">
                  <wp:posOffset>6350</wp:posOffset>
                </wp:positionV>
                <wp:extent cx="1332230" cy="1270"/>
                <wp:effectExtent l="0" t="19050" r="1270" b="17780"/>
                <wp:wrapNone/>
                <wp:docPr id="11507631" name="Group 11507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374554960"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858F3" id="Group 11507631" o:spid="_x0000_s1026" style="position:absolute;margin-left:84.75pt;margin-top:.5pt;width:104.9pt;height:.1pt;z-index:-251658186;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&#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14C8538A" w14:textId="77777777" w:rsidR="00174F89" w:rsidRPr="008642D1" w:rsidRDefault="00174F89" w:rsidP="00DF306B">
      <w:pPr>
        <w:pStyle w:val="Heading1nonum"/>
        <w:numPr>
          <w:ilvl w:val="0"/>
          <w:numId w:val="24"/>
        </w:numPr>
        <w:spacing w:before="600" w:after="360"/>
        <w:rPr>
          <w:rFonts w:eastAsia="Metropolis Black"/>
        </w:rPr>
      </w:pPr>
      <w:bookmarkStart w:id="173" w:name="_Toc166844481"/>
      <w:bookmarkStart w:id="174" w:name="_Toc170302198"/>
      <w:r w:rsidRPr="008642D1">
        <w:rPr>
          <w:rFonts w:eastAsia="Metropolis Black"/>
        </w:rPr>
        <w:t>Part 1A and the New Zealand Bill of Rights Act</w:t>
      </w:r>
      <w:bookmarkEnd w:id="173"/>
      <w:bookmarkEnd w:id="174"/>
    </w:p>
    <w:p w14:paraId="6439A022" w14:textId="77777777" w:rsidR="00174F89" w:rsidRPr="008642D1" w:rsidRDefault="00174F89" w:rsidP="00174F89">
      <w:pPr>
        <w:spacing w:line="200" w:lineRule="exact"/>
        <w:rPr>
          <w:szCs w:val="20"/>
        </w:rPr>
      </w:pPr>
      <w:r w:rsidRPr="008642D1">
        <w:rPr>
          <w:noProof/>
          <w:lang w:eastAsia="en-NZ"/>
        </w:rPr>
        <mc:AlternateContent>
          <mc:Choice Requires="wpg">
            <w:drawing>
              <wp:anchor distT="0" distB="0" distL="114300" distR="114300" simplePos="0" relativeHeight="251658293" behindDoc="1" locked="0" layoutInCell="1" allowOverlap="1" wp14:anchorId="371DFAF8" wp14:editId="1431DD21">
                <wp:simplePos x="0" y="0"/>
                <wp:positionH relativeFrom="page">
                  <wp:posOffset>1087427</wp:posOffset>
                </wp:positionH>
                <wp:positionV relativeFrom="paragraph">
                  <wp:posOffset>71755</wp:posOffset>
                </wp:positionV>
                <wp:extent cx="1332230" cy="1270"/>
                <wp:effectExtent l="0" t="19050" r="1270" b="17780"/>
                <wp:wrapNone/>
                <wp:docPr id="1737245231" name="Group 1737245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926434838"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ACA3B" id="Group 1737245231" o:spid="_x0000_s1026" style="position:absolute;margin-left:85.6pt;margin-top:5.65pt;width:104.9pt;height:.1pt;z-index:-251658187;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ov/AIAAN8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11C131BD" w14:textId="77777777" w:rsidR="00174F89" w:rsidRPr="008642D1" w:rsidRDefault="00174F89" w:rsidP="00174F89"/>
    <w:p w14:paraId="3B9DDD07" w14:textId="77777777" w:rsidR="00174F89" w:rsidRPr="008642D1" w:rsidRDefault="00174F89" w:rsidP="00174F89">
      <w:pPr>
        <w:pStyle w:val="Heading2"/>
      </w:pPr>
      <w:bookmarkStart w:id="175" w:name="_Toc166844482"/>
      <w:bookmarkStart w:id="176" w:name="_Toc170302199"/>
      <w:r w:rsidRPr="008642D1">
        <w:t>Introduction</w:t>
      </w:r>
      <w:bookmarkEnd w:id="175"/>
      <w:bookmarkEnd w:id="176"/>
    </w:p>
    <w:p w14:paraId="2F30717E" w14:textId="594D2D15" w:rsidR="00913866" w:rsidRPr="008642D1" w:rsidRDefault="00913866" w:rsidP="00913866">
      <w:pPr>
        <w:pStyle w:val="BodyText"/>
      </w:pPr>
      <w:r w:rsidRPr="008642D1">
        <w:t>In this chapter</w:t>
      </w:r>
      <w:r w:rsidR="00F73235">
        <w:t>,</w:t>
      </w:r>
      <w:r w:rsidRPr="008642D1">
        <w:t xml:space="preserve"> we discuss the implications of this review for Part 1A of the Human Rights Act 1993 and for the New Zealand Bill of Rights Act 1990 (NZ Bill of Rights). </w:t>
      </w:r>
    </w:p>
    <w:p w14:paraId="707EAAF1" w14:textId="22553340" w:rsidR="00913866" w:rsidRPr="008642D1" w:rsidRDefault="00913866" w:rsidP="00913866">
      <w:pPr>
        <w:pStyle w:val="BodyText"/>
      </w:pPr>
      <w:r w:rsidRPr="008642D1">
        <w:t>As we have explained elsewhere, Part 1A</w:t>
      </w:r>
      <w:r w:rsidRPr="008642D1" w:rsidDel="00455EFC">
        <w:t xml:space="preserve"> </w:t>
      </w:r>
      <w:r w:rsidRPr="008642D1" w:rsidDel="001C30DD">
        <w:t xml:space="preserve">sets out rules </w:t>
      </w:r>
      <w:r w:rsidRPr="008642D1">
        <w:t xml:space="preserve">in the Human Rights Act </w:t>
      </w:r>
      <w:r w:rsidRPr="008642D1" w:rsidDel="001C30DD">
        <w:t xml:space="preserve">that apply to government departments and to people and bodies exercising government functions. </w:t>
      </w:r>
      <w:r w:rsidRPr="008642D1">
        <w:t>Part 1A essentially incorporates sections from the NZ Bill of Rights. It reflects a policy decision that the discrimination obligations imposed on government should be identical under both statutes.</w:t>
      </w:r>
    </w:p>
    <w:p w14:paraId="4670CAEC" w14:textId="0F8C1FD3" w:rsidR="00913866" w:rsidRPr="008642D1" w:rsidRDefault="00913866" w:rsidP="00913866">
      <w:pPr>
        <w:pStyle w:val="BodyText"/>
      </w:pPr>
      <w:r w:rsidRPr="008642D1">
        <w:t>This review may have direct implications for the NZ Bill of Rights because its protection from discrimination (section 19) provides a right to freedom from discrimination “on the grounds of discrimination in the Human Rights Act 1993”.</w:t>
      </w:r>
    </w:p>
    <w:p w14:paraId="7025A4CF" w14:textId="3B2DC9A5" w:rsidR="00913866" w:rsidRPr="008642D1" w:rsidRDefault="00913866" w:rsidP="00913866">
      <w:pPr>
        <w:pStyle w:val="BodyText"/>
      </w:pPr>
      <w:r w:rsidRPr="008642D1">
        <w:t xml:space="preserve">It is outside the scope of this review to recommend any reform </w:t>
      </w:r>
      <w:r w:rsidR="00061AB7">
        <w:t>of</w:t>
      </w:r>
      <w:r w:rsidRPr="008642D1">
        <w:t xml:space="preserve"> the NZ Bill of Rights. This means it would also be difficult for us to recommend reform </w:t>
      </w:r>
      <w:r w:rsidR="00061AB7">
        <w:t>of</w:t>
      </w:r>
      <w:r w:rsidRPr="008642D1">
        <w:t xml:space="preserve"> Part 1A. We nevertheless need to understand the potential implications for Part 1A and the NZ Bill of Rights of any amendments we propose to section 21 of the Human Rights Act.</w:t>
      </w:r>
    </w:p>
    <w:p w14:paraId="6F309AAC" w14:textId="77777777" w:rsidR="00913866" w:rsidRPr="008642D1" w:rsidRDefault="00913866" w:rsidP="00913866">
      <w:pPr>
        <w:pStyle w:val="Heading2"/>
      </w:pPr>
      <w:bookmarkStart w:id="177" w:name="_Toc170302200"/>
      <w:r w:rsidRPr="008642D1">
        <w:t>The right to freedom from discrimination in the NZ Bill of Rights</w:t>
      </w:r>
      <w:bookmarkEnd w:id="177"/>
      <w:r w:rsidRPr="008642D1">
        <w:t xml:space="preserve"> </w:t>
      </w:r>
    </w:p>
    <w:p w14:paraId="36AAB3E4" w14:textId="3B4FF318" w:rsidR="00913866" w:rsidRPr="008642D1" w:rsidRDefault="00913866" w:rsidP="00913866">
      <w:pPr>
        <w:pStyle w:val="BodyText"/>
      </w:pPr>
      <w:r w:rsidRPr="008642D1">
        <w:t>The NZ Bill of Rights applies to acts and omissions of the government (which includes government departments) as well as to people or organisations that are performing government functions.</w:t>
      </w:r>
      <w:r w:rsidRPr="008642D1">
        <w:rPr>
          <w:rStyle w:val="FootnoteReference"/>
        </w:rPr>
        <w:footnoteReference w:id="682"/>
      </w:r>
      <w:r w:rsidRPr="008642D1">
        <w:t xml:space="preserve">  </w:t>
      </w:r>
    </w:p>
    <w:p w14:paraId="4DC411F6" w14:textId="44386FBD" w:rsidR="00913866" w:rsidRPr="008642D1" w:rsidRDefault="00913866" w:rsidP="00913866">
      <w:pPr>
        <w:pStyle w:val="BodyText"/>
      </w:pPr>
      <w:r w:rsidRPr="008642D1">
        <w:t>Under section 19 of the NZ Bill of Rights, everyone has a right to freedom from discrimination “on the grounds of discrimination in the Human Rights Act”.</w:t>
      </w:r>
      <w:r w:rsidRPr="008642D1">
        <w:rPr>
          <w:rStyle w:val="FootnoteReference"/>
        </w:rPr>
        <w:footnoteReference w:id="683"/>
      </w:r>
      <w:r w:rsidRPr="008642D1">
        <w:t xml:space="preserve"> The courts have said there is discrimination under section 19 if:</w:t>
      </w:r>
      <w:r w:rsidRPr="008642D1">
        <w:rPr>
          <w:rStyle w:val="FootnoteReference"/>
          <w:shd w:val="clear" w:color="auto" w:fill="FFFFFF" w:themeFill="background1"/>
        </w:rPr>
        <w:footnoteReference w:id="684"/>
      </w:r>
    </w:p>
    <w:p w14:paraId="75F1E5ED" w14:textId="77777777" w:rsidR="00913866" w:rsidRPr="008642D1" w:rsidRDefault="00913866" w:rsidP="00913866">
      <w:pPr>
        <w:pStyle w:val="BodyTextnonum"/>
        <w:numPr>
          <w:ilvl w:val="3"/>
          <w:numId w:val="23"/>
        </w:numPr>
      </w:pPr>
      <w:r w:rsidRPr="008642D1">
        <w:t>a person or group is treated differently from others (whether that is the intention or the result of the treatment);</w:t>
      </w:r>
    </w:p>
    <w:p w14:paraId="5C0EB3F3" w14:textId="77777777" w:rsidR="00913866" w:rsidRPr="008642D1" w:rsidRDefault="00913866" w:rsidP="00913866">
      <w:pPr>
        <w:pStyle w:val="BodyTextnonum"/>
        <w:numPr>
          <w:ilvl w:val="3"/>
          <w:numId w:val="23"/>
        </w:numPr>
      </w:pPr>
      <w:r w:rsidRPr="008642D1">
        <w:t>the difference in treatment is based on a prohibited ground of discrimination; and</w:t>
      </w:r>
    </w:p>
    <w:p w14:paraId="3B1A5F0C" w14:textId="5B414A52" w:rsidR="00913866" w:rsidRPr="008642D1" w:rsidRDefault="00913866" w:rsidP="00913866">
      <w:pPr>
        <w:pStyle w:val="BodyTextnonum"/>
        <w:numPr>
          <w:ilvl w:val="3"/>
          <w:numId w:val="23"/>
        </w:numPr>
      </w:pPr>
      <w:r w:rsidRPr="008642D1">
        <w:t xml:space="preserve">the treatment results in a “material disadvantage” to the person or group when viewed in context. </w:t>
      </w:r>
    </w:p>
    <w:p w14:paraId="7DBD2D2B" w14:textId="77777777" w:rsidR="00913866" w:rsidRPr="008642D1" w:rsidRDefault="00913866" w:rsidP="00913866">
      <w:pPr>
        <w:pStyle w:val="BodyText"/>
      </w:pPr>
      <w:r w:rsidRPr="008642D1">
        <w:rPr>
          <w:shd w:val="clear" w:color="auto" w:fill="FFFFFF" w:themeFill="background1"/>
        </w:rPr>
        <w:t>Generally speaking, to prove that a difference in treatment is based on a prohibited ground, you need to show that someone who does not have that characteristic but is otherwise in a similar situation has not been, or would not be, treated the same way.</w:t>
      </w:r>
      <w:r w:rsidRPr="008642D1">
        <w:t xml:space="preserve"> Discrimination has been described as “in essence, treating persons in comparable situations differently”.</w:t>
      </w:r>
      <w:r w:rsidRPr="008642D1">
        <w:rPr>
          <w:rStyle w:val="FootnoteReference"/>
        </w:rPr>
        <w:footnoteReference w:id="685"/>
      </w:r>
    </w:p>
    <w:p w14:paraId="5D7AB458" w14:textId="44E85E8A" w:rsidR="00913866" w:rsidRPr="008642D1" w:rsidRDefault="00913866" w:rsidP="00913866">
      <w:pPr>
        <w:pStyle w:val="BodyText"/>
        <w:rPr>
          <w:lang w:bidi="th-TH"/>
        </w:rPr>
      </w:pPr>
      <w:r w:rsidRPr="008642D1">
        <w:rPr>
          <w:rFonts w:eastAsia="Calibri"/>
        </w:rPr>
        <w:t xml:space="preserve">Even if </w:t>
      </w:r>
      <w:r w:rsidRPr="008642D1" w:rsidDel="00EE4BA0">
        <w:rPr>
          <w:rFonts w:eastAsia="Calibri"/>
        </w:rPr>
        <w:t xml:space="preserve">a government act, policy or practice </w:t>
      </w:r>
      <w:r w:rsidRPr="008642D1">
        <w:rPr>
          <w:rFonts w:eastAsia="Calibri"/>
        </w:rPr>
        <w:t>limits the right to freedom from discrimination, that does not necessarily mean it is unlawful. There will often be good reasons for the government to treat different groups of people differently. As we explained in Chapter 4, section 5 of the NZ Bill of Rights says that it is lawful to limit rights so long as the limit is authorised by law and can be “demonstrably justified in a free and democratic society”.</w:t>
      </w:r>
      <w:r w:rsidRPr="008642D1">
        <w:t xml:space="preserve"> T</w:t>
      </w:r>
      <w:r w:rsidRPr="008642D1">
        <w:rPr>
          <w:rFonts w:eastAsia="Calibri"/>
        </w:rPr>
        <w:t xml:space="preserve">his is said to embody a </w:t>
      </w:r>
      <w:r w:rsidR="008A785C">
        <w:rPr>
          <w:rFonts w:eastAsia="Calibri"/>
        </w:rPr>
        <w:t>‘</w:t>
      </w:r>
      <w:r w:rsidRPr="008642D1">
        <w:rPr>
          <w:rFonts w:eastAsia="Calibri"/>
        </w:rPr>
        <w:t>proportionality</w:t>
      </w:r>
      <w:r w:rsidR="008A785C">
        <w:rPr>
          <w:rFonts w:eastAsia="Calibri"/>
        </w:rPr>
        <w:t>’</w:t>
      </w:r>
      <w:r w:rsidRPr="008642D1">
        <w:rPr>
          <w:rFonts w:eastAsia="Calibri"/>
        </w:rPr>
        <w:t xml:space="preserve"> test</w:t>
      </w:r>
      <w:r w:rsidR="00721DF7">
        <w:rPr>
          <w:rFonts w:eastAsia="Calibri"/>
        </w:rPr>
        <w:t>,</w:t>
      </w:r>
      <w:r w:rsidRPr="008642D1">
        <w:rPr>
          <w:rFonts w:eastAsia="Calibri"/>
        </w:rPr>
        <w:t xml:space="preserve"> which, in general terms, means that the limit on the right needs to create a benefit for society sufficient to warrant the harm. </w:t>
      </w:r>
    </w:p>
    <w:p w14:paraId="47657932" w14:textId="77777777" w:rsidR="00913866" w:rsidRPr="008642D1" w:rsidRDefault="00913866" w:rsidP="00913866">
      <w:pPr>
        <w:pStyle w:val="BodyText"/>
        <w:rPr>
          <w:lang w:bidi="th-TH"/>
        </w:rPr>
      </w:pPr>
      <w:r w:rsidRPr="008642D1">
        <w:rPr>
          <w:lang w:bidi="th-TH"/>
        </w:rPr>
        <w:t>There is no universal approach to deciding whether a limit on a right is proportionate but there are some common questions courts often address.</w:t>
      </w:r>
      <w:r w:rsidRPr="008642D1">
        <w:rPr>
          <w:rStyle w:val="FootnoteReference"/>
          <w:lang w:bidi="th-TH"/>
        </w:rPr>
        <w:footnoteReference w:id="686"/>
      </w:r>
      <w:r w:rsidRPr="008642D1">
        <w:rPr>
          <w:sz w:val="18"/>
          <w:szCs w:val="18"/>
          <w:lang w:bidi="th-TH"/>
        </w:rPr>
        <w:t xml:space="preserve"> </w:t>
      </w:r>
      <w:r w:rsidRPr="008642D1">
        <w:rPr>
          <w:lang w:bidi="th-TH"/>
        </w:rPr>
        <w:t>They include:</w:t>
      </w:r>
      <w:r w:rsidRPr="008642D1">
        <w:rPr>
          <w:rFonts w:ascii="Calibri" w:hAnsi="Calibri" w:cs="Calibri"/>
          <w:lang w:bidi="th-TH"/>
        </w:rPr>
        <w:t>  </w:t>
      </w:r>
    </w:p>
    <w:p w14:paraId="1AE75C37" w14:textId="77777777" w:rsidR="00913866" w:rsidRPr="008642D1" w:rsidRDefault="00913866" w:rsidP="00913866">
      <w:pPr>
        <w:pStyle w:val="BodyTextnonum"/>
        <w:numPr>
          <w:ilvl w:val="3"/>
          <w:numId w:val="23"/>
        </w:numPr>
        <w:rPr>
          <w:lang w:bidi="th-TH"/>
        </w:rPr>
      </w:pPr>
      <w:r w:rsidRPr="008642D1">
        <w:rPr>
          <w:lang w:bidi="th-TH"/>
        </w:rPr>
        <w:t>whether the purpose of the rights-limiting measure is important enough to justify limiting rights and freedoms;</w:t>
      </w:r>
      <w:r w:rsidRPr="008642D1">
        <w:rPr>
          <w:rFonts w:ascii="Calibri" w:hAnsi="Calibri" w:cs="Calibri"/>
          <w:lang w:bidi="th-TH"/>
        </w:rPr>
        <w:t> </w:t>
      </w:r>
    </w:p>
    <w:p w14:paraId="38C976C8" w14:textId="77777777" w:rsidR="00913866" w:rsidRPr="008642D1" w:rsidRDefault="00913866" w:rsidP="00913866">
      <w:pPr>
        <w:pStyle w:val="BodyTextnonum"/>
        <w:numPr>
          <w:ilvl w:val="3"/>
          <w:numId w:val="23"/>
        </w:numPr>
        <w:rPr>
          <w:lang w:bidi="th-TH"/>
        </w:rPr>
      </w:pPr>
      <w:r w:rsidRPr="008642D1">
        <w:rPr>
          <w:lang w:bidi="th-TH"/>
        </w:rPr>
        <w:t>whether the law that limits the right has been designed with care so that it achieves its aim and avoids limiting rights more than necessary;</w:t>
      </w:r>
      <w:r w:rsidRPr="008642D1">
        <w:rPr>
          <w:rFonts w:ascii="Calibri" w:hAnsi="Calibri" w:cs="Calibri"/>
          <w:lang w:bidi="th-TH"/>
        </w:rPr>
        <w:t> </w:t>
      </w:r>
      <w:r w:rsidRPr="008642D1">
        <w:rPr>
          <w:rFonts w:cs="Calibri"/>
          <w:lang w:bidi="th-TH"/>
        </w:rPr>
        <w:t>and</w:t>
      </w:r>
    </w:p>
    <w:p w14:paraId="23DEB777" w14:textId="77777777" w:rsidR="00913866" w:rsidRPr="008642D1" w:rsidRDefault="00913866" w:rsidP="00913866">
      <w:pPr>
        <w:pStyle w:val="BodyTextnonum"/>
        <w:numPr>
          <w:ilvl w:val="3"/>
          <w:numId w:val="23"/>
        </w:numPr>
        <w:rPr>
          <w:lang w:bidi="th-TH"/>
        </w:rPr>
      </w:pPr>
      <w:r w:rsidRPr="008642D1">
        <w:rPr>
          <w:lang w:bidi="th-TH"/>
        </w:rPr>
        <w:t>whether the overall gain to society from the rights-limiting measure is sufficient to justify the particular intrusion on rights that has resulted from it.</w:t>
      </w:r>
      <w:r w:rsidRPr="008642D1">
        <w:rPr>
          <w:rFonts w:ascii="Calibri" w:hAnsi="Calibri" w:cs="Calibri"/>
          <w:lang w:bidi="th-TH"/>
        </w:rPr>
        <w:t> </w:t>
      </w:r>
    </w:p>
    <w:p w14:paraId="32311DC8" w14:textId="192D6D1B" w:rsidR="00913866" w:rsidRPr="008642D1" w:rsidRDefault="00913866" w:rsidP="00913866">
      <w:pPr>
        <w:pStyle w:val="BodyText"/>
      </w:pPr>
      <w:r w:rsidRPr="008642D1">
        <w:t>If someone experiences unjustified discrimination in breach of the NZ Bill of Rights, they can go to Te Kōti Matua | High Court and seek a remedy (for example, damages or an order requiring the person or agency to stop the discrimination). However, if the unjustified discrimination is authorised by legislation, the only remedy available is a non-binding declaration that the legislation is inconsistent with the NZ Bill of Rights.</w:t>
      </w:r>
      <w:r w:rsidRPr="008642D1">
        <w:rPr>
          <w:rStyle w:val="FootnoteReference"/>
        </w:rPr>
        <w:footnoteReference w:id="687"/>
      </w:r>
      <w:r w:rsidRPr="008642D1">
        <w:t xml:space="preserve"> </w:t>
      </w:r>
    </w:p>
    <w:p w14:paraId="21505B6C" w14:textId="77777777" w:rsidR="00913866" w:rsidRPr="008642D1" w:rsidRDefault="00913866" w:rsidP="00913866">
      <w:pPr>
        <w:pStyle w:val="Heading2"/>
      </w:pPr>
      <w:bookmarkStart w:id="178" w:name="_Toc170302201"/>
      <w:r w:rsidRPr="008642D1">
        <w:t>Part 1A of the Human Rights Act</w:t>
      </w:r>
      <w:bookmarkEnd w:id="178"/>
    </w:p>
    <w:p w14:paraId="22D008F1" w14:textId="77777777" w:rsidR="00913866" w:rsidRPr="008642D1" w:rsidRDefault="00913866" w:rsidP="00913866">
      <w:pPr>
        <w:pStyle w:val="BodyText"/>
      </w:pPr>
      <w:r w:rsidRPr="008642D1">
        <w:t>Part 1A was inserted into the Human Rights Act in 2001 to ensure that the tests that apply to government are the same under the Human Rights Act and under the NZ Bill of Rights.</w:t>
      </w:r>
    </w:p>
    <w:p w14:paraId="21F3BCB3" w14:textId="77777777" w:rsidR="00913866" w:rsidRPr="008642D1" w:rsidRDefault="00913866" w:rsidP="00913866">
      <w:pPr>
        <w:pStyle w:val="BodyText"/>
      </w:pPr>
      <w:r w:rsidRPr="008642D1">
        <w:t>As we explained in earlier chapters, discriminatory treatment by government or people or organisations that are performing government functions will generally fall under Part 1A rather than Part 2.</w:t>
      </w:r>
      <w:r w:rsidRPr="008642D1">
        <w:rPr>
          <w:rStyle w:val="FootnoteReference"/>
        </w:rPr>
        <w:footnoteReference w:id="688"/>
      </w:r>
      <w:r w:rsidRPr="008642D1">
        <w:t xml:space="preserve"> Under Part 1A, the tests for whether unjustified discrimination has occurred are identical to those in the NZ Bill of Rights (set out above).</w:t>
      </w:r>
      <w:r w:rsidRPr="008642D1">
        <w:rPr>
          <w:rStyle w:val="FootnoteReference"/>
        </w:rPr>
        <w:footnoteReference w:id="689"/>
      </w:r>
      <w:r w:rsidRPr="008642D1">
        <w:t xml:space="preserve"> However, if a person pursues their claim under the Human Rights Act rather than directly under the NZ Bill of Rights, they can bring their complaint to Te Kāhui Tika Tangata | Human Rights Commission (which will attempt to help resolve the dispute). If the dispute cannot be resolved, a person may bring a claim in Te Taraipiunara Mana Tangata | Human Rights Review Tribunal. </w:t>
      </w:r>
    </w:p>
    <w:p w14:paraId="1E9AECE1" w14:textId="77777777" w:rsidR="00913866" w:rsidRPr="008642D1" w:rsidRDefault="00913866" w:rsidP="00913866">
      <w:pPr>
        <w:pStyle w:val="BodyText"/>
      </w:pPr>
      <w:r w:rsidRPr="008642D1">
        <w:t>The Human Rights Review Tribunal is a less costly and more informal body than the courts and can grant a range of statutory remedies. These include declarations, restraining orders and damages.</w:t>
      </w:r>
      <w:r w:rsidRPr="008642D1">
        <w:rPr>
          <w:rStyle w:val="FootnoteReference"/>
        </w:rPr>
        <w:footnoteReference w:id="690"/>
      </w:r>
      <w:r w:rsidRPr="008642D1">
        <w:t xml:space="preserve"> As is the case under the NZ Bill of Rights, if the discriminatory conduct is authorised by legislation, the only remedy is a non-binding declaration that the legislation is unjustified discrimination in breach of the NZ Bill of Rights.</w:t>
      </w:r>
      <w:r w:rsidRPr="008642D1">
        <w:rPr>
          <w:rStyle w:val="FootnoteReference"/>
        </w:rPr>
        <w:footnoteReference w:id="691"/>
      </w:r>
      <w:r w:rsidRPr="008642D1">
        <w:t xml:space="preserve"> </w:t>
      </w:r>
    </w:p>
    <w:p w14:paraId="387E4303" w14:textId="77777777" w:rsidR="00913866" w:rsidRPr="008642D1" w:rsidRDefault="00913866" w:rsidP="00913866">
      <w:pPr>
        <w:pStyle w:val="BodyText"/>
      </w:pPr>
      <w:r w:rsidRPr="008642D1">
        <w:t xml:space="preserve">As we discussed in Chapter 8, the line between what falls under Part 1A and Part 2 of the Human Rights Act is grey. This is due to uncertainty as to whether particular acts or omissions involve a government function. There is limited case law about what a government function involves, and commentators do not always agree on the correct position. </w:t>
      </w:r>
    </w:p>
    <w:p w14:paraId="5EDDAAAC" w14:textId="77777777" w:rsidR="00913866" w:rsidRPr="008642D1" w:rsidRDefault="00913866" w:rsidP="00913866">
      <w:pPr>
        <w:pStyle w:val="BodyText"/>
      </w:pPr>
      <w:r w:rsidRPr="008642D1">
        <w:t>In many areas of life regulated by the Human Rights Act, some conduct will fall under Part</w:t>
      </w:r>
      <w:r w:rsidRPr="008642D1">
        <w:rPr>
          <w:rFonts w:ascii="Calibri" w:hAnsi="Calibri" w:cs="Calibri"/>
        </w:rPr>
        <w:t> </w:t>
      </w:r>
      <w:r w:rsidRPr="008642D1">
        <w:t>1A and some will fall under Part 2 (depending on the person or body that is responsible). For example:</w:t>
      </w:r>
    </w:p>
    <w:p w14:paraId="78E9677E" w14:textId="08464BCF" w:rsidR="00913866" w:rsidRPr="008642D1" w:rsidRDefault="00913866" w:rsidP="00913866">
      <w:pPr>
        <w:pStyle w:val="BodyTextnonum"/>
        <w:numPr>
          <w:ilvl w:val="3"/>
          <w:numId w:val="23"/>
        </w:numPr>
      </w:pPr>
      <w:r w:rsidRPr="008642D1">
        <w:t>As we explained in Chapters 8 and 12, when education is being provided by a state school, state-integrated school or tertiary institution</w:t>
      </w:r>
      <w:r w:rsidR="00B74D45">
        <w:t>,</w:t>
      </w:r>
      <w:r w:rsidRPr="008642D1">
        <w:t xml:space="preserve"> it will likely fall under Part 1A. Commentators disagree on whether private education providers such as early childhood centres and private schools are ever regulated by Part 1A. </w:t>
      </w:r>
    </w:p>
    <w:p w14:paraId="2D3432E7" w14:textId="77777777" w:rsidR="00913866" w:rsidRPr="008642D1" w:rsidRDefault="00913866" w:rsidP="00913866">
      <w:pPr>
        <w:pStyle w:val="BodyTextnonum"/>
        <w:numPr>
          <w:ilvl w:val="3"/>
          <w:numId w:val="23"/>
        </w:numPr>
      </w:pPr>
      <w:r w:rsidRPr="008642D1">
        <w:t xml:space="preserve">As we explained in Chapters 8 and 13, council-run bathrooms and changing rooms are likely covered by Part 1A. Bathrooms and changing rooms provided in places like gyms, shops and restaurants will fall under Part 2. </w:t>
      </w:r>
    </w:p>
    <w:p w14:paraId="46919193" w14:textId="548812E5" w:rsidR="00913866" w:rsidRPr="008642D1" w:rsidRDefault="00913866" w:rsidP="00913866">
      <w:pPr>
        <w:pStyle w:val="BodyTextnonum"/>
        <w:numPr>
          <w:ilvl w:val="3"/>
          <w:numId w:val="23"/>
        </w:numPr>
      </w:pPr>
      <w:r w:rsidRPr="008642D1">
        <w:t xml:space="preserve">Government policies about eligibility for health funding and resources would likely fall under Part 1A whereas the conduct of a private healthcare provider such as a general practitioner is likely to fall under Part 2.  </w:t>
      </w:r>
    </w:p>
    <w:p w14:paraId="598A7D15" w14:textId="77777777" w:rsidR="00913866" w:rsidRPr="008642D1" w:rsidRDefault="00913866" w:rsidP="00913866">
      <w:pPr>
        <w:pStyle w:val="BodyText"/>
      </w:pPr>
      <w:r w:rsidRPr="008642D1">
        <w:t xml:space="preserve">Some areas are more exclusively regulated by Part 1A. These include primary legislation, the actions of government departments (such as Ara Poutama Aotearoa | Department of Corrections and Te Hiranga Tangata | Work and Income) and the conduct of agencies such Ngā Pirihimana o Aotearoa | New Zealand Police.   </w:t>
      </w:r>
    </w:p>
    <w:p w14:paraId="30ED6FD0" w14:textId="23E97FB1" w:rsidR="00913866" w:rsidRPr="008642D1" w:rsidRDefault="00913866" w:rsidP="00913866">
      <w:pPr>
        <w:pStyle w:val="Heading2"/>
      </w:pPr>
      <w:bookmarkStart w:id="179" w:name="_Toc170302202"/>
      <w:r w:rsidRPr="008642D1">
        <w:t xml:space="preserve">Implications of </w:t>
      </w:r>
      <w:r w:rsidR="00EF433C">
        <w:t xml:space="preserve">this review </w:t>
      </w:r>
      <w:r w:rsidRPr="008642D1">
        <w:t>for Part 1A and the NZ Bill of Rights</w:t>
      </w:r>
      <w:bookmarkEnd w:id="179"/>
    </w:p>
    <w:p w14:paraId="1FE74898" w14:textId="34DAD332" w:rsidR="00913866" w:rsidRPr="008642D1" w:rsidRDefault="00913866" w:rsidP="00913866">
      <w:pPr>
        <w:pStyle w:val="BodyText"/>
      </w:pPr>
      <w:r w:rsidRPr="008642D1">
        <w:t xml:space="preserve">If section 21 of the Human Rights Act is amended to clarify that people are protected from discrimination that is linked to the fact (or discriminator’s belief) they are transgender or non-binary or </w:t>
      </w:r>
      <w:r w:rsidR="00865DBF" w:rsidRPr="005F72A9">
        <w:rPr>
          <w:rFonts w:eastAsia="Calibri" w:cs="Arial"/>
        </w:rPr>
        <w:t>they</w:t>
      </w:r>
      <w:r w:rsidR="00865DBF">
        <w:rPr>
          <w:rFonts w:eastAsia="Calibri" w:cs="Arial"/>
          <w:b/>
          <w:bCs/>
        </w:rPr>
        <w:t xml:space="preserve"> </w:t>
      </w:r>
      <w:r w:rsidRPr="008642D1">
        <w:t xml:space="preserve">have an innate variation of sex characteristics, this would clarify that protection is available for these groups under both Part 1A of the Human Rights Act and the NZ Bill of Rights. We are interested to understand the key implications of this for government and for people and bodies that exercise government functions. </w:t>
      </w:r>
    </w:p>
    <w:p w14:paraId="06D8B462" w14:textId="77777777" w:rsidR="00913866" w:rsidRPr="008642D1" w:rsidRDefault="00913866" w:rsidP="00913866">
      <w:pPr>
        <w:pStyle w:val="Heading3"/>
      </w:pPr>
      <w:r w:rsidRPr="008642D1">
        <w:t xml:space="preserve">Policy development </w:t>
      </w:r>
    </w:p>
    <w:p w14:paraId="428CB9D1" w14:textId="76ED0645" w:rsidR="00913866" w:rsidRPr="008642D1" w:rsidRDefault="00913866" w:rsidP="00913866">
      <w:pPr>
        <w:pStyle w:val="BodyText"/>
      </w:pPr>
      <w:r w:rsidRPr="008642D1">
        <w:t>It is a general expectation of policy and legislative design in Aotearoa New Zealand that officials consider and advise on whether policy and legislative proposals are consistent with human rights obligations in the NZ Bill of Rights</w:t>
      </w:r>
      <w:r w:rsidR="00DF24F0">
        <w:t xml:space="preserve"> and</w:t>
      </w:r>
      <w:r w:rsidRPr="008642D1">
        <w:t xml:space="preserve"> the Human Rights Act and at international law.</w:t>
      </w:r>
      <w:r w:rsidRPr="008642D1">
        <w:rPr>
          <w:rStyle w:val="FootnoteReference"/>
        </w:rPr>
        <w:footnoteReference w:id="692"/>
      </w:r>
      <w:r w:rsidRPr="008642D1">
        <w:t xml:space="preserve"> As well, when a Bill is introduced to Parliament, the NZ Bill of Rights requires the Attorney-General to alert Parliament to any provision that appears to be inconsistent with the NZ Bill of Rights.</w:t>
      </w:r>
      <w:r w:rsidRPr="008642D1">
        <w:rPr>
          <w:rStyle w:val="FootnoteReference"/>
        </w:rPr>
        <w:footnoteReference w:id="693"/>
      </w:r>
      <w:r w:rsidRPr="008642D1">
        <w:t xml:space="preserve"> Officials at Te Tāhū o te Ture | Ministry of Justice and Te Tari Ture o te Karauna | Crown Law advise the Attorney-General on this.</w:t>
      </w:r>
    </w:p>
    <w:p w14:paraId="2BC152D4" w14:textId="77777777" w:rsidR="00913866" w:rsidRPr="008642D1" w:rsidRDefault="00913866" w:rsidP="00913866">
      <w:pPr>
        <w:pStyle w:val="BodyText"/>
      </w:pPr>
      <w:r w:rsidRPr="008642D1">
        <w:t>We are interested to hear from submitters about the implications for policy development of amending the grounds of discrimination in section 21. It may be that the implications would be small because of what already happens in practice. There are examples of government officials already considering whether policy proposals might discriminate against people who are transgender or non-binary or who have an innate variation of sex characteristics in their human rights analysis.</w:t>
      </w:r>
      <w:r w:rsidRPr="008642D1">
        <w:rPr>
          <w:color w:val="262626" w:themeColor="text1" w:themeTint="D9"/>
          <w:sz w:val="18"/>
          <w:vertAlign w:val="superscript"/>
        </w:rPr>
        <w:footnoteReference w:id="694"/>
      </w:r>
      <w:r w:rsidRPr="008642D1">
        <w:t xml:space="preserve"> That reflects the government’s longstanding view (explained in Chapter 6) that these groups are already protected by the Human Rights Act under the prohibited ground of sex.</w:t>
      </w:r>
    </w:p>
    <w:p w14:paraId="329368EE" w14:textId="77777777" w:rsidR="00913866" w:rsidRPr="008642D1" w:rsidRDefault="00913866" w:rsidP="00913866">
      <w:pPr>
        <w:pStyle w:val="Heading3"/>
      </w:pPr>
      <w:r w:rsidRPr="008642D1">
        <w:t>Complaints against government</w:t>
      </w:r>
    </w:p>
    <w:p w14:paraId="5C2D4B1A" w14:textId="1FF098F4" w:rsidR="00913866" w:rsidRPr="008642D1" w:rsidRDefault="00913866" w:rsidP="00913866">
      <w:pPr>
        <w:pStyle w:val="BodyText"/>
      </w:pPr>
      <w:r w:rsidRPr="008642D1">
        <w:t>If new grounds are added to the Human Rights Act, it will be clearer to people that they can complain about discrimination by government (or organisations exercising government functions) that is based on their gender identity or sex characteristics. As we explained earlier in the chapter, people can make a complaint</w:t>
      </w:r>
      <w:r w:rsidRPr="008642D1" w:rsidDel="00FD0428">
        <w:t xml:space="preserve"> to </w:t>
      </w:r>
      <w:r w:rsidRPr="008642D1">
        <w:t>the Human Rights Commission and, if that does not achieve an outcome with which they are satisfied, the Human Right</w:t>
      </w:r>
      <w:r w:rsidR="00EB0D51">
        <w:t>s</w:t>
      </w:r>
      <w:r w:rsidRPr="008642D1">
        <w:t xml:space="preserve"> Review Tribunal. Alternatively, as we also discussed, they can apply to the High Court for a remedy under the NZ Bill of Rights.</w:t>
      </w:r>
    </w:p>
    <w:p w14:paraId="50A6F9B7" w14:textId="2DF62B1D" w:rsidR="00913866" w:rsidRPr="008642D1" w:rsidRDefault="00913866" w:rsidP="00913866">
      <w:pPr>
        <w:pStyle w:val="BodyText"/>
      </w:pPr>
      <w:r w:rsidRPr="008642D1">
        <w:t>We would like to understand the implications of adding new grounds for complaints to the Human Rights Commission, the Human Rights Review Tribunal and the courts. As we have explained in earlier chapters, the Human Rights Commission already interprets the ground of sex as including gender identity, gender expression and sex characteristics and will accept complaints about these forms of discrimination.</w:t>
      </w:r>
      <w:r w:rsidRPr="008642D1">
        <w:rPr>
          <w:rStyle w:val="FootnoteReference"/>
        </w:rPr>
        <w:footnoteReference w:id="695"/>
      </w:r>
      <w:r w:rsidRPr="008642D1">
        <w:t xml:space="preserve"> Between 1 January 2008 and </w:t>
      </w:r>
      <w:r w:rsidR="003A2923">
        <w:t>3</w:t>
      </w:r>
      <w:r w:rsidRPr="008642D1">
        <w:t>1 December 2023, the Commission received 91 complaints about government activity from people who identified as transgender, gender diverse or intersex.</w:t>
      </w:r>
      <w:r w:rsidRPr="008642D1">
        <w:rPr>
          <w:rStyle w:val="FootnoteReference"/>
        </w:rPr>
        <w:footnoteReference w:id="696"/>
      </w:r>
      <w:r w:rsidRPr="008642D1">
        <w:t xml:space="preserve"> This represented almost half of the 192 complaints the Commission received from people in these groups (under both Part 1A and Part 2) over that 16</w:t>
      </w:r>
      <w:r w:rsidR="00EB0D51">
        <w:t>-</w:t>
      </w:r>
      <w:r w:rsidRPr="008642D1">
        <w:t>year period. Complaints may have led to policy changes in some cases.</w:t>
      </w:r>
      <w:r w:rsidRPr="008642D1">
        <w:rPr>
          <w:rStyle w:val="FootnoteReference"/>
        </w:rPr>
        <w:footnoteReference w:id="697"/>
      </w:r>
    </w:p>
    <w:p w14:paraId="30C6B015" w14:textId="3E450060" w:rsidR="00913866" w:rsidRPr="008642D1" w:rsidRDefault="00913866" w:rsidP="00913866">
      <w:pPr>
        <w:pStyle w:val="BodyText"/>
      </w:pPr>
      <w:r w:rsidRPr="008642D1">
        <w:t xml:space="preserve">As we explained in Chapter </w:t>
      </w:r>
      <w:r w:rsidR="00B81231">
        <w:t>6</w:t>
      </w:r>
      <w:r w:rsidRPr="008642D1">
        <w:t xml:space="preserve">, we would expect an increased number of discrimination complaints to be made to the Human Rights Commission if there were new grounds of discrimination that expressly protect people who are transgender or non-binary or who have an innate variation of sex characteristics. That is because it will put it beyond doubt that these groups are covered by section 21 and increase awareness of these forms of discrimination. </w:t>
      </w:r>
    </w:p>
    <w:p w14:paraId="515DDDDC" w14:textId="77777777" w:rsidR="00913866" w:rsidRPr="008642D1" w:rsidRDefault="00913866" w:rsidP="00913866">
      <w:pPr>
        <w:pStyle w:val="BodyText"/>
      </w:pPr>
      <w:r w:rsidRPr="008642D1">
        <w:t>New or amended grounds of discrimination may also make it more likely that complaints are pursued before the Human Rights Review Tribunal or in the High Court.</w:t>
      </w:r>
    </w:p>
    <w:p w14:paraId="19151EA9" w14:textId="77777777" w:rsidR="00913866" w:rsidRPr="008642D1" w:rsidRDefault="00913866" w:rsidP="00913866">
      <w:pPr>
        <w:pStyle w:val="Heading3"/>
      </w:pPr>
      <w:r w:rsidRPr="008642D1">
        <w:t xml:space="preserve">General features of litigation under Part 1A and the NZ Bill of Rights </w:t>
      </w:r>
    </w:p>
    <w:p w14:paraId="5A45F5C9" w14:textId="0BFA1065" w:rsidR="00913866" w:rsidRPr="008642D1" w:rsidRDefault="00913866" w:rsidP="00913866">
      <w:pPr>
        <w:pStyle w:val="BodyText"/>
      </w:pPr>
      <w:r w:rsidRPr="008642D1">
        <w:t>As we explained earlier, it is possible under Part 1A to challenge any act or omission of a government department or of a person or body that is exercising a government function conferred on them by law. This means it is possible to challenge any “activity, condition, enactment, policy, practice, or requirement”.</w:t>
      </w:r>
      <w:r w:rsidRPr="008642D1">
        <w:rPr>
          <w:rStyle w:val="FootnoteReference"/>
        </w:rPr>
        <w:footnoteReference w:id="698"/>
      </w:r>
      <w:r w:rsidRPr="008642D1">
        <w:t xml:space="preserve"> This would include decisions about, or acts towards, individuals as well as decisions or acts that apply more generally. It is also possible to challenge laws</w:t>
      </w:r>
      <w:r w:rsidR="00C652CF">
        <w:t>,</w:t>
      </w:r>
      <w:r w:rsidRPr="008642D1">
        <w:t xml:space="preserve"> although, where the challenge is to a statute, the only remedy is a non-binding declaration. </w:t>
      </w:r>
    </w:p>
    <w:p w14:paraId="48F3094B" w14:textId="77777777" w:rsidR="00913866" w:rsidRPr="008642D1" w:rsidRDefault="00913866" w:rsidP="00913866">
      <w:pPr>
        <w:pStyle w:val="BodyText"/>
      </w:pPr>
      <w:r w:rsidRPr="008642D1">
        <w:t>Judges are also covered by Part 1A and the NZ Bill of Rights but, for public policy reasons, there are significant limits on the ability to challenge their actions or decisions.</w:t>
      </w:r>
      <w:r w:rsidRPr="008642D1">
        <w:rPr>
          <w:rStyle w:val="FootnoteReference"/>
        </w:rPr>
        <w:footnoteReference w:id="699"/>
      </w:r>
    </w:p>
    <w:p w14:paraId="2EB863F4" w14:textId="7EB205E9" w:rsidR="00913866" w:rsidRPr="008642D1" w:rsidRDefault="00913866" w:rsidP="00913866">
      <w:pPr>
        <w:pStyle w:val="BodyText"/>
      </w:pPr>
      <w:r w:rsidRPr="008642D1">
        <w:t xml:space="preserve">Although we would like to better understand which kinds of </w:t>
      </w:r>
      <w:r w:rsidRPr="008642D1" w:rsidDel="00555293">
        <w:t>claims</w:t>
      </w:r>
      <w:r w:rsidRPr="008642D1">
        <w:t xml:space="preserve"> might be brought if new grounds are added to section 21 of the Human Rights Act, </w:t>
      </w:r>
      <w:r w:rsidRPr="008642D1" w:rsidDel="00555293">
        <w:t xml:space="preserve">it is </w:t>
      </w:r>
      <w:r w:rsidRPr="008642D1">
        <w:t xml:space="preserve">not possible to identify all the issues that could give rise to a complaint nor to predict which claims will be successful. This is because of some general features of litigation under Part 1A and the NZ Bill of Rights that make it very different from Part 2. </w:t>
      </w:r>
    </w:p>
    <w:p w14:paraId="72DF5C15" w14:textId="77777777" w:rsidR="00913866" w:rsidRPr="008642D1" w:rsidRDefault="00913866" w:rsidP="00913866">
      <w:pPr>
        <w:pStyle w:val="BodyText"/>
        <w:tabs>
          <w:tab w:val="num" w:pos="709"/>
        </w:tabs>
      </w:pPr>
      <w:r w:rsidRPr="008642D1">
        <w:t>As we discussed in Chapters 8 to 15, Part 2 of the Human Rights Act has detailed and specific provisions that explain when differences in treatment that relate to specific areas of life will be considered unlawful. By contrast, Part 1A and the NZ Bill of Rights take a more fluid and context-specific approach. In particular, as we explained earlier in this chapter, they allow for broad consideration of whether differences in treatment are reasonable and justified in a free and democratic society.</w:t>
      </w:r>
    </w:p>
    <w:p w14:paraId="7DDC86AA" w14:textId="7F48D447" w:rsidR="00913866" w:rsidRPr="008642D1" w:rsidRDefault="00913866" w:rsidP="00913866">
      <w:pPr>
        <w:pStyle w:val="BodyText"/>
        <w:tabs>
          <w:tab w:val="num" w:pos="709"/>
        </w:tabs>
      </w:pPr>
      <w:r w:rsidRPr="008642D1">
        <w:t xml:space="preserve">This recognises the reality that governments often need to draw distinctions between different groups to ensure that everyone’s needs are met. It allows for the assessment of whether a particular act or omission involves unjustified discrimination to be made in context, based on evidence and in the light of any competing rights and interests (including other rights in the NZ Bill of Rights).  </w:t>
      </w:r>
    </w:p>
    <w:p w14:paraId="10271D79" w14:textId="77777777" w:rsidR="00913866" w:rsidRPr="008642D1" w:rsidRDefault="00913866" w:rsidP="00913866">
      <w:pPr>
        <w:pStyle w:val="BodyText"/>
      </w:pPr>
      <w:r w:rsidRPr="008642D1">
        <w:t xml:space="preserve">Clarifying the grounds of discrimination in section 21 of the Human Rights Act may well enable people who are transgender or non-binary or who have an innate variation of sex characteristics to bring novel legal claims challenging adverse treatment they may experience as result of government laws, policies and practices. However, the outcome of any case will be determined by a court or tribunal based on a broad and contextual assessment of all relevant rights and interests. We think it is worth highlighting some features of such litigation. </w:t>
      </w:r>
    </w:p>
    <w:p w14:paraId="47A26C38" w14:textId="77777777" w:rsidR="00913866" w:rsidRPr="008642D1" w:rsidRDefault="00913866" w:rsidP="00913866">
      <w:pPr>
        <w:pStyle w:val="Heading4"/>
      </w:pPr>
      <w:r w:rsidRPr="008642D1">
        <w:t>Plaintiffs have to prove their treatment was based on a prohibited ground</w:t>
      </w:r>
    </w:p>
    <w:p w14:paraId="3D1E8233" w14:textId="0AF2B999" w:rsidR="00913866" w:rsidRPr="008642D1" w:rsidRDefault="00913866" w:rsidP="00913866">
      <w:pPr>
        <w:pStyle w:val="BodyText"/>
      </w:pPr>
      <w:r w:rsidRPr="008642D1">
        <w:t xml:space="preserve">To succeed, a plaintiff will have to prove their treatment was discrimination. As we explained earlier, that generally means proving that </w:t>
      </w:r>
      <w:r w:rsidRPr="008642D1">
        <w:rPr>
          <w:shd w:val="clear" w:color="auto" w:fill="FFFFFF" w:themeFill="background1"/>
        </w:rPr>
        <w:t>someone who does not have the protected characteristic but is otherwise in a similar situation has not been, or would not be, treated the same way.</w:t>
      </w:r>
      <w:r w:rsidRPr="008642D1">
        <w:t xml:space="preserve"> This can be difficult to do when the issue that is being litigated is one that is unique to the particular group. For example, if the form of medical treatment that is at issue is only relevant to people with the particular characteristic, it can be difficult to show that decisions about access to that treatment are discriminatory. In challenges overseas about access to gender-affirming health</w:t>
      </w:r>
      <w:r w:rsidR="005860F2">
        <w:t xml:space="preserve"> </w:t>
      </w:r>
      <w:r w:rsidRPr="008642D1">
        <w:t xml:space="preserve">care, the court’s choice of comparator has often been determinative. For example: </w:t>
      </w:r>
    </w:p>
    <w:p w14:paraId="5675C0E8" w14:textId="77777777" w:rsidR="00913866" w:rsidRPr="008642D1" w:rsidRDefault="00913866" w:rsidP="001E69E7">
      <w:pPr>
        <w:pStyle w:val="BodyText2"/>
        <w:numPr>
          <w:ilvl w:val="3"/>
          <w:numId w:val="64"/>
        </w:numPr>
      </w:pPr>
      <w:r w:rsidRPr="008642D1">
        <w:t>In British Columbia, a transgender man whose phalloplasty surgery was only partially funded succeeded in his discrimination claim because a transgender woman who had been approved for a vaginoplasty would have had the procedure fully funded.</w:t>
      </w:r>
      <w:r w:rsidRPr="008642D1">
        <w:rPr>
          <w:rStyle w:val="FootnoteReference"/>
        </w:rPr>
        <w:footnoteReference w:id="700"/>
      </w:r>
      <w:r w:rsidRPr="008642D1">
        <w:t xml:space="preserve"> </w:t>
      </w:r>
    </w:p>
    <w:p w14:paraId="7E767113" w14:textId="32A819BE" w:rsidR="00913866" w:rsidRPr="008642D1" w:rsidRDefault="00913866" w:rsidP="00913866">
      <w:pPr>
        <w:pStyle w:val="BodyText2"/>
      </w:pPr>
      <w:r w:rsidRPr="008642D1">
        <w:t>In the United States, healthcare plans have been held to be discriminatory where they covered treatments for certain diagnoses but refused cover for the same treatments to treat gender dysphoria. An example is a plan that covered breast-reduction surgery to treat excess breast tissue in cisgender men but not to treat gender dysphoria in transgender men.</w:t>
      </w:r>
      <w:r w:rsidRPr="008642D1">
        <w:rPr>
          <w:rStyle w:val="FootnoteReference"/>
        </w:rPr>
        <w:footnoteReference w:id="701"/>
      </w:r>
      <w:r w:rsidRPr="008642D1">
        <w:t xml:space="preserve">  </w:t>
      </w:r>
    </w:p>
    <w:p w14:paraId="20DCDC37" w14:textId="10093D1D" w:rsidR="00913866" w:rsidRPr="008642D1" w:rsidRDefault="00913866" w:rsidP="00913866">
      <w:pPr>
        <w:pStyle w:val="BodyText2"/>
      </w:pPr>
      <w:r w:rsidRPr="008642D1">
        <w:t xml:space="preserve">A challenge to the Ontario </w:t>
      </w:r>
      <w:r w:rsidR="00114BF7">
        <w:t>G</w:t>
      </w:r>
      <w:r w:rsidRPr="008642D1">
        <w:t>overnment’s failure to fund laser hair removal, voice therapy and breast augmentation surgery was unsuccessful because the transgender plaintiffs failed to prove they were denied access to medically necessary treatments for which cisgender women could receive funding.</w:t>
      </w:r>
      <w:r w:rsidRPr="008642D1">
        <w:rPr>
          <w:rStyle w:val="FootnoteReference"/>
        </w:rPr>
        <w:footnoteReference w:id="702"/>
      </w:r>
      <w:r w:rsidRPr="008642D1">
        <w:t xml:space="preserve"> </w:t>
      </w:r>
    </w:p>
    <w:p w14:paraId="53F8FCA0" w14:textId="2093FB9B" w:rsidR="00913866" w:rsidRPr="008642D1" w:rsidRDefault="00913866" w:rsidP="00913866">
      <w:pPr>
        <w:pStyle w:val="BodyText2"/>
      </w:pPr>
      <w:r w:rsidRPr="008642D1">
        <w:t>In the United Kingdom, a claim about long waiting times for gender identity services failed because the plaintiffs could not establish differential treatment to others in comparable circumstances. The Court said the plaintiffs could not properly be compared to those referred for other services as it would not be comparing like for like. The long waiting time was due to a combination of factors that other services did not have</w:t>
      </w:r>
      <w:r w:rsidR="005860F2">
        <w:t>,</w:t>
      </w:r>
      <w:r w:rsidRPr="008642D1">
        <w:t xml:space="preserve"> such as </w:t>
      </w:r>
      <w:r w:rsidR="008211F9">
        <w:t>increased</w:t>
      </w:r>
      <w:r w:rsidRPr="008642D1">
        <w:t xml:space="preserve"> demand for gender identity services, recent clinical controversy about treatments and difficulty in </w:t>
      </w:r>
      <w:r w:rsidR="00E916FB">
        <w:t xml:space="preserve">recruiting and </w:t>
      </w:r>
      <w:r w:rsidRPr="008642D1">
        <w:t>retaining specialists.</w:t>
      </w:r>
      <w:r w:rsidRPr="008642D1">
        <w:rPr>
          <w:rStyle w:val="FootnoteReference"/>
          <w:rFonts w:eastAsiaTheme="majorEastAsia"/>
        </w:rPr>
        <w:footnoteReference w:id="703"/>
      </w:r>
      <w:r w:rsidRPr="008642D1">
        <w:t xml:space="preserve">  </w:t>
      </w:r>
    </w:p>
    <w:p w14:paraId="12006D61" w14:textId="37560CEA" w:rsidR="00913866" w:rsidRPr="008642D1" w:rsidRDefault="00913866" w:rsidP="00913866">
      <w:pPr>
        <w:pStyle w:val="BodyText"/>
      </w:pPr>
      <w:r w:rsidRPr="008642D1">
        <w:t>There are also examples of the appropriate comparator being central to discrimination claims by transgender prisoners. For example, in the United Kingdom</w:t>
      </w:r>
      <w:r w:rsidR="00114BF7">
        <w:t>,</w:t>
      </w:r>
      <w:r w:rsidRPr="008642D1">
        <w:t xml:space="preserve"> a transgender woman’s claim about lack of access to wigs and tights while in a male prison failed because she was compared to cisgender male prisoners</w:t>
      </w:r>
      <w:r w:rsidR="00047593">
        <w:t>,</w:t>
      </w:r>
      <w:r w:rsidRPr="008642D1">
        <w:t xml:space="preserve"> who were also not entitled to these things.</w:t>
      </w:r>
      <w:r w:rsidRPr="008642D1">
        <w:rPr>
          <w:rStyle w:val="FootnoteReference"/>
        </w:rPr>
        <w:footnoteReference w:id="704"/>
      </w:r>
      <w:r w:rsidRPr="008642D1">
        <w:t xml:space="preserve"> </w:t>
      </w:r>
    </w:p>
    <w:p w14:paraId="3570E141" w14:textId="77777777" w:rsidR="00913866" w:rsidRPr="008642D1" w:rsidRDefault="00913866" w:rsidP="00913866">
      <w:pPr>
        <w:pStyle w:val="Heading4"/>
      </w:pPr>
      <w:r w:rsidRPr="008642D1">
        <w:t xml:space="preserve">Cases are determined based on the facts before the court and in the light of evidence </w:t>
      </w:r>
    </w:p>
    <w:p w14:paraId="467E4B3C" w14:textId="494275EA" w:rsidR="00913866" w:rsidRPr="008642D1" w:rsidRDefault="00913866" w:rsidP="00913866">
      <w:pPr>
        <w:pStyle w:val="BodyText"/>
      </w:pPr>
      <w:r w:rsidRPr="008642D1">
        <w:t xml:space="preserve">Cases are brought on the basis of particular facts rather than in the abstract. This means that the exact wording of a law or policy that is being </w:t>
      </w:r>
      <w:r w:rsidR="005860F2" w:rsidRPr="008642D1">
        <w:t>challenged,</w:t>
      </w:r>
      <w:r w:rsidRPr="008642D1">
        <w:t xml:space="preserve"> or the precise circumstances of an individual claim</w:t>
      </w:r>
      <w:r w:rsidR="00122C57">
        <w:t>,</w:t>
      </w:r>
      <w:r w:rsidRPr="008642D1">
        <w:t xml:space="preserve"> can be central to the outcome of the case. In overseas cases that have been brought based on gender identity, some have been successful and others have not based on differences in individual circumstances. For example, in an Ontario discrimination case about a government decision to discontinue funding for gender-affirming surgery, only the plaintiffs who had already begun gender-affirming treatment were successful.</w:t>
      </w:r>
      <w:r w:rsidRPr="008642D1">
        <w:rPr>
          <w:rStyle w:val="FootnoteReference"/>
        </w:rPr>
        <w:footnoteReference w:id="705"/>
      </w:r>
      <w:r w:rsidRPr="008642D1">
        <w:t xml:space="preserve"> </w:t>
      </w:r>
    </w:p>
    <w:p w14:paraId="761927B7" w14:textId="77777777" w:rsidR="00913866" w:rsidRPr="008642D1" w:rsidRDefault="00913866" w:rsidP="00913866">
      <w:pPr>
        <w:pStyle w:val="BodyText"/>
      </w:pPr>
      <w:r w:rsidRPr="008642D1">
        <w:t>The court or tribunal will decide the case on the evidence before it. Cases sometimes fail because the plaintiff has provided insufficient evidence on which to base a finding of discrimination. Evidence is particularly important to determining whether a limit on a right is demonstrably justified. Courts and tribunals generally expect the government to provide evidence of why it needed to limit a right.</w:t>
      </w:r>
      <w:r w:rsidRPr="008642D1">
        <w:rPr>
          <w:rStyle w:val="FootnoteReference"/>
        </w:rPr>
        <w:footnoteReference w:id="706"/>
      </w:r>
      <w:r w:rsidRPr="008642D1">
        <w:t xml:space="preserve"> For example, a Manitoba case where a person sought a birth certificate that recorded their gender as non-binary succeeded because the government had failed to provide sufficient evidence for its claim that accommodating the non-binary person would cause practical difficulties.</w:t>
      </w:r>
      <w:r w:rsidRPr="008642D1">
        <w:rPr>
          <w:rStyle w:val="FootnoteReference"/>
        </w:rPr>
        <w:footnoteReference w:id="707"/>
      </w:r>
    </w:p>
    <w:p w14:paraId="3E159F67" w14:textId="089E3117" w:rsidR="00913866" w:rsidRPr="008642D1" w:rsidRDefault="00913866" w:rsidP="00913866">
      <w:pPr>
        <w:pStyle w:val="BodyText"/>
      </w:pPr>
      <w:r w:rsidRPr="008642D1">
        <w:t xml:space="preserve">Although courts generally require the government to prove its need to discriminate, if evidence is disputed, unsettled or emerging, they tend to allow some leeway to the agency that made the decision that is being challenged. For example, in </w:t>
      </w:r>
      <w:r w:rsidRPr="008642D1">
        <w:rPr>
          <w:i/>
          <w:iCs/>
        </w:rPr>
        <w:t>New Health v South Taranaki District Council</w:t>
      </w:r>
      <w:r w:rsidRPr="008642D1">
        <w:t xml:space="preserve">, Te Kōti Mana Nui | Supreme Court had complex and disputed scientific evidence before it about the health effects of fluoridation. The </w:t>
      </w:r>
      <w:r w:rsidR="00AC3266">
        <w:t>J</w:t>
      </w:r>
      <w:r w:rsidRPr="008642D1">
        <w:t>udges noted that the Court was “not in a position to unpick these disputes nor is it able to determine whether particular scientific reports are scientifically robust”.</w:t>
      </w:r>
      <w:r w:rsidRPr="008642D1">
        <w:rPr>
          <w:rStyle w:val="FootnoteReference"/>
        </w:rPr>
        <w:footnoteReference w:id="708"/>
      </w:r>
      <w:r w:rsidRPr="008642D1">
        <w:t xml:space="preserve"> For that reason, the Supreme Court </w:t>
      </w:r>
      <w:r w:rsidR="00AC3266">
        <w:t>J</w:t>
      </w:r>
      <w:r w:rsidRPr="008642D1">
        <w:t>udges thought that the decision being appealed was “right not to attempt a definitive ruling on the scientific and political issues”.</w:t>
      </w:r>
      <w:r w:rsidRPr="008642D1">
        <w:rPr>
          <w:rStyle w:val="FootnoteReference"/>
        </w:rPr>
        <w:footnoteReference w:id="709"/>
      </w:r>
      <w:r w:rsidRPr="008642D1">
        <w:t xml:space="preserve"> The Supreme Court </w:t>
      </w:r>
      <w:r w:rsidR="00AC3266">
        <w:t>J</w:t>
      </w:r>
      <w:r w:rsidRPr="008642D1">
        <w:t>udges ultimately contented themselves with making a broad assessment of whether the agency that had made the original decision (a local council) had sufficient evidence before it to provide a “proper basis” for its conclusion.</w:t>
      </w:r>
      <w:r w:rsidRPr="008642D1">
        <w:rPr>
          <w:rStyle w:val="FootnoteReference"/>
        </w:rPr>
        <w:footnoteReference w:id="710"/>
      </w:r>
    </w:p>
    <w:p w14:paraId="5E90F913" w14:textId="77777777" w:rsidR="00913866" w:rsidRPr="008642D1" w:rsidRDefault="00913866" w:rsidP="00913866">
      <w:pPr>
        <w:pStyle w:val="Heading4"/>
      </w:pPr>
      <w:r w:rsidRPr="008642D1">
        <w:t xml:space="preserve">The court or tribunal will have to balance all relevant rights and interests </w:t>
      </w:r>
    </w:p>
    <w:p w14:paraId="7AB032C1" w14:textId="77777777" w:rsidR="00913866" w:rsidRPr="008642D1" w:rsidRDefault="00913866" w:rsidP="00913866">
      <w:pPr>
        <w:pStyle w:val="BodyText"/>
      </w:pPr>
      <w:r w:rsidRPr="008642D1">
        <w:t xml:space="preserve">Even if a plaintiff successfully establishes discrimination, the court or tribunal will need to balance the right to be free from discrimination against other relevant rights and interests. </w:t>
      </w:r>
    </w:p>
    <w:p w14:paraId="549802AF" w14:textId="77777777" w:rsidR="00913866" w:rsidRPr="008642D1" w:rsidRDefault="00913866" w:rsidP="00913866">
      <w:pPr>
        <w:pStyle w:val="BodyText"/>
        <w:tabs>
          <w:tab w:val="num" w:pos="709"/>
        </w:tabs>
      </w:pPr>
      <w:r w:rsidRPr="008642D1">
        <w:t>There are examples of cases overseas where competing rights and interests have justified discrimination based on gender identity. For example, in an unsuccessful United Kingdom case about how the Department of Work and Pensions retained information about transgender customers, the competing interests were retaining information for calculating benefit entitlements, identifying and detecting fraud and protecting privacy.</w:t>
      </w:r>
      <w:r w:rsidRPr="008642D1">
        <w:rPr>
          <w:rStyle w:val="FootnoteReference"/>
        </w:rPr>
        <w:footnoteReference w:id="711"/>
      </w:r>
      <w:r w:rsidRPr="008642D1">
        <w:t xml:space="preserve"> Similarly, in a case about whether a gender recognition certificate had to record a claimant’s gender was non-binary, the High Court in England said it needed to balance the claimant’s interests against the need for legislative and administrative coherence and the administrative costs of change.</w:t>
      </w:r>
      <w:r w:rsidRPr="008642D1">
        <w:rPr>
          <w:rStyle w:val="FootnoteReference"/>
        </w:rPr>
        <w:footnoteReference w:id="712"/>
      </w:r>
      <w:r w:rsidRPr="008642D1">
        <w:t xml:space="preserve"> </w:t>
      </w:r>
    </w:p>
    <w:p w14:paraId="66ABD50E" w14:textId="4B2A4751" w:rsidR="00913866" w:rsidRPr="008642D1" w:rsidRDefault="00913866" w:rsidP="00913866">
      <w:pPr>
        <w:pStyle w:val="BodyText"/>
      </w:pPr>
      <w:r w:rsidRPr="008642D1">
        <w:t>In a Canadian case, a decision to place a transgender woman (who had not undergone gender-affirming surgery) in a men’s prison was held to be justified discrimination</w:t>
      </w:r>
      <w:r w:rsidRPr="008642D1" w:rsidDel="0007360C">
        <w:t xml:space="preserve"> </w:t>
      </w:r>
      <w:r w:rsidRPr="008642D1">
        <w:t>because of the unique prison setting</w:t>
      </w:r>
      <w:r w:rsidR="0031638B">
        <w:t xml:space="preserve"> and the vulnerabilities of the female inmate population</w:t>
      </w:r>
      <w:r w:rsidRPr="008642D1">
        <w:t>.</w:t>
      </w:r>
      <w:r w:rsidRPr="008642D1">
        <w:rPr>
          <w:rStyle w:val="FootnoteReference"/>
        </w:rPr>
        <w:footnoteReference w:id="713"/>
      </w:r>
      <w:r w:rsidRPr="008642D1">
        <w:t xml:space="preserve"> However, a United States court found that a ban on hormone therapy for transgender prisoners was not justified because there was no rational tie to prison safety and security</w:t>
      </w:r>
      <w:r w:rsidRPr="008642D1" w:rsidDel="0004527F">
        <w:t>.</w:t>
      </w:r>
      <w:r w:rsidRPr="008642D1" w:rsidDel="0004527F">
        <w:rPr>
          <w:rStyle w:val="FootnoteReference"/>
        </w:rPr>
        <w:footnoteReference w:id="714"/>
      </w:r>
      <w:r w:rsidRPr="008642D1" w:rsidDel="0004527F">
        <w:t xml:space="preserve"> </w:t>
      </w:r>
    </w:p>
    <w:p w14:paraId="6642171A" w14:textId="246A3B0B" w:rsidR="00913866" w:rsidRPr="008642D1" w:rsidRDefault="00913866" w:rsidP="00913866">
      <w:pPr>
        <w:pStyle w:val="QuestionBox"/>
      </w:pPr>
      <w:r w:rsidRPr="008642D1">
        <w:rPr>
          <w:noProof/>
        </w:rPr>
        <mc:AlternateContent>
          <mc:Choice Requires="wpg">
            <w:drawing>
              <wp:anchor distT="0" distB="0" distL="114300" distR="114300" simplePos="0" relativeHeight="251658370" behindDoc="1" locked="0" layoutInCell="1" allowOverlap="1" wp14:anchorId="1A67DE0E" wp14:editId="3E0A661A">
                <wp:simplePos x="0" y="0"/>
                <wp:positionH relativeFrom="column">
                  <wp:posOffset>1533</wp:posOffset>
                </wp:positionH>
                <wp:positionV relativeFrom="paragraph">
                  <wp:posOffset>-217</wp:posOffset>
                </wp:positionV>
                <wp:extent cx="5760085" cy="1103914"/>
                <wp:effectExtent l="0" t="0" r="0" b="1270"/>
                <wp:wrapNone/>
                <wp:docPr id="1457435281" name="Group 1457435281" descr="Question"/>
                <wp:cNvGraphicFramePr/>
                <a:graphic xmlns:a="http://schemas.openxmlformats.org/drawingml/2006/main">
                  <a:graphicData uri="http://schemas.microsoft.com/office/word/2010/wordprocessingGroup">
                    <wpg:wgp>
                      <wpg:cNvGrpSpPr/>
                      <wpg:grpSpPr>
                        <a:xfrm>
                          <a:off x="0" y="0"/>
                          <a:ext cx="5760085" cy="1103914"/>
                          <a:chOff x="0" y="62865"/>
                          <a:chExt cx="5760085" cy="1104744"/>
                        </a:xfrm>
                      </wpg:grpSpPr>
                      <wps:wsp>
                        <wps:cNvPr id="201961549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FFB19D" w14:textId="77777777" w:rsidR="00913866" w:rsidRDefault="00913866" w:rsidP="00913866">
                              <w:pPr>
                                <w:pStyle w:val="BoxTitle"/>
                                <w:spacing w:before="0" w:beforeAutospacing="0"/>
                              </w:pPr>
                              <w:r w:rsidRPr="007F6876">
                                <w:t>QUESTION</w:t>
                              </w:r>
                            </w:p>
                          </w:txbxContent>
                        </wps:txbx>
                        <wps:bodyPr rot="0" vert="horz" wrap="square" lIns="91440" tIns="0" rIns="0" bIns="45720" anchor="ctr" anchorCtr="0" upright="1">
                          <a:noAutofit/>
                        </wps:bodyPr>
                      </wps:wsp>
                      <wpg:grpSp>
                        <wpg:cNvPr id="1212097402" name="Group 53"/>
                        <wpg:cNvGrpSpPr>
                          <a:grpSpLocks/>
                        </wpg:cNvGrpSpPr>
                        <wpg:grpSpPr bwMode="auto">
                          <a:xfrm>
                            <a:off x="0" y="315798"/>
                            <a:ext cx="5760085" cy="851811"/>
                            <a:chOff x="1837" y="1787"/>
                            <a:chExt cx="9302" cy="9201"/>
                          </a:xfrm>
                        </wpg:grpSpPr>
                        <wps:wsp>
                          <wps:cNvPr id="145513437" name="Freeform 54"/>
                          <wps:cNvSpPr>
                            <a:spLocks/>
                          </wps:cNvSpPr>
                          <wps:spPr bwMode="auto">
                            <a:xfrm>
                              <a:off x="1837" y="1787"/>
                              <a:ext cx="9302" cy="920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5507639" name="Group 1035507639"/>
                        <wpg:cNvGrpSpPr/>
                        <wpg:grpSpPr>
                          <a:xfrm>
                            <a:off x="0" y="494036"/>
                            <a:ext cx="1443794" cy="252000"/>
                            <a:chOff x="-15880" y="0"/>
                            <a:chExt cx="1444379" cy="252068"/>
                          </a:xfrm>
                        </wpg:grpSpPr>
                        <wps:wsp>
                          <wps:cNvPr id="63905933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08642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4A570F" w14:textId="5BF88873" w:rsidR="00913866" w:rsidRPr="00E90B8A" w:rsidRDefault="00913866" w:rsidP="00913866">
                                <w:pPr>
                                  <w:pStyle w:val="BoxTitle"/>
                                  <w:spacing w:before="0" w:beforeAutospacing="0"/>
                                  <w:rPr>
                                    <w:sz w:val="18"/>
                                    <w:szCs w:val="18"/>
                                  </w:rPr>
                                </w:pPr>
                                <w:r w:rsidRPr="00E90B8A">
                                  <w:rPr>
                                    <w:sz w:val="18"/>
                                    <w:szCs w:val="18"/>
                                  </w:rPr>
                                  <w:t>Q</w:t>
                                </w:r>
                                <w:r>
                                  <w:rPr>
                                    <w:sz w:val="18"/>
                                    <w:szCs w:val="18"/>
                                  </w:rPr>
                                  <w:t>7</w:t>
                                </w:r>
                                <w:r w:rsidR="00CB7486">
                                  <w:rPr>
                                    <w:sz w:val="18"/>
                                    <w:szCs w:val="18"/>
                                  </w:rPr>
                                  <w:t>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A67DE0E" id="Group 1457435281" o:spid="_x0000_s1427" alt="Question" style="position:absolute;left:0;text-align:left;margin-left:.1pt;margin-top:0;width:453.55pt;height:86.9pt;z-index:-251658110;mso-height-relative:margin" coordorigin=",628" coordsize="57600,1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">
                <v:shape id="Freeform 52" o:spid="_x0000_s142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2FFB19D" w14:textId="77777777" w:rsidR="00913866" w:rsidRDefault="00913866" w:rsidP="00913866">
                        <w:pPr>
                          <w:pStyle w:val="BoxTitle"/>
                          <w:spacing w:before="0" w:beforeAutospacing="0"/>
                        </w:pPr>
                        <w:r w:rsidRPr="007F6876">
                          <w:t>QUESTION</w:t>
                        </w:r>
                      </w:p>
                    </w:txbxContent>
                  </v:textbox>
                </v:shape>
                <v:group id="Group 53" o:spid="_x0000_s1429" style="position:absolute;top:3157;width:57600;height:8519" coordorigin="1837,1787" coordsize="9302,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">
                  <v:shape id="Freeform 54" o:spid="_x0000_s1430" style="position:absolute;left:1837;top:1787;width:9302;height:920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" path="m,l9354,r,7809l,7809,,e" fillcolor="#edf2ea" stroked="f">
                    <v:path arrowok="t" o:connecttype="custom" o:connectlocs="0,1178;9302,1178;9302,10379;0,10379;0,1178" o:connectangles="0,0,0,0,0"/>
                  </v:shape>
                </v:group>
                <v:group id="Group 1035507639" o:spid="_x0000_s143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">
                  <v:shape id="Freeform 58" o:spid="_x0000_s143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" path="m,l1815,e" filled="f" strokecolor="#72ab6a" strokeweight=".5pt">
                    <v:path arrowok="t" o:connecttype="custom" o:connectlocs="0,0;1073495,0" o:connectangles="0,0"/>
                  </v:shape>
                  <v:shape id="Freeform 66" o:spid="_x0000_s143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04A570F" w14:textId="5BF88873" w:rsidR="00913866" w:rsidRPr="00E90B8A" w:rsidRDefault="00913866" w:rsidP="00913866">
                          <w:pPr>
                            <w:pStyle w:val="BoxTitle"/>
                            <w:spacing w:before="0" w:beforeAutospacing="0"/>
                            <w:rPr>
                              <w:sz w:val="18"/>
                              <w:szCs w:val="18"/>
                            </w:rPr>
                          </w:pPr>
                          <w:r w:rsidRPr="00E90B8A">
                            <w:rPr>
                              <w:sz w:val="18"/>
                              <w:szCs w:val="18"/>
                            </w:rPr>
                            <w:t>Q</w:t>
                          </w:r>
                          <w:r>
                            <w:rPr>
                              <w:sz w:val="18"/>
                              <w:szCs w:val="18"/>
                            </w:rPr>
                            <w:t>7</w:t>
                          </w:r>
                          <w:r w:rsidR="00CB7486">
                            <w:rPr>
                              <w:sz w:val="18"/>
                              <w:szCs w:val="18"/>
                            </w:rPr>
                            <w:t>2</w:t>
                          </w:r>
                        </w:p>
                      </w:txbxContent>
                    </v:textbox>
                  </v:shape>
                </v:group>
              </v:group>
            </w:pict>
          </mc:Fallback>
        </mc:AlternateContent>
      </w:r>
    </w:p>
    <w:p w14:paraId="3F6B4CD8" w14:textId="77777777" w:rsidR="00913866" w:rsidRPr="008642D1" w:rsidRDefault="00913866" w:rsidP="00913866">
      <w:pPr>
        <w:pStyle w:val="QuestionBox"/>
      </w:pPr>
    </w:p>
    <w:p w14:paraId="0D8447F4" w14:textId="47278D50" w:rsidR="00913866" w:rsidRDefault="00913866" w:rsidP="00D6498D">
      <w:pPr>
        <w:pStyle w:val="QuestionBox"/>
      </w:pPr>
      <w:r w:rsidRPr="008642D1">
        <w:t xml:space="preserve">Do you agree with our assessment of the implications </w:t>
      </w:r>
      <w:r w:rsidR="00D6498D" w:rsidRPr="00D6498D">
        <w:t xml:space="preserve">of this review </w:t>
      </w:r>
      <w:r w:rsidRPr="008642D1">
        <w:t xml:space="preserve">for Part 1A of the Human </w:t>
      </w:r>
      <w:r w:rsidR="00D6498D" w:rsidRPr="00D6498D">
        <w:t xml:space="preserve">Right Act </w:t>
      </w:r>
      <w:r w:rsidR="00280371">
        <w:t>1993</w:t>
      </w:r>
      <w:r w:rsidRPr="008642D1">
        <w:t xml:space="preserve"> and section 19 of </w:t>
      </w:r>
      <w:r w:rsidR="0052042C">
        <w:t xml:space="preserve">the </w:t>
      </w:r>
      <w:r w:rsidRPr="008642D1">
        <w:t>N</w:t>
      </w:r>
      <w:r w:rsidR="0052042C">
        <w:t xml:space="preserve">ew </w:t>
      </w:r>
      <w:r w:rsidRPr="008642D1">
        <w:t>Z</w:t>
      </w:r>
      <w:r w:rsidR="0052042C">
        <w:t>ealand</w:t>
      </w:r>
      <w:r w:rsidRPr="008642D1">
        <w:t xml:space="preserve"> Bill of Rights Act </w:t>
      </w:r>
      <w:r w:rsidR="00A546BF">
        <w:t>1990</w:t>
      </w:r>
      <w:r w:rsidR="00D6498D" w:rsidRPr="00D6498D">
        <w:t>?</w:t>
      </w:r>
    </w:p>
    <w:p w14:paraId="35621422" w14:textId="77777777" w:rsidR="00CB7486" w:rsidRPr="008642D1" w:rsidRDefault="00CB7486" w:rsidP="00D6498D">
      <w:pPr>
        <w:pStyle w:val="QuestionBox"/>
      </w:pPr>
    </w:p>
    <w:p w14:paraId="7F3BD83F" w14:textId="77777777" w:rsidR="00174F89" w:rsidRPr="008642D1" w:rsidRDefault="00174F89" w:rsidP="00174F89">
      <w:pPr>
        <w:pStyle w:val="BodyText"/>
        <w:numPr>
          <w:ilvl w:val="0"/>
          <w:numId w:val="0"/>
        </w:numPr>
        <w:ind w:left="709" w:hanging="709"/>
      </w:pPr>
      <w:r w:rsidRPr="008642D1">
        <w:rPr>
          <w:rFonts w:eastAsiaTheme="minorHAnsi"/>
          <w:noProof/>
          <w:lang w:eastAsia="en-NZ"/>
        </w:rPr>
        <mc:AlternateContent>
          <mc:Choice Requires="wpg">
            <w:drawing>
              <wp:anchor distT="0" distB="0" distL="114300" distR="114300" simplePos="0" relativeHeight="251658295" behindDoc="1" locked="0" layoutInCell="1" allowOverlap="1" wp14:anchorId="57FCF714" wp14:editId="78345B59">
                <wp:simplePos x="0" y="0"/>
                <wp:positionH relativeFrom="page">
                  <wp:posOffset>1080135</wp:posOffset>
                </wp:positionH>
                <wp:positionV relativeFrom="paragraph">
                  <wp:posOffset>314681</wp:posOffset>
                </wp:positionV>
                <wp:extent cx="1800000" cy="1270"/>
                <wp:effectExtent l="0" t="19050" r="10160" b="17780"/>
                <wp:wrapNone/>
                <wp:docPr id="968944609" name="Group 968944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134" y="-469"/>
                          <a:chExt cx="2098" cy="2"/>
                        </a:xfrm>
                      </wpg:grpSpPr>
                      <wps:wsp>
                        <wps:cNvPr id="363312626"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4BFCF" id="Group 968944609" o:spid="_x0000_s1026" style="position:absolute;margin-left:85.05pt;margin-top:24.8pt;width:141.75pt;height:.1pt;z-index:-251658185;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" path="m,l2097,e" filled="f" strokecolor="#72ab6a" strokeweight="3pt">
                  <v:path arrowok="t" o:connecttype="custom" o:connectlocs="0,0;2097,0" o:connectangles="0,0"/>
                </v:shape>
                <w10:wrap anchorx="page"/>
              </v:group>
            </w:pict>
          </mc:Fallback>
        </mc:AlternateContent>
      </w:r>
    </w:p>
    <w:p w14:paraId="35E3D2FC" w14:textId="77777777" w:rsidR="00174F89" w:rsidRPr="008642D1" w:rsidRDefault="00174F89" w:rsidP="00CB7486">
      <w:pPr>
        <w:pStyle w:val="BodyText"/>
        <w:numPr>
          <w:ilvl w:val="0"/>
          <w:numId w:val="0"/>
        </w:numPr>
        <w:ind w:left="709" w:hanging="709"/>
        <w:sectPr w:rsidR="00174F89" w:rsidRPr="008642D1" w:rsidSect="00174F89">
          <w:headerReference w:type="default" r:id="rId65"/>
          <w:footerReference w:type="even" r:id="rId66"/>
          <w:footnotePr>
            <w:numRestart w:val="eachSect"/>
          </w:footnotePr>
          <w:pgSz w:w="11920" w:h="16840"/>
          <w:pgMar w:top="1134" w:right="1134" w:bottom="1134" w:left="1701" w:header="499" w:footer="46" w:gutter="0"/>
          <w:cols w:space="720"/>
          <w:docGrid w:linePitch="272"/>
        </w:sectPr>
      </w:pPr>
    </w:p>
    <w:p w14:paraId="0021EF2F" w14:textId="7760BFDA" w:rsidR="00174F89" w:rsidRPr="008642D1" w:rsidRDefault="00174F89" w:rsidP="00174F89">
      <w:pPr>
        <w:pStyle w:val="HEADING2topchapter-notinTOC"/>
      </w:pPr>
      <w:r w:rsidRPr="008642D1">
        <w:t>CHAPTER 1</w:t>
      </w:r>
      <w:r w:rsidR="00AF1B41" w:rsidRPr="008642D1">
        <w:t>7</w:t>
      </w:r>
    </w:p>
    <w:p w14:paraId="30E18530" w14:textId="77777777" w:rsidR="00174F89" w:rsidRPr="008642D1" w:rsidRDefault="00174F89" w:rsidP="00174F89">
      <w:pPr>
        <w:spacing w:line="200" w:lineRule="exact"/>
        <w:rPr>
          <w:szCs w:val="20"/>
        </w:rPr>
      </w:pPr>
      <w:r w:rsidRPr="008642D1">
        <w:rPr>
          <w:noProof/>
          <w:lang w:eastAsia="en-NZ"/>
        </w:rPr>
        <mc:AlternateContent>
          <mc:Choice Requires="wpg">
            <w:drawing>
              <wp:anchor distT="0" distB="0" distL="114300" distR="114300" simplePos="0" relativeHeight="251658297" behindDoc="1" locked="0" layoutInCell="1" allowOverlap="1" wp14:anchorId="6EE434BB" wp14:editId="43C7E33E">
                <wp:simplePos x="0" y="0"/>
                <wp:positionH relativeFrom="page">
                  <wp:posOffset>1076325</wp:posOffset>
                </wp:positionH>
                <wp:positionV relativeFrom="paragraph">
                  <wp:posOffset>6350</wp:posOffset>
                </wp:positionV>
                <wp:extent cx="1332230" cy="1270"/>
                <wp:effectExtent l="0" t="19050" r="1270" b="17780"/>
                <wp:wrapNone/>
                <wp:docPr id="193126993" name="Group 193126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528783144"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6E35D" id="Group 193126993" o:spid="_x0000_s1026" style="position:absolute;margin-left:84.75pt;margin-top:.5pt;width:104.9pt;height:.1pt;z-index:-251658183;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56BF553C" w14:textId="03720F1A" w:rsidR="00174F89" w:rsidRPr="008642D1" w:rsidRDefault="00174F89" w:rsidP="00DF306B">
      <w:pPr>
        <w:pStyle w:val="Heading1nonum"/>
        <w:numPr>
          <w:ilvl w:val="0"/>
          <w:numId w:val="24"/>
        </w:numPr>
        <w:spacing w:before="600" w:after="240"/>
        <w:rPr>
          <w:rFonts w:eastAsia="Metropolis Black"/>
        </w:rPr>
      </w:pPr>
      <w:bookmarkStart w:id="180" w:name="_Toc166844486"/>
      <w:bookmarkStart w:id="181" w:name="_Toc170302203"/>
      <w:r w:rsidRPr="008642D1">
        <w:rPr>
          <w:rFonts w:eastAsia="Metropolis Black"/>
        </w:rPr>
        <w:t>Cross</w:t>
      </w:r>
      <w:r w:rsidR="00672AAB">
        <w:rPr>
          <w:rFonts w:eastAsia="Metropolis Black"/>
        </w:rPr>
        <w:t>-</w:t>
      </w:r>
      <w:r w:rsidRPr="008642D1">
        <w:rPr>
          <w:rFonts w:eastAsia="Metropolis Black"/>
        </w:rPr>
        <w:t>cutting issues</w:t>
      </w:r>
      <w:bookmarkEnd w:id="180"/>
      <w:bookmarkEnd w:id="181"/>
    </w:p>
    <w:p w14:paraId="0535BC03" w14:textId="77777777" w:rsidR="00174F89" w:rsidRPr="008642D1" w:rsidRDefault="00174F89" w:rsidP="00174F89">
      <w:pPr>
        <w:spacing w:line="200" w:lineRule="exact"/>
        <w:rPr>
          <w:szCs w:val="20"/>
        </w:rPr>
      </w:pPr>
      <w:r w:rsidRPr="008642D1">
        <w:rPr>
          <w:noProof/>
          <w:lang w:eastAsia="en-NZ"/>
        </w:rPr>
        <mc:AlternateContent>
          <mc:Choice Requires="wpg">
            <w:drawing>
              <wp:anchor distT="0" distB="0" distL="114300" distR="114300" simplePos="0" relativeHeight="251658296" behindDoc="1" locked="0" layoutInCell="1" allowOverlap="1" wp14:anchorId="66659E5C" wp14:editId="63790B48">
                <wp:simplePos x="0" y="0"/>
                <wp:positionH relativeFrom="page">
                  <wp:posOffset>1087427</wp:posOffset>
                </wp:positionH>
                <wp:positionV relativeFrom="paragraph">
                  <wp:posOffset>71755</wp:posOffset>
                </wp:positionV>
                <wp:extent cx="1332230" cy="1270"/>
                <wp:effectExtent l="0" t="19050" r="1270" b="17780"/>
                <wp:wrapNone/>
                <wp:docPr id="60466575" name="Group 60466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161262944"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B5318" id="Group 60466575" o:spid="_x0000_s1026" style="position:absolute;margin-left:85.6pt;margin-top:5.65pt;width:104.9pt;height:.1pt;z-index:-251658184;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6BF64C64" w14:textId="77777777" w:rsidR="001E69E7" w:rsidRPr="008642D1" w:rsidRDefault="001E69E7" w:rsidP="001E69E7">
      <w:bookmarkStart w:id="182" w:name="_Toc166844487"/>
    </w:p>
    <w:p w14:paraId="797A7110" w14:textId="7F1F39B8" w:rsidR="00174F89" w:rsidRPr="008642D1" w:rsidRDefault="00174F89" w:rsidP="00174F89">
      <w:pPr>
        <w:pStyle w:val="Heading2"/>
      </w:pPr>
      <w:bookmarkStart w:id="183" w:name="_Toc170302204"/>
      <w:r w:rsidRPr="008642D1">
        <w:t>Introduction</w:t>
      </w:r>
      <w:bookmarkEnd w:id="182"/>
      <w:bookmarkEnd w:id="183"/>
    </w:p>
    <w:p w14:paraId="3BB591A7" w14:textId="5C7F2C1D" w:rsidR="001E69E7" w:rsidRPr="008642D1" w:rsidRDefault="001E69E7" w:rsidP="001E69E7">
      <w:pPr>
        <w:pStyle w:val="BodyText"/>
        <w:tabs>
          <w:tab w:val="num" w:pos="709"/>
        </w:tabs>
      </w:pPr>
      <w:r w:rsidRPr="008642D1">
        <w:t>In this chapter</w:t>
      </w:r>
      <w:r w:rsidR="00F73235">
        <w:t>,</w:t>
      </w:r>
      <w:r w:rsidRPr="008642D1">
        <w:t xml:space="preserve"> we discuss three cross-cutting issues that have implications for both Parts</w:t>
      </w:r>
      <w:r w:rsidRPr="008642D1">
        <w:rPr>
          <w:rFonts w:ascii="Calibri" w:hAnsi="Calibri" w:cs="Calibri"/>
        </w:rPr>
        <w:t> </w:t>
      </w:r>
      <w:r w:rsidRPr="008642D1">
        <w:t>1A and 2 of the Human Rights Act 1993. These are:</w:t>
      </w:r>
    </w:p>
    <w:p w14:paraId="3FA190BB" w14:textId="2D974E2C" w:rsidR="001E69E7" w:rsidRPr="008642D1" w:rsidRDefault="000977EE" w:rsidP="001E69E7">
      <w:pPr>
        <w:pStyle w:val="BodyTextnonum"/>
        <w:numPr>
          <w:ilvl w:val="3"/>
          <w:numId w:val="23"/>
        </w:numPr>
        <w:tabs>
          <w:tab w:val="num" w:pos="709"/>
        </w:tabs>
      </w:pPr>
      <w:r>
        <w:t>t</w:t>
      </w:r>
      <w:r w:rsidR="001E69E7" w:rsidRPr="008642D1">
        <w:t>he potential impacts of any reforms we propose on the ability of Māori to live in accordance with tikanga</w:t>
      </w:r>
      <w:r>
        <w:t>;</w:t>
      </w:r>
    </w:p>
    <w:p w14:paraId="343A2057" w14:textId="032600B4" w:rsidR="001E69E7" w:rsidRPr="008642D1" w:rsidRDefault="000977EE" w:rsidP="001E69E7">
      <w:pPr>
        <w:pStyle w:val="BodyTextnonum"/>
        <w:numPr>
          <w:ilvl w:val="3"/>
          <w:numId w:val="23"/>
        </w:numPr>
        <w:tabs>
          <w:tab w:val="num" w:pos="709"/>
        </w:tabs>
      </w:pPr>
      <w:r>
        <w:t>m</w:t>
      </w:r>
      <w:r w:rsidR="001E69E7" w:rsidRPr="008642D1">
        <w:t>isgendering and deadnaming</w:t>
      </w:r>
      <w:r>
        <w:t>; and</w:t>
      </w:r>
    </w:p>
    <w:p w14:paraId="34F76B3E" w14:textId="63F5AE23" w:rsidR="001E69E7" w:rsidRPr="008642D1" w:rsidRDefault="000977EE" w:rsidP="001E69E7">
      <w:pPr>
        <w:pStyle w:val="BodyTextnonum"/>
        <w:numPr>
          <w:ilvl w:val="3"/>
          <w:numId w:val="23"/>
        </w:numPr>
        <w:tabs>
          <w:tab w:val="num" w:pos="709"/>
        </w:tabs>
      </w:pPr>
      <w:r>
        <w:t>s</w:t>
      </w:r>
      <w:r w:rsidR="001E69E7" w:rsidRPr="008642D1">
        <w:t>ome examples of binary language in the Human Rights Act.</w:t>
      </w:r>
    </w:p>
    <w:p w14:paraId="12DA07DC" w14:textId="77777777" w:rsidR="001E69E7" w:rsidRPr="008642D1" w:rsidRDefault="001E69E7" w:rsidP="001E69E7">
      <w:pPr>
        <w:pStyle w:val="Heading2"/>
      </w:pPr>
      <w:bookmarkStart w:id="184" w:name="_Toc170302205"/>
      <w:r w:rsidRPr="008642D1">
        <w:t>Potential for interference with tikanga</w:t>
      </w:r>
      <w:bookmarkEnd w:id="184"/>
      <w:r w:rsidRPr="008642D1">
        <w:t xml:space="preserve"> </w:t>
      </w:r>
    </w:p>
    <w:p w14:paraId="516C50B2" w14:textId="00A43B1B" w:rsidR="001E69E7" w:rsidRPr="008642D1" w:rsidRDefault="001E69E7" w:rsidP="001E69E7">
      <w:pPr>
        <w:pStyle w:val="BodyText"/>
        <w:tabs>
          <w:tab w:val="clear" w:pos="709"/>
        </w:tabs>
      </w:pPr>
      <w:r w:rsidRPr="008642D1">
        <w:t xml:space="preserve">We need to consider and address the potential impacts of any reform we propose on the ability of Māori to live in accordance with tikanga. This issue arises because, in </w:t>
      </w:r>
      <w:r w:rsidRPr="008642D1">
        <w:rPr>
          <w:i/>
          <w:iCs/>
        </w:rPr>
        <w:t xml:space="preserve">Bullock v Department </w:t>
      </w:r>
      <w:r w:rsidRPr="008642D1">
        <w:rPr>
          <w:i/>
        </w:rPr>
        <w:t>of Corrections</w:t>
      </w:r>
      <w:r w:rsidRPr="008642D1">
        <w:t>, Te Taraipiunara Mana Tangata | Human Rights Review Tribunal held that requiring a (Pākehā) employee to participate in a role that aligned with her sex in a poroporoaki (leaving ceremony) at which tikanga was being observed breached the Human Rights Act.</w:t>
      </w:r>
      <w:r w:rsidRPr="008642D1">
        <w:rPr>
          <w:rStyle w:val="FootnoteReference"/>
        </w:rPr>
        <w:footnoteReference w:id="715"/>
      </w:r>
      <w:r w:rsidRPr="008642D1">
        <w:t xml:space="preserve"> Specifically, the Tribunal found that the applicant had been subject to a “detriment” by reason of her sex in breach of the Act’s employment protections.</w:t>
      </w:r>
      <w:r w:rsidRPr="008642D1">
        <w:rPr>
          <w:rStyle w:val="FootnoteReference"/>
        </w:rPr>
        <w:footnoteReference w:id="716"/>
      </w:r>
    </w:p>
    <w:p w14:paraId="4360AB55" w14:textId="77777777" w:rsidR="001E69E7" w:rsidRPr="008642D1" w:rsidRDefault="001E69E7" w:rsidP="001E69E7">
      <w:pPr>
        <w:pStyle w:val="BodyText"/>
        <w:tabs>
          <w:tab w:val="clear" w:pos="709"/>
        </w:tabs>
      </w:pPr>
      <w:r w:rsidRPr="008642D1">
        <w:t xml:space="preserve">If new grounds of discrimination were added to section 21 of the Human Rights Act along the lines we have been exploring in this Issues Paper, it is possible to imagine the logic of </w:t>
      </w:r>
      <w:r w:rsidRPr="008642D1">
        <w:rPr>
          <w:i/>
          <w:iCs/>
        </w:rPr>
        <w:t xml:space="preserve">Bullock </w:t>
      </w:r>
      <w:r w:rsidRPr="008642D1">
        <w:t>being applied to those grounds. For example, a transgender man might argue that asking him to sit with women</w:t>
      </w:r>
      <w:r w:rsidRPr="008642D1" w:rsidDel="00704217">
        <w:t xml:space="preserve"> </w:t>
      </w:r>
      <w:r w:rsidRPr="008642D1">
        <w:t xml:space="preserve">at a pōwhiri (welcome ceremony) is discrimination based on his gender identity. </w:t>
      </w:r>
    </w:p>
    <w:p w14:paraId="6E99C094" w14:textId="77777777" w:rsidR="001E69E7" w:rsidRPr="008642D1" w:rsidRDefault="001E69E7" w:rsidP="001E69E7">
      <w:pPr>
        <w:pStyle w:val="BodyText"/>
        <w:tabs>
          <w:tab w:val="num" w:pos="709"/>
        </w:tabs>
      </w:pPr>
      <w:r w:rsidRPr="008642D1">
        <w:t xml:space="preserve">We want to understand whether there is a real prospect of a complaint of this kind succeeding. If so, we want to understand whether it would amount to a widening of the circumstances in which state law institutions can interfere with the ability of Māori to live in accordance with tikanga (and, if so, what should be done about it). </w:t>
      </w:r>
    </w:p>
    <w:p w14:paraId="1B7DF2C4" w14:textId="77777777" w:rsidR="001E69E7" w:rsidRPr="008642D1" w:rsidRDefault="001E69E7" w:rsidP="001E69E7">
      <w:pPr>
        <w:pStyle w:val="Heading3"/>
      </w:pPr>
      <w:r w:rsidRPr="008642D1">
        <w:t>Relevant reform considerations</w:t>
      </w:r>
    </w:p>
    <w:p w14:paraId="49D70C90" w14:textId="18F59132" w:rsidR="001E69E7" w:rsidRPr="008642D1" w:rsidRDefault="001E69E7" w:rsidP="001E69E7">
      <w:pPr>
        <w:pStyle w:val="BodyText"/>
        <w:rPr>
          <w:rFonts w:eastAsiaTheme="minorEastAsia" w:cs="Aptos"/>
          <w:szCs w:val="20"/>
        </w:rPr>
      </w:pPr>
      <w:r w:rsidRPr="008642D1">
        <w:t>As we explained in Chapter 4, analysis of the impact of policy proposals on tikanga is an established tenet of good law</w:t>
      </w:r>
      <w:r w:rsidR="001D7416">
        <w:t xml:space="preserve"> </w:t>
      </w:r>
      <w:r w:rsidRPr="008642D1">
        <w:t>making in Aotearoa New Zealand. It is also required to discharge the Crown’s obligations under te Tiriti o Waitangi | Treaty of Waitangi</w:t>
      </w:r>
      <w:r w:rsidR="00B609AB">
        <w:t xml:space="preserve"> (the Treaty)</w:t>
      </w:r>
      <w:r w:rsidRPr="008642D1">
        <w:t>. Specifically, the Crown undertook in article 2 of the Treaty to protect the exercise by Māori of tino rangatiratanga over their lands, villages and all their treasures — “ko te Kuini o Ingarani ka wakarite ka wakaae ki nga Rangatira ki nga hapu — ki nga tangata katoa o Nu Tirani te tino rangatiratanga o o ratou wenua o ratou kainga me o ratou taonga katoa”.</w:t>
      </w:r>
      <w:r w:rsidRPr="008642D1">
        <w:rPr>
          <w:rStyle w:val="FootnoteReference"/>
        </w:rPr>
        <w:footnoteReference w:id="717"/>
      </w:r>
    </w:p>
    <w:p w14:paraId="5A09D577" w14:textId="2BAE9F3B" w:rsidR="001E69E7" w:rsidRPr="008642D1" w:rsidRDefault="001E69E7" w:rsidP="001E69E7">
      <w:pPr>
        <w:pStyle w:val="BodyText"/>
        <w:rPr>
          <w:rFonts w:eastAsiaTheme="minorEastAsia"/>
        </w:rPr>
      </w:pPr>
      <w:r w:rsidRPr="008642D1">
        <w:rPr>
          <w:rFonts w:eastAsiaTheme="minorEastAsia"/>
        </w:rPr>
        <w:t>Tino rangatiratanga has been explained as the unqualified exercise of the chieftainship or trusteeship of rangatira (chiefs) in accordance with their customs.</w:t>
      </w:r>
      <w:r w:rsidRPr="008642D1">
        <w:rPr>
          <w:rStyle w:val="FootnoteReference"/>
          <w:rFonts w:eastAsiaTheme="minorEastAsia" w:cs="Aptos"/>
          <w:szCs w:val="20"/>
        </w:rPr>
        <w:footnoteReference w:id="718"/>
      </w:r>
      <w:r w:rsidRPr="008642D1">
        <w:rPr>
          <w:rFonts w:eastAsiaTheme="minorEastAsia"/>
        </w:rPr>
        <w:t xml:space="preserve"> However, rangatiratanga is not only about the authority and responsibilities of rangatira. It can also involve the authority and responsibilities of Māori collectives</w:t>
      </w:r>
      <w:r w:rsidR="00164C01">
        <w:rPr>
          <w:rFonts w:eastAsiaTheme="minorEastAsia"/>
        </w:rPr>
        <w:t>,</w:t>
      </w:r>
      <w:r w:rsidRPr="008642D1">
        <w:rPr>
          <w:rFonts w:eastAsiaTheme="minorEastAsia"/>
        </w:rPr>
        <w:t xml:space="preserve"> including hapū, whānau and non-tribal/non-kin groups.</w:t>
      </w:r>
      <w:r w:rsidRPr="008642D1">
        <w:rPr>
          <w:rStyle w:val="FootnoteReference"/>
          <w:rFonts w:eastAsiaTheme="minorEastAsia" w:cs="Aptos"/>
          <w:szCs w:val="20"/>
        </w:rPr>
        <w:footnoteReference w:id="719"/>
      </w:r>
      <w:r w:rsidRPr="008642D1">
        <w:rPr>
          <w:rFonts w:eastAsiaTheme="minorEastAsia"/>
        </w:rPr>
        <w:t xml:space="preserve"> According to </w:t>
      </w:r>
      <w:r w:rsidRPr="008642D1">
        <w:t>Te Rōpū Whakamana i te Tiriti o Waitangi |</w:t>
      </w:r>
      <w:r w:rsidRPr="008642D1" w:rsidDel="00434F77">
        <w:t xml:space="preserve"> </w:t>
      </w:r>
      <w:r w:rsidRPr="008642D1">
        <w:rPr>
          <w:rFonts w:eastAsiaTheme="minorEastAsia"/>
        </w:rPr>
        <w:t>Waitangi Tribunal, tino rangatiratanga requires the Crown “to allow Māori to manage their own affairs in a way that aligns with their customs and values”.</w:t>
      </w:r>
      <w:r w:rsidRPr="008642D1">
        <w:rPr>
          <w:rStyle w:val="FootnoteReference"/>
          <w:rFonts w:eastAsiaTheme="minorEastAsia" w:cs="Aptos"/>
          <w:szCs w:val="20"/>
        </w:rPr>
        <w:footnoteReference w:id="720"/>
      </w:r>
      <w:r w:rsidRPr="008642D1">
        <w:rPr>
          <w:rFonts w:eastAsiaTheme="minorEastAsia"/>
        </w:rPr>
        <w:t xml:space="preserve"> </w:t>
      </w:r>
    </w:p>
    <w:p w14:paraId="464F1850" w14:textId="1132BAEB" w:rsidR="001E69E7" w:rsidRPr="008642D1" w:rsidRDefault="001E69E7" w:rsidP="00CD6B3B">
      <w:pPr>
        <w:pStyle w:val="BodyText"/>
        <w:rPr>
          <w:rFonts w:eastAsiaTheme="minorEastAsia" w:cs="Aptos"/>
          <w:szCs w:val="20"/>
        </w:rPr>
      </w:pPr>
      <w:r w:rsidRPr="008642D1">
        <w:rPr>
          <w:rFonts w:eastAsiaTheme="minorEastAsia" w:cs="Aptos"/>
          <w:szCs w:val="20"/>
        </w:rPr>
        <w:t>In the context of this review, we think the primary relevance of article 2 is as a reminder that we should not propose amendments to the Human Rights Act that increase the potential for state law to interfere with tikanga.</w:t>
      </w:r>
    </w:p>
    <w:p w14:paraId="636485FC" w14:textId="77777777" w:rsidR="001E69E7" w:rsidRPr="008642D1" w:rsidRDefault="001E69E7" w:rsidP="001E69E7">
      <w:pPr>
        <w:pStyle w:val="Heading3"/>
        <w:rPr>
          <w:rFonts w:eastAsiaTheme="minorEastAsia"/>
        </w:rPr>
      </w:pPr>
      <w:r w:rsidRPr="008642D1">
        <w:rPr>
          <w:rFonts w:eastAsiaTheme="minorEastAsia"/>
        </w:rPr>
        <w:t>Would amending section 21 increase the potential for state law to interfere with tikanga?</w:t>
      </w:r>
    </w:p>
    <w:p w14:paraId="2274F4FB" w14:textId="35B83008" w:rsidR="001E69E7" w:rsidRPr="008642D1" w:rsidRDefault="001E69E7" w:rsidP="001E69E7">
      <w:pPr>
        <w:pStyle w:val="BodyText"/>
      </w:pPr>
      <w:r w:rsidRPr="008642D1">
        <w:t>As we explained in Chapter 5, a range of approaches is</w:t>
      </w:r>
      <w:r w:rsidRPr="008642D1" w:rsidDel="00EB21F3">
        <w:t xml:space="preserve"> </w:t>
      </w:r>
      <w:r w:rsidRPr="008642D1">
        <w:t>emerging within te ao Māori (the Māori world) as to the roles that Māori who are transgender or non-binary or who have an innate variation of sex characteristics can fulfil in activities that are sex-differentiated according to the tikanga of a particular Māori group.</w:t>
      </w:r>
      <w:r w:rsidRPr="008642D1">
        <w:rPr>
          <w:rStyle w:val="FootnoteReference"/>
        </w:rPr>
        <w:footnoteReference w:id="721"/>
      </w:r>
      <w:r w:rsidRPr="008642D1">
        <w:rPr>
          <w:lang w:val="mi-NZ"/>
        </w:rPr>
        <w:t xml:space="preserve"> The approach that is taken on any </w:t>
      </w:r>
      <w:r w:rsidR="005E3D5B">
        <w:rPr>
          <w:lang w:val="mi-NZ"/>
        </w:rPr>
        <w:t>particular</w:t>
      </w:r>
      <w:r w:rsidR="005E3D5B" w:rsidRPr="008642D1">
        <w:rPr>
          <w:lang w:val="mi-NZ"/>
        </w:rPr>
        <w:t xml:space="preserve"> </w:t>
      </w:r>
      <w:r w:rsidRPr="008642D1">
        <w:rPr>
          <w:lang w:val="mi-NZ"/>
        </w:rPr>
        <w:t xml:space="preserve">occasion can </w:t>
      </w:r>
      <w:r w:rsidRPr="008642D1">
        <w:t>depend on factors such as the tikanga of the particular hapū or marae, the mana of the individual, the particular practice at issue and the reasons that underlie the tikanga.</w:t>
      </w:r>
    </w:p>
    <w:p w14:paraId="7BE71241" w14:textId="77777777" w:rsidR="001E69E7" w:rsidRPr="008642D1" w:rsidRDefault="001E69E7" w:rsidP="001E69E7">
      <w:pPr>
        <w:pStyle w:val="BodyText"/>
        <w:tabs>
          <w:tab w:val="num" w:pos="709"/>
        </w:tabs>
      </w:pPr>
      <w:r w:rsidRPr="008642D1">
        <w:t>For three reasons, we think amendments to section 21 along the lines we are exploring in this Issues Paper may make little difference in practice to the potential for state law to interfere with sex-differentiated tikanga activities. We are interested to hear feedback on whether we have understood the situation correctly.</w:t>
      </w:r>
    </w:p>
    <w:p w14:paraId="6AB435FB" w14:textId="77777777" w:rsidR="001E69E7" w:rsidRPr="008642D1" w:rsidRDefault="001E69E7" w:rsidP="001E69E7">
      <w:pPr>
        <w:pStyle w:val="Heading4"/>
      </w:pPr>
      <w:r w:rsidRPr="008642D1">
        <w:t>Many tikanga activities fall outside the scope of the Human Rights Act</w:t>
      </w:r>
    </w:p>
    <w:p w14:paraId="1E87CD74" w14:textId="77777777" w:rsidR="001E69E7" w:rsidRPr="008642D1" w:rsidRDefault="001E69E7" w:rsidP="001E69E7">
      <w:pPr>
        <w:pStyle w:val="BodyText"/>
      </w:pPr>
      <w:r w:rsidRPr="008642D1">
        <w:t xml:space="preserve">First, it is important to stress that many tikanga activities occur in situations that are beyond the reach of the Human Rights Act. As we have explained elsewhere in this Issues Paper, the Human Rights Act only regulates government functions (Part 1A) and certain specified areas of life such as employment, education, provision of housing and access to goods, services and facilities (Part 2). Many sex-differentiated tikanga activities fall outside of those categories.  </w:t>
      </w:r>
    </w:p>
    <w:p w14:paraId="5AE1AADD" w14:textId="466C0DD0" w:rsidR="001E69E7" w:rsidRPr="008642D1" w:rsidRDefault="001E69E7" w:rsidP="001E69E7">
      <w:pPr>
        <w:pStyle w:val="BodyText"/>
      </w:pPr>
      <w:r w:rsidRPr="008642D1">
        <w:t xml:space="preserve">Based on our preliminary engagement, it also seems unlikely that Māori themselves would use the Human Rights Act to challenge tikanga activities. As we explained in Chapter 5, we held a wānanga to better understand Māori perspectives relevant to this review. At that wānanga, we were told that Māori who are transgender or non-binary or who have an innate variation of sex characteristics have no interest in state law institutions inserting themselves into the conversations that are occurring in te ao Māori about how to accommodate gender diversity or variations </w:t>
      </w:r>
      <w:r w:rsidR="00EB0008">
        <w:t>of</w:t>
      </w:r>
      <w:r w:rsidRPr="008642D1">
        <w:t xml:space="preserve"> sex characteristics within tikanga activities. </w:t>
      </w:r>
    </w:p>
    <w:p w14:paraId="1E64C451" w14:textId="77777777" w:rsidR="001E69E7" w:rsidRPr="008642D1" w:rsidRDefault="001E69E7" w:rsidP="001E69E7">
      <w:pPr>
        <w:pStyle w:val="BodyText"/>
        <w:tabs>
          <w:tab w:val="num" w:pos="709"/>
        </w:tabs>
      </w:pPr>
      <w:r w:rsidRPr="008642D1">
        <w:t xml:space="preserve">That said, we recognise this might not represent the views of all Māori individuals or community groups. Further, some sex-differentiated tikanga activities may occur in situations that are regulated by the Human Rights Act and that could involve Māori and non-Māori (such as in </w:t>
      </w:r>
      <w:r w:rsidRPr="008642D1">
        <w:rPr>
          <w:i/>
          <w:iCs/>
        </w:rPr>
        <w:t>Bullock</w:t>
      </w:r>
      <w:r w:rsidRPr="008642D1">
        <w:t>).</w:t>
      </w:r>
      <w:r w:rsidRPr="008642D1">
        <w:rPr>
          <w:i/>
          <w:iCs/>
        </w:rPr>
        <w:t xml:space="preserve"> </w:t>
      </w:r>
      <w:r w:rsidRPr="008642D1">
        <w:t>This would include when Māori-led organisations or businesses engage in activities regulated by Part 2 (such as providing education or offering goods, services and facilities to the public). It would also include when organisations that are not kaupapa Māori organisations adopt or apply tikanga</w:t>
      </w:r>
      <w:r w:rsidRPr="008642D1" w:rsidDel="0062347E">
        <w:t xml:space="preserve"> </w:t>
      </w:r>
      <w:r w:rsidRPr="008642D1">
        <w:t xml:space="preserve">(such as the government department in </w:t>
      </w:r>
      <w:r w:rsidRPr="008642D1">
        <w:rPr>
          <w:i/>
          <w:iCs/>
        </w:rPr>
        <w:t>Bullock</w:t>
      </w:r>
      <w:r w:rsidRPr="008642D1">
        <w:t>).</w:t>
      </w:r>
    </w:p>
    <w:p w14:paraId="1ACC1DB6" w14:textId="2CE6005D" w:rsidR="001E69E7" w:rsidRPr="008642D1" w:rsidRDefault="001E69E7" w:rsidP="001E69E7">
      <w:pPr>
        <w:pStyle w:val="BodyText"/>
        <w:tabs>
          <w:tab w:val="num" w:pos="709"/>
        </w:tabs>
      </w:pPr>
      <w:r w:rsidRPr="008642D1">
        <w:t xml:space="preserve">It is even possible some activities that occur on a marae might fall within the jurisdiction of the Human Rights Act (at least on the face of it). Some marae-based activities might be categorised as public functions to which Part 1A applies. For example, marae are sometimes used as Rangatahi Courts or COVID-19 vaccination centres. Other activities might be captured by Part 2 such as where a marae is being hired out as a venue for a meeting, event or conference. </w:t>
      </w:r>
    </w:p>
    <w:p w14:paraId="239C9122" w14:textId="77777777" w:rsidR="001E69E7" w:rsidRPr="008642D1" w:rsidRDefault="001E69E7" w:rsidP="001E69E7">
      <w:pPr>
        <w:pStyle w:val="Heading4"/>
      </w:pPr>
      <w:r w:rsidRPr="008642D1">
        <w:t>Complaints can already be taken on the prohibited ground of sex</w:t>
      </w:r>
    </w:p>
    <w:p w14:paraId="487879CD" w14:textId="77777777" w:rsidR="001E69E7" w:rsidRPr="008642D1" w:rsidRDefault="001E69E7" w:rsidP="001E69E7">
      <w:pPr>
        <w:pStyle w:val="BodyText"/>
      </w:pPr>
      <w:r w:rsidRPr="008642D1">
        <w:t xml:space="preserve">In this review we cannot address the existing relationship between tikanga and the Human Rights Act. Our focus is on the impact of any reforms we propose. Our preliminary assessment is that this impact might be quite small. This is because, on the logic of </w:t>
      </w:r>
      <w:r w:rsidRPr="008642D1">
        <w:rPr>
          <w:i/>
          <w:iCs/>
        </w:rPr>
        <w:t>Bullock</w:t>
      </w:r>
      <w:r w:rsidRPr="008642D1">
        <w:t>, a person who is transgender could already challenge a sex-differentiated tikanga activity as discrimination on the existing ground of sex. Adding new grounds of discrimination would make little or no difference to the availability of such a challenge.</w:t>
      </w:r>
    </w:p>
    <w:p w14:paraId="50E58D01" w14:textId="77777777" w:rsidR="001E69E7" w:rsidRPr="008642D1" w:rsidRDefault="001E69E7" w:rsidP="001E69E7">
      <w:pPr>
        <w:pStyle w:val="BodyText"/>
      </w:pPr>
      <w:r w:rsidRPr="008642D1">
        <w:t xml:space="preserve">Take the example of a transgender man who argues that asking him to sit with women at a pōwhiri (welcome ceremony) is discriminatory. Amendments to the Human Rights Act along the lines we are considering in this review might clarify that (assuming </w:t>
      </w:r>
      <w:r w:rsidRPr="008642D1">
        <w:rPr>
          <w:i/>
          <w:iCs/>
        </w:rPr>
        <w:t xml:space="preserve">Bullock </w:t>
      </w:r>
      <w:r w:rsidRPr="008642D1">
        <w:t xml:space="preserve">is correct) the transgender man could take a discrimination claim based on his gender identity. However, the transgender man would already be able to argue (again, assuming </w:t>
      </w:r>
      <w:r w:rsidRPr="008642D1">
        <w:rPr>
          <w:i/>
          <w:iCs/>
        </w:rPr>
        <w:t xml:space="preserve">Bullock </w:t>
      </w:r>
      <w:r w:rsidRPr="008642D1">
        <w:t>is correct) that he had experienced discrimination based on his sex assigned at birth. Whereas a person assigned male at birth was permitted to sit in the front row, the transgender man (assigned female at birth) was not. That claim is available regardless of whether the opinion from Te Tari Ture o te Karauna | Crown Law that we discussed in Chapter 6 (that sex includes gender identity) is correct.</w:t>
      </w:r>
    </w:p>
    <w:p w14:paraId="115F4FE9" w14:textId="738081F0" w:rsidR="001E69E7" w:rsidRPr="008642D1" w:rsidRDefault="001E69E7" w:rsidP="001E69E7">
      <w:pPr>
        <w:pStyle w:val="BodyText"/>
        <w:tabs>
          <w:tab w:val="num" w:pos="709"/>
        </w:tabs>
      </w:pPr>
      <w:r w:rsidRPr="008642D1">
        <w:t>If we have understood this correctly, as a matter of law, the amendments to section 21 that we are considering would not widen the circumstances in which state law can interfere with tikanga. To the extent that potential exists, it is there already.</w:t>
      </w:r>
    </w:p>
    <w:p w14:paraId="10894A61" w14:textId="3CE41BEE" w:rsidR="001E69E7" w:rsidRPr="008642D1" w:rsidRDefault="001E69E7" w:rsidP="001E69E7">
      <w:pPr>
        <w:pStyle w:val="BodyText"/>
        <w:tabs>
          <w:tab w:val="num" w:pos="709"/>
        </w:tabs>
      </w:pPr>
      <w:r w:rsidRPr="008642D1">
        <w:t>As a practical matter, however, someone in the transgender man’s position may be more inclined to complain of discrimination if they can rely on their gender identity. A claim based on sex would require them to rely on their sex assigned at birth (female) when they might regard their sex as male</w:t>
      </w:r>
      <w:r w:rsidR="00E650BC">
        <w:t>. S</w:t>
      </w:r>
      <w:r w:rsidRPr="008642D1">
        <w:t xml:space="preserve">o we accept that the addition of new grounds to section 21 might have the potential to encourage more claims. Whether they would succeed is another matter, as we discuss below. </w:t>
      </w:r>
    </w:p>
    <w:p w14:paraId="7DF72F92" w14:textId="77777777" w:rsidR="001E69E7" w:rsidRPr="008642D1" w:rsidRDefault="001E69E7" w:rsidP="001E69E7">
      <w:pPr>
        <w:pStyle w:val="Heading4"/>
      </w:pPr>
      <w:r w:rsidRPr="008642D1">
        <w:rPr>
          <w:i w:val="0"/>
        </w:rPr>
        <w:t>Bullock</w:t>
      </w:r>
      <w:r w:rsidRPr="008642D1">
        <w:t xml:space="preserve"> may no longer reflect how cases would be decided</w:t>
      </w:r>
    </w:p>
    <w:p w14:paraId="0EE8E70F" w14:textId="2BEC8809" w:rsidR="001E69E7" w:rsidRPr="008642D1" w:rsidRDefault="001E69E7" w:rsidP="001E69E7">
      <w:pPr>
        <w:pStyle w:val="BodyText"/>
      </w:pPr>
      <w:r w:rsidRPr="008642D1">
        <w:t>A third reason why the amendments we are considering may make little difference in practice to the ability of state law to interfere with tikanga is that it is by no means clear that a case like</w:t>
      </w:r>
      <w:r w:rsidRPr="008642D1" w:rsidDel="006D0553">
        <w:t xml:space="preserve"> </w:t>
      </w:r>
      <w:r w:rsidRPr="008642D1">
        <w:rPr>
          <w:i/>
          <w:iCs/>
        </w:rPr>
        <w:t>Bullock</w:t>
      </w:r>
      <w:r w:rsidRPr="008642D1">
        <w:rPr>
          <w:i/>
        </w:rPr>
        <w:t xml:space="preserve"> </w:t>
      </w:r>
      <w:r w:rsidRPr="008642D1">
        <w:t xml:space="preserve">would be decided the same way if it came again before the Human Rights Review Tribunal. </w:t>
      </w:r>
      <w:r w:rsidRPr="008642D1">
        <w:rPr>
          <w:i/>
          <w:iCs/>
        </w:rPr>
        <w:t>Bullock</w:t>
      </w:r>
      <w:r w:rsidRPr="008642D1">
        <w:t xml:space="preserve"> is a decision of a first</w:t>
      </w:r>
      <w:r w:rsidR="00B4340F">
        <w:t>-</w:t>
      </w:r>
      <w:r w:rsidRPr="008642D1">
        <w:t>instance tribunal that has never been confirmed by a court. It is 16 years old. Since it was determined, Te Kōti Mana Nui | Supreme Court has affirmed on several occasions that tikanga values are part of the common law of Aotearoa New Zealand.</w:t>
      </w:r>
      <w:r w:rsidRPr="008642D1">
        <w:rPr>
          <w:rStyle w:val="FootnoteReference"/>
        </w:rPr>
        <w:footnoteReference w:id="722"/>
      </w:r>
      <w:r w:rsidRPr="008642D1">
        <w:t xml:space="preserve"> In the light of that development, we think it is questionable whether it remains good law. </w:t>
      </w:r>
    </w:p>
    <w:p w14:paraId="17F4D709" w14:textId="7713C691" w:rsidR="001E69E7" w:rsidRPr="008642D1" w:rsidRDefault="001E69E7" w:rsidP="001E69E7">
      <w:pPr>
        <w:pStyle w:val="BodyText"/>
      </w:pPr>
      <w:r w:rsidRPr="008642D1">
        <w:t>Specifically, we question whether the Human Rights Review Tribunal would still conclude that asking the complainant to participate in the poroporoaki in a role that accorded with the tikanga of the event constituted a “detriment” in breach of employment protections in the Human Rights Act.</w:t>
      </w:r>
      <w:r w:rsidRPr="008642D1">
        <w:rPr>
          <w:rStyle w:val="FootnoteReference"/>
        </w:rPr>
        <w:footnoteReference w:id="723"/>
      </w:r>
      <w:r w:rsidRPr="008642D1">
        <w:t xml:space="preserve"> We appreciate this might depend on the facts and evidence. However, in applying an evaluative standard such as “detriment”, we think the Tribunal (or courts on appeal) would likely take into account the fact tikanga values are part of the common law and weigh the benefits of enabling people (such as the Māori offenders in </w:t>
      </w:r>
      <w:r w:rsidRPr="008642D1">
        <w:rPr>
          <w:i/>
        </w:rPr>
        <w:t>Bullock</w:t>
      </w:r>
      <w:r w:rsidRPr="008642D1">
        <w:t>) to participate in tikanga activities against the somewhat minor inconvenience to the complainant.</w:t>
      </w:r>
    </w:p>
    <w:p w14:paraId="26EA2AAB" w14:textId="3A027C66" w:rsidR="001E69E7" w:rsidRPr="008642D1" w:rsidRDefault="001E69E7" w:rsidP="001E69E7">
      <w:pPr>
        <w:pStyle w:val="BodyText"/>
      </w:pPr>
      <w:r w:rsidRPr="008642D1">
        <w:t>There is evaluative language elsewhere in the Human Rights Act that would similarly allow an assessment of this kind. For example, there are other Part 2 protections that use the language of “detriment” or (to similar effect) being treated “less favourably”.</w:t>
      </w:r>
      <w:r w:rsidRPr="008642D1">
        <w:rPr>
          <w:rStyle w:val="FootnoteReference"/>
        </w:rPr>
        <w:footnoteReference w:id="724"/>
      </w:r>
      <w:r w:rsidRPr="008642D1">
        <w:t xml:space="preserve"> In some areas of life regulated by Part 2, the Tribunal can declare that something is not unlawful because there is “a genuine justification”.</w:t>
      </w:r>
      <w:r w:rsidRPr="008642D1">
        <w:rPr>
          <w:rStyle w:val="FootnoteReference"/>
        </w:rPr>
        <w:footnoteReference w:id="725"/>
      </w:r>
      <w:r w:rsidRPr="008642D1">
        <w:t xml:space="preserve"> </w:t>
      </w:r>
      <w:r w:rsidR="00A16575">
        <w:t>U</w:t>
      </w:r>
      <w:r w:rsidRPr="008642D1">
        <w:t>nder Part 1A (regulating government functions), a difference in treatment will not constitute unlawful discrimination unless it results in “material disadvantage” when viewed in context and is not “demonstrably justified in a free and democratic society”.</w:t>
      </w:r>
      <w:r w:rsidRPr="008642D1">
        <w:rPr>
          <w:rStyle w:val="FootnoteReference"/>
        </w:rPr>
        <w:footnoteReference w:id="726"/>
      </w:r>
      <w:r w:rsidRPr="008642D1">
        <w:t xml:space="preserve"> A complaint that a sex-differentiated activity is unlawful under the Human Rights Act might well fail at one or more of these gateways if it is in accordance with applicable tikanga.  </w:t>
      </w:r>
    </w:p>
    <w:p w14:paraId="0073B705" w14:textId="101C3A29" w:rsidR="001E69E7" w:rsidRPr="008642D1" w:rsidRDefault="001E69E7" w:rsidP="001E69E7">
      <w:pPr>
        <w:pStyle w:val="BodyText"/>
      </w:pPr>
      <w:r w:rsidRPr="008642D1">
        <w:t>On a general review of the Human Rights Act, it may still be desirable to address more carefully the relationship between tikanga and anti-discrimination law. For example, a general review might address whether it is undesirable for a state law institution such as the Human Rights Review Tribunal to determine whether a tikanga activity is a “genuine justification” or is “demonstrably justified in a free and democratic society”.</w:t>
      </w:r>
    </w:p>
    <w:p w14:paraId="7240E692" w14:textId="0495D584" w:rsidR="001E69E7" w:rsidRPr="008642D1" w:rsidRDefault="001E69E7" w:rsidP="001E69E7">
      <w:pPr>
        <w:pStyle w:val="BodyText"/>
      </w:pPr>
      <w:r w:rsidRPr="008642D1">
        <w:t>For the purposes of our more limited review</w:t>
      </w:r>
      <w:r w:rsidR="00A16575">
        <w:t>,</w:t>
      </w:r>
      <w:r w:rsidRPr="008642D1">
        <w:t xml:space="preserve"> the key point is that amending section 21 along the lines we are exploring may not make any appreciable difference to the ability of Māori to live in accordance with tikanga. We are interested to hear feedback on this.</w:t>
      </w:r>
    </w:p>
    <w:p w14:paraId="3EDA723D" w14:textId="77777777" w:rsidR="001E69E7" w:rsidRPr="008642D1" w:rsidRDefault="001E69E7" w:rsidP="001E69E7">
      <w:pPr>
        <w:pStyle w:val="Heading3"/>
      </w:pPr>
      <w:r w:rsidRPr="008642D1">
        <w:t>Reform options</w:t>
      </w:r>
    </w:p>
    <w:p w14:paraId="5D5D75A2" w14:textId="6D6D8391" w:rsidR="001E69E7" w:rsidRPr="008642D1" w:rsidRDefault="001E69E7" w:rsidP="001E69E7">
      <w:pPr>
        <w:pStyle w:val="BodyText"/>
      </w:pPr>
      <w:r w:rsidRPr="008642D1">
        <w:t>If we are wrong (that is, if there is a real prospect that clarifying the grounds of discrimination in section 21 of the Human Rights Act might widen the circumstances in which state law can interfere with tikanga)</w:t>
      </w:r>
      <w:r w:rsidR="00A16575">
        <w:t>,</w:t>
      </w:r>
      <w:r w:rsidRPr="008642D1">
        <w:t xml:space="preserve"> we may need to propose reforms to the Human Rights Act to address that possibility. We think we should only do so if there is a real risk that needs to be addressed. That is because including in the Act an exception for tikanga activities would bring its own risks. For example, an exception might suggest the underlying position is that the Human Rights Act </w:t>
      </w:r>
      <w:r w:rsidRPr="008642D1">
        <w:rPr>
          <w:i/>
          <w:iCs/>
        </w:rPr>
        <w:t>does</w:t>
      </w:r>
      <w:r w:rsidRPr="008642D1">
        <w:t xml:space="preserve"> apply to tikanga activities and, in that way, unintentionally invite state law in.</w:t>
      </w:r>
    </w:p>
    <w:p w14:paraId="6576C222" w14:textId="77777777" w:rsidR="001E69E7" w:rsidRPr="008642D1" w:rsidRDefault="001E69E7" w:rsidP="001E69E7">
      <w:pPr>
        <w:pStyle w:val="BodyText"/>
      </w:pPr>
      <w:r w:rsidRPr="008642D1">
        <w:t xml:space="preserve">Nevertheless, we set out four possible reform options below. We are interested to understand their implications. </w:t>
      </w:r>
    </w:p>
    <w:p w14:paraId="18027CFA" w14:textId="1EDD379A" w:rsidR="001E69E7" w:rsidRPr="008642D1" w:rsidRDefault="001E69E7" w:rsidP="001E69E7">
      <w:pPr>
        <w:pStyle w:val="BodyText"/>
      </w:pPr>
      <w:r w:rsidRPr="008642D1">
        <w:t>The first three options involve creating an exception to limit the circumstances in which sex-differentiated tikanga activities could be found to breach the Human Rights Act.</w:t>
      </w:r>
      <w:r w:rsidR="00794C20">
        <w:t xml:space="preserve"> </w:t>
      </w:r>
      <w:r w:rsidRPr="008642D1">
        <w:t xml:space="preserve">Each of these three exceptions could be drafted restrictively (so that it only applies in cases involving the new prohibited grounds being explored in this review) or more expansively (so that it also applies to the ground of sex, or even to all prohibited grounds in the Human Rights Act). We can see some problems with either approach. </w:t>
      </w:r>
    </w:p>
    <w:p w14:paraId="32814881" w14:textId="77777777" w:rsidR="001E69E7" w:rsidRPr="008642D1" w:rsidRDefault="001E69E7" w:rsidP="001E69E7">
      <w:pPr>
        <w:pStyle w:val="BodyText"/>
      </w:pPr>
      <w:r w:rsidRPr="008642D1">
        <w:t>An exception for tikanga activities that only applies to any new prohibited grounds we propose might be considered arbitrary. For example, it would preclude a transgender man from challenging a sex-differentiated practice based on his gender identity when exactly the same challenge would be available to a cisgender woman based on her sex. We also think it might be ineffective. As we explained above, the transgender man would still be able to bring a discrimination claim. He would just have to frame it as sex discrimination.</w:t>
      </w:r>
    </w:p>
    <w:p w14:paraId="24C753DB" w14:textId="52A255B1" w:rsidR="001E69E7" w:rsidRPr="008642D1" w:rsidRDefault="001E69E7" w:rsidP="001E69E7">
      <w:pPr>
        <w:pStyle w:val="BodyText"/>
      </w:pPr>
      <w:r w:rsidRPr="008642D1">
        <w:t>On the other hand, an exception that is broader (also applying to the ground of sex</w:t>
      </w:r>
      <w:r w:rsidRPr="008642D1" w:rsidDel="00AB235C">
        <w:t>, or even to all prohibited grounds</w:t>
      </w:r>
      <w:r w:rsidRPr="008642D1">
        <w:t xml:space="preserve">) might be difficult for us to recommend in this review. As we explained in Chapter 4, we need to be cautious about proposing broad-based reform </w:t>
      </w:r>
      <w:r w:rsidR="00061AB7">
        <w:t>of</w:t>
      </w:r>
      <w:r w:rsidRPr="008642D1">
        <w:t xml:space="preserve"> the Human Rights Act that has implications well beyond the scope of our review. Our limited terms of reference hinder our ability to consult effectively with all the groups that might be affected and to fully analyse potential implications.</w:t>
      </w:r>
    </w:p>
    <w:p w14:paraId="0DE8CDFB" w14:textId="5E23F942" w:rsidR="001E69E7" w:rsidRPr="008642D1" w:rsidRDefault="001E69E7" w:rsidP="001E69E7">
      <w:pPr>
        <w:pStyle w:val="BodyText"/>
      </w:pPr>
      <w:r w:rsidRPr="008642D1">
        <w:t xml:space="preserve">We are interested to understand these issues better and to receive feedback on how tikanga can best be protected from state interference </w:t>
      </w:r>
      <w:r w:rsidRPr="00E35F5F">
        <w:t xml:space="preserve">within </w:t>
      </w:r>
      <w:r w:rsidRPr="00E35F5F" w:rsidDel="0087789A">
        <w:t xml:space="preserve">the scope of </w:t>
      </w:r>
      <w:r w:rsidRPr="00E35F5F">
        <w:t>this review</w:t>
      </w:r>
      <w:r w:rsidRPr="008642D1">
        <w:t>.</w:t>
      </w:r>
    </w:p>
    <w:p w14:paraId="3732CC5C" w14:textId="77777777" w:rsidR="001E69E7" w:rsidRPr="008642D1" w:rsidRDefault="001E69E7" w:rsidP="001E69E7">
      <w:pPr>
        <w:pStyle w:val="Heading4"/>
      </w:pPr>
      <w:r w:rsidRPr="008642D1">
        <w:t xml:space="preserve">Exclusion of application of Human Rights Act for activities on a marae </w:t>
      </w:r>
    </w:p>
    <w:p w14:paraId="32D6A569" w14:textId="77777777" w:rsidR="001E69E7" w:rsidRPr="008642D1" w:rsidRDefault="001E69E7" w:rsidP="001E69E7">
      <w:pPr>
        <w:pStyle w:val="BodyText"/>
      </w:pPr>
      <w:r w:rsidRPr="008642D1">
        <w:t xml:space="preserve">One possibility is an exclusion in the Human Rights Act for activities that take place on a marae. This could be broad (excluding all challenges under the Human Rights Act) or more focused (for example, applying to particular areas of life in Part 2). </w:t>
      </w:r>
    </w:p>
    <w:p w14:paraId="6F948BA0" w14:textId="77777777" w:rsidR="001E69E7" w:rsidRPr="008642D1" w:rsidRDefault="001E69E7" w:rsidP="001E69E7">
      <w:pPr>
        <w:pStyle w:val="BodyText"/>
      </w:pPr>
      <w:r w:rsidRPr="008642D1">
        <w:t>An exclusion for marae-based activities would recognise that, for Māori, marae are sites of tino rangatiratanga on which activities should be regulated by the relevant tikanga and kawa.</w:t>
      </w:r>
      <w:r w:rsidRPr="008642D1">
        <w:rPr>
          <w:rStyle w:val="FootnoteReference"/>
        </w:rPr>
        <w:footnoteReference w:id="727"/>
      </w:r>
      <w:r w:rsidRPr="008642D1">
        <w:t xml:space="preserve"> It would also provide a bright line that state law institutions (such as tribunals and courts) could enforce. Deciding whether an activity has taken place on a marae would not require the court or tribunal to have any expertise on tikanga.</w:t>
      </w:r>
    </w:p>
    <w:p w14:paraId="30BD7B34" w14:textId="7BA27EB4" w:rsidR="001E69E7" w:rsidRPr="008642D1" w:rsidRDefault="001E69E7" w:rsidP="001E69E7">
      <w:pPr>
        <w:pStyle w:val="BodyText"/>
      </w:pPr>
      <w:r w:rsidRPr="008642D1">
        <w:t>On the other hand, a marae-based exclusion might be both under</w:t>
      </w:r>
      <w:r w:rsidR="00B12645" w:rsidRPr="008642D1">
        <w:t>inclusive</w:t>
      </w:r>
      <w:r w:rsidRPr="008642D1">
        <w:t xml:space="preserve"> and overinclusive. It would be underinclusive because not all sex-differentiated tikanga practices happen on marae. It would be overinclusive because it would exempt activities that are not required by the tikanga of the particular marae to be sex-differentiated (for example, when a marae is providing COVID-19 vaccinations). </w:t>
      </w:r>
    </w:p>
    <w:p w14:paraId="702C39F4" w14:textId="77777777" w:rsidR="001E69E7" w:rsidRPr="008642D1" w:rsidRDefault="001E69E7" w:rsidP="001E69E7">
      <w:pPr>
        <w:pStyle w:val="Heading4"/>
      </w:pPr>
      <w:r w:rsidRPr="008642D1">
        <w:t>An exception that lists specific activities</w:t>
      </w:r>
    </w:p>
    <w:p w14:paraId="6BB82B17" w14:textId="383058DE" w:rsidR="001E69E7" w:rsidRPr="008642D1" w:rsidRDefault="001E69E7" w:rsidP="001E69E7">
      <w:pPr>
        <w:pStyle w:val="BodyText"/>
      </w:pPr>
      <w:r w:rsidRPr="008642D1">
        <w:t xml:space="preserve">Alternatively, an exception could exempt specific activities from Human Rights Act scrutiny. For example, the exception might list pōwhiri (welcoming ceremony), poroporoaki, kawanga whare (ceremony to open a new building), kapa haka and poi (forms of Māori performance arts) and tā moko (traditional Māori tattooing). Such an exception might apply only on marae or also in community settings. </w:t>
      </w:r>
    </w:p>
    <w:p w14:paraId="135A0F76" w14:textId="6C4F1AB6" w:rsidR="001E69E7" w:rsidRPr="008642D1" w:rsidRDefault="001E69E7" w:rsidP="001E69E7">
      <w:pPr>
        <w:pStyle w:val="BodyText"/>
      </w:pPr>
      <w:r w:rsidRPr="008642D1">
        <w:t>This approach would not have the problems of over</w:t>
      </w:r>
      <w:r w:rsidR="00B12645" w:rsidRPr="008642D1">
        <w:t>inclusi</w:t>
      </w:r>
      <w:r w:rsidR="00B12645">
        <w:t>on</w:t>
      </w:r>
      <w:r w:rsidRPr="008642D1">
        <w:t xml:space="preserve"> and </w:t>
      </w:r>
      <w:r w:rsidR="002F779A" w:rsidRPr="008642D1">
        <w:t>under inclusion</w:t>
      </w:r>
      <w:r w:rsidRPr="008642D1">
        <w:t xml:space="preserve"> that we identified with respect to a marae-based exclusion. On the other hand, there would be some significant definitional challenges outlining which activities should be exempted (especially given practices vary between Māori groups). This approach may also be inconsistent with the nature of tikanga as a coherent integrated system of norms rather than a “grab bag” of discrete customary practices.</w:t>
      </w:r>
      <w:r w:rsidRPr="008642D1">
        <w:rPr>
          <w:rStyle w:val="FootnoteReference"/>
        </w:rPr>
        <w:footnoteReference w:id="728"/>
      </w:r>
    </w:p>
    <w:p w14:paraId="010FF052" w14:textId="1CD3B6A3" w:rsidR="001E69E7" w:rsidRPr="008642D1" w:rsidRDefault="001E69E7" w:rsidP="001E69E7">
      <w:pPr>
        <w:pStyle w:val="Heading4"/>
      </w:pPr>
      <w:r w:rsidRPr="008642D1">
        <w:t>An exception for all sex-differentiated tikanga activities</w:t>
      </w:r>
    </w:p>
    <w:p w14:paraId="5B833415" w14:textId="572958E4" w:rsidR="001E69E7" w:rsidRPr="008642D1" w:rsidRDefault="001E69E7" w:rsidP="001E69E7">
      <w:pPr>
        <w:pStyle w:val="BodyText"/>
      </w:pPr>
      <w:r w:rsidRPr="008642D1">
        <w:t>An exception could be framed more broadly to exempt differences in treatment</w:t>
      </w:r>
      <w:r w:rsidR="00131F35">
        <w:t xml:space="preserve"> </w:t>
      </w:r>
      <w:r w:rsidRPr="008642D1" w:rsidDel="00906F7D">
        <w:t xml:space="preserve">that </w:t>
      </w:r>
      <w:r w:rsidRPr="008642D1" w:rsidDel="003111F7">
        <w:t>are</w:t>
      </w:r>
      <w:r w:rsidRPr="008642D1">
        <w:t xml:space="preserve"> </w:t>
      </w:r>
      <w:r w:rsidRPr="008642D1" w:rsidDel="003111F7">
        <w:t>required</w:t>
      </w:r>
      <w:r w:rsidR="00906F7D">
        <w:t xml:space="preserve"> </w:t>
      </w:r>
      <w:r w:rsidRPr="008642D1">
        <w:t>by tikanga.</w:t>
      </w:r>
      <w:r w:rsidRPr="008642D1" w:rsidDel="00131F35">
        <w:t xml:space="preserve"> </w:t>
      </w:r>
      <w:r w:rsidRPr="008642D1">
        <w:t xml:space="preserve">Again, this could apply to all challenges available under the Human Rights Act or </w:t>
      </w:r>
      <w:r w:rsidR="00071049">
        <w:t>only</w:t>
      </w:r>
      <w:r w:rsidRPr="008642D1">
        <w:t xml:space="preserve"> in particular areas of life.</w:t>
      </w:r>
    </w:p>
    <w:p w14:paraId="5371EF9B" w14:textId="77777777" w:rsidR="001E69E7" w:rsidRPr="008642D1" w:rsidRDefault="001E69E7" w:rsidP="001E69E7">
      <w:pPr>
        <w:pStyle w:val="BodyText"/>
      </w:pPr>
      <w:r w:rsidRPr="008642D1">
        <w:t>This option would avoid the definitional issues associated with the previous option but would potentially enmesh the Human Rights Review Tribunal in arguments about whether a particular difference in treatment was required by tikanga. It would call into question the expertise and authority of the Tribunal to be adjudicating on such issues.</w:t>
      </w:r>
    </w:p>
    <w:p w14:paraId="5501FAC7" w14:textId="77777777" w:rsidR="001E69E7" w:rsidRPr="008642D1" w:rsidRDefault="001E69E7" w:rsidP="001E69E7">
      <w:pPr>
        <w:pStyle w:val="Heading4"/>
      </w:pPr>
      <w:r w:rsidRPr="008642D1">
        <w:t xml:space="preserve">Amendments to ensure the Human Rights Review Tribunal has appropriate expertise </w:t>
      </w:r>
    </w:p>
    <w:p w14:paraId="47FE8C98" w14:textId="6995F85D" w:rsidR="001E69E7" w:rsidRPr="008642D1" w:rsidRDefault="001E69E7" w:rsidP="001E69E7">
      <w:pPr>
        <w:pStyle w:val="BodyText"/>
      </w:pPr>
      <w:r w:rsidRPr="008642D1">
        <w:t>As we explained above, there are already several provisions in the Human Rights Act that can potentially be interpreted to ensure the Act does not restrict sex-differentiated tikanga activities. These include Part 2 protections that are framed in evaluative terms (such as detriment), the Tribunal’s power under section</w:t>
      </w:r>
      <w:r w:rsidRPr="008642D1">
        <w:rPr>
          <w:rFonts w:ascii="Calibri" w:hAnsi="Calibri" w:cs="Calibri"/>
        </w:rPr>
        <w:t> </w:t>
      </w:r>
      <w:r w:rsidRPr="008642D1">
        <w:t>97 to declare something a genuine justification and the Part 1A tests of material disadvantage and demonstrable justification.</w:t>
      </w:r>
    </w:p>
    <w:p w14:paraId="0B647711" w14:textId="77777777" w:rsidR="001E69E7" w:rsidRPr="008642D1" w:rsidRDefault="001E69E7" w:rsidP="001E69E7">
      <w:pPr>
        <w:pStyle w:val="BodyText"/>
      </w:pPr>
      <w:r w:rsidRPr="008642D1">
        <w:t>One option might be to make amendments to the composition and process of the Human Rights Review Tribunal to ensure that, if a matter involving tikanga comes before it, it has appropriate expertise. For example, the provisions that determine the membership of the Tribunal could be amended to ensure that, when it is considering a matter involving tikanga, at least one member has expertise on tikanga.</w:t>
      </w:r>
      <w:r w:rsidRPr="008642D1">
        <w:rPr>
          <w:rStyle w:val="FootnoteReference"/>
        </w:rPr>
        <w:footnoteReference w:id="729"/>
      </w:r>
      <w:r w:rsidRPr="008642D1">
        <w:t xml:space="preserve"> </w:t>
      </w:r>
    </w:p>
    <w:p w14:paraId="28388478" w14:textId="042D4D63" w:rsidR="001E69E7" w:rsidRPr="008642D1" w:rsidRDefault="001E69E7" w:rsidP="001E69E7">
      <w:pPr>
        <w:pStyle w:val="BodyText"/>
      </w:pPr>
      <w:r w:rsidRPr="008642D1">
        <w:t xml:space="preserve">This option would not address the undesirability of state law institutions such as the Human Rights Review Tribunal becoming enmeshed in assessments of whether a tikanga activity is, in the circumstances, a genuine justification or demonstrably justified. </w:t>
      </w:r>
    </w:p>
    <w:p w14:paraId="1B3EB967" w14:textId="3118588C" w:rsidR="001E69E7" w:rsidRPr="008642D1" w:rsidRDefault="001E69E7" w:rsidP="001E69E7">
      <w:pPr>
        <w:pStyle w:val="BodyText"/>
      </w:pPr>
      <w:r w:rsidRPr="008642D1">
        <w:t>On the other hand, having one or more members with tikanga expertise would at least assist the Human Rights Review Tribunal to engage with tikanga in an appropriate manner. A Tribunal member with tikanga expertise might be more readily able to recognise when evidence is required from a pūkenga</w:t>
      </w:r>
      <w:r w:rsidRPr="008642D1" w:rsidDel="001226C1">
        <w:t xml:space="preserve"> </w:t>
      </w:r>
      <w:r w:rsidR="003C1EF5">
        <w:t>(</w:t>
      </w:r>
      <w:r w:rsidRPr="008642D1" w:rsidDel="001226C1">
        <w:t>expert</w:t>
      </w:r>
      <w:r w:rsidR="003C1EF5">
        <w:t>)</w:t>
      </w:r>
      <w:r w:rsidR="00BF7A1A">
        <w:t xml:space="preserve"> </w:t>
      </w:r>
      <w:r w:rsidRPr="008642D1">
        <w:t>about the tikanga of a particular hapū or iwi. They might also be able to advise other Tribunal members on an appropriate</w:t>
      </w:r>
      <w:r w:rsidRPr="008642D1" w:rsidDel="00976245">
        <w:t xml:space="preserve"> </w:t>
      </w:r>
      <w:r w:rsidRPr="008642D1">
        <w:t>process to follow in determining the complaint.</w:t>
      </w:r>
      <w:r w:rsidRPr="008642D1">
        <w:rPr>
          <w:rStyle w:val="FootnoteReference"/>
        </w:rPr>
        <w:footnoteReference w:id="730"/>
      </w:r>
    </w:p>
    <w:p w14:paraId="79BBEF21" w14:textId="12773F14" w:rsidR="001E69E7" w:rsidRPr="008642D1" w:rsidRDefault="001E69E7" w:rsidP="001E69E7">
      <w:pPr>
        <w:pStyle w:val="QuestionBox"/>
      </w:pPr>
      <w:r w:rsidRPr="008642D1">
        <w:rPr>
          <w:noProof/>
        </w:rPr>
        <mc:AlternateContent>
          <mc:Choice Requires="wpg">
            <w:drawing>
              <wp:anchor distT="0" distB="0" distL="114300" distR="114300" simplePos="0" relativeHeight="251657215" behindDoc="1" locked="0" layoutInCell="1" allowOverlap="1" wp14:anchorId="03BBAE52" wp14:editId="0B776409">
                <wp:simplePos x="0" y="0"/>
                <wp:positionH relativeFrom="column">
                  <wp:posOffset>1533</wp:posOffset>
                </wp:positionH>
                <wp:positionV relativeFrom="paragraph">
                  <wp:posOffset>-1859</wp:posOffset>
                </wp:positionV>
                <wp:extent cx="5760085" cy="2620593"/>
                <wp:effectExtent l="0" t="0" r="0" b="8890"/>
                <wp:wrapNone/>
                <wp:docPr id="1542197458" name="Group 1542197458" descr="Question"/>
                <wp:cNvGraphicFramePr/>
                <a:graphic xmlns:a="http://schemas.openxmlformats.org/drawingml/2006/main">
                  <a:graphicData uri="http://schemas.microsoft.com/office/word/2010/wordprocessingGroup">
                    <wpg:wgp>
                      <wpg:cNvGrpSpPr/>
                      <wpg:grpSpPr>
                        <a:xfrm>
                          <a:off x="0" y="0"/>
                          <a:ext cx="5760085" cy="2620593"/>
                          <a:chOff x="0" y="62865"/>
                          <a:chExt cx="5760085" cy="2622563"/>
                        </a:xfrm>
                      </wpg:grpSpPr>
                      <wps:wsp>
                        <wps:cNvPr id="358248108"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B7C2A1" w14:textId="77BB4AB7" w:rsidR="001E69E7" w:rsidRDefault="001E69E7" w:rsidP="001E69E7">
                              <w:pPr>
                                <w:pStyle w:val="BoxTitle"/>
                                <w:spacing w:before="0" w:beforeAutospacing="0"/>
                              </w:pPr>
                              <w:r w:rsidRPr="007F6876">
                                <w:t>QUESTION</w:t>
                              </w:r>
                              <w:r w:rsidR="00CB7486">
                                <w:t>S</w:t>
                              </w:r>
                            </w:p>
                          </w:txbxContent>
                        </wps:txbx>
                        <wps:bodyPr rot="0" vert="horz" wrap="square" lIns="91440" tIns="0" rIns="0" bIns="45720" anchor="ctr" anchorCtr="0" upright="1">
                          <a:noAutofit/>
                        </wps:bodyPr>
                      </wps:wsp>
                      <wpg:grpSp>
                        <wpg:cNvPr id="1657322599" name="Group 53"/>
                        <wpg:cNvGrpSpPr>
                          <a:grpSpLocks/>
                        </wpg:cNvGrpSpPr>
                        <wpg:grpSpPr bwMode="auto">
                          <a:xfrm>
                            <a:off x="0" y="315798"/>
                            <a:ext cx="5760085" cy="2369630"/>
                            <a:chOff x="1837" y="1787"/>
                            <a:chExt cx="9302" cy="25596"/>
                          </a:xfrm>
                        </wpg:grpSpPr>
                        <wps:wsp>
                          <wps:cNvPr id="1875528949" name="Freeform 54"/>
                          <wps:cNvSpPr>
                            <a:spLocks/>
                          </wps:cNvSpPr>
                          <wps:spPr bwMode="auto">
                            <a:xfrm>
                              <a:off x="1837" y="1787"/>
                              <a:ext cx="9302" cy="2559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7833867" name="Group 917833867"/>
                        <wpg:cNvGrpSpPr/>
                        <wpg:grpSpPr>
                          <a:xfrm>
                            <a:off x="0" y="494036"/>
                            <a:ext cx="1443794" cy="252000"/>
                            <a:chOff x="-15880" y="0"/>
                            <a:chExt cx="1444379" cy="252068"/>
                          </a:xfrm>
                        </wpg:grpSpPr>
                        <wps:wsp>
                          <wps:cNvPr id="145098369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1186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CB96B9" w14:textId="19846DB3" w:rsidR="001E69E7" w:rsidRPr="00E90B8A" w:rsidRDefault="001E69E7" w:rsidP="001E69E7">
                                <w:pPr>
                                  <w:pStyle w:val="BoxTitle"/>
                                  <w:spacing w:before="0" w:beforeAutospacing="0"/>
                                  <w:rPr>
                                    <w:sz w:val="18"/>
                                    <w:szCs w:val="18"/>
                                  </w:rPr>
                                </w:pPr>
                                <w:r w:rsidRPr="00E90B8A">
                                  <w:rPr>
                                    <w:sz w:val="18"/>
                                    <w:szCs w:val="18"/>
                                  </w:rPr>
                                  <w:t>Q</w:t>
                                </w:r>
                                <w:r w:rsidR="00CB7486">
                                  <w:rPr>
                                    <w:sz w:val="18"/>
                                    <w:szCs w:val="18"/>
                                  </w:rPr>
                                  <w:t>73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3BBAE52" id="Group 1542197458" o:spid="_x0000_s1434" alt="Question" style="position:absolute;left:0;text-align:left;margin-left:.1pt;margin-top:-.15pt;width:453.55pt;height:206.35pt;z-index:-251659265;mso-height-relative:margin" coordorigin=",628" coordsize="57600,2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">
                <v:shape id="Freeform 52" o:spid="_x0000_s1435"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&#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5B7C2A1" w14:textId="77BB4AB7" w:rsidR="001E69E7" w:rsidRDefault="001E69E7" w:rsidP="001E69E7">
                        <w:pPr>
                          <w:pStyle w:val="BoxTitle"/>
                          <w:spacing w:before="0" w:beforeAutospacing="0"/>
                        </w:pPr>
                        <w:r w:rsidRPr="007F6876">
                          <w:t>QUESTION</w:t>
                        </w:r>
                        <w:r w:rsidR="00CB7486">
                          <w:t>S</w:t>
                        </w:r>
                      </w:p>
                    </w:txbxContent>
                  </v:textbox>
                </v:shape>
                <v:group id="Group 53" o:spid="_x0000_s1436" style="position:absolute;top:3157;width:57600;height:23697" coordorigin="1837,1787" coordsize="9302,2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">
                  <v:shape id="Freeform 54" o:spid="_x0000_s1437" style="position:absolute;left:1837;top:1787;width:9302;height:2559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" path="m,l9354,r,7809l,7809,,e" fillcolor="#edf2ea" stroked="f">
                    <v:path arrowok="t" o:connecttype="custom" o:connectlocs="0,3278;9302,3278;9302,28874;0,28874;0,3278" o:connectangles="0,0,0,0,0"/>
                  </v:shape>
                </v:group>
                <v:group id="Group 917833867" o:spid="_x0000_s1438"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">
                  <v:shape id="Freeform 58" o:spid="_x0000_s143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" path="m,l1815,e" filled="f" strokecolor="#72ab6a" strokeweight=".5pt">
                    <v:path arrowok="t" o:connecttype="custom" o:connectlocs="0,0;1073495,0" o:connectangles="0,0"/>
                  </v:shape>
                  <v:shape id="Freeform 66" o:spid="_x0000_s144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ECB96B9" w14:textId="19846DB3" w:rsidR="001E69E7" w:rsidRPr="00E90B8A" w:rsidRDefault="001E69E7" w:rsidP="001E69E7">
                          <w:pPr>
                            <w:pStyle w:val="BoxTitle"/>
                            <w:spacing w:before="0" w:beforeAutospacing="0"/>
                            <w:rPr>
                              <w:sz w:val="18"/>
                              <w:szCs w:val="18"/>
                            </w:rPr>
                          </w:pPr>
                          <w:r w:rsidRPr="00E90B8A">
                            <w:rPr>
                              <w:sz w:val="18"/>
                              <w:szCs w:val="18"/>
                            </w:rPr>
                            <w:t>Q</w:t>
                          </w:r>
                          <w:r w:rsidR="00CB7486">
                            <w:rPr>
                              <w:sz w:val="18"/>
                              <w:szCs w:val="18"/>
                            </w:rPr>
                            <w:t>73</w:t>
                          </w:r>
                        </w:p>
                      </w:txbxContent>
                    </v:textbox>
                  </v:shape>
                </v:group>
              </v:group>
            </w:pict>
          </mc:Fallback>
        </mc:AlternateContent>
      </w:r>
    </w:p>
    <w:p w14:paraId="3EC0638C" w14:textId="77777777" w:rsidR="001E69E7" w:rsidRPr="008642D1" w:rsidRDefault="001E69E7" w:rsidP="001E69E7">
      <w:pPr>
        <w:pStyle w:val="QuestionBox"/>
      </w:pPr>
    </w:p>
    <w:p w14:paraId="0FF14309" w14:textId="43ED1D71" w:rsidR="001E69E7" w:rsidRPr="008642D1" w:rsidRDefault="00790589" w:rsidP="00F557D0">
      <w:pPr>
        <w:pStyle w:val="QuestionBox"/>
      </w:pPr>
      <w:r w:rsidRPr="00790589">
        <w:t>Do you agree that amendments to section 21 of the Human Rights Act 1993 along the lines we are exploring in this Issues Paper may make little difference in practice to the potential for state law to interfere with sex-differentiated tikanga activities?</w:t>
      </w:r>
    </w:p>
    <w:p w14:paraId="5B69BB14" w14:textId="5EF45169" w:rsidR="00790589" w:rsidRDefault="00CB7486" w:rsidP="00790589">
      <w:pPr>
        <w:pStyle w:val="QuestionBox"/>
        <w:rPr>
          <w:lang w:eastAsia="en-US"/>
        </w:rPr>
      </w:pPr>
      <w:r w:rsidRPr="008642D1">
        <w:rPr>
          <w:noProof/>
        </w:rPr>
        <mc:AlternateContent>
          <mc:Choice Requires="wpg">
            <w:drawing>
              <wp:anchor distT="0" distB="0" distL="114300" distR="114300" simplePos="0" relativeHeight="251660429" behindDoc="1" locked="0" layoutInCell="1" allowOverlap="1" wp14:anchorId="31A865BF" wp14:editId="1F37D100">
                <wp:simplePos x="0" y="0"/>
                <wp:positionH relativeFrom="column">
                  <wp:posOffset>0</wp:posOffset>
                </wp:positionH>
                <wp:positionV relativeFrom="paragraph">
                  <wp:posOffset>164109</wp:posOffset>
                </wp:positionV>
                <wp:extent cx="1443355" cy="251460"/>
                <wp:effectExtent l="0" t="0" r="42545" b="0"/>
                <wp:wrapNone/>
                <wp:docPr id="1226514507"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74386052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47236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D15809" w14:textId="49898DFE" w:rsidR="00CB7486" w:rsidRPr="00E90B8A" w:rsidRDefault="00CB7486" w:rsidP="00CB7486">
                              <w:pPr>
                                <w:pStyle w:val="BoxTitle"/>
                                <w:spacing w:before="0" w:beforeAutospacing="0"/>
                                <w:rPr>
                                  <w:sz w:val="18"/>
                                  <w:szCs w:val="18"/>
                                </w:rPr>
                              </w:pPr>
                              <w:r w:rsidRPr="00E90B8A">
                                <w:rPr>
                                  <w:sz w:val="18"/>
                                  <w:szCs w:val="18"/>
                                </w:rPr>
                                <w:t>Q</w:t>
                              </w:r>
                              <w:r>
                                <w:rPr>
                                  <w:sz w:val="18"/>
                                  <w:szCs w:val="18"/>
                                </w:rPr>
                                <w:t>74</w:t>
                              </w:r>
                            </w:p>
                          </w:txbxContent>
                        </wps:txbx>
                        <wps:bodyPr rot="0" vert="horz" wrap="square" lIns="54000" tIns="82800" rIns="91440" bIns="45720" anchor="ctr" anchorCtr="0" upright="1">
                          <a:noAutofit/>
                        </wps:bodyPr>
                      </wps:wsp>
                    </wpg:wgp>
                  </a:graphicData>
                </a:graphic>
              </wp:anchor>
            </w:drawing>
          </mc:Choice>
          <mc:Fallback>
            <w:pict>
              <v:group w14:anchorId="31A865BF" id="_x0000_s1441" style="position:absolute;left:0;text-align:left;margin-left:0;margin-top:12.9pt;width:113.65pt;height:19.8pt;z-index:-25165605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">
                <v:shape id="Freeform 58" o:spid="_x0000_s144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" path="m,l1815,e" filled="f" strokecolor="#72ab6a" strokeweight=".5pt">
                  <v:path arrowok="t" o:connecttype="custom" o:connectlocs="0,0;1073495,0" o:connectangles="0,0"/>
                </v:shape>
                <v:shape id="Freeform 66" o:spid="_x0000_s144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AD15809" w14:textId="49898DFE" w:rsidR="00CB7486" w:rsidRPr="00E90B8A" w:rsidRDefault="00CB7486" w:rsidP="00CB7486">
                        <w:pPr>
                          <w:pStyle w:val="BoxTitle"/>
                          <w:spacing w:before="0" w:beforeAutospacing="0"/>
                          <w:rPr>
                            <w:sz w:val="18"/>
                            <w:szCs w:val="18"/>
                          </w:rPr>
                        </w:pPr>
                        <w:r w:rsidRPr="00E90B8A">
                          <w:rPr>
                            <w:sz w:val="18"/>
                            <w:szCs w:val="18"/>
                          </w:rPr>
                          <w:t>Q</w:t>
                        </w:r>
                        <w:r>
                          <w:rPr>
                            <w:sz w:val="18"/>
                            <w:szCs w:val="18"/>
                          </w:rPr>
                          <w:t>74</w:t>
                        </w:r>
                      </w:p>
                    </w:txbxContent>
                  </v:textbox>
                </v:shape>
              </v:group>
            </w:pict>
          </mc:Fallback>
        </mc:AlternateContent>
      </w:r>
    </w:p>
    <w:p w14:paraId="1D647297" w14:textId="1FAD85D7" w:rsidR="00790589" w:rsidRPr="00F557D0" w:rsidRDefault="00E329B2" w:rsidP="00F557D0">
      <w:pPr>
        <w:pStyle w:val="QuestionBox"/>
      </w:pPr>
      <w:r w:rsidRPr="00F557D0">
        <w:t>If new prohibited grounds of discrimination are added to the Human Rights Act 1993 to protect people who are transgender or non-binary or who have an innate variation of sex characteristics, should additional amendments be made to the Act to ensure the reform does not widen the circumstances in which state law can interfere with the ability of Māori to live in accordance with tikanga?</w:t>
      </w:r>
    </w:p>
    <w:p w14:paraId="285414A4" w14:textId="77777777" w:rsidR="00CB7486" w:rsidRPr="00790589" w:rsidRDefault="00CB7486" w:rsidP="00790589">
      <w:pPr>
        <w:pStyle w:val="QuestionBox"/>
        <w:rPr>
          <w:lang w:eastAsia="en-US"/>
        </w:rPr>
      </w:pPr>
    </w:p>
    <w:p w14:paraId="35A566F8" w14:textId="77777777" w:rsidR="001E69E7" w:rsidRPr="008642D1" w:rsidRDefault="001E69E7" w:rsidP="001E69E7">
      <w:pPr>
        <w:pStyle w:val="Heading2"/>
      </w:pPr>
      <w:bookmarkStart w:id="185" w:name="_Toc170302206"/>
      <w:r w:rsidRPr="008642D1">
        <w:t>Misgendering and deadnaming</w:t>
      </w:r>
      <w:bookmarkEnd w:id="185"/>
    </w:p>
    <w:p w14:paraId="256C0280" w14:textId="77777777" w:rsidR="001E69E7" w:rsidRPr="008642D1" w:rsidRDefault="001E69E7" w:rsidP="001E69E7">
      <w:pPr>
        <w:pStyle w:val="BodyText"/>
        <w:rPr>
          <w:rFonts w:eastAsia="Metropolis Light"/>
        </w:rPr>
      </w:pPr>
      <w:r w:rsidRPr="008642D1">
        <w:rPr>
          <w:rFonts w:eastAsia="Metropolis Light"/>
        </w:rPr>
        <w:t xml:space="preserve">We are interested to understand the extent to which the Human Rights Act regulates or ought to regulate misgendering and deadnaming. Misgendering involves referring to a person who is transgender or non-binary by the wrong gender (for example, using pronouns for them that correspond with their sex assigned at birth). Deadnaming is referring to a person who is transgender or non-binary by a name they no longer use and that draws attention to their sex assigned at birth. </w:t>
      </w:r>
    </w:p>
    <w:p w14:paraId="3BA8AA23" w14:textId="77777777" w:rsidR="001E69E7" w:rsidRPr="008642D1" w:rsidRDefault="001E69E7" w:rsidP="001E69E7">
      <w:pPr>
        <w:pStyle w:val="BodyText"/>
        <w:rPr>
          <w:rFonts w:eastAsia="Metropolis Light"/>
        </w:rPr>
      </w:pPr>
      <w:r w:rsidRPr="008642D1">
        <w:rPr>
          <w:rFonts w:eastAsia="Metropolis Light"/>
        </w:rPr>
        <w:t>We understand from our preliminary research and engagement that misgendering and deadnaming are issues of concern to many people who are transgender or non-binary and that they occur in several areas of life regulated by Part 2 of the Human Rights Act. They also occur in contexts regulated by Part 1A such as at public schools, prisons and police stations.</w:t>
      </w:r>
      <w:r w:rsidRPr="008642D1">
        <w:rPr>
          <w:rStyle w:val="FootnoteReference"/>
          <w:rFonts w:eastAsia="Metropolis Light"/>
        </w:rPr>
        <w:footnoteReference w:id="731"/>
      </w:r>
      <w:r w:rsidRPr="008642D1">
        <w:rPr>
          <w:rFonts w:eastAsia="Metropolis Light"/>
        </w:rPr>
        <w:t xml:space="preserve"> </w:t>
      </w:r>
    </w:p>
    <w:p w14:paraId="5093DF0D" w14:textId="77777777" w:rsidR="001E69E7" w:rsidRPr="008642D1" w:rsidRDefault="001E69E7" w:rsidP="001E69E7">
      <w:pPr>
        <w:pStyle w:val="BodyText"/>
        <w:rPr>
          <w:rFonts w:eastAsia="Metropolis Light"/>
        </w:rPr>
      </w:pPr>
      <w:r w:rsidRPr="008642D1">
        <w:rPr>
          <w:rFonts w:eastAsia="Metropolis Light" w:cs="Metropolis Light"/>
          <w:szCs w:val="20"/>
        </w:rPr>
        <w:t>The regulation of misgendering and deadnaming requires care because it engages the right to freedom of expression in the New Zealand Bill of Rights Act 1990 (NZ Bill of Rights). The right to freedom of expression has been said to be “as wide as human thought and imagination”.</w:t>
      </w:r>
      <w:r w:rsidRPr="008642D1">
        <w:rPr>
          <w:rStyle w:val="FootnoteReference"/>
          <w:rFonts w:eastAsia="Metropolis Light" w:cs="Metropolis Light"/>
          <w:szCs w:val="20"/>
        </w:rPr>
        <w:footnoteReference w:id="732"/>
      </w:r>
      <w:r w:rsidRPr="008642D1">
        <w:rPr>
          <w:rFonts w:eastAsia="Metropolis Light" w:cs="Metropolis Light"/>
          <w:szCs w:val="20"/>
        </w:rPr>
        <w:t xml:space="preserve"> It is engaged by anything one person says to another.</w:t>
      </w:r>
    </w:p>
    <w:p w14:paraId="53E0C37F" w14:textId="380796B3" w:rsidR="001E69E7" w:rsidRPr="008642D1" w:rsidRDefault="001E69E7" w:rsidP="001E69E7">
      <w:pPr>
        <w:pStyle w:val="BodyText"/>
        <w:rPr>
          <w:rFonts w:eastAsia="Metropolis Light"/>
        </w:rPr>
      </w:pPr>
      <w:r w:rsidRPr="008642D1">
        <w:rPr>
          <w:rFonts w:eastAsia="Metropolis Light" w:cs="Metropolis Light"/>
          <w:szCs w:val="20"/>
        </w:rPr>
        <w:t>It is possible that, in certain circumstances, the regulation of deadnaming or misgendering may also engage other rights</w:t>
      </w:r>
      <w:r w:rsidR="00164C01">
        <w:rPr>
          <w:rFonts w:eastAsia="Metropolis Light" w:cs="Metropolis Light"/>
          <w:szCs w:val="20"/>
        </w:rPr>
        <w:t>,</w:t>
      </w:r>
      <w:r w:rsidRPr="008642D1">
        <w:rPr>
          <w:rFonts w:eastAsia="Metropolis Light" w:cs="Metropolis Light"/>
          <w:szCs w:val="20"/>
        </w:rPr>
        <w:t xml:space="preserve"> including the right to manifest one’s religion and the right to be free from discrimination based on one’s political opinion.</w:t>
      </w:r>
      <w:r w:rsidRPr="008642D1">
        <w:rPr>
          <w:rStyle w:val="FootnoteReference"/>
          <w:rFonts w:eastAsia="Metropolis Light" w:cs="Metropolis Light"/>
          <w:szCs w:val="20"/>
        </w:rPr>
        <w:footnoteReference w:id="733"/>
      </w:r>
      <w:r w:rsidRPr="008642D1">
        <w:rPr>
          <w:rFonts w:eastAsia="Metropolis Light" w:cs="Metropolis Light"/>
          <w:szCs w:val="20"/>
        </w:rPr>
        <w:t xml:space="preserve"> However, the scope of these rights (as it relates to misgendering and deadnaming) is less clear.</w:t>
      </w:r>
    </w:p>
    <w:p w14:paraId="70B8CDCE" w14:textId="41D90656" w:rsidR="001E69E7" w:rsidRPr="008642D1" w:rsidRDefault="001E69E7" w:rsidP="001E69E7">
      <w:pPr>
        <w:pStyle w:val="BodyText"/>
        <w:rPr>
          <w:rFonts w:eastAsia="Metropolis Light"/>
        </w:rPr>
      </w:pPr>
      <w:r w:rsidRPr="008642D1">
        <w:rPr>
          <w:rFonts w:eastAsia="Metropolis Light" w:cs="Metropolis Light"/>
          <w:szCs w:val="20"/>
        </w:rPr>
        <w:t>The rights in the NZ Bill of Rights are not absolute. As we explained in Chapter 16, there can be limits so long as they are authorised by law and “demonstrably justified in a free and democratic society”.</w:t>
      </w:r>
      <w:r w:rsidRPr="008642D1">
        <w:rPr>
          <w:rStyle w:val="FootnoteReference"/>
          <w:rFonts w:eastAsia="Metropolis Light" w:cs="Metropolis Light"/>
          <w:szCs w:val="20"/>
        </w:rPr>
        <w:footnoteReference w:id="734"/>
      </w:r>
      <w:r w:rsidRPr="008642D1">
        <w:rPr>
          <w:rFonts w:eastAsia="Metropolis Light" w:cs="Metropolis Light"/>
          <w:szCs w:val="20"/>
        </w:rPr>
        <w:t xml:space="preserve"> For example, there are many laws in </w:t>
      </w:r>
      <w:r w:rsidR="00663BEE">
        <w:t xml:space="preserve">Aotearoa </w:t>
      </w:r>
      <w:r w:rsidRPr="008642D1">
        <w:rPr>
          <w:rFonts w:eastAsia="Metropolis Light" w:cs="Metropolis Light"/>
          <w:szCs w:val="20"/>
        </w:rPr>
        <w:t xml:space="preserve">New Zealand that limit speech. These include laws about defamation, privacy, censorship of objectionable publications and incitement to commit an offence. We need to ensure that any reforms we propose do not place an unjustified limit on the right to freedom of expression (or on any other rights). </w:t>
      </w:r>
    </w:p>
    <w:p w14:paraId="7CBC3C89" w14:textId="77777777" w:rsidR="001E69E7" w:rsidRPr="008642D1" w:rsidRDefault="001E69E7" w:rsidP="001E69E7">
      <w:pPr>
        <w:pStyle w:val="Heading3"/>
        <w:rPr>
          <w:rFonts w:eastAsia="Metropolis Light"/>
        </w:rPr>
      </w:pPr>
      <w:r w:rsidRPr="008642D1">
        <w:rPr>
          <w:rFonts w:eastAsia="Metropolis Light"/>
        </w:rPr>
        <w:t>How would misgendering or deadnaming be regulated under Part 1A?</w:t>
      </w:r>
    </w:p>
    <w:p w14:paraId="5C6B58C4" w14:textId="54120813" w:rsidR="001E69E7" w:rsidRPr="008642D1" w:rsidRDefault="001E69E7" w:rsidP="001E69E7">
      <w:pPr>
        <w:pStyle w:val="BodyText"/>
      </w:pPr>
      <w:r w:rsidRPr="008642D1">
        <w:rPr>
          <w:rFonts w:eastAsia="Metropolis Light"/>
        </w:rPr>
        <w:t xml:space="preserve">We are not aware of any cases from New Zealand courts or tribunals that have considered whether misgendering or deadnaming is </w:t>
      </w:r>
      <w:r w:rsidR="00C82F0D" w:rsidRPr="00C82F0D">
        <w:rPr>
          <w:rFonts w:eastAsia="Metropolis Light"/>
        </w:rPr>
        <w:t>in breach of Part 1A of the Human Rights Act.</w:t>
      </w:r>
      <w:r w:rsidRPr="008642D1">
        <w:rPr>
          <w:rFonts w:eastAsia="Metropolis Light"/>
        </w:rPr>
        <w:t xml:space="preserve"> However, we are aware of successful overseas cases involving misgendering or deadnaming of prisoners or a person in police custody.</w:t>
      </w:r>
      <w:r w:rsidRPr="008642D1">
        <w:rPr>
          <w:rStyle w:val="FootnoteReference"/>
          <w:rFonts w:eastAsia="Metropolis Light"/>
        </w:rPr>
        <w:footnoteReference w:id="735"/>
      </w:r>
      <w:r w:rsidRPr="008642D1">
        <w:rPr>
          <w:rFonts w:eastAsia="Metropolis Light"/>
        </w:rPr>
        <w:t xml:space="preserve"> </w:t>
      </w:r>
    </w:p>
    <w:p w14:paraId="1D3940EE" w14:textId="61D6A965" w:rsidR="001E69E7" w:rsidRPr="008642D1" w:rsidRDefault="001E69E7" w:rsidP="001E69E7">
      <w:pPr>
        <w:pStyle w:val="BodyText"/>
      </w:pPr>
      <w:r w:rsidRPr="008642D1">
        <w:rPr>
          <w:rFonts w:eastAsia="Metropolis Light"/>
        </w:rPr>
        <w:t xml:space="preserve">As we explained in Chapter 16, the test in </w:t>
      </w:r>
      <w:r w:rsidRPr="008642D1">
        <w:t>Part 1A for establishing unjustified discrimination involves several steps. People complaining of discrimination must prove they were treated differently from others, that the treatment was based on a prohibited ground and that the treatment resulted in a material disadvantage to them. If those tests are met, discrimination has occurred</w:t>
      </w:r>
      <w:r w:rsidR="00AD14CA">
        <w:t xml:space="preserve">. However, </w:t>
      </w:r>
      <w:r w:rsidRPr="008642D1">
        <w:t>the court or tribunal still needs to determine whether the discrimination was demonstrably justified. It will consider this in context</w:t>
      </w:r>
      <w:r w:rsidR="00911C7B">
        <w:t>,</w:t>
      </w:r>
      <w:r w:rsidRPr="008642D1">
        <w:t xml:space="preserve"> based on evidence and its assessment of competing rights and interests. </w:t>
      </w:r>
    </w:p>
    <w:p w14:paraId="387CA940" w14:textId="77777777" w:rsidR="001E69E7" w:rsidRPr="008642D1" w:rsidRDefault="001E69E7" w:rsidP="001E69E7">
      <w:pPr>
        <w:pStyle w:val="BodyText"/>
      </w:pPr>
      <w:r w:rsidRPr="008642D1">
        <w:t>We think a New Zealand court or tribunal could hold that persistent misgendering and deadnaming was in breach of Part 1A. However, a court or tribunal could only reach this conclusion if penalising the behaviour was, in all the circumstances, a reasonably justified limit on freedom of expression (or on any other rights the court considered relevant).</w:t>
      </w:r>
    </w:p>
    <w:p w14:paraId="2175DE55" w14:textId="77777777" w:rsidR="001E69E7" w:rsidRPr="008642D1" w:rsidRDefault="001E69E7" w:rsidP="001E69E7">
      <w:pPr>
        <w:pStyle w:val="BodyText"/>
      </w:pPr>
      <w:r w:rsidRPr="008642D1">
        <w:t>Te Mana Whanonga Kaipāho |</w:t>
      </w:r>
      <w:r w:rsidRPr="008642D1" w:rsidDel="00953574">
        <w:t xml:space="preserve"> </w:t>
      </w:r>
      <w:r w:rsidRPr="008642D1">
        <w:t xml:space="preserve">Broadcasting Standards Authority engaged in a balancing exercise of this kind in </w:t>
      </w:r>
      <w:r w:rsidRPr="008642D1">
        <w:rPr>
          <w:i/>
          <w:iCs/>
        </w:rPr>
        <w:t xml:space="preserve">Bell and Radio New Zealand </w:t>
      </w:r>
      <w:r w:rsidRPr="008642D1">
        <w:t>(albeit, not directly under the Human Rights Act). The Authority dismissed a complaint that the deadnaming and misgendering of an interviewee by a Radio New Zealand host breached the fairness standard in the Code of Broadcasting Standards. The Authority thought the misgendering was largely unintentional and the interview “did not come across as malicious or nasty”.</w:t>
      </w:r>
      <w:r w:rsidRPr="008642D1">
        <w:rPr>
          <w:rStyle w:val="FootnoteReference"/>
        </w:rPr>
        <w:footnoteReference w:id="736"/>
      </w:r>
      <w:r w:rsidRPr="008642D1">
        <w:t xml:space="preserve"> It held that, while some listeners may have found the comments offensive and the interviewee may have felt uncomfortable, the harm was not “at a level meriting restriction to the right to freedom of expression”.</w:t>
      </w:r>
      <w:r w:rsidRPr="008642D1">
        <w:rPr>
          <w:rStyle w:val="FootnoteReference"/>
        </w:rPr>
        <w:footnoteReference w:id="737"/>
      </w:r>
    </w:p>
    <w:p w14:paraId="41DF33CD" w14:textId="77777777" w:rsidR="001E69E7" w:rsidRPr="008642D1" w:rsidRDefault="001E69E7" w:rsidP="001E69E7">
      <w:pPr>
        <w:pStyle w:val="Heading3"/>
        <w:rPr>
          <w:rFonts w:eastAsia="Metropolis Light"/>
        </w:rPr>
      </w:pPr>
      <w:r w:rsidRPr="008642D1">
        <w:rPr>
          <w:rFonts w:eastAsia="Metropolis Light"/>
        </w:rPr>
        <w:t>How would misgendering or deadnaming be regulated under Part 2?</w:t>
      </w:r>
    </w:p>
    <w:p w14:paraId="2AD31FE8" w14:textId="4FBACC1A" w:rsidR="001E69E7" w:rsidRPr="008642D1" w:rsidRDefault="001E69E7" w:rsidP="001E69E7">
      <w:pPr>
        <w:pStyle w:val="BodyText"/>
        <w:rPr>
          <w:rFonts w:eastAsia="Metropolis Light"/>
        </w:rPr>
      </w:pPr>
      <w:r w:rsidRPr="008642D1">
        <w:rPr>
          <w:rFonts w:eastAsia="Metropolis Light"/>
        </w:rPr>
        <w:t>As we explained in Chapter 8, Part 2 of the Human Rights Act does not expressly prohibit “discrimination”. Instead, it</w:t>
      </w:r>
      <w:r w:rsidRPr="008642D1">
        <w:t xml:space="preserve"> describes specific actions or outcomes that are unlawful within each of the areas of life regulated by Part 2 if they are done “by reason of” a prohibited ground of discrimination.</w:t>
      </w:r>
    </w:p>
    <w:p w14:paraId="007BD85C" w14:textId="1B441541" w:rsidR="001E69E7" w:rsidRPr="008642D1" w:rsidRDefault="001E69E7" w:rsidP="001E69E7">
      <w:pPr>
        <w:pStyle w:val="BodyText"/>
        <w:rPr>
          <w:rFonts w:eastAsia="Metropolis Light"/>
        </w:rPr>
      </w:pPr>
      <w:r w:rsidRPr="008642D1">
        <w:rPr>
          <w:rFonts w:eastAsia="Metropolis Light"/>
        </w:rPr>
        <w:t>We would like to understand better whether any of the Part 2 protections could be violated by misgendering or deadnaming and, if so, in what circumstances. We think some Part 2 protections are likely broad enough to encompass abusive or belittling speech in an appropriate case. For example, in three areas of life regulated by Part 2 (employment, partnerships and education), it is unlawful to subject someone to a “detriment” by reason of a prohibited ground.</w:t>
      </w:r>
      <w:r w:rsidRPr="008642D1">
        <w:rPr>
          <w:rStyle w:val="FootnoteReference"/>
          <w:rFonts w:eastAsia="Metropolis Light"/>
        </w:rPr>
        <w:footnoteReference w:id="738"/>
      </w:r>
      <w:r w:rsidRPr="008642D1">
        <w:rPr>
          <w:rFonts w:eastAsia="Metropolis Light"/>
        </w:rPr>
        <w:t xml:space="preserve"> Detriment is not defined in the Human Rights Act but is defined in the equivalent provision in the Employment Relations Act 2000 as “anything that has a detrimental effect on the employee’s employment, job performance, or job satisfaction”.</w:t>
      </w:r>
      <w:r w:rsidRPr="008642D1">
        <w:rPr>
          <w:rStyle w:val="FootnoteReference"/>
          <w:rFonts w:eastAsia="Metropolis Light"/>
        </w:rPr>
        <w:footnoteReference w:id="739"/>
      </w:r>
      <w:r w:rsidRPr="008642D1">
        <w:rPr>
          <w:rFonts w:eastAsia="Metropolis Light"/>
        </w:rPr>
        <w:t xml:space="preserve"> As well, when supplying goods, services and facilities to the public, it is unlawful to treat someone “less favourably” in connection with the provision of those goods, service and facilities by reason of a prohibited ground.</w:t>
      </w:r>
      <w:r w:rsidRPr="008642D1">
        <w:rPr>
          <w:rStyle w:val="FootnoteReference"/>
          <w:rFonts w:eastAsia="Metropolis Light"/>
        </w:rPr>
        <w:footnoteReference w:id="740"/>
      </w:r>
    </w:p>
    <w:p w14:paraId="2A27E311" w14:textId="7D3DE072" w:rsidR="001E69E7" w:rsidRPr="008642D1" w:rsidRDefault="001E69E7" w:rsidP="001E69E7">
      <w:pPr>
        <w:pStyle w:val="BodyText"/>
      </w:pPr>
      <w:r w:rsidRPr="008642D1">
        <w:rPr>
          <w:rFonts w:eastAsia="Metropolis Light"/>
        </w:rPr>
        <w:t>We are not aware of any cases from New Zealand courts or tribunals that have decided whether misgendering or deadnaming amounts to a detriment or to less favourable treatment.</w:t>
      </w:r>
      <w:r w:rsidRPr="008642D1">
        <w:rPr>
          <w:rStyle w:val="FootnoteReference"/>
          <w:rFonts w:eastAsia="Metropolis Light"/>
        </w:rPr>
        <w:footnoteReference w:id="741"/>
      </w:r>
      <w:r w:rsidRPr="008642D1">
        <w:rPr>
          <w:rFonts w:eastAsia="Metropolis Light"/>
        </w:rPr>
        <w:t xml:space="preserve"> </w:t>
      </w:r>
      <w:r w:rsidRPr="008642D1">
        <w:t>We are, however, aware of handful of tribunal-level decisions from Canada and the United Kingdom holding that misgendering or deadnaming is discrimination or harassment in employment.</w:t>
      </w:r>
      <w:r w:rsidRPr="008642D1">
        <w:rPr>
          <w:rStyle w:val="FootnoteReference"/>
        </w:rPr>
        <w:footnoteReference w:id="742"/>
      </w:r>
      <w:r w:rsidRPr="008642D1">
        <w:t xml:space="preserve"> Similarly, in the United States, courts have said that persistent and intentional misgendering can support a claim of “hostile work environment” </w:t>
      </w:r>
      <w:r w:rsidR="00BF7A1A">
        <w:t xml:space="preserve">— </w:t>
      </w:r>
      <w:r w:rsidRPr="008642D1">
        <w:t>a cause of action that we understand is a mix of discrimination and employment law.</w:t>
      </w:r>
      <w:r w:rsidRPr="008642D1">
        <w:rPr>
          <w:rStyle w:val="FootnoteReference"/>
        </w:rPr>
        <w:footnoteReference w:id="743"/>
      </w:r>
      <w:r w:rsidRPr="008642D1">
        <w:t xml:space="preserve"> </w:t>
      </w:r>
    </w:p>
    <w:p w14:paraId="573ECC02" w14:textId="02DDCAC8" w:rsidR="001E69E7" w:rsidRPr="008642D1" w:rsidRDefault="001E69E7" w:rsidP="001E69E7">
      <w:pPr>
        <w:pStyle w:val="BodyText"/>
        <w:tabs>
          <w:tab w:val="num" w:pos="709"/>
        </w:tabs>
        <w:rPr>
          <w:szCs w:val="20"/>
        </w:rPr>
      </w:pPr>
      <w:r w:rsidRPr="008642D1">
        <w:t xml:space="preserve">If these precedents are followed in </w:t>
      </w:r>
      <w:r w:rsidR="00663BEE">
        <w:t xml:space="preserve">Aotearoa </w:t>
      </w:r>
      <w:r w:rsidRPr="008642D1">
        <w:t xml:space="preserve">New Zealand, a court or tribunal might find </w:t>
      </w:r>
      <w:r w:rsidRPr="008642D1">
        <w:rPr>
          <w:szCs w:val="20"/>
        </w:rPr>
        <w:t>(</w:t>
      </w:r>
      <w:r w:rsidRPr="008642D1">
        <w:t>on suitable facts</w:t>
      </w:r>
      <w:r w:rsidRPr="008642D1">
        <w:rPr>
          <w:szCs w:val="20"/>
        </w:rPr>
        <w:t>)</w:t>
      </w:r>
      <w:r w:rsidRPr="008642D1">
        <w:t xml:space="preserve"> that</w:t>
      </w:r>
      <w:r w:rsidRPr="008642D1">
        <w:rPr>
          <w:szCs w:val="20"/>
        </w:rPr>
        <w:t xml:space="preserve"> </w:t>
      </w:r>
      <w:r w:rsidRPr="008642D1">
        <w:t>persistent and intentional misgendering and deadnaming is unlawful under Part 2 of the Human Rights Act</w:t>
      </w:r>
      <w:r w:rsidRPr="008642D1">
        <w:rPr>
          <w:szCs w:val="20"/>
        </w:rPr>
        <w:t xml:space="preserve">. </w:t>
      </w:r>
      <w:r w:rsidRPr="008642D1">
        <w:t>A New Zealand court or tribunal would only be entitled to reach that conclusion, however, if that outcome was a justified intrusion on</w:t>
      </w:r>
      <w:r w:rsidRPr="008642D1">
        <w:rPr>
          <w:szCs w:val="20"/>
        </w:rPr>
        <w:t xml:space="preserve"> </w:t>
      </w:r>
      <w:r w:rsidRPr="008642D1">
        <w:t>freedom of expression</w:t>
      </w:r>
      <w:r w:rsidRPr="008642D1">
        <w:rPr>
          <w:szCs w:val="20"/>
        </w:rPr>
        <w:t>.</w:t>
      </w:r>
      <w:r w:rsidRPr="008642D1">
        <w:rPr>
          <w:rStyle w:val="FootnoteReference"/>
        </w:rPr>
        <w:footnoteReference w:id="744"/>
      </w:r>
      <w:r w:rsidRPr="008642D1">
        <w:rPr>
          <w:szCs w:val="20"/>
        </w:rPr>
        <w:t xml:space="preserve"> </w:t>
      </w:r>
      <w:r w:rsidRPr="008642D1">
        <w:t>As we explained earlier in this chapter when discussing tikanga</w:t>
      </w:r>
      <w:r w:rsidR="00AE388C">
        <w:t>,</w:t>
      </w:r>
      <w:r w:rsidRPr="008642D1">
        <w:t xml:space="preserve"> evaluative standards like </w:t>
      </w:r>
      <w:r w:rsidR="003D5447">
        <w:t>‘</w:t>
      </w:r>
      <w:r w:rsidRPr="008642D1">
        <w:t>detriment</w:t>
      </w:r>
      <w:r w:rsidR="003D5447">
        <w:t>’</w:t>
      </w:r>
      <w:r w:rsidRPr="008642D1">
        <w:t xml:space="preserve"> are sufficiently malleable to enable courts and tribunals to take into account fundamental norms and values that underlie the legal system when applying them. More specifically, section 6 of the NZ Bill of Rights requires that, wherever possible, terms in legislation must be interpreted and applied in a manner that does not result in an unjustified limit on rights.</w:t>
      </w:r>
    </w:p>
    <w:p w14:paraId="1F253CFC" w14:textId="77777777" w:rsidR="001E69E7" w:rsidRPr="008642D1" w:rsidRDefault="001E69E7" w:rsidP="001E69E7">
      <w:pPr>
        <w:pStyle w:val="Heading3"/>
      </w:pPr>
      <w:r w:rsidRPr="008642D1">
        <w:t>What factors have characterised successful cases?</w:t>
      </w:r>
    </w:p>
    <w:p w14:paraId="72A16004" w14:textId="486A3764" w:rsidR="001E69E7" w:rsidRPr="008642D1" w:rsidRDefault="001E69E7" w:rsidP="001E69E7">
      <w:pPr>
        <w:pStyle w:val="BodyText"/>
        <w:tabs>
          <w:tab w:val="num" w:pos="709"/>
        </w:tabs>
      </w:pPr>
      <w:r w:rsidRPr="008642D1">
        <w:t xml:space="preserve">In sum, we think that — whether under Part 1A or Part 2 — a New Zealand court or tribunal could hold that misgendering or deadnaming was in breach of the Human Rights Act but only if the behaviour and its consequences were sufficiently serious that penalising the behaviour was a justified limit on freedom of expression. </w:t>
      </w:r>
    </w:p>
    <w:p w14:paraId="33ED7CCE" w14:textId="77777777" w:rsidR="001E69E7" w:rsidRPr="008642D1" w:rsidRDefault="001E69E7" w:rsidP="001E69E7">
      <w:pPr>
        <w:pStyle w:val="BodyText"/>
        <w:tabs>
          <w:tab w:val="num" w:pos="709"/>
        </w:tabs>
      </w:pPr>
      <w:r w:rsidRPr="008642D1">
        <w:t xml:space="preserve">We are interested to understand better what factors might determine whether a misgendering or deadnaming case was successful. For reasons explained in Chapter 16, we doubt it is possible to answer that question definitively. Judicial assessments of what amounts to a reasonable limit on rights are based on evidence and are highly fact and context dependent. However, we think there are some helpful indications in the overseas cases of which kinds of claims are most likely to succeed. </w:t>
      </w:r>
    </w:p>
    <w:p w14:paraId="38D9AE59" w14:textId="77777777" w:rsidR="001E69E7" w:rsidRPr="008642D1" w:rsidRDefault="001E69E7" w:rsidP="001E69E7">
      <w:pPr>
        <w:pStyle w:val="BodyText"/>
        <w:tabs>
          <w:tab w:val="num" w:pos="709"/>
        </w:tabs>
      </w:pPr>
      <w:r w:rsidRPr="008642D1">
        <w:t>First, the successful cases of which we are aware have involved persistent and intentional misgendering or deadnaming — often alongside other hostile or discriminatory treatment. None have involved one-off incidents, and none have involved conduct that was careless rather than intended to make a point. We are aware of cases that have been taken about one-off or unintentional misgendering or deadnaming but none that have succeeded.</w:t>
      </w:r>
    </w:p>
    <w:p w14:paraId="12025910" w14:textId="77777777" w:rsidR="001E69E7" w:rsidRPr="008642D1" w:rsidRDefault="001E69E7" w:rsidP="001E69E7">
      <w:pPr>
        <w:pStyle w:val="BodyText"/>
        <w:spacing w:after="80"/>
        <w:rPr>
          <w:szCs w:val="20"/>
        </w:rPr>
      </w:pPr>
      <w:r w:rsidRPr="008642D1">
        <w:t>For example, in one Irish case, a transgender woman said a doctor had deadnamed her and made disparaging comments about her such as referring to her genitals as “a bit vague”. This was a one-off incident for which the doctor apologised. Ireland’s Equality Tribunal held it did not amount to discrimination or harassment.</w:t>
      </w:r>
      <w:r w:rsidRPr="008642D1">
        <w:rPr>
          <w:rStyle w:val="FootnoteReference"/>
          <w:szCs w:val="20"/>
        </w:rPr>
        <w:footnoteReference w:id="745"/>
      </w:r>
      <w:r w:rsidRPr="008642D1">
        <w:t xml:space="preserve"> In an Australian case, a transgender woman was persistently deadnamed in automatic emails from her property manager despite having requested the manager use her current name. The claim failed because the Victorian Civil and Administrative Tribunal accepted the property manager’s explanation that the automated email system was picking up on the name in the lease agreement</w:t>
      </w:r>
      <w:r w:rsidRPr="008642D1">
        <w:rPr>
          <w:szCs w:val="20"/>
        </w:rPr>
        <w:t>.</w:t>
      </w:r>
      <w:r w:rsidRPr="008642D1">
        <w:rPr>
          <w:rStyle w:val="FootnoteReference"/>
        </w:rPr>
        <w:footnoteReference w:id="746"/>
      </w:r>
    </w:p>
    <w:p w14:paraId="7F1F6E49" w14:textId="77777777" w:rsidR="001E69E7" w:rsidRPr="008642D1" w:rsidRDefault="001E69E7" w:rsidP="001E69E7">
      <w:pPr>
        <w:pStyle w:val="BodyText"/>
      </w:pPr>
      <w:r w:rsidRPr="008642D1">
        <w:t xml:space="preserve">Second, all the successful cases of which we are aware have arisen in institutional settings that involve a power imbalance and in which there are professional obligations to moderate one’s conduct and language towards others. We doubt in these kinds of situations that anti-discrimination law would be the only avenue available to complain about persistent and intentional misgendering and deadnaming. For example, in an employment setting, a person might be able to take a personal grievance based on workplace bullying. </w:t>
      </w:r>
    </w:p>
    <w:p w14:paraId="73D6DE8D" w14:textId="77777777" w:rsidR="001E69E7" w:rsidRPr="008642D1" w:rsidRDefault="001E69E7" w:rsidP="001E69E7">
      <w:pPr>
        <w:pStyle w:val="BodyText"/>
      </w:pPr>
      <w:r w:rsidRPr="008642D1">
        <w:t>Although we are not aware of successful discrimination complaints having yet been taken about misgendering or deadnaming in schools, these issues have been pursued in Aotearoa New Zealand and overseas as complaints about professional misconduct. In 2023, the New Zealand Teachers Disciplinary Tribunal found a teacher who persistently misgendered and deadnamed a student (as well as advising them their transition was wrong) had committed serious misconduct.</w:t>
      </w:r>
      <w:r w:rsidRPr="008642D1">
        <w:rPr>
          <w:rStyle w:val="FootnoteReference"/>
        </w:rPr>
        <w:footnoteReference w:id="747"/>
      </w:r>
      <w:r w:rsidRPr="008642D1">
        <w:t xml:space="preserve"> There are similar cases in Canada and the United Kingdom.</w:t>
      </w:r>
      <w:r w:rsidRPr="008642D1">
        <w:rPr>
          <w:rStyle w:val="FootnoteReference"/>
        </w:rPr>
        <w:footnoteReference w:id="748"/>
      </w:r>
      <w:r w:rsidRPr="008642D1">
        <w:t xml:space="preserve"> We are also aware of a United Kingdom decision from the Employment Tribunal upholding the dismissal of a teacher for misconduct that included misgendering and deadnaming over a substantial period.</w:t>
      </w:r>
      <w:r w:rsidRPr="008642D1">
        <w:rPr>
          <w:rStyle w:val="FootnoteReference"/>
        </w:rPr>
        <w:footnoteReference w:id="749"/>
      </w:r>
    </w:p>
    <w:p w14:paraId="1524C721" w14:textId="77777777" w:rsidR="001E69E7" w:rsidRPr="008642D1" w:rsidRDefault="001E69E7" w:rsidP="001E69E7">
      <w:pPr>
        <w:pStyle w:val="BodyText"/>
      </w:pPr>
      <w:r w:rsidRPr="008642D1">
        <w:t>We therefore wonder if the potential for regulation of misgendering and deadnaming under the Human Rights Act does not add greatly to other applicable regulatory and ethical frameworks. However, we welcome feedback on this issue.</w:t>
      </w:r>
    </w:p>
    <w:p w14:paraId="3EF7F2DD" w14:textId="30F37FEC" w:rsidR="001E69E7" w:rsidRPr="008642D1" w:rsidRDefault="00B81231" w:rsidP="001E69E7">
      <w:pPr>
        <w:pStyle w:val="Heading3"/>
        <w:rPr>
          <w:rFonts w:eastAsia="Metropolis Light"/>
        </w:rPr>
      </w:pPr>
      <w:r>
        <w:t>Reform o</w:t>
      </w:r>
      <w:r w:rsidR="001E69E7" w:rsidRPr="008642D1">
        <w:t>ptions</w:t>
      </w:r>
    </w:p>
    <w:p w14:paraId="492CD2C3" w14:textId="77777777" w:rsidR="001E69E7" w:rsidRPr="008642D1" w:rsidRDefault="001E69E7" w:rsidP="001E69E7">
      <w:pPr>
        <w:pStyle w:val="BodyText"/>
        <w:rPr>
          <w:rFonts w:eastAsia="Metropolis Light"/>
        </w:rPr>
      </w:pPr>
      <w:r w:rsidRPr="008642D1">
        <w:rPr>
          <w:rFonts w:eastAsia="Metropolis Light"/>
        </w:rPr>
        <w:t xml:space="preserve">We want to understand whether the Human Rights Act should respond expressly to the issue of misgendering and deadnaming and, if so, how. It would not be appropriate to specify how misgendering and deadnaming should be dealt with under Part 1A as it replicates protections from discrimination in the NZ Bill of Rights and reflects a policy decision that the anti-discrimination obligations that apply to government should be identical under both regimes. </w:t>
      </w:r>
    </w:p>
    <w:p w14:paraId="579E71CF" w14:textId="77777777" w:rsidR="001E69E7" w:rsidRPr="008642D1" w:rsidRDefault="001E69E7" w:rsidP="001E69E7">
      <w:pPr>
        <w:pStyle w:val="BodyText"/>
        <w:rPr>
          <w:rFonts w:eastAsia="Metropolis Light"/>
        </w:rPr>
      </w:pPr>
      <w:r w:rsidRPr="008642D1">
        <w:rPr>
          <w:rFonts w:eastAsia="Metropolis Light"/>
        </w:rPr>
        <w:t xml:space="preserve">Therefore, if the Human Rights Act were to have a specific provision about misgendering and deadnaming, it would most likely be in Part 2. As with other possible reforms to Part 2, we set out a broad spectrum of options here to elicit feedback. </w:t>
      </w:r>
    </w:p>
    <w:p w14:paraId="7480EC69" w14:textId="77777777" w:rsidR="001E69E7" w:rsidRPr="008642D1" w:rsidRDefault="001E69E7" w:rsidP="001E69E7">
      <w:pPr>
        <w:pStyle w:val="BodyText"/>
        <w:rPr>
          <w:rFonts w:eastAsia="Metropolis Light"/>
        </w:rPr>
      </w:pPr>
      <w:r w:rsidRPr="008642D1">
        <w:rPr>
          <w:rFonts w:eastAsia="Metropolis Light"/>
        </w:rPr>
        <w:t xml:space="preserve">First, the Act could stipulate that misgendering and deadnaming are forms of discrimination that are unlawful. A provision of this kind could either be specific to a particular area of life regulated by Part 2 or could sit in the subpart on “Other forms of discrimination” and apply across all areas of life regulated </w:t>
      </w:r>
      <w:r w:rsidRPr="008642D1">
        <w:rPr>
          <w:rFonts w:eastAsia="Metropolis Light" w:cs="Metropolis Light"/>
        </w:rPr>
        <w:t>by Part 2.</w:t>
      </w:r>
    </w:p>
    <w:p w14:paraId="10FA6CA9" w14:textId="77777777" w:rsidR="001E69E7" w:rsidRPr="008642D1" w:rsidRDefault="001E69E7" w:rsidP="001E69E7">
      <w:pPr>
        <w:pStyle w:val="BodyText"/>
        <w:rPr>
          <w:rFonts w:eastAsia="Metropolis Light"/>
        </w:rPr>
      </w:pPr>
      <w:r w:rsidRPr="008642D1">
        <w:rPr>
          <w:rFonts w:eastAsia="Metropolis Light"/>
        </w:rPr>
        <w:t xml:space="preserve">This approach would secure maximum protection from harmful speech for people who are transgender or non-binary. However, a blanket rule of this kind might well result in limits on the right to freedom of expression that could not be justified. </w:t>
      </w:r>
    </w:p>
    <w:p w14:paraId="72275440" w14:textId="77777777" w:rsidR="001E69E7" w:rsidRPr="008642D1" w:rsidRDefault="001E69E7" w:rsidP="001E69E7">
      <w:pPr>
        <w:pStyle w:val="BodyText"/>
        <w:rPr>
          <w:rFonts w:eastAsia="Metropolis Light"/>
        </w:rPr>
      </w:pPr>
      <w:r w:rsidRPr="008642D1">
        <w:rPr>
          <w:rStyle w:val="CorpsdetexteCar"/>
          <w:rFonts w:eastAsia="Metropolis Light"/>
        </w:rPr>
        <w:t>Second, the Act could provide</w:t>
      </w:r>
      <w:r w:rsidRPr="008642D1">
        <w:rPr>
          <w:rFonts w:eastAsia="Metropolis Light"/>
        </w:rPr>
        <w:t xml:space="preserve"> that misgendering and deadnaming are never unlawful under Part 2. Again, a provision of this kind could either be specific to a particular area of life regulated by Part 2 or could apply across all areas of life regulated by Part 2.</w:t>
      </w:r>
    </w:p>
    <w:p w14:paraId="69D818AE" w14:textId="77777777" w:rsidR="001E69E7" w:rsidRPr="008642D1" w:rsidRDefault="001E69E7" w:rsidP="001E69E7">
      <w:pPr>
        <w:pStyle w:val="BodyText"/>
        <w:rPr>
          <w:rFonts w:eastAsia="Metropolis Light"/>
        </w:rPr>
      </w:pPr>
      <w:r w:rsidRPr="008642D1">
        <w:rPr>
          <w:rFonts w:eastAsia="Metropolis Light"/>
        </w:rPr>
        <w:t>This approach would secure maximum protection for freedom of expression. However, a blanket rule of this kind would be inconsistent with the way other speech issues are regulated by Part 2. We think belittling and abusive speech would quite often be part of a course of conduct giving rise to a complaint of discrimination as well as to other kinds of complaints such as a personal grievance on the basis of workplace bullying.</w:t>
      </w:r>
      <w:r w:rsidRPr="008642D1">
        <w:rPr>
          <w:rStyle w:val="FootnoteReference"/>
          <w:rFonts w:eastAsia="Metropolis Light"/>
        </w:rPr>
        <w:footnoteReference w:id="750"/>
      </w:r>
    </w:p>
    <w:p w14:paraId="2237A7C0" w14:textId="77777777" w:rsidR="001E69E7" w:rsidRPr="008642D1" w:rsidRDefault="001E69E7" w:rsidP="001E69E7">
      <w:pPr>
        <w:pStyle w:val="BodyText"/>
        <w:rPr>
          <w:rFonts w:eastAsia="Metropolis Light"/>
        </w:rPr>
      </w:pPr>
      <w:r w:rsidRPr="008642D1">
        <w:rPr>
          <w:rFonts w:eastAsia="Metropolis Light"/>
        </w:rPr>
        <w:t>Third, the Act could try to specify the particular situations in which misgendering and deadnaming rise to the level of harm that would justify an intrusion on freedom of expression. We think it may be difficult to specify this in legislation given that the facts and context of a particular situation are often relevant to determining whether a limit on speech is justified.</w:t>
      </w:r>
      <w:r w:rsidRPr="008642D1">
        <w:rPr>
          <w:rStyle w:val="FootnoteReference"/>
          <w:rFonts w:eastAsia="Metropolis Light"/>
        </w:rPr>
        <w:footnoteReference w:id="751"/>
      </w:r>
    </w:p>
    <w:p w14:paraId="4C2B30BD" w14:textId="766B18AC" w:rsidR="001E69E7" w:rsidRPr="008642D1" w:rsidRDefault="001E69E7" w:rsidP="001E69E7">
      <w:pPr>
        <w:pStyle w:val="BodyText"/>
        <w:rPr>
          <w:szCs w:val="20"/>
        </w:rPr>
      </w:pPr>
      <w:r w:rsidRPr="008642D1">
        <w:rPr>
          <w:rFonts w:eastAsia="Metropolis Light"/>
        </w:rPr>
        <w:t>Given the difficulties with each of these options, we think it may well be preferable to leave misgendering and deadnaming to be regulated under the existing provisions in Part 2 (such as provisions relating to detriment). That would mean that whether misgendering or deadnaming were in breach of the Act would have to be assessed in context based on all the relevant facts and in the light of other relevant rights and interests. We are interested in feedback on whether this is the best approach.</w:t>
      </w:r>
    </w:p>
    <w:p w14:paraId="7456925F" w14:textId="78288CC9" w:rsidR="001E69E7" w:rsidRPr="008642D1" w:rsidRDefault="001E69E7" w:rsidP="001E69E7">
      <w:pPr>
        <w:pStyle w:val="QuestionBox"/>
      </w:pPr>
      <w:r w:rsidRPr="008642D1">
        <w:rPr>
          <w:noProof/>
        </w:rPr>
        <mc:AlternateContent>
          <mc:Choice Requires="wpg">
            <w:drawing>
              <wp:anchor distT="0" distB="0" distL="114300" distR="114300" simplePos="0" relativeHeight="251658372" behindDoc="1" locked="0" layoutInCell="1" allowOverlap="1" wp14:anchorId="46ADF334" wp14:editId="31E9B17B">
                <wp:simplePos x="0" y="0"/>
                <wp:positionH relativeFrom="column">
                  <wp:posOffset>1533</wp:posOffset>
                </wp:positionH>
                <wp:positionV relativeFrom="paragraph">
                  <wp:posOffset>4739</wp:posOffset>
                </wp:positionV>
                <wp:extent cx="5760085" cy="1304658"/>
                <wp:effectExtent l="0" t="0" r="0" b="0"/>
                <wp:wrapNone/>
                <wp:docPr id="1459836" name="Group 1459836" descr="Question"/>
                <wp:cNvGraphicFramePr/>
                <a:graphic xmlns:a="http://schemas.openxmlformats.org/drawingml/2006/main">
                  <a:graphicData uri="http://schemas.microsoft.com/office/word/2010/wordprocessingGroup">
                    <wpg:wgp>
                      <wpg:cNvGrpSpPr/>
                      <wpg:grpSpPr>
                        <a:xfrm>
                          <a:off x="0" y="0"/>
                          <a:ext cx="5760085" cy="1304658"/>
                          <a:chOff x="0" y="62865"/>
                          <a:chExt cx="5760085" cy="1305639"/>
                        </a:xfrm>
                      </wpg:grpSpPr>
                      <wps:wsp>
                        <wps:cNvPr id="541585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C389E3" w14:textId="77777777" w:rsidR="001E69E7" w:rsidRDefault="001E69E7" w:rsidP="001E69E7">
                              <w:pPr>
                                <w:pStyle w:val="BoxTitle"/>
                                <w:spacing w:before="0" w:beforeAutospacing="0"/>
                              </w:pPr>
                              <w:r w:rsidRPr="007F6876">
                                <w:t>QUESTION</w:t>
                              </w:r>
                            </w:p>
                          </w:txbxContent>
                        </wps:txbx>
                        <wps:bodyPr rot="0" vert="horz" wrap="square" lIns="91440" tIns="0" rIns="0" bIns="45720" anchor="ctr" anchorCtr="0" upright="1">
                          <a:noAutofit/>
                        </wps:bodyPr>
                      </wps:wsp>
                      <wpg:grpSp>
                        <wpg:cNvPr id="419409848" name="Group 53"/>
                        <wpg:cNvGrpSpPr>
                          <a:grpSpLocks/>
                        </wpg:cNvGrpSpPr>
                        <wpg:grpSpPr bwMode="auto">
                          <a:xfrm>
                            <a:off x="0" y="315798"/>
                            <a:ext cx="5760085" cy="1052706"/>
                            <a:chOff x="1837" y="1787"/>
                            <a:chExt cx="9302" cy="11371"/>
                          </a:xfrm>
                        </wpg:grpSpPr>
                        <wps:wsp>
                          <wps:cNvPr id="1419549922" name="Freeform 54"/>
                          <wps:cNvSpPr>
                            <a:spLocks/>
                          </wps:cNvSpPr>
                          <wps:spPr bwMode="auto">
                            <a:xfrm>
                              <a:off x="1837" y="1787"/>
                              <a:ext cx="9302" cy="1137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8678030" name="Group 988678030"/>
                        <wpg:cNvGrpSpPr/>
                        <wpg:grpSpPr>
                          <a:xfrm>
                            <a:off x="0" y="494036"/>
                            <a:ext cx="1443794" cy="252000"/>
                            <a:chOff x="-15880" y="0"/>
                            <a:chExt cx="1444379" cy="252068"/>
                          </a:xfrm>
                        </wpg:grpSpPr>
                        <wps:wsp>
                          <wps:cNvPr id="67095602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79834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E442D5" w14:textId="42A57960" w:rsidR="001E69E7" w:rsidRPr="00E90B8A" w:rsidRDefault="001E69E7" w:rsidP="001E69E7">
                                <w:pPr>
                                  <w:pStyle w:val="BoxTitle"/>
                                  <w:spacing w:before="0" w:beforeAutospacing="0"/>
                                  <w:rPr>
                                    <w:sz w:val="18"/>
                                    <w:szCs w:val="18"/>
                                  </w:rPr>
                                </w:pPr>
                                <w:r w:rsidRPr="00E90B8A">
                                  <w:rPr>
                                    <w:sz w:val="18"/>
                                    <w:szCs w:val="18"/>
                                  </w:rPr>
                                  <w:t>Q</w:t>
                                </w:r>
                                <w:r w:rsidR="00CB7486">
                                  <w:rPr>
                                    <w:sz w:val="18"/>
                                    <w:szCs w:val="18"/>
                                  </w:rPr>
                                  <w:t>75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6ADF334" id="Group 1459836" o:spid="_x0000_s1444" alt="Question" style="position:absolute;left:0;text-align:left;margin-left:.1pt;margin-top:.35pt;width:453.55pt;height:102.75pt;z-index:-251658108;mso-height-relative:margin" coordorigin=",628" coordsize="57600,13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">
                <v:shape id="Freeform 52" o:spid="_x0000_s1445"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9C389E3" w14:textId="77777777" w:rsidR="001E69E7" w:rsidRDefault="001E69E7" w:rsidP="001E69E7">
                        <w:pPr>
                          <w:pStyle w:val="BoxTitle"/>
                          <w:spacing w:before="0" w:beforeAutospacing="0"/>
                        </w:pPr>
                        <w:r w:rsidRPr="007F6876">
                          <w:t>QUESTION</w:t>
                        </w:r>
                      </w:p>
                    </w:txbxContent>
                  </v:textbox>
                </v:shape>
                <v:group id="Group 53" o:spid="_x0000_s1446" style="position:absolute;top:3157;width:57600;height:10528" coordorigin="1837,1787" coordsize="9302,1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">
                  <v:shape id="Freeform 54" o:spid="_x0000_s1447" style="position:absolute;left:1837;top:1787;width:9302;height:1137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" path="m,l9354,r,7809l,7809,,e" fillcolor="#edf2ea" stroked="f">
                    <v:path arrowok="t" o:connecttype="custom" o:connectlocs="0,1456;9302,1456;9302,12827;0,12827;0,1456" o:connectangles="0,0,0,0,0"/>
                  </v:shape>
                </v:group>
                <v:group id="Group 988678030" o:spid="_x0000_s1448"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">
                  <v:shape id="Freeform 58" o:spid="_x0000_s144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" path="m,l1815,e" filled="f" strokecolor="#72ab6a" strokeweight=".5pt">
                    <v:path arrowok="t" o:connecttype="custom" o:connectlocs="0,0;1073495,0" o:connectangles="0,0"/>
                  </v:shape>
                  <v:shape id="Freeform 66" o:spid="_x0000_s145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CE442D5" w14:textId="42A57960" w:rsidR="001E69E7" w:rsidRPr="00E90B8A" w:rsidRDefault="001E69E7" w:rsidP="001E69E7">
                          <w:pPr>
                            <w:pStyle w:val="BoxTitle"/>
                            <w:spacing w:before="0" w:beforeAutospacing="0"/>
                            <w:rPr>
                              <w:sz w:val="18"/>
                              <w:szCs w:val="18"/>
                            </w:rPr>
                          </w:pPr>
                          <w:r w:rsidRPr="00E90B8A">
                            <w:rPr>
                              <w:sz w:val="18"/>
                              <w:szCs w:val="18"/>
                            </w:rPr>
                            <w:t>Q</w:t>
                          </w:r>
                          <w:r w:rsidR="00CB7486">
                            <w:rPr>
                              <w:sz w:val="18"/>
                              <w:szCs w:val="18"/>
                            </w:rPr>
                            <w:t>75</w:t>
                          </w:r>
                        </w:p>
                      </w:txbxContent>
                    </v:textbox>
                  </v:shape>
                </v:group>
              </v:group>
            </w:pict>
          </mc:Fallback>
        </mc:AlternateContent>
      </w:r>
    </w:p>
    <w:p w14:paraId="2DAC5855" w14:textId="77777777" w:rsidR="001E69E7" w:rsidRPr="008642D1" w:rsidRDefault="001E69E7" w:rsidP="001E69E7">
      <w:pPr>
        <w:pStyle w:val="QuestionBox"/>
      </w:pPr>
    </w:p>
    <w:p w14:paraId="294046B0" w14:textId="77777777" w:rsidR="00C44BFF" w:rsidRPr="00C44BFF" w:rsidRDefault="00C44BFF" w:rsidP="00CD1ABC">
      <w:pPr>
        <w:pStyle w:val="QuestionBox"/>
      </w:pPr>
      <w:r w:rsidRPr="00C44BFF">
        <w:t xml:space="preserve">If new grounds are added to the Human Rights Act 1993 to protect people who are transgender or non-binary or who have an innate variation of sex characteristics, should there be a provision in Part 2 about misgendering and deadnaming? </w:t>
      </w:r>
    </w:p>
    <w:p w14:paraId="61C4E64A" w14:textId="77777777" w:rsidR="001E69E7" w:rsidRPr="008642D1" w:rsidRDefault="001E69E7" w:rsidP="001E69E7">
      <w:pPr>
        <w:pStyle w:val="QuestionBox"/>
        <w:ind w:left="1724"/>
      </w:pPr>
    </w:p>
    <w:p w14:paraId="7E240BB3" w14:textId="087F5F99" w:rsidR="001E69E7" w:rsidRPr="008642D1" w:rsidRDefault="001E69E7" w:rsidP="001E69E7">
      <w:pPr>
        <w:pStyle w:val="Heading2"/>
      </w:pPr>
      <w:bookmarkStart w:id="186" w:name="_Toc170302207"/>
      <w:r w:rsidRPr="008642D1">
        <w:t>Binary language in the Human Rights Act</w:t>
      </w:r>
      <w:bookmarkEnd w:id="186"/>
    </w:p>
    <w:p w14:paraId="47E1DA52" w14:textId="6C902409" w:rsidR="001E69E7" w:rsidRPr="008642D1" w:rsidRDefault="001E69E7" w:rsidP="001E69E7">
      <w:pPr>
        <w:pStyle w:val="BodyText"/>
      </w:pPr>
      <w:r w:rsidRPr="008642D1">
        <w:t xml:space="preserve">In this </w:t>
      </w:r>
      <w:r w:rsidR="003B5AF6">
        <w:t>section</w:t>
      </w:r>
      <w:r w:rsidR="00AE388C">
        <w:t>,</w:t>
      </w:r>
      <w:r w:rsidRPr="008642D1">
        <w:t xml:space="preserve"> we seek feedback on instances throughout the Act of the binary expressions “him or her”, “his or her” and “he or she”. This issue arises because some people prefer to use the pronouns </w:t>
      </w:r>
      <w:r w:rsidR="002E2BA8">
        <w:t>‘</w:t>
      </w:r>
      <w:r w:rsidRPr="008642D1">
        <w:t>they or them</w:t>
      </w:r>
      <w:r w:rsidR="002E2BA8">
        <w:t>’</w:t>
      </w:r>
      <w:r w:rsidRPr="008642D1">
        <w:t>, including some people who have a non-binary gender identity.</w:t>
      </w:r>
    </w:p>
    <w:p w14:paraId="3E816537" w14:textId="53326CF1" w:rsidR="001E69E7" w:rsidRPr="008642D1" w:rsidRDefault="001E69E7" w:rsidP="001E69E7">
      <w:pPr>
        <w:pStyle w:val="BodyText"/>
      </w:pPr>
      <w:r w:rsidRPr="008642D1">
        <w:t>Twelve provisions in the Act refer to “him or her”,</w:t>
      </w:r>
      <w:r w:rsidRPr="008642D1">
        <w:rPr>
          <w:rStyle w:val="FootnoteReference"/>
        </w:rPr>
        <w:footnoteReference w:id="752"/>
      </w:r>
      <w:r w:rsidRPr="008642D1">
        <w:t xml:space="preserve"> 43 to “his or her”</w:t>
      </w:r>
      <w:r w:rsidRPr="008642D1">
        <w:rPr>
          <w:rStyle w:val="FootnoteReference"/>
        </w:rPr>
        <w:footnoteReference w:id="753"/>
      </w:r>
      <w:r w:rsidRPr="008642D1">
        <w:t xml:space="preserve"> and 30 to “he or she”.</w:t>
      </w:r>
      <w:r w:rsidRPr="008642D1">
        <w:rPr>
          <w:rStyle w:val="FootnoteReference"/>
        </w:rPr>
        <w:footnoteReference w:id="754"/>
      </w:r>
      <w:r w:rsidRPr="008642D1">
        <w:t xml:space="preserve"> Several are in sections about Part 2 discrimination or exceptions to Part 2 discrimination.</w:t>
      </w:r>
      <w:r w:rsidRPr="008642D1">
        <w:rPr>
          <w:rStyle w:val="FootnoteReference"/>
        </w:rPr>
        <w:footnoteReference w:id="755"/>
      </w:r>
      <w:r w:rsidRPr="008642D1">
        <w:t xml:space="preserve"> Others refer to the complainant, respondent or other participant in a complaint to Te Kāhui Tika Tangata | Human Rights Commission or the Human Rights Review Tribunal.</w:t>
      </w:r>
      <w:r w:rsidRPr="008642D1">
        <w:rPr>
          <w:rStyle w:val="FootnoteReference"/>
        </w:rPr>
        <w:footnoteReference w:id="756"/>
      </w:r>
      <w:r w:rsidRPr="008642D1">
        <w:t xml:space="preserve"> All the rest are references to the membership of the Human Rights Commission, the Human Rights Review Tribunal and other related agencies. </w:t>
      </w:r>
    </w:p>
    <w:p w14:paraId="0514B844" w14:textId="18855571" w:rsidR="001E69E7" w:rsidRPr="008642D1" w:rsidRDefault="001E69E7" w:rsidP="001E69E7">
      <w:pPr>
        <w:pStyle w:val="BodyText"/>
      </w:pPr>
      <w:r w:rsidRPr="008642D1">
        <w:t xml:space="preserve">We want to understand if these instances of gendered language should be replaced. An example is section 37(1)(c) of the Human Rights Act, which states that it is unlawful for an industrial or professional organisation to “deprive a person of membership, or suspend </w:t>
      </w:r>
      <w:r w:rsidRPr="008642D1">
        <w:rPr>
          <w:i/>
          <w:iCs/>
        </w:rPr>
        <w:t>him or her</w:t>
      </w:r>
      <w:r w:rsidRPr="008642D1">
        <w:t>” in certain circumstances.</w:t>
      </w:r>
      <w:r w:rsidRPr="008642D1">
        <w:rPr>
          <w:rStyle w:val="FootnoteReference"/>
        </w:rPr>
        <w:footnoteReference w:id="757"/>
      </w:r>
      <w:r w:rsidRPr="008642D1">
        <w:t xml:space="preserve"> To render this gender-neutral, the italicised words could simply be replaced with “</w:t>
      </w:r>
      <w:r w:rsidRPr="008642D1">
        <w:rPr>
          <w:i/>
          <w:iCs/>
        </w:rPr>
        <w:t>them</w:t>
      </w:r>
      <w:r w:rsidRPr="008642D1">
        <w:t>”.</w:t>
      </w:r>
    </w:p>
    <w:p w14:paraId="06EDAE8C" w14:textId="77777777" w:rsidR="001E69E7" w:rsidRPr="008642D1" w:rsidRDefault="001E69E7" w:rsidP="001E69E7">
      <w:pPr>
        <w:pStyle w:val="BodyText"/>
      </w:pPr>
      <w:r w:rsidRPr="008642D1">
        <w:t>The Legislation Act 2019 (which provides principles and rules about interpreting legislation) confirms that “words denoting a gender include every other gender”.</w:t>
      </w:r>
      <w:r w:rsidRPr="008642D1">
        <w:rPr>
          <w:rStyle w:val="FootnoteReference"/>
        </w:rPr>
        <w:footnoteReference w:id="758"/>
      </w:r>
      <w:r w:rsidRPr="008642D1">
        <w:t xml:space="preserve"> This means that, as a matter of law, there is no need to replace these references with gender-neutral language.</w:t>
      </w:r>
    </w:p>
    <w:p w14:paraId="674DD9EB" w14:textId="77777777" w:rsidR="001E69E7" w:rsidRPr="008642D1" w:rsidRDefault="001E69E7" w:rsidP="001E69E7">
      <w:pPr>
        <w:pStyle w:val="BodyText"/>
      </w:pPr>
      <w:r w:rsidRPr="008642D1">
        <w:t>The argument for making such a change would therefore be symbolic — to send a clear signal that the Human Rights Act applies to people of any gender and that membership of its enforcement bodies is open to people of all genders.</w:t>
      </w:r>
    </w:p>
    <w:p w14:paraId="30ADFAE4" w14:textId="77777777" w:rsidR="001E69E7" w:rsidRPr="008642D1" w:rsidRDefault="001E69E7" w:rsidP="001E69E7">
      <w:pPr>
        <w:pStyle w:val="BodyText"/>
      </w:pPr>
      <w:r w:rsidRPr="008642D1">
        <w:t>Using gender-neutral language is consistent with guidance published by Te Tari Tohutohu Pāremata | Parliamentary Counsel Office (albeit in the context of drafting secondary legislation).</w:t>
      </w:r>
      <w:r w:rsidRPr="008642D1">
        <w:rPr>
          <w:rStyle w:val="FootnoteReference"/>
        </w:rPr>
        <w:footnoteReference w:id="759"/>
      </w:r>
      <w:r w:rsidRPr="008642D1">
        <w:t xml:space="preserve"> We do not think it would cause ambiguity.</w:t>
      </w:r>
    </w:p>
    <w:p w14:paraId="20B7E04C" w14:textId="20E79EDD" w:rsidR="001E69E7" w:rsidRPr="008642D1" w:rsidRDefault="001E69E7" w:rsidP="001E69E7">
      <w:pPr>
        <w:pStyle w:val="QuestionBox"/>
      </w:pPr>
      <w:r w:rsidRPr="008642D1">
        <w:rPr>
          <w:noProof/>
        </w:rPr>
        <mc:AlternateContent>
          <mc:Choice Requires="wpg">
            <w:drawing>
              <wp:anchor distT="0" distB="0" distL="114300" distR="114300" simplePos="0" relativeHeight="251658373" behindDoc="1" locked="0" layoutInCell="1" allowOverlap="1" wp14:anchorId="70C63A3B" wp14:editId="177445D4">
                <wp:simplePos x="0" y="0"/>
                <wp:positionH relativeFrom="column">
                  <wp:posOffset>1533</wp:posOffset>
                </wp:positionH>
                <wp:positionV relativeFrom="paragraph">
                  <wp:posOffset>-5483</wp:posOffset>
                </wp:positionV>
                <wp:extent cx="5760085" cy="1159789"/>
                <wp:effectExtent l="0" t="0" r="0" b="2540"/>
                <wp:wrapNone/>
                <wp:docPr id="1995940052" name="Group 1995940052" descr="Question"/>
                <wp:cNvGraphicFramePr/>
                <a:graphic xmlns:a="http://schemas.openxmlformats.org/drawingml/2006/main">
                  <a:graphicData uri="http://schemas.microsoft.com/office/word/2010/wordprocessingGroup">
                    <wpg:wgp>
                      <wpg:cNvGrpSpPr/>
                      <wpg:grpSpPr>
                        <a:xfrm>
                          <a:off x="0" y="0"/>
                          <a:ext cx="5760085" cy="1159789"/>
                          <a:chOff x="0" y="62865"/>
                          <a:chExt cx="5760085" cy="1160661"/>
                        </a:xfrm>
                      </wpg:grpSpPr>
                      <wps:wsp>
                        <wps:cNvPr id="722190178"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24D88C" w14:textId="77777777" w:rsidR="001E69E7" w:rsidRDefault="001E69E7" w:rsidP="001E69E7">
                              <w:pPr>
                                <w:pStyle w:val="BoxTitle"/>
                                <w:spacing w:before="0" w:beforeAutospacing="0"/>
                              </w:pPr>
                              <w:r w:rsidRPr="007F6876">
                                <w:t>QUESTION</w:t>
                              </w:r>
                            </w:p>
                          </w:txbxContent>
                        </wps:txbx>
                        <wps:bodyPr rot="0" vert="horz" wrap="square" lIns="91440" tIns="0" rIns="0" bIns="45720" anchor="ctr" anchorCtr="0" upright="1">
                          <a:noAutofit/>
                        </wps:bodyPr>
                      </wps:wsp>
                      <wpg:grpSp>
                        <wpg:cNvPr id="1713531173" name="Group 53"/>
                        <wpg:cNvGrpSpPr>
                          <a:grpSpLocks/>
                        </wpg:cNvGrpSpPr>
                        <wpg:grpSpPr bwMode="auto">
                          <a:xfrm>
                            <a:off x="0" y="315798"/>
                            <a:ext cx="5760085" cy="907728"/>
                            <a:chOff x="1837" y="1787"/>
                            <a:chExt cx="9302" cy="9805"/>
                          </a:xfrm>
                        </wpg:grpSpPr>
                        <wps:wsp>
                          <wps:cNvPr id="1994594767" name="Freeform 54"/>
                          <wps:cNvSpPr>
                            <a:spLocks/>
                          </wps:cNvSpPr>
                          <wps:spPr bwMode="auto">
                            <a:xfrm>
                              <a:off x="1837" y="1787"/>
                              <a:ext cx="9302" cy="980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001988" name="Group 350001988"/>
                        <wpg:cNvGrpSpPr/>
                        <wpg:grpSpPr>
                          <a:xfrm>
                            <a:off x="0" y="494036"/>
                            <a:ext cx="1443794" cy="252000"/>
                            <a:chOff x="-15880" y="0"/>
                            <a:chExt cx="1444379" cy="252068"/>
                          </a:xfrm>
                        </wpg:grpSpPr>
                        <wps:wsp>
                          <wps:cNvPr id="76781707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00976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4BB2F1" w14:textId="0D654A9E" w:rsidR="001E69E7" w:rsidRPr="00E90B8A" w:rsidRDefault="001E69E7" w:rsidP="001E69E7">
                                <w:pPr>
                                  <w:pStyle w:val="BoxTitle"/>
                                  <w:spacing w:before="0" w:beforeAutospacing="0"/>
                                  <w:rPr>
                                    <w:sz w:val="18"/>
                                    <w:szCs w:val="18"/>
                                  </w:rPr>
                                </w:pPr>
                                <w:r w:rsidRPr="00E90B8A">
                                  <w:rPr>
                                    <w:sz w:val="18"/>
                                    <w:szCs w:val="18"/>
                                  </w:rPr>
                                  <w:t>Q</w:t>
                                </w:r>
                                <w:r w:rsidR="00CB7486">
                                  <w:rPr>
                                    <w:sz w:val="18"/>
                                    <w:szCs w:val="18"/>
                                  </w:rPr>
                                  <w:t>76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0C63A3B" id="Group 1995940052" o:spid="_x0000_s1451" alt="Question" style="position:absolute;left:0;text-align:left;margin-left:.1pt;margin-top:-.45pt;width:453.55pt;height:91.3pt;z-index:-251658107;mso-height-relative:margin" coordorigin=",628" coordsize="57600,11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">
                <v:shape id="Freeform 52" o:spid="_x0000_s145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&#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124D88C" w14:textId="77777777" w:rsidR="001E69E7" w:rsidRDefault="001E69E7" w:rsidP="001E69E7">
                        <w:pPr>
                          <w:pStyle w:val="BoxTitle"/>
                          <w:spacing w:before="0" w:beforeAutospacing="0"/>
                        </w:pPr>
                        <w:r w:rsidRPr="007F6876">
                          <w:t>QUESTION</w:t>
                        </w:r>
                      </w:p>
                    </w:txbxContent>
                  </v:textbox>
                </v:shape>
                <v:group id="Group 53" o:spid="_x0000_s1453" style="position:absolute;top:3157;width:57600;height:9078" coordorigin="1837,1787" coordsize="9302,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">
                  <v:shape id="Freeform 54" o:spid="_x0000_s1454" style="position:absolute;left:1837;top:1787;width:9302;height:980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" path="m,l9354,r,7809l,7809,,e" fillcolor="#edf2ea" stroked="f">
                    <v:path arrowok="t" o:connecttype="custom" o:connectlocs="0,1256;9302,1256;9302,11061;0,11061;0,1256" o:connectangles="0,0,0,0,0"/>
                  </v:shape>
                </v:group>
                <v:group id="Group 350001988" o:spid="_x0000_s145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">
                  <v:shape id="Freeform 58" o:spid="_x0000_s145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" path="m,l1815,e" filled="f" strokecolor="#72ab6a" strokeweight=".5pt">
                    <v:path arrowok="t" o:connecttype="custom" o:connectlocs="0,0;1073495,0" o:connectangles="0,0"/>
                  </v:shape>
                  <v:shape id="Freeform 66" o:spid="_x0000_s145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14BB2F1" w14:textId="0D654A9E" w:rsidR="001E69E7" w:rsidRPr="00E90B8A" w:rsidRDefault="001E69E7" w:rsidP="001E69E7">
                          <w:pPr>
                            <w:pStyle w:val="BoxTitle"/>
                            <w:spacing w:before="0" w:beforeAutospacing="0"/>
                            <w:rPr>
                              <w:sz w:val="18"/>
                              <w:szCs w:val="18"/>
                            </w:rPr>
                          </w:pPr>
                          <w:r w:rsidRPr="00E90B8A">
                            <w:rPr>
                              <w:sz w:val="18"/>
                              <w:szCs w:val="18"/>
                            </w:rPr>
                            <w:t>Q</w:t>
                          </w:r>
                          <w:r w:rsidR="00CB7486">
                            <w:rPr>
                              <w:sz w:val="18"/>
                              <w:szCs w:val="18"/>
                            </w:rPr>
                            <w:t>76</w:t>
                          </w:r>
                        </w:p>
                      </w:txbxContent>
                    </v:textbox>
                  </v:shape>
                </v:group>
              </v:group>
            </w:pict>
          </mc:Fallback>
        </mc:AlternateContent>
      </w:r>
    </w:p>
    <w:p w14:paraId="19FBB602" w14:textId="77777777" w:rsidR="001E69E7" w:rsidRPr="008642D1" w:rsidRDefault="001E69E7" w:rsidP="001E69E7">
      <w:pPr>
        <w:pStyle w:val="QuestionBox"/>
      </w:pPr>
    </w:p>
    <w:p w14:paraId="1D7ED399" w14:textId="5671ECF0" w:rsidR="001E69E7" w:rsidRPr="008642D1" w:rsidRDefault="001E69E7" w:rsidP="001E69E7">
      <w:pPr>
        <w:pStyle w:val="QuestionBox"/>
      </w:pPr>
      <w:r w:rsidRPr="008642D1">
        <w:t xml:space="preserve">Should the binary language </w:t>
      </w:r>
      <w:r w:rsidR="004A2474" w:rsidRPr="004A2474">
        <w:t>“</w:t>
      </w:r>
      <w:r w:rsidRPr="008642D1">
        <w:t>him</w:t>
      </w:r>
      <w:r w:rsidR="004A2474" w:rsidRPr="004A2474">
        <w:t xml:space="preserve"> or her”, “</w:t>
      </w:r>
      <w:r w:rsidRPr="008642D1">
        <w:t>his</w:t>
      </w:r>
      <w:r w:rsidR="004A2474" w:rsidRPr="004A2474">
        <w:t xml:space="preserve"> or </w:t>
      </w:r>
      <w:r w:rsidRPr="008642D1">
        <w:t>her</w:t>
      </w:r>
      <w:r w:rsidR="004A2474" w:rsidRPr="004A2474">
        <w:t>”</w:t>
      </w:r>
      <w:r w:rsidRPr="008642D1">
        <w:t xml:space="preserve"> and </w:t>
      </w:r>
      <w:r w:rsidR="004A2474" w:rsidRPr="004A2474">
        <w:t>“</w:t>
      </w:r>
      <w:r w:rsidRPr="008642D1">
        <w:t>he</w:t>
      </w:r>
      <w:r w:rsidR="004A2474" w:rsidRPr="004A2474">
        <w:t xml:space="preserve"> or she’’</w:t>
      </w:r>
      <w:r w:rsidRPr="008642D1">
        <w:t xml:space="preserve"> in the Human Rights Act </w:t>
      </w:r>
      <w:r w:rsidR="00C65958">
        <w:t xml:space="preserve">1993 </w:t>
      </w:r>
      <w:r w:rsidR="004A2474" w:rsidRPr="004A2474">
        <w:t>be replaced by gender-neutral language</w:t>
      </w:r>
      <w:r w:rsidRPr="008642D1">
        <w:t xml:space="preserve">? </w:t>
      </w:r>
    </w:p>
    <w:p w14:paraId="63F2B55F" w14:textId="77777777" w:rsidR="001E69E7" w:rsidRPr="008642D1" w:rsidRDefault="001E69E7" w:rsidP="001E69E7">
      <w:pPr>
        <w:pStyle w:val="QuestionBox"/>
      </w:pPr>
    </w:p>
    <w:p w14:paraId="2E8ABBDB" w14:textId="77777777" w:rsidR="00174F89" w:rsidRPr="008642D1" w:rsidRDefault="00174F89" w:rsidP="00174F89">
      <w:pPr>
        <w:pStyle w:val="BodyText"/>
        <w:numPr>
          <w:ilvl w:val="0"/>
          <w:numId w:val="0"/>
        </w:numPr>
        <w:rPr>
          <w:lang w:val="en-US"/>
        </w:rPr>
      </w:pPr>
    </w:p>
    <w:p w14:paraId="1B559681" w14:textId="2922995C" w:rsidR="00174F89" w:rsidRPr="008642D1" w:rsidRDefault="00B81231" w:rsidP="00174F89">
      <w:pPr>
        <w:pStyle w:val="BodyText"/>
        <w:numPr>
          <w:ilvl w:val="0"/>
          <w:numId w:val="0"/>
        </w:numPr>
      </w:pPr>
      <w:r w:rsidRPr="008642D1">
        <w:rPr>
          <w:rFonts w:eastAsiaTheme="minorHAnsi"/>
          <w:noProof/>
          <w:lang w:eastAsia="en-NZ"/>
        </w:rPr>
        <mc:AlternateContent>
          <mc:Choice Requires="wpg">
            <w:drawing>
              <wp:anchor distT="0" distB="0" distL="114300" distR="114300" simplePos="0" relativeHeight="251658282" behindDoc="1" locked="0" layoutInCell="1" allowOverlap="1" wp14:anchorId="006DAD9C" wp14:editId="68002B03">
                <wp:simplePos x="0" y="0"/>
                <wp:positionH relativeFrom="page">
                  <wp:posOffset>1080135</wp:posOffset>
                </wp:positionH>
                <wp:positionV relativeFrom="paragraph">
                  <wp:posOffset>113944</wp:posOffset>
                </wp:positionV>
                <wp:extent cx="1799590" cy="1270"/>
                <wp:effectExtent l="0" t="19050" r="10160" b="17780"/>
                <wp:wrapNone/>
                <wp:docPr id="30442256" name="Group 30442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2013522202"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CC12E" id="Group 30442256" o:spid="_x0000_s1026" style="position:absolute;margin-left:85.05pt;margin-top:8.95pt;width:141.7pt;height:.1pt;z-index:-251658198;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" path="m,l2097,e" filled="f" strokecolor="#72ab6a" strokeweight="3pt">
                  <v:path arrowok="t" o:connecttype="custom" o:connectlocs="0,0;2097,0" o:connectangles="0,0"/>
                </v:shape>
                <w10:wrap anchorx="page"/>
              </v:group>
            </w:pict>
          </mc:Fallback>
        </mc:AlternateContent>
      </w:r>
    </w:p>
    <w:p w14:paraId="5AA56C97" w14:textId="2E7066C0" w:rsidR="001E69E7" w:rsidRPr="008642D1" w:rsidRDefault="001E69E7" w:rsidP="00CB7486">
      <w:pPr>
        <w:pStyle w:val="BodyText"/>
        <w:numPr>
          <w:ilvl w:val="0"/>
          <w:numId w:val="0"/>
        </w:numPr>
        <w:ind w:left="709"/>
      </w:pPr>
    </w:p>
    <w:p w14:paraId="1743C250" w14:textId="77777777" w:rsidR="001E69E7" w:rsidRPr="008642D1" w:rsidRDefault="001E69E7" w:rsidP="001E69E7">
      <w:pPr>
        <w:pStyle w:val="BodyText"/>
        <w:numPr>
          <w:ilvl w:val="0"/>
          <w:numId w:val="0"/>
        </w:numPr>
        <w:ind w:left="709"/>
        <w:sectPr w:rsidR="001E69E7" w:rsidRPr="008642D1" w:rsidSect="001E69E7">
          <w:headerReference w:type="default" r:id="rId67"/>
          <w:footerReference w:type="even" r:id="rId68"/>
          <w:footnotePr>
            <w:numRestart w:val="eachSect"/>
          </w:footnotePr>
          <w:pgSz w:w="11920" w:h="16840"/>
          <w:pgMar w:top="1134" w:right="1134" w:bottom="1134" w:left="1701" w:header="499" w:footer="46" w:gutter="0"/>
          <w:cols w:space="720"/>
          <w:docGrid w:linePitch="272"/>
        </w:sectPr>
      </w:pPr>
    </w:p>
    <w:p w14:paraId="1D82284B" w14:textId="5F407113" w:rsidR="001E69E7" w:rsidRPr="008642D1" w:rsidRDefault="001E69E7" w:rsidP="001E69E7">
      <w:pPr>
        <w:pStyle w:val="HEADING2topchapter-notinTOC"/>
      </w:pPr>
      <w:r w:rsidRPr="008642D1">
        <w:t>CHAPTER 18</w:t>
      </w:r>
    </w:p>
    <w:p w14:paraId="255085B0" w14:textId="77777777" w:rsidR="001E69E7" w:rsidRPr="008642D1" w:rsidRDefault="001E69E7" w:rsidP="001E69E7">
      <w:pPr>
        <w:spacing w:line="200" w:lineRule="exact"/>
        <w:rPr>
          <w:szCs w:val="20"/>
        </w:rPr>
      </w:pPr>
      <w:r w:rsidRPr="008642D1">
        <w:rPr>
          <w:noProof/>
          <w:lang w:eastAsia="en-NZ"/>
        </w:rPr>
        <mc:AlternateContent>
          <mc:Choice Requires="wpg">
            <w:drawing>
              <wp:anchor distT="0" distB="0" distL="114300" distR="114300" simplePos="0" relativeHeight="251658302" behindDoc="1" locked="0" layoutInCell="1" allowOverlap="1" wp14:anchorId="31E02130" wp14:editId="7E65EFEC">
                <wp:simplePos x="0" y="0"/>
                <wp:positionH relativeFrom="page">
                  <wp:posOffset>1076325</wp:posOffset>
                </wp:positionH>
                <wp:positionV relativeFrom="paragraph">
                  <wp:posOffset>6350</wp:posOffset>
                </wp:positionV>
                <wp:extent cx="1332230" cy="1270"/>
                <wp:effectExtent l="0" t="19050" r="1270" b="17780"/>
                <wp:wrapNone/>
                <wp:docPr id="483330573" name="Group 483330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87863763"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23CE2" id="Group 483330573" o:spid="_x0000_s1026" style="position:absolute;margin-left:84.75pt;margin-top:.5pt;width:104.9pt;height:.1pt;z-index:-251658178;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1D256C82" w14:textId="024221AA" w:rsidR="001E69E7" w:rsidRPr="008642D1" w:rsidRDefault="001E69E7" w:rsidP="001E69E7">
      <w:pPr>
        <w:pStyle w:val="Heading1nonum"/>
        <w:numPr>
          <w:ilvl w:val="0"/>
          <w:numId w:val="24"/>
        </w:numPr>
        <w:spacing w:before="600" w:after="240"/>
        <w:rPr>
          <w:rFonts w:eastAsia="Metropolis Black"/>
        </w:rPr>
      </w:pPr>
      <w:bookmarkStart w:id="187" w:name="_Toc170302208"/>
      <w:r w:rsidRPr="008642D1">
        <w:rPr>
          <w:rFonts w:eastAsia="Metropolis Black"/>
        </w:rPr>
        <w:t>Other matters</w:t>
      </w:r>
      <w:bookmarkEnd w:id="187"/>
    </w:p>
    <w:p w14:paraId="3FC07A36" w14:textId="77777777" w:rsidR="001E69E7" w:rsidRPr="008642D1" w:rsidRDefault="001E69E7" w:rsidP="001E69E7">
      <w:pPr>
        <w:spacing w:line="200" w:lineRule="exact"/>
        <w:rPr>
          <w:szCs w:val="20"/>
        </w:rPr>
      </w:pPr>
      <w:r w:rsidRPr="008642D1">
        <w:rPr>
          <w:noProof/>
          <w:lang w:eastAsia="en-NZ"/>
        </w:rPr>
        <mc:AlternateContent>
          <mc:Choice Requires="wpg">
            <w:drawing>
              <wp:anchor distT="0" distB="0" distL="114300" distR="114300" simplePos="0" relativeHeight="251658301" behindDoc="1" locked="0" layoutInCell="1" allowOverlap="1" wp14:anchorId="27B2277F" wp14:editId="78A2093A">
                <wp:simplePos x="0" y="0"/>
                <wp:positionH relativeFrom="page">
                  <wp:posOffset>1087427</wp:posOffset>
                </wp:positionH>
                <wp:positionV relativeFrom="paragraph">
                  <wp:posOffset>71755</wp:posOffset>
                </wp:positionV>
                <wp:extent cx="1332230" cy="1270"/>
                <wp:effectExtent l="0" t="19050" r="1270" b="17780"/>
                <wp:wrapNone/>
                <wp:docPr id="1144022444" name="Group 114402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268879372"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01050" id="Group 1144022444" o:spid="_x0000_s1026" style="position:absolute;margin-left:85.6pt;margin-top:5.65pt;width:104.9pt;height:.1pt;z-index:-251658179;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561D524A" w14:textId="77777777" w:rsidR="001E69E7" w:rsidRPr="008642D1" w:rsidRDefault="001E69E7" w:rsidP="001E69E7"/>
    <w:p w14:paraId="3DEAD792" w14:textId="77777777" w:rsidR="001E69E7" w:rsidRPr="008642D1" w:rsidRDefault="001E69E7" w:rsidP="001E69E7">
      <w:pPr>
        <w:pStyle w:val="Heading2"/>
      </w:pPr>
      <w:bookmarkStart w:id="188" w:name="_Toc170302209"/>
      <w:r w:rsidRPr="008642D1">
        <w:t>Introduction</w:t>
      </w:r>
      <w:bookmarkEnd w:id="188"/>
    </w:p>
    <w:p w14:paraId="7A1CA8A2" w14:textId="5F20C8A0" w:rsidR="001E69E7" w:rsidRPr="008642D1" w:rsidRDefault="001E69E7" w:rsidP="001E69E7">
      <w:pPr>
        <w:pStyle w:val="BodyText"/>
      </w:pPr>
      <w:r w:rsidRPr="008642D1">
        <w:t>In this chapter</w:t>
      </w:r>
      <w:r w:rsidR="00AE388C">
        <w:t>,</w:t>
      </w:r>
      <w:r w:rsidRPr="008642D1">
        <w:t xml:space="preserve"> we discuss parts of the Human Rights Act 1993 that we have not considered in earlier chapters. These are Part 1 (which states the membership, powers and functions of Te Kāhui Tika Tangata | Human Rights Commission) and Parts 3 and 4 (which deal with the resolution of disputes). </w:t>
      </w:r>
    </w:p>
    <w:p w14:paraId="387E4876" w14:textId="77777777" w:rsidR="001E69E7" w:rsidRPr="008642D1" w:rsidRDefault="001E69E7" w:rsidP="001E69E7">
      <w:pPr>
        <w:pStyle w:val="BodyText"/>
      </w:pPr>
      <w:r w:rsidRPr="008642D1">
        <w:t>We also consider the consequential implications of this review for other laws (especially, laws that refer directly to the Human Rights Act).</w:t>
      </w:r>
    </w:p>
    <w:p w14:paraId="5FAEA936" w14:textId="77777777" w:rsidR="001E69E7" w:rsidRPr="008642D1" w:rsidRDefault="001E69E7" w:rsidP="001E69E7">
      <w:pPr>
        <w:pStyle w:val="Heading2"/>
      </w:pPr>
      <w:bookmarkStart w:id="189" w:name="_Toc170302210"/>
      <w:r w:rsidRPr="008642D1">
        <w:t>Part 1 of the Human Rights Act</w:t>
      </w:r>
      <w:bookmarkEnd w:id="189"/>
    </w:p>
    <w:p w14:paraId="4A9E6E5C" w14:textId="77777777" w:rsidR="001E69E7" w:rsidRPr="008642D1" w:rsidRDefault="001E69E7" w:rsidP="001E69E7">
      <w:pPr>
        <w:pStyle w:val="BodyText"/>
      </w:pPr>
      <w:r w:rsidRPr="008642D1">
        <w:t xml:space="preserve">Part 1 of the Human Rights Act states the membership, powers and functions of the Human Rights Commission (and of some associated officers). </w:t>
      </w:r>
    </w:p>
    <w:p w14:paraId="3AFC8EEC" w14:textId="7834CE6A" w:rsidR="001E69E7" w:rsidRPr="008642D1" w:rsidRDefault="001E69E7" w:rsidP="001E69E7">
      <w:pPr>
        <w:pStyle w:val="BodyText"/>
      </w:pPr>
      <w:r w:rsidRPr="008642D1">
        <w:t>As well as a disputes resolution function (discussed further below), the Human Rights Commission has broad powers to advocate for and promote human rights in Aotearoa New Zealand.</w:t>
      </w:r>
      <w:r w:rsidRPr="008642D1">
        <w:rPr>
          <w:rStyle w:val="FootnoteReference"/>
        </w:rPr>
        <w:footnoteReference w:id="760"/>
      </w:r>
      <w:r w:rsidRPr="008642D1">
        <w:t xml:space="preserve"> This includes things </w:t>
      </w:r>
      <w:r w:rsidR="00BE36D7">
        <w:t>such as</w:t>
      </w:r>
      <w:r w:rsidR="00BE36D7" w:rsidRPr="008642D1">
        <w:t xml:space="preserve"> </w:t>
      </w:r>
      <w:r w:rsidRPr="008642D1">
        <w:t>publishing guidelines and educational material</w:t>
      </w:r>
      <w:r w:rsidR="000E705F">
        <w:t>,</w:t>
      </w:r>
      <w:r w:rsidRPr="008642D1">
        <w:t xml:space="preserve"> and instigating its own inquiries (which it did in 2006 when it commenced an inquiry into discrimination experienced by transgender people).</w:t>
      </w:r>
      <w:r w:rsidRPr="008642D1">
        <w:rPr>
          <w:rStyle w:val="FootnoteReference"/>
        </w:rPr>
        <w:footnoteReference w:id="761"/>
      </w:r>
      <w:r w:rsidRPr="008642D1">
        <w:t xml:space="preserve"> The Human Rights Commission has dedicated commissioners in some priority areas.</w:t>
      </w:r>
      <w:r w:rsidRPr="008642D1">
        <w:rPr>
          <w:rStyle w:val="FootnoteReference"/>
        </w:rPr>
        <w:footnoteReference w:id="762"/>
      </w:r>
      <w:r w:rsidRPr="008642D1">
        <w:t xml:space="preserve"> </w:t>
      </w:r>
    </w:p>
    <w:p w14:paraId="0603C2DD" w14:textId="010983B7" w:rsidR="001E69E7" w:rsidRPr="008642D1" w:rsidRDefault="001E69E7" w:rsidP="001E69E7">
      <w:pPr>
        <w:pStyle w:val="BodyText"/>
      </w:pPr>
      <w:r w:rsidRPr="008642D1">
        <w:t>In preliminary research and engagement, we have not heard of any specific issues raised by these provisions that warrant consideration in this review. However, we are interested to hear from submitters whether they have any concerns (and, specifically, whether the membership, powers and functions of the Human Rights Commission are sufficient to protect the rights of people who are transgender or non-binary or who have an innate variation of sex characteristics</w:t>
      </w:r>
      <w:r w:rsidR="00C033A2">
        <w:t>)</w:t>
      </w:r>
      <w:r w:rsidRPr="008642D1">
        <w:t>.</w:t>
      </w:r>
    </w:p>
    <w:p w14:paraId="4FAD7B15" w14:textId="0DC404CA" w:rsidR="00734E73" w:rsidRPr="008642D1" w:rsidRDefault="00734E73">
      <w:pPr>
        <w:widowControl w:val="0"/>
        <w:spacing w:after="200" w:line="276" w:lineRule="auto"/>
        <w:rPr>
          <w:rFonts w:eastAsia="Metropolis Light" w:cs="Times New Roman"/>
          <w:color w:val="000000" w:themeColor="text1"/>
          <w:szCs w:val="24"/>
          <w:lang w:eastAsia="en-AU"/>
        </w:rPr>
      </w:pPr>
      <w:r w:rsidRPr="008642D1">
        <w:br w:type="page"/>
      </w:r>
    </w:p>
    <w:p w14:paraId="33F87447" w14:textId="47EDE0D4" w:rsidR="00734E73" w:rsidRPr="008642D1" w:rsidRDefault="00734E73" w:rsidP="00734E73">
      <w:pPr>
        <w:pStyle w:val="QuestionBox"/>
      </w:pPr>
      <w:r w:rsidRPr="008642D1">
        <w:rPr>
          <w:noProof/>
        </w:rPr>
        <mc:AlternateContent>
          <mc:Choice Requires="wpg">
            <w:drawing>
              <wp:anchor distT="0" distB="0" distL="114300" distR="114300" simplePos="0" relativeHeight="251658374" behindDoc="1" locked="0" layoutInCell="1" allowOverlap="1" wp14:anchorId="0BD6FAF6" wp14:editId="43A724B4">
                <wp:simplePos x="0" y="0"/>
                <wp:positionH relativeFrom="column">
                  <wp:posOffset>-3810</wp:posOffset>
                </wp:positionH>
                <wp:positionV relativeFrom="paragraph">
                  <wp:posOffset>3810</wp:posOffset>
                </wp:positionV>
                <wp:extent cx="5760085" cy="1304935"/>
                <wp:effectExtent l="0" t="0" r="0" b="9525"/>
                <wp:wrapNone/>
                <wp:docPr id="614571242" name="Group 614571242" descr="Question"/>
                <wp:cNvGraphicFramePr/>
                <a:graphic xmlns:a="http://schemas.openxmlformats.org/drawingml/2006/main">
                  <a:graphicData uri="http://schemas.microsoft.com/office/word/2010/wordprocessingGroup">
                    <wpg:wgp>
                      <wpg:cNvGrpSpPr/>
                      <wpg:grpSpPr>
                        <a:xfrm>
                          <a:off x="0" y="0"/>
                          <a:ext cx="5760085" cy="1304935"/>
                          <a:chOff x="0" y="62865"/>
                          <a:chExt cx="5760085" cy="1305916"/>
                        </a:xfrm>
                      </wpg:grpSpPr>
                      <wps:wsp>
                        <wps:cNvPr id="15232599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3388E6" w14:textId="77777777" w:rsidR="00734E73" w:rsidRDefault="00734E73" w:rsidP="00734E73">
                              <w:pPr>
                                <w:pStyle w:val="BoxTitle"/>
                                <w:spacing w:before="0" w:beforeAutospacing="0"/>
                              </w:pPr>
                              <w:r w:rsidRPr="007F6876">
                                <w:t>QUESTION</w:t>
                              </w:r>
                            </w:p>
                          </w:txbxContent>
                        </wps:txbx>
                        <wps:bodyPr rot="0" vert="horz" wrap="square" lIns="91440" tIns="0" rIns="0" bIns="45720" anchor="ctr" anchorCtr="0" upright="1">
                          <a:noAutofit/>
                        </wps:bodyPr>
                      </wps:wsp>
                      <wpg:grpSp>
                        <wpg:cNvPr id="1890395639" name="Group 53"/>
                        <wpg:cNvGrpSpPr>
                          <a:grpSpLocks/>
                        </wpg:cNvGrpSpPr>
                        <wpg:grpSpPr bwMode="auto">
                          <a:xfrm>
                            <a:off x="0" y="315798"/>
                            <a:ext cx="5760085" cy="1052983"/>
                            <a:chOff x="1837" y="1787"/>
                            <a:chExt cx="9302" cy="11374"/>
                          </a:xfrm>
                        </wpg:grpSpPr>
                        <wps:wsp>
                          <wps:cNvPr id="2030078831" name="Freeform 54"/>
                          <wps:cNvSpPr>
                            <a:spLocks/>
                          </wps:cNvSpPr>
                          <wps:spPr bwMode="auto">
                            <a:xfrm>
                              <a:off x="1837" y="1787"/>
                              <a:ext cx="9302" cy="1137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895746" name="Group 262895746"/>
                        <wpg:cNvGrpSpPr/>
                        <wpg:grpSpPr>
                          <a:xfrm>
                            <a:off x="0" y="494036"/>
                            <a:ext cx="1443794" cy="252000"/>
                            <a:chOff x="-15880" y="0"/>
                            <a:chExt cx="1444379" cy="252068"/>
                          </a:xfrm>
                        </wpg:grpSpPr>
                        <wps:wsp>
                          <wps:cNvPr id="46178584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77408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17BE57" w14:textId="2E575EA9" w:rsidR="00734E73" w:rsidRPr="00E90B8A" w:rsidRDefault="00734E73" w:rsidP="00734E73">
                                <w:pPr>
                                  <w:pStyle w:val="BoxTitle"/>
                                  <w:spacing w:before="0" w:beforeAutospacing="0"/>
                                  <w:rPr>
                                    <w:sz w:val="18"/>
                                    <w:szCs w:val="18"/>
                                  </w:rPr>
                                </w:pPr>
                                <w:r w:rsidRPr="00E90B8A">
                                  <w:rPr>
                                    <w:sz w:val="18"/>
                                    <w:szCs w:val="18"/>
                                  </w:rPr>
                                  <w:t>Q</w:t>
                                </w:r>
                                <w:r w:rsidR="00CB7486">
                                  <w:rPr>
                                    <w:sz w:val="18"/>
                                    <w:szCs w:val="18"/>
                                  </w:rPr>
                                  <w:t>77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BD6FAF6" id="Group 614571242" o:spid="_x0000_s1458" alt="Question" style="position:absolute;left:0;text-align:left;margin-left:-.3pt;margin-top:.3pt;width:453.55pt;height:102.75pt;z-index:-251658106;mso-height-relative:margin" coordorigin=",628" coordsize="57600,13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">
                <v:shape id="Freeform 52" o:spid="_x0000_s145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A3388E6" w14:textId="77777777" w:rsidR="00734E73" w:rsidRDefault="00734E73" w:rsidP="00734E73">
                        <w:pPr>
                          <w:pStyle w:val="BoxTitle"/>
                          <w:spacing w:before="0" w:beforeAutospacing="0"/>
                        </w:pPr>
                        <w:r w:rsidRPr="007F6876">
                          <w:t>QUESTION</w:t>
                        </w:r>
                      </w:p>
                    </w:txbxContent>
                  </v:textbox>
                </v:shape>
                <v:group id="Group 53" o:spid="_x0000_s1460" style="position:absolute;top:3157;width:57600;height:10530" coordorigin="1837,1787" coordsize="9302,1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">
                  <v:shape id="Freeform 54" o:spid="_x0000_s1461" style="position:absolute;left:1837;top:1787;width:9302;height:1137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" path="m,l9354,r,7809l,7809,,e" fillcolor="#edf2ea" stroked="f">
                    <v:path arrowok="t" o:connecttype="custom" o:connectlocs="0,1457;9302,1457;9302,12831;0,12831;0,1457" o:connectangles="0,0,0,0,0"/>
                  </v:shape>
                </v:group>
                <v:group id="Group 262895746" o:spid="_x0000_s146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">
                  <v:shape id="Freeform 58" o:spid="_x0000_s146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" path="m,l1815,e" filled="f" strokecolor="#72ab6a" strokeweight=".5pt">
                    <v:path arrowok="t" o:connecttype="custom" o:connectlocs="0,0;1073495,0" o:connectangles="0,0"/>
                  </v:shape>
                  <v:shape id="Freeform 66" o:spid="_x0000_s146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&#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617BE57" w14:textId="2E575EA9" w:rsidR="00734E73" w:rsidRPr="00E90B8A" w:rsidRDefault="00734E73" w:rsidP="00734E73">
                          <w:pPr>
                            <w:pStyle w:val="BoxTitle"/>
                            <w:spacing w:before="0" w:beforeAutospacing="0"/>
                            <w:rPr>
                              <w:sz w:val="18"/>
                              <w:szCs w:val="18"/>
                            </w:rPr>
                          </w:pPr>
                          <w:r w:rsidRPr="00E90B8A">
                            <w:rPr>
                              <w:sz w:val="18"/>
                              <w:szCs w:val="18"/>
                            </w:rPr>
                            <w:t>Q</w:t>
                          </w:r>
                          <w:r w:rsidR="00CB7486">
                            <w:rPr>
                              <w:sz w:val="18"/>
                              <w:szCs w:val="18"/>
                            </w:rPr>
                            <w:t>77</w:t>
                          </w:r>
                        </w:p>
                      </w:txbxContent>
                    </v:textbox>
                  </v:shape>
                </v:group>
              </v:group>
            </w:pict>
          </mc:Fallback>
        </mc:AlternateContent>
      </w:r>
    </w:p>
    <w:p w14:paraId="359F64C9" w14:textId="77777777" w:rsidR="00734E73" w:rsidRPr="008642D1" w:rsidRDefault="00734E73" w:rsidP="00734E73">
      <w:pPr>
        <w:pStyle w:val="QuestionBox"/>
      </w:pPr>
    </w:p>
    <w:p w14:paraId="63E567AC" w14:textId="01CCE03E" w:rsidR="00734E73" w:rsidRDefault="001E69E7" w:rsidP="00734E73">
      <w:pPr>
        <w:pStyle w:val="QuestionBox"/>
      </w:pPr>
      <w:r w:rsidRPr="008642D1">
        <w:t>Are the membership, powers and functions of the Human Rights Commission sufficient to promote and protect the rights of people who are transgender</w:t>
      </w:r>
      <w:r w:rsidR="002A0413">
        <w:t xml:space="preserve"> or</w:t>
      </w:r>
      <w:r w:rsidRPr="008642D1">
        <w:t xml:space="preserve"> non-binary or </w:t>
      </w:r>
      <w:r w:rsidR="002A0413">
        <w:t>who</w:t>
      </w:r>
      <w:r w:rsidR="002A0413" w:rsidRPr="008642D1">
        <w:t xml:space="preserve"> </w:t>
      </w:r>
      <w:r w:rsidRPr="008642D1">
        <w:t>have an innate variation of sex characteristics</w:t>
      </w:r>
      <w:r w:rsidR="0099494F" w:rsidRPr="0099494F">
        <w:t>?</w:t>
      </w:r>
    </w:p>
    <w:p w14:paraId="357CC4E0" w14:textId="77777777" w:rsidR="00CB7486" w:rsidRPr="008642D1" w:rsidRDefault="00CB7486" w:rsidP="00734E73">
      <w:pPr>
        <w:pStyle w:val="QuestionBox"/>
      </w:pPr>
    </w:p>
    <w:p w14:paraId="03EE55EE" w14:textId="77777777" w:rsidR="001E69E7" w:rsidRPr="008642D1" w:rsidRDefault="001E69E7" w:rsidP="001E69E7">
      <w:pPr>
        <w:pStyle w:val="Heading2"/>
      </w:pPr>
      <w:bookmarkStart w:id="190" w:name="_Toc170302211"/>
      <w:r w:rsidRPr="008642D1">
        <w:t>Parts 3 and 4: access to justice and dispute resolution</w:t>
      </w:r>
      <w:bookmarkEnd w:id="190"/>
    </w:p>
    <w:p w14:paraId="69634A79" w14:textId="77777777" w:rsidR="001E69E7" w:rsidRPr="008642D1" w:rsidRDefault="001E69E7" w:rsidP="001E69E7">
      <w:pPr>
        <w:pStyle w:val="BodyText"/>
      </w:pPr>
      <w:r w:rsidRPr="008642D1">
        <w:t>Parts 3 and 4 of the Human Rights Act deal with the resolution of disputes. In broad terms, a person who believes their rights under Part 1A or Part 2 have been violated can complain to the Human Rights Commission, which is meant to facilitate the resolution of the dispute in “the most efficient, informal, and cost-effective manner possible”.</w:t>
      </w:r>
      <w:r w:rsidRPr="008642D1">
        <w:rPr>
          <w:rStyle w:val="FootnoteReference"/>
        </w:rPr>
        <w:footnoteReference w:id="763"/>
      </w:r>
      <w:r w:rsidRPr="008642D1">
        <w:t xml:space="preserve"> It can offer a range of services to help resolve the dispute such as providing information, expert problem-solving support and mediation.</w:t>
      </w:r>
      <w:r w:rsidRPr="008642D1">
        <w:rPr>
          <w:rStyle w:val="FootnoteReference"/>
        </w:rPr>
        <w:footnoteReference w:id="764"/>
      </w:r>
      <w:r w:rsidRPr="008642D1">
        <w:t xml:space="preserve">  </w:t>
      </w:r>
    </w:p>
    <w:p w14:paraId="212CFAF2" w14:textId="77777777" w:rsidR="001E69E7" w:rsidRPr="008642D1" w:rsidRDefault="001E69E7" w:rsidP="001E69E7">
      <w:pPr>
        <w:pStyle w:val="BodyText"/>
      </w:pPr>
      <w:r w:rsidRPr="008642D1">
        <w:t>If the parties are unable to resolve the dispute with the help of the Human Rights Commission, the complainant can lodge a claim with Te Taraipiunara Mana Tangata | Human Rights Review Tribunal.</w:t>
      </w:r>
      <w:r w:rsidRPr="008642D1">
        <w:rPr>
          <w:rStyle w:val="FootnoteReference"/>
        </w:rPr>
        <w:footnoteReference w:id="765"/>
      </w:r>
      <w:r w:rsidRPr="008642D1">
        <w:t xml:space="preserve"> The Tribunal will adjudicate the dispute and, if the complainant is successful, grant a remedy. Decisions of the Human Rights Review Tribunal can be appealed to Te Kōti Matua | High Court.</w:t>
      </w:r>
    </w:p>
    <w:p w14:paraId="55A3DA79" w14:textId="77777777" w:rsidR="001E69E7" w:rsidRPr="008642D1" w:rsidRDefault="001E69E7" w:rsidP="001E69E7">
      <w:pPr>
        <w:pStyle w:val="BodyText"/>
      </w:pPr>
      <w:r w:rsidRPr="008642D1">
        <w:t xml:space="preserve">In Chapter 17, we raised some issues concerning the membership and processes of the Human Rights Review Tribunal in cases involving tikanga. Other than that, we have not identified issues in Part 3 that obviously warrant consideration in this review. However, we are interested to hear from submitters whether they have any concerns. </w:t>
      </w:r>
    </w:p>
    <w:p w14:paraId="0A013584" w14:textId="46A1FB7B" w:rsidR="001E69E7" w:rsidRPr="008642D1" w:rsidRDefault="001E69E7" w:rsidP="001E69E7">
      <w:pPr>
        <w:pStyle w:val="BodyText"/>
      </w:pPr>
      <w:r w:rsidRPr="008642D1">
        <w:t>As we mentioned in Chapter 6, we are struck by how few complaints are made to the Human Rights Commission by people who are transgender or non-binary or who have an innate variation of sex characteristics. The Commission typically receives around 1</w:t>
      </w:r>
      <w:r w:rsidR="00C033A2">
        <w:t>,</w:t>
      </w:r>
      <w:r w:rsidRPr="008642D1">
        <w:t>000 complaints of unlawful discrimination each year.</w:t>
      </w:r>
      <w:r w:rsidRPr="008642D1">
        <w:rPr>
          <w:rStyle w:val="FootnoteReference"/>
        </w:rPr>
        <w:footnoteReference w:id="766"/>
      </w:r>
      <w:r w:rsidRPr="008642D1">
        <w:t xml:space="preserve"> But, in the 16 years from 1 January 2008 to 31 December 2023, the Commission received just 192 complaints about discrimination from people who identified as transgender, gender diverse or intersex.</w:t>
      </w:r>
      <w:r w:rsidRPr="008642D1">
        <w:rPr>
          <w:rStyle w:val="FootnoteReference"/>
        </w:rPr>
        <w:footnoteReference w:id="767"/>
      </w:r>
      <w:r w:rsidRPr="008642D1">
        <w:t xml:space="preserve"> As we explained in Chapter 6, this may be because of the absence of any express grounds of protection in section 21 of the Human Rights Act. However, we are interested to understand whether there are other barriers to access to justice experienced by these groups that we should address in this review.</w:t>
      </w:r>
    </w:p>
    <w:p w14:paraId="6587AB94" w14:textId="51127285" w:rsidR="003F4BAB" w:rsidRDefault="003F4BAB">
      <w:pPr>
        <w:widowControl w:val="0"/>
        <w:spacing w:after="200" w:line="276" w:lineRule="auto"/>
        <w:rPr>
          <w:rFonts w:eastAsia="Metropolis Light" w:cs="Times New Roman"/>
          <w:color w:val="000000" w:themeColor="text1"/>
          <w:szCs w:val="24"/>
          <w:lang w:eastAsia="en-AU"/>
        </w:rPr>
      </w:pPr>
      <w:r>
        <w:br w:type="page"/>
      </w:r>
    </w:p>
    <w:p w14:paraId="186F72B7" w14:textId="542D765E" w:rsidR="00734E73" w:rsidRPr="008642D1" w:rsidRDefault="00734E73" w:rsidP="00734E73">
      <w:pPr>
        <w:pStyle w:val="QuestionBox"/>
      </w:pPr>
      <w:r w:rsidRPr="008642D1">
        <w:rPr>
          <w:noProof/>
        </w:rPr>
        <mc:AlternateContent>
          <mc:Choice Requires="wpg">
            <w:drawing>
              <wp:anchor distT="0" distB="0" distL="114300" distR="114300" simplePos="0" relativeHeight="251658375" behindDoc="1" locked="0" layoutInCell="1" allowOverlap="1" wp14:anchorId="6F22E2F7" wp14:editId="1EAB7CFC">
                <wp:simplePos x="0" y="0"/>
                <wp:positionH relativeFrom="column">
                  <wp:posOffset>1533</wp:posOffset>
                </wp:positionH>
                <wp:positionV relativeFrom="paragraph">
                  <wp:posOffset>4739</wp:posOffset>
                </wp:positionV>
                <wp:extent cx="5760085" cy="1092812"/>
                <wp:effectExtent l="0" t="0" r="0" b="0"/>
                <wp:wrapNone/>
                <wp:docPr id="135487682" name="Group 135487682" descr="Question"/>
                <wp:cNvGraphicFramePr/>
                <a:graphic xmlns:a="http://schemas.openxmlformats.org/drawingml/2006/main">
                  <a:graphicData uri="http://schemas.microsoft.com/office/word/2010/wordprocessingGroup">
                    <wpg:wgp>
                      <wpg:cNvGrpSpPr/>
                      <wpg:grpSpPr>
                        <a:xfrm>
                          <a:off x="0" y="0"/>
                          <a:ext cx="5760085" cy="1092812"/>
                          <a:chOff x="0" y="62865"/>
                          <a:chExt cx="5760085" cy="1093634"/>
                        </a:xfrm>
                      </wpg:grpSpPr>
                      <wps:wsp>
                        <wps:cNvPr id="39523123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8A35F7" w14:textId="77777777" w:rsidR="00734E73" w:rsidRDefault="00734E73" w:rsidP="00734E73">
                              <w:pPr>
                                <w:pStyle w:val="BoxTitle"/>
                                <w:spacing w:before="0" w:beforeAutospacing="0"/>
                              </w:pPr>
                              <w:r w:rsidRPr="007F6876">
                                <w:t>QUESTION</w:t>
                              </w:r>
                            </w:p>
                          </w:txbxContent>
                        </wps:txbx>
                        <wps:bodyPr rot="0" vert="horz" wrap="square" lIns="91440" tIns="0" rIns="0" bIns="45720" anchor="ctr" anchorCtr="0" upright="1">
                          <a:noAutofit/>
                        </wps:bodyPr>
                      </wps:wsp>
                      <wpg:grpSp>
                        <wpg:cNvPr id="1217490157" name="Group 53"/>
                        <wpg:cNvGrpSpPr>
                          <a:grpSpLocks/>
                        </wpg:cNvGrpSpPr>
                        <wpg:grpSpPr bwMode="auto">
                          <a:xfrm>
                            <a:off x="0" y="315798"/>
                            <a:ext cx="5760085" cy="840701"/>
                            <a:chOff x="1837" y="1787"/>
                            <a:chExt cx="9302" cy="9081"/>
                          </a:xfrm>
                        </wpg:grpSpPr>
                        <wps:wsp>
                          <wps:cNvPr id="237022899" name="Freeform 54"/>
                          <wps:cNvSpPr>
                            <a:spLocks/>
                          </wps:cNvSpPr>
                          <wps:spPr bwMode="auto">
                            <a:xfrm>
                              <a:off x="1837" y="1787"/>
                              <a:ext cx="9302" cy="908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670940" name="Group 504670940"/>
                        <wpg:cNvGrpSpPr/>
                        <wpg:grpSpPr>
                          <a:xfrm>
                            <a:off x="0" y="494036"/>
                            <a:ext cx="1443794" cy="252000"/>
                            <a:chOff x="-15880" y="0"/>
                            <a:chExt cx="1444379" cy="252068"/>
                          </a:xfrm>
                        </wpg:grpSpPr>
                        <wps:wsp>
                          <wps:cNvPr id="58340374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94346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3BE477" w14:textId="0C07936B" w:rsidR="00734E73" w:rsidRPr="00E90B8A" w:rsidRDefault="00734E73" w:rsidP="00734E73">
                                <w:pPr>
                                  <w:pStyle w:val="BoxTitle"/>
                                  <w:spacing w:before="0" w:beforeAutospacing="0"/>
                                  <w:rPr>
                                    <w:sz w:val="18"/>
                                    <w:szCs w:val="18"/>
                                  </w:rPr>
                                </w:pPr>
                                <w:r w:rsidRPr="00E90B8A">
                                  <w:rPr>
                                    <w:sz w:val="18"/>
                                    <w:szCs w:val="18"/>
                                  </w:rPr>
                                  <w:t>Q</w:t>
                                </w:r>
                                <w:r w:rsidR="00CB7486">
                                  <w:rPr>
                                    <w:sz w:val="18"/>
                                    <w:szCs w:val="18"/>
                                  </w:rPr>
                                  <w:t>78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F22E2F7" id="Group 135487682" o:spid="_x0000_s1465" alt="Question" style="position:absolute;left:0;text-align:left;margin-left:.1pt;margin-top:.35pt;width:453.55pt;height:86.05pt;z-index:-251658105;mso-height-relative:margin" coordorigin=",628" coordsize="57600,1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">
                <v:shape id="Freeform 52" o:spid="_x0000_s146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98A35F7" w14:textId="77777777" w:rsidR="00734E73" w:rsidRDefault="00734E73" w:rsidP="00734E73">
                        <w:pPr>
                          <w:pStyle w:val="BoxTitle"/>
                          <w:spacing w:before="0" w:beforeAutospacing="0"/>
                        </w:pPr>
                        <w:r w:rsidRPr="007F6876">
                          <w:t>QUESTION</w:t>
                        </w:r>
                      </w:p>
                    </w:txbxContent>
                  </v:textbox>
                </v:shape>
                <v:group id="Group 53" o:spid="_x0000_s1467" style="position:absolute;top:3157;width:57600;height:8407" coordorigin="1837,1787" coordsize="9302,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">
                  <v:shape id="Freeform 54" o:spid="_x0000_s1468" style="position:absolute;left:1837;top:1787;width:9302;height:908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" path="m,l9354,r,7809l,7809,,e" fillcolor="#edf2ea" stroked="f">
                    <v:path arrowok="t" o:connecttype="custom" o:connectlocs="0,1163;9302,1163;9302,10244;0,10244;0,1163" o:connectangles="0,0,0,0,0"/>
                  </v:shape>
                </v:group>
                <v:group id="Group 504670940" o:spid="_x0000_s146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">
                  <v:shape id="Freeform 58" o:spid="_x0000_s147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" path="m,l1815,e" filled="f" strokecolor="#72ab6a" strokeweight=".5pt">
                    <v:path arrowok="t" o:connecttype="custom" o:connectlocs="0,0;1073495,0" o:connectangles="0,0"/>
                  </v:shape>
                  <v:shape id="Freeform 66" o:spid="_x0000_s147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93BE477" w14:textId="0C07936B" w:rsidR="00734E73" w:rsidRPr="00E90B8A" w:rsidRDefault="00734E73" w:rsidP="00734E73">
                          <w:pPr>
                            <w:pStyle w:val="BoxTitle"/>
                            <w:spacing w:before="0" w:beforeAutospacing="0"/>
                            <w:rPr>
                              <w:sz w:val="18"/>
                              <w:szCs w:val="18"/>
                            </w:rPr>
                          </w:pPr>
                          <w:r w:rsidRPr="00E90B8A">
                            <w:rPr>
                              <w:sz w:val="18"/>
                              <w:szCs w:val="18"/>
                            </w:rPr>
                            <w:t>Q</w:t>
                          </w:r>
                          <w:r w:rsidR="00CB7486">
                            <w:rPr>
                              <w:sz w:val="18"/>
                              <w:szCs w:val="18"/>
                            </w:rPr>
                            <w:t>78</w:t>
                          </w:r>
                        </w:p>
                      </w:txbxContent>
                    </v:textbox>
                  </v:shape>
                </v:group>
              </v:group>
            </w:pict>
          </mc:Fallback>
        </mc:AlternateContent>
      </w:r>
    </w:p>
    <w:p w14:paraId="55AC9984" w14:textId="77777777" w:rsidR="00734E73" w:rsidRPr="008642D1" w:rsidRDefault="00734E73" w:rsidP="00734E73">
      <w:pPr>
        <w:pStyle w:val="QuestionBox"/>
      </w:pPr>
    </w:p>
    <w:p w14:paraId="29B64361" w14:textId="77777777" w:rsidR="0019655A" w:rsidRDefault="0019655A" w:rsidP="0019655A">
      <w:pPr>
        <w:pStyle w:val="QuestionBox"/>
      </w:pPr>
      <w:r w:rsidRPr="0019655A">
        <w:t>Do you have any feedback on the implications of this review for the dispute resolution process in Part 3 of the Human Rights Act 1993?</w:t>
      </w:r>
    </w:p>
    <w:p w14:paraId="5E09818B" w14:textId="77777777" w:rsidR="00CB7486" w:rsidRPr="0019655A" w:rsidRDefault="00CB7486" w:rsidP="0019655A">
      <w:pPr>
        <w:pStyle w:val="QuestionBox"/>
      </w:pPr>
    </w:p>
    <w:p w14:paraId="1519B8C9" w14:textId="77777777" w:rsidR="001E69E7" w:rsidRPr="008642D1" w:rsidRDefault="001E69E7" w:rsidP="001E69E7">
      <w:pPr>
        <w:pStyle w:val="Heading2"/>
      </w:pPr>
      <w:bookmarkStart w:id="191" w:name="_Toc170302212"/>
      <w:r w:rsidRPr="008642D1">
        <w:t>Implications of this review for other laws</w:t>
      </w:r>
      <w:bookmarkEnd w:id="191"/>
    </w:p>
    <w:p w14:paraId="16D2C579" w14:textId="77777777" w:rsidR="001E69E7" w:rsidRPr="008642D1" w:rsidRDefault="001E69E7" w:rsidP="001E69E7">
      <w:pPr>
        <w:pStyle w:val="BodyText"/>
      </w:pPr>
      <w:r w:rsidRPr="008642D1">
        <w:t>There are references to the Human Rights Act in several other New Zealand statutes as well as in some secondary legislation. We want to understand the implications of this review for those other laws.</w:t>
      </w:r>
    </w:p>
    <w:p w14:paraId="2EEE6D41" w14:textId="77777777" w:rsidR="001E69E7" w:rsidRPr="008642D1" w:rsidRDefault="001E69E7" w:rsidP="001E69E7">
      <w:pPr>
        <w:pStyle w:val="BodyText"/>
      </w:pPr>
      <w:r w:rsidRPr="008642D1">
        <w:t xml:space="preserve">In earlier chapters we sought feedback on the implications of this review for four laws. We asked about the Employment Relations Act 2000 in Chapter 9, the Residential Tenancies Act 1986 in Chapter 11, the Education and Training Act 2020 in Chapter 12 and the New Zealand Bill of Rights Act 1990 in Chapter 16. </w:t>
      </w:r>
    </w:p>
    <w:p w14:paraId="0BE2163B" w14:textId="77777777" w:rsidR="001E69E7" w:rsidRPr="008642D1" w:rsidRDefault="001E69E7" w:rsidP="001E69E7">
      <w:pPr>
        <w:pStyle w:val="BodyText"/>
      </w:pPr>
      <w:r w:rsidRPr="008642D1">
        <w:t>In this section, we seek feedback on the implications of this review for other laws that refer to the Human Rights Act.</w:t>
      </w:r>
    </w:p>
    <w:p w14:paraId="7B7B9113" w14:textId="77777777" w:rsidR="001E69E7" w:rsidRPr="008642D1" w:rsidRDefault="001E69E7" w:rsidP="001E69E7">
      <w:pPr>
        <w:pStyle w:val="Heading3"/>
      </w:pPr>
      <w:r w:rsidRPr="008642D1">
        <w:t xml:space="preserve">Statutes that use the section 21 grounds in a legal test </w:t>
      </w:r>
    </w:p>
    <w:p w14:paraId="4E797638" w14:textId="77777777" w:rsidR="001E69E7" w:rsidRPr="008642D1" w:rsidRDefault="001E69E7" w:rsidP="001E69E7">
      <w:pPr>
        <w:pStyle w:val="BodyText"/>
      </w:pPr>
      <w:r w:rsidRPr="008642D1">
        <w:t>If we amend the section 21 grounds of discrimination, that will have implications for other statutes that attach legal consequences to the Human Rights Act’s prohibited grounds of discrimination. In addition to the statutes discussed in earlier chapters, we have identified three statutes that fall into this category (as well as one associated regulation).</w:t>
      </w:r>
    </w:p>
    <w:p w14:paraId="24B926F9" w14:textId="77777777" w:rsidR="001E69E7" w:rsidRPr="008642D1" w:rsidRDefault="001E69E7" w:rsidP="001E69E7">
      <w:pPr>
        <w:pStyle w:val="BodyText"/>
      </w:pPr>
      <w:r w:rsidRPr="008642D1">
        <w:t>First, the Films, Videos, and Publications Classification Act 1993 establishes a system for classifying publications as objectionable (in which case they are illegal), restricted or unrestricted. One matter to which particular weight must be given when making that decision is the extent and degree to which, and manner in which, the publication represents certain groups as inherently inferior by reason of “a characteristic that is a prohibited ground of discrimination specified in section 21(1) of the Human Rights Act 1993”.</w:t>
      </w:r>
      <w:r w:rsidRPr="008642D1">
        <w:rPr>
          <w:rStyle w:val="FootnoteReference"/>
        </w:rPr>
        <w:footnoteReference w:id="768"/>
      </w:r>
      <w:r w:rsidRPr="008642D1">
        <w:t xml:space="preserve"> This consideration must also be taken into account in certain decisions about the labelling of films and commercial video on-demand content under the Act and corresponding regulations.</w:t>
      </w:r>
      <w:r w:rsidRPr="008642D1">
        <w:rPr>
          <w:rStyle w:val="FootnoteReference"/>
        </w:rPr>
        <w:footnoteReference w:id="769"/>
      </w:r>
      <w:r w:rsidRPr="008642D1">
        <w:t xml:space="preserve"> </w:t>
      </w:r>
    </w:p>
    <w:p w14:paraId="6E18F61F" w14:textId="77777777" w:rsidR="001E69E7" w:rsidRPr="008642D1" w:rsidRDefault="001E69E7" w:rsidP="001E69E7">
      <w:pPr>
        <w:pStyle w:val="BodyText"/>
      </w:pPr>
      <w:r w:rsidRPr="008642D1">
        <w:t>Second, the Terrorism Suppression (Control Orders) Act 2019 requires a judge, when deciding whether to permit publication of the name of someone who is subject to a control order or an application for a control order, to consider whether an order permitting publication may lead to the publicising of views that would promote or encourage hostility towards a group on one or some of “the grounds specified in section 21 of the Human Rights Act”.</w:t>
      </w:r>
      <w:r w:rsidRPr="008642D1">
        <w:rPr>
          <w:rStyle w:val="FootnoteReference"/>
        </w:rPr>
        <w:footnoteReference w:id="770"/>
      </w:r>
    </w:p>
    <w:p w14:paraId="4EA6F108" w14:textId="77777777" w:rsidR="001E69E7" w:rsidRPr="008642D1" w:rsidRDefault="001E69E7" w:rsidP="001E69E7">
      <w:pPr>
        <w:pStyle w:val="BodyText"/>
      </w:pPr>
      <w:r w:rsidRPr="008642D1">
        <w:t>Third, the Corrections Act 2004 permits a prison manager to withhold a prisoner’s mail if the manager believes on reasonable grounds that the mail may promote or encourage hostility to a group on one or some of “the grounds specified in section 21 of the Human Rights Act 1993”.</w:t>
      </w:r>
      <w:r w:rsidRPr="008642D1">
        <w:rPr>
          <w:rStyle w:val="FootnoteReference"/>
        </w:rPr>
        <w:footnoteReference w:id="771"/>
      </w:r>
    </w:p>
    <w:p w14:paraId="75799DCA" w14:textId="77777777" w:rsidR="001E69E7" w:rsidRPr="008642D1" w:rsidRDefault="001E69E7" w:rsidP="001E69E7">
      <w:pPr>
        <w:pStyle w:val="BodyText"/>
      </w:pPr>
      <w:r w:rsidRPr="008642D1">
        <w:t xml:space="preserve">Amending the section 21 grounds would clarify that discrimination against people who are transgender or non-binary or who have an innate variation of sex characteristics is relevant under these provisions. We are not aware of any particular implications that arise from this but are interested to hear feedback from submitters. </w:t>
      </w:r>
    </w:p>
    <w:p w14:paraId="55A73F13" w14:textId="77777777" w:rsidR="001E69E7" w:rsidRPr="008642D1" w:rsidRDefault="001E69E7" w:rsidP="001E69E7">
      <w:pPr>
        <w:pStyle w:val="Heading3"/>
      </w:pPr>
      <w:r w:rsidRPr="008642D1">
        <w:t>Codes and rules that prohibit unlawful discrimination</w:t>
      </w:r>
    </w:p>
    <w:p w14:paraId="0C2B9CF0" w14:textId="77777777" w:rsidR="001E69E7" w:rsidRPr="008642D1" w:rsidRDefault="001E69E7" w:rsidP="001E69E7">
      <w:pPr>
        <w:pStyle w:val="BodyText"/>
      </w:pPr>
      <w:r w:rsidRPr="008642D1">
        <w:t>We are also aware of two pieces of secondary legislation that apply the obligation not to discriminate in certain professional contexts.</w:t>
      </w:r>
    </w:p>
    <w:p w14:paraId="00305F49" w14:textId="1050B4FE" w:rsidR="001E69E7" w:rsidRPr="008642D1" w:rsidRDefault="001E69E7" w:rsidP="001E69E7">
      <w:pPr>
        <w:pStyle w:val="BodyText"/>
      </w:pPr>
      <w:r w:rsidRPr="008642D1">
        <w:t>First, the Code of Health and Disability Services Consumers</w:t>
      </w:r>
      <w:r w:rsidR="0053776E">
        <w:t>’</w:t>
      </w:r>
      <w:r w:rsidRPr="008642D1">
        <w:t xml:space="preserve"> Rights states the right of health and disability consumers to be free from discrimination that is unlawful under Part 2 of the Human Rights Act.</w:t>
      </w:r>
      <w:r w:rsidRPr="008642D1">
        <w:rPr>
          <w:rStyle w:val="FootnoteReference"/>
        </w:rPr>
        <w:footnoteReference w:id="772"/>
      </w:r>
      <w:r w:rsidRPr="008642D1">
        <w:t xml:space="preserve"> Amending the section 21 grounds would clarify that consumers have a right under the Code not to be discriminated against because they are transgender or non-binary or </w:t>
      </w:r>
      <w:r w:rsidR="00865DBF" w:rsidRPr="005F72A9">
        <w:rPr>
          <w:rFonts w:eastAsia="Calibri" w:cs="Arial"/>
        </w:rPr>
        <w:t>they</w:t>
      </w:r>
      <w:r w:rsidR="00865DBF">
        <w:rPr>
          <w:rFonts w:eastAsia="Calibri" w:cs="Arial"/>
          <w:b/>
          <w:bCs/>
        </w:rPr>
        <w:t xml:space="preserve"> </w:t>
      </w:r>
      <w:r w:rsidRPr="008642D1">
        <w:t>have an innate variation of sex characteristics. They would have this right under Part 2 of the Human Rights Act in any event but the Code would open up different complaint mechanisms. In practice, we doubt this will make much difference as the Code already contains many other rights that require consumers to be treated with dignity and respect and in an ethical and professional manner.</w:t>
      </w:r>
      <w:r w:rsidRPr="008642D1">
        <w:rPr>
          <w:rStyle w:val="FootnoteReference"/>
        </w:rPr>
        <w:footnoteReference w:id="773"/>
      </w:r>
    </w:p>
    <w:p w14:paraId="5AC41A8E" w14:textId="77777777" w:rsidR="001E69E7" w:rsidRPr="008642D1" w:rsidRDefault="001E69E7" w:rsidP="001E69E7">
      <w:pPr>
        <w:pStyle w:val="BodyText"/>
      </w:pPr>
      <w:r w:rsidRPr="008642D1">
        <w:t>Second, the Lawyers’ Conduct and Client Care Rules specify that lawyers must not engage in discrimination that is unlawful under the Human Rights Act or any other enactment.</w:t>
      </w:r>
      <w:r w:rsidRPr="008642D1">
        <w:rPr>
          <w:rStyle w:val="FootnoteReference"/>
        </w:rPr>
        <w:footnoteReference w:id="774"/>
      </w:r>
      <w:r w:rsidRPr="008642D1">
        <w:t xml:space="preserve"> Again, this simply restates obligations lawyers have under Part 2 of the Human Rights Act but makes it clear these obligations are part of the expectations of professional conduct for lawyers (therefore potentially opening up different complaint mechanisms). The Rules also create some related procedural obligations.</w:t>
      </w:r>
      <w:r w:rsidRPr="008642D1">
        <w:rPr>
          <w:rStyle w:val="FootnoteReference"/>
        </w:rPr>
        <w:footnoteReference w:id="775"/>
      </w:r>
    </w:p>
    <w:p w14:paraId="303BABC8" w14:textId="48C2D1E1" w:rsidR="001E69E7" w:rsidRPr="008642D1" w:rsidRDefault="001E69E7" w:rsidP="001E69E7">
      <w:pPr>
        <w:pStyle w:val="BodyText"/>
      </w:pPr>
      <w:r w:rsidRPr="008642D1">
        <w:t>Again, we doubt adding new grounds to section 21 will make much difference to lawyers’ obligations under the Rules. Lawyers are already prohibited from refusing instructions from someone based on their personal attributes, required to treat people with respect and courtesy and required to exercise their professional judg</w:t>
      </w:r>
      <w:r w:rsidR="003621FE">
        <w:t>e</w:t>
      </w:r>
      <w:r w:rsidRPr="008642D1">
        <w:t>ment solely for the benefit of the</w:t>
      </w:r>
      <w:r w:rsidR="00B81231">
        <w:t>ir</w:t>
      </w:r>
      <w:r w:rsidRPr="008642D1">
        <w:t xml:space="preserve"> clients.</w:t>
      </w:r>
      <w:r w:rsidRPr="008642D1">
        <w:rPr>
          <w:rStyle w:val="FootnoteReference"/>
        </w:rPr>
        <w:footnoteReference w:id="776"/>
      </w:r>
    </w:p>
    <w:p w14:paraId="7C39D29F" w14:textId="52B91C30" w:rsidR="001E69E7" w:rsidRPr="008642D1" w:rsidRDefault="001E69E7" w:rsidP="001E69E7">
      <w:pPr>
        <w:pStyle w:val="BodyText"/>
      </w:pPr>
      <w:r w:rsidRPr="008642D1">
        <w:t>We are interested to hear feedback from submitters on whether we have understood correctly the implications of this review for these pieces of secondary legislation and whether there are other implications</w:t>
      </w:r>
      <w:r w:rsidRPr="008642D1">
        <w:rPr>
          <w:rStyle w:val="CommentReference"/>
          <w:rFonts w:eastAsiaTheme="minorHAnsi" w:cstheme="minorBidi"/>
          <w:color w:val="auto"/>
          <w:lang w:eastAsia="en-US"/>
        </w:rPr>
        <w:t xml:space="preserve"> </w:t>
      </w:r>
      <w:r w:rsidRPr="008642D1">
        <w:t>we need to understand.</w:t>
      </w:r>
    </w:p>
    <w:p w14:paraId="51521C17" w14:textId="77777777" w:rsidR="001E69E7" w:rsidRPr="008642D1" w:rsidRDefault="001E69E7" w:rsidP="001E69E7">
      <w:pPr>
        <w:pStyle w:val="Heading3"/>
      </w:pPr>
      <w:r w:rsidRPr="008642D1">
        <w:t>Other statutes that refer to the Human Rights Act</w:t>
      </w:r>
    </w:p>
    <w:p w14:paraId="560C81C9" w14:textId="1BE50B89" w:rsidR="001E69E7" w:rsidRPr="008642D1" w:rsidRDefault="001E69E7" w:rsidP="001E69E7">
      <w:pPr>
        <w:pStyle w:val="BodyText"/>
      </w:pPr>
      <w:r w:rsidRPr="008642D1">
        <w:t>There are other statutes that refer to the Human Rights Act in ways that we do not think will be affected by this review. For example, they require consultation with the Human Rights Commission, allow for complaints to the Human Rights Commission in respect of something other than discrimination or have specific exclusions that mean the Human Rights Act protections do not apply in specific statutory contexts.</w:t>
      </w:r>
      <w:r w:rsidRPr="008642D1">
        <w:rPr>
          <w:rStyle w:val="FootnoteReference"/>
        </w:rPr>
        <w:footnoteReference w:id="777"/>
      </w:r>
      <w:r w:rsidRPr="008642D1">
        <w:t xml:space="preserve"> We are interested to hear feedback from submitters on any implications of the review for these statutes that we need to consider.</w:t>
      </w:r>
    </w:p>
    <w:p w14:paraId="38DBD748" w14:textId="77777777" w:rsidR="001E69E7" w:rsidRPr="008642D1" w:rsidRDefault="001E69E7" w:rsidP="001E69E7">
      <w:pPr>
        <w:pStyle w:val="Heading3"/>
      </w:pPr>
      <w:r w:rsidRPr="008642D1">
        <w:t>Statutes that protect people based on a list of group characteristics</w:t>
      </w:r>
    </w:p>
    <w:p w14:paraId="64DEC822" w14:textId="2E3530D6" w:rsidR="001E69E7" w:rsidRPr="008642D1" w:rsidRDefault="001E69E7" w:rsidP="001E69E7">
      <w:pPr>
        <w:pStyle w:val="BodyText"/>
      </w:pPr>
      <w:r w:rsidRPr="008642D1">
        <w:t>Finally, there are several statutes that contain their own lists of group characteristics (similar to the one in section 21 of the Human Rights Act) without referring to the Human Rights Act.</w:t>
      </w:r>
      <w:r w:rsidRPr="008642D1">
        <w:rPr>
          <w:rStyle w:val="FootnoteReference"/>
        </w:rPr>
        <w:footnoteReference w:id="778"/>
      </w:r>
      <w:r w:rsidRPr="008642D1">
        <w:t xml:space="preserve"> For example, one of the statutory functions of Te Mana Whanonga Kaipāho | Broadcasting Standards Authority is to encourage the development and observance of codes of broadcasting practice in relation to various matters</w:t>
      </w:r>
      <w:r w:rsidR="00164C01">
        <w:t>,</w:t>
      </w:r>
      <w:r w:rsidRPr="008642D1">
        <w:t xml:space="preserve"> including “safeguards against the portrayal of persons in programmes in a manner that encourages denigration of, or discrimination against, sections of the community on account of sex, race, age, disability, or occupational status or as a consequence of legitimate expression of religious, cultural, or political beliefs”.</w:t>
      </w:r>
      <w:r w:rsidRPr="008642D1">
        <w:rPr>
          <w:rStyle w:val="FootnoteReference"/>
        </w:rPr>
        <w:footnoteReference w:id="779"/>
      </w:r>
    </w:p>
    <w:p w14:paraId="51B0BE88" w14:textId="503DCAFE" w:rsidR="001E69E7" w:rsidRPr="008642D1" w:rsidRDefault="001E69E7" w:rsidP="001E69E7">
      <w:pPr>
        <w:pStyle w:val="BodyText"/>
      </w:pPr>
      <w:r w:rsidRPr="008642D1">
        <w:t xml:space="preserve">If new grounds are added to section 21 of the Human Rights Act, the agencies responsible for administrating these statutes may wish to review them for consistency and currency.  </w:t>
      </w:r>
    </w:p>
    <w:p w14:paraId="0AC7843D" w14:textId="16E65221" w:rsidR="00734E73" w:rsidRPr="008642D1" w:rsidRDefault="00734E73" w:rsidP="00734E73">
      <w:pPr>
        <w:pStyle w:val="QuestionBox"/>
      </w:pPr>
      <w:r w:rsidRPr="008642D1">
        <w:rPr>
          <w:noProof/>
        </w:rPr>
        <mc:AlternateContent>
          <mc:Choice Requires="wpg">
            <w:drawing>
              <wp:anchor distT="0" distB="0" distL="114300" distR="114300" simplePos="0" relativeHeight="251658376" behindDoc="1" locked="0" layoutInCell="1" allowOverlap="1" wp14:anchorId="794C9CEE" wp14:editId="483C5D54">
                <wp:simplePos x="0" y="0"/>
                <wp:positionH relativeFrom="column">
                  <wp:posOffset>1533</wp:posOffset>
                </wp:positionH>
                <wp:positionV relativeFrom="paragraph">
                  <wp:posOffset>-1456</wp:posOffset>
                </wp:positionV>
                <wp:extent cx="5760085" cy="2040657"/>
                <wp:effectExtent l="0" t="0" r="0" b="0"/>
                <wp:wrapNone/>
                <wp:docPr id="1963921969" name="Group 1963921969" descr="Question"/>
                <wp:cNvGraphicFramePr/>
                <a:graphic xmlns:a="http://schemas.openxmlformats.org/drawingml/2006/main">
                  <a:graphicData uri="http://schemas.microsoft.com/office/word/2010/wordprocessingGroup">
                    <wpg:wgp>
                      <wpg:cNvGrpSpPr/>
                      <wpg:grpSpPr>
                        <a:xfrm>
                          <a:off x="0" y="0"/>
                          <a:ext cx="5760085" cy="2040657"/>
                          <a:chOff x="0" y="62865"/>
                          <a:chExt cx="5760085" cy="2042190"/>
                        </a:xfrm>
                      </wpg:grpSpPr>
                      <wps:wsp>
                        <wps:cNvPr id="122675838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D753A6" w14:textId="765A0E53" w:rsidR="00734E73" w:rsidRDefault="00734E73" w:rsidP="00734E73">
                              <w:pPr>
                                <w:pStyle w:val="BoxTitle"/>
                                <w:spacing w:before="0" w:beforeAutospacing="0"/>
                              </w:pPr>
                              <w:r w:rsidRPr="007F6876">
                                <w:t>QUESTION</w:t>
                              </w:r>
                              <w:r w:rsidR="00CB7486">
                                <w:t>S</w:t>
                              </w:r>
                            </w:p>
                          </w:txbxContent>
                        </wps:txbx>
                        <wps:bodyPr rot="0" vert="horz" wrap="square" lIns="91440" tIns="0" rIns="0" bIns="45720" anchor="ctr" anchorCtr="0" upright="1">
                          <a:noAutofit/>
                        </wps:bodyPr>
                      </wps:wsp>
                      <wpg:grpSp>
                        <wpg:cNvPr id="560174563" name="Group 53"/>
                        <wpg:cNvGrpSpPr>
                          <a:grpSpLocks/>
                        </wpg:cNvGrpSpPr>
                        <wpg:grpSpPr bwMode="auto">
                          <a:xfrm>
                            <a:off x="0" y="315705"/>
                            <a:ext cx="5760085" cy="1789350"/>
                            <a:chOff x="1837" y="1786"/>
                            <a:chExt cx="9302" cy="19328"/>
                          </a:xfrm>
                        </wpg:grpSpPr>
                        <wps:wsp>
                          <wps:cNvPr id="589875046" name="Freeform 54"/>
                          <wps:cNvSpPr>
                            <a:spLocks/>
                          </wps:cNvSpPr>
                          <wps:spPr bwMode="auto">
                            <a:xfrm>
                              <a:off x="1837" y="1786"/>
                              <a:ext cx="9302" cy="1932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779783" name="Group 125779783"/>
                        <wpg:cNvGrpSpPr/>
                        <wpg:grpSpPr>
                          <a:xfrm>
                            <a:off x="0" y="494036"/>
                            <a:ext cx="1443794" cy="252000"/>
                            <a:chOff x="-15880" y="0"/>
                            <a:chExt cx="1444379" cy="252068"/>
                          </a:xfrm>
                        </wpg:grpSpPr>
                        <wps:wsp>
                          <wps:cNvPr id="58804693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90701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5A64D5" w14:textId="2BE4BCB2" w:rsidR="00734E73" w:rsidRPr="00E90B8A" w:rsidRDefault="00734E73" w:rsidP="00734E73">
                                <w:pPr>
                                  <w:pStyle w:val="BoxTitle"/>
                                  <w:spacing w:before="0" w:beforeAutospacing="0"/>
                                  <w:rPr>
                                    <w:sz w:val="18"/>
                                    <w:szCs w:val="18"/>
                                  </w:rPr>
                                </w:pPr>
                                <w:r w:rsidRPr="00E90B8A">
                                  <w:rPr>
                                    <w:sz w:val="18"/>
                                    <w:szCs w:val="18"/>
                                  </w:rPr>
                                  <w:t>Q</w:t>
                                </w:r>
                                <w:r w:rsidR="00CB7486">
                                  <w:rPr>
                                    <w:sz w:val="18"/>
                                    <w:szCs w:val="18"/>
                                  </w:rPr>
                                  <w:t>79</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94C9CEE" id="Group 1963921969" o:spid="_x0000_s1472" alt="Question" style="position:absolute;left:0;text-align:left;margin-left:.1pt;margin-top:-.1pt;width:453.55pt;height:160.7pt;z-index:-251658104;mso-height-relative:margin" coordorigin=",628" coordsize="57600,2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">
                <v:shape id="Freeform 52" o:spid="_x0000_s147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9D753A6" w14:textId="765A0E53" w:rsidR="00734E73" w:rsidRDefault="00734E73" w:rsidP="00734E73">
                        <w:pPr>
                          <w:pStyle w:val="BoxTitle"/>
                          <w:spacing w:before="0" w:beforeAutospacing="0"/>
                        </w:pPr>
                        <w:r w:rsidRPr="007F6876">
                          <w:t>QUESTION</w:t>
                        </w:r>
                        <w:r w:rsidR="00CB7486">
                          <w:t>S</w:t>
                        </w:r>
                      </w:p>
                    </w:txbxContent>
                  </v:textbox>
                </v:shape>
                <v:group id="Group 53" o:spid="_x0000_s1474" style="position:absolute;top:3157;width:57600;height:17893" coordorigin="1837,1786" coordsize="9302,1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">
                  <v:shape id="Freeform 54" o:spid="_x0000_s1475" style="position:absolute;left:1837;top:1786;width:9302;height:1932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" path="m,l9354,r,7809l,7809,,e" fillcolor="#edf2ea" stroked="f">
                    <v:path arrowok="t" o:connecttype="custom" o:connectlocs="0,2475;9302,2475;9302,21803;0,21803;0,2475" o:connectangles="0,0,0,0,0"/>
                  </v:shape>
                </v:group>
                <v:group id="Group 125779783" o:spid="_x0000_s147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">
                  <v:shape id="Freeform 58" o:spid="_x0000_s147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" path="m,l1815,e" filled="f" strokecolor="#72ab6a" strokeweight=".5pt">
                    <v:path arrowok="t" o:connecttype="custom" o:connectlocs="0,0;1073495,0" o:connectangles="0,0"/>
                  </v:shape>
                  <v:shape id="Freeform 66" o:spid="_x0000_s147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55A64D5" w14:textId="2BE4BCB2" w:rsidR="00734E73" w:rsidRPr="00E90B8A" w:rsidRDefault="00734E73" w:rsidP="00734E73">
                          <w:pPr>
                            <w:pStyle w:val="BoxTitle"/>
                            <w:spacing w:before="0" w:beforeAutospacing="0"/>
                            <w:rPr>
                              <w:sz w:val="18"/>
                              <w:szCs w:val="18"/>
                            </w:rPr>
                          </w:pPr>
                          <w:r w:rsidRPr="00E90B8A">
                            <w:rPr>
                              <w:sz w:val="18"/>
                              <w:szCs w:val="18"/>
                            </w:rPr>
                            <w:t>Q</w:t>
                          </w:r>
                          <w:r w:rsidR="00CB7486">
                            <w:rPr>
                              <w:sz w:val="18"/>
                              <w:szCs w:val="18"/>
                            </w:rPr>
                            <w:t>79</w:t>
                          </w:r>
                        </w:p>
                      </w:txbxContent>
                    </v:textbox>
                  </v:shape>
                </v:group>
              </v:group>
            </w:pict>
          </mc:Fallback>
        </mc:AlternateContent>
      </w:r>
    </w:p>
    <w:p w14:paraId="6F389C76" w14:textId="43B69424" w:rsidR="00734E73" w:rsidRPr="008642D1" w:rsidRDefault="00734E73" w:rsidP="00734E73">
      <w:pPr>
        <w:pStyle w:val="QuestionBox"/>
      </w:pPr>
    </w:p>
    <w:p w14:paraId="30BC9D67" w14:textId="4D0174C6" w:rsidR="00EB70BA" w:rsidRPr="008642D1" w:rsidRDefault="001E69E7" w:rsidP="0072252D">
      <w:pPr>
        <w:pStyle w:val="QuestionBox"/>
      </w:pPr>
      <w:r w:rsidRPr="008642D1">
        <w:t xml:space="preserve">If new grounds of discrimination are added to the Human Rights Act </w:t>
      </w:r>
      <w:r w:rsidR="0072252D" w:rsidRPr="0072252D">
        <w:t xml:space="preserve">1993 </w:t>
      </w:r>
      <w:r w:rsidRPr="008642D1">
        <w:t>to protect people who are transgender</w:t>
      </w:r>
      <w:r w:rsidR="002A0413">
        <w:t xml:space="preserve"> or</w:t>
      </w:r>
      <w:r w:rsidRPr="008642D1">
        <w:t xml:space="preserve"> non-binary or </w:t>
      </w:r>
      <w:r w:rsidR="002A0413">
        <w:t xml:space="preserve">who </w:t>
      </w:r>
      <w:r w:rsidRPr="008642D1">
        <w:t>have an innate variation of sex characteristics, are there implications for other legislation that we need to consider?</w:t>
      </w:r>
    </w:p>
    <w:p w14:paraId="24B993C9" w14:textId="65EB00F7" w:rsidR="0021272B" w:rsidRDefault="00CB7486" w:rsidP="0072252D">
      <w:pPr>
        <w:pStyle w:val="QuestionBox"/>
      </w:pPr>
      <w:r w:rsidRPr="008642D1">
        <w:rPr>
          <w:noProof/>
        </w:rPr>
        <mc:AlternateContent>
          <mc:Choice Requires="wpg">
            <w:drawing>
              <wp:anchor distT="0" distB="0" distL="114300" distR="114300" simplePos="0" relativeHeight="251662477" behindDoc="1" locked="0" layoutInCell="1" allowOverlap="1" wp14:anchorId="72ACEA69" wp14:editId="42492E46">
                <wp:simplePos x="0" y="0"/>
                <wp:positionH relativeFrom="column">
                  <wp:posOffset>0</wp:posOffset>
                </wp:positionH>
                <wp:positionV relativeFrom="paragraph">
                  <wp:posOffset>162916</wp:posOffset>
                </wp:positionV>
                <wp:extent cx="1443355" cy="251460"/>
                <wp:effectExtent l="0" t="0" r="42545" b="0"/>
                <wp:wrapNone/>
                <wp:docPr id="1277175478"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80427446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54655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839749" w14:textId="7C977674" w:rsidR="00CB7486" w:rsidRPr="00E90B8A" w:rsidRDefault="00CB7486" w:rsidP="00CB7486">
                              <w:pPr>
                                <w:pStyle w:val="BoxTitle"/>
                                <w:spacing w:before="0" w:beforeAutospacing="0"/>
                                <w:rPr>
                                  <w:sz w:val="18"/>
                                  <w:szCs w:val="18"/>
                                </w:rPr>
                              </w:pPr>
                              <w:r w:rsidRPr="00E90B8A">
                                <w:rPr>
                                  <w:sz w:val="18"/>
                                  <w:szCs w:val="18"/>
                                </w:rPr>
                                <w:t>Q</w:t>
                              </w:r>
                              <w:r>
                                <w:rPr>
                                  <w:sz w:val="18"/>
                                  <w:szCs w:val="18"/>
                                </w:rPr>
                                <w:t>80</w:t>
                              </w:r>
                            </w:p>
                          </w:txbxContent>
                        </wps:txbx>
                        <wps:bodyPr rot="0" vert="horz" wrap="square" lIns="54000" tIns="82800" rIns="91440" bIns="45720" anchor="ctr" anchorCtr="0" upright="1">
                          <a:noAutofit/>
                        </wps:bodyPr>
                      </wps:wsp>
                    </wpg:wgp>
                  </a:graphicData>
                </a:graphic>
              </wp:anchor>
            </w:drawing>
          </mc:Choice>
          <mc:Fallback>
            <w:pict>
              <v:group w14:anchorId="72ACEA69" id="_x0000_s1479" style="position:absolute;left:0;text-align:left;margin-left:0;margin-top:12.85pt;width:113.65pt;height:19.8pt;z-index:-251654003"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">
                <v:shape id="Freeform 58" o:spid="_x0000_s148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" path="m,l1815,e" filled="f" strokecolor="#72ab6a" strokeweight=".5pt">
                  <v:path arrowok="t" o:connecttype="custom" o:connectlocs="0,0;1073495,0" o:connectangles="0,0"/>
                </v:shape>
                <v:shape id="Freeform 66" o:spid="_x0000_s148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9839749" w14:textId="7C977674" w:rsidR="00CB7486" w:rsidRPr="00E90B8A" w:rsidRDefault="00CB7486" w:rsidP="00CB7486">
                        <w:pPr>
                          <w:pStyle w:val="BoxTitle"/>
                          <w:spacing w:before="0" w:beforeAutospacing="0"/>
                          <w:rPr>
                            <w:sz w:val="18"/>
                            <w:szCs w:val="18"/>
                          </w:rPr>
                        </w:pPr>
                        <w:r w:rsidRPr="00E90B8A">
                          <w:rPr>
                            <w:sz w:val="18"/>
                            <w:szCs w:val="18"/>
                          </w:rPr>
                          <w:t>Q</w:t>
                        </w:r>
                        <w:r>
                          <w:rPr>
                            <w:sz w:val="18"/>
                            <w:szCs w:val="18"/>
                          </w:rPr>
                          <w:t>80</w:t>
                        </w:r>
                      </w:p>
                    </w:txbxContent>
                  </v:textbox>
                </v:shape>
              </v:group>
            </w:pict>
          </mc:Fallback>
        </mc:AlternateContent>
      </w:r>
    </w:p>
    <w:p w14:paraId="538B7A85" w14:textId="6394FE41" w:rsidR="0021272B" w:rsidRPr="008642D1" w:rsidRDefault="0021272B" w:rsidP="0072252D">
      <w:pPr>
        <w:pStyle w:val="QuestionBox"/>
      </w:pPr>
      <w:r w:rsidRPr="0021272B">
        <w:t>Are there any other issues relevant to this review or options for reform that we have not identified or anything else you would like to tell us?</w:t>
      </w:r>
    </w:p>
    <w:p w14:paraId="360C9111" w14:textId="77777777" w:rsidR="00396623" w:rsidRPr="008642D1" w:rsidRDefault="00396623" w:rsidP="00734E73">
      <w:pPr>
        <w:pStyle w:val="BodyText"/>
        <w:numPr>
          <w:ilvl w:val="0"/>
          <w:numId w:val="0"/>
        </w:numPr>
        <w:ind w:left="709" w:hanging="709"/>
      </w:pPr>
    </w:p>
    <w:p w14:paraId="6E7BF071" w14:textId="41DD4E20" w:rsidR="00396623" w:rsidRPr="008642D1" w:rsidRDefault="00396623" w:rsidP="00396623">
      <w:pPr>
        <w:pStyle w:val="BodyText"/>
        <w:numPr>
          <w:ilvl w:val="0"/>
          <w:numId w:val="0"/>
        </w:numPr>
        <w:ind w:left="709" w:hanging="709"/>
      </w:pPr>
      <w:r w:rsidRPr="008642D1">
        <w:rPr>
          <w:rFonts w:eastAsiaTheme="minorHAnsi"/>
          <w:noProof/>
          <w:lang w:eastAsia="en-NZ"/>
        </w:rPr>
        <mc:AlternateContent>
          <mc:Choice Requires="wpg">
            <w:drawing>
              <wp:anchor distT="0" distB="0" distL="114300" distR="114300" simplePos="0" relativeHeight="251658304" behindDoc="1" locked="0" layoutInCell="1" allowOverlap="1" wp14:anchorId="51A457AC" wp14:editId="5F3E3F4F">
                <wp:simplePos x="0" y="0"/>
                <wp:positionH relativeFrom="page">
                  <wp:posOffset>1080135</wp:posOffset>
                </wp:positionH>
                <wp:positionV relativeFrom="paragraph">
                  <wp:posOffset>326669</wp:posOffset>
                </wp:positionV>
                <wp:extent cx="1800000" cy="1270"/>
                <wp:effectExtent l="0" t="19050" r="10160" b="17780"/>
                <wp:wrapNone/>
                <wp:docPr id="745503717" name="Group 745503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134" y="-469"/>
                          <a:chExt cx="2098" cy="2"/>
                        </a:xfrm>
                      </wpg:grpSpPr>
                      <wps:wsp>
                        <wps:cNvPr id="222644997"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1CBF6" id="Group 745503717" o:spid="_x0000_s1026" style="position:absolute;margin-left:85.05pt;margin-top:25.7pt;width:141.75pt;height:.1pt;z-index:-251658176;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" path="m,l2097,e" filled="f" strokecolor="#72ab6a" strokeweight="3pt">
                  <v:path arrowok="t" o:connecttype="custom" o:connectlocs="0,0;2097,0" o:connectangles="0,0"/>
                </v:shape>
                <w10:wrap anchorx="page"/>
              </v:group>
            </w:pict>
          </mc:Fallback>
        </mc:AlternateContent>
      </w:r>
    </w:p>
    <w:p w14:paraId="1D51C316" w14:textId="49E6D537" w:rsidR="00396623" w:rsidRPr="008642D1" w:rsidRDefault="00396623" w:rsidP="00396623">
      <w:pPr>
        <w:pStyle w:val="BodyText"/>
        <w:numPr>
          <w:ilvl w:val="0"/>
          <w:numId w:val="0"/>
        </w:numPr>
        <w:sectPr w:rsidR="00396623" w:rsidRPr="008642D1" w:rsidSect="00396623">
          <w:headerReference w:type="default" r:id="rId69"/>
          <w:headerReference w:type="first" r:id="rId70"/>
          <w:footnotePr>
            <w:numRestart w:val="eachSect"/>
          </w:footnotePr>
          <w:pgSz w:w="11907" w:h="16840" w:code="9"/>
          <w:pgMar w:top="1134" w:right="1134" w:bottom="1134" w:left="1701" w:header="499" w:footer="46" w:gutter="0"/>
          <w:cols w:space="720"/>
        </w:sectPr>
      </w:pPr>
    </w:p>
    <w:p w14:paraId="64B5DAA9" w14:textId="77777777" w:rsidR="00396623" w:rsidRPr="008642D1" w:rsidRDefault="00396623" w:rsidP="00396623"/>
    <w:p w14:paraId="2F928406" w14:textId="77777777" w:rsidR="00396623" w:rsidRPr="008642D1" w:rsidRDefault="00396623" w:rsidP="00396623"/>
    <w:p w14:paraId="22DFB2F9" w14:textId="77777777" w:rsidR="00396623" w:rsidRPr="008642D1" w:rsidRDefault="00396623" w:rsidP="00396623"/>
    <w:p w14:paraId="7AE1B74C" w14:textId="77777777" w:rsidR="00396623" w:rsidRPr="008642D1" w:rsidRDefault="00396623" w:rsidP="00396623"/>
    <w:p w14:paraId="4041CB55" w14:textId="77777777" w:rsidR="00396623" w:rsidRPr="008642D1" w:rsidRDefault="00396623" w:rsidP="00396623"/>
    <w:p w14:paraId="372244EF" w14:textId="77777777" w:rsidR="00396623" w:rsidRPr="008642D1" w:rsidRDefault="00396623" w:rsidP="00396623"/>
    <w:p w14:paraId="38BB627C" w14:textId="77777777" w:rsidR="00396623" w:rsidRPr="008642D1" w:rsidRDefault="00396623" w:rsidP="00396623"/>
    <w:p w14:paraId="07BE0AD6" w14:textId="77777777" w:rsidR="00396623" w:rsidRPr="008642D1" w:rsidRDefault="00396623" w:rsidP="00396623"/>
    <w:p w14:paraId="20B27AC7" w14:textId="77777777" w:rsidR="00396623" w:rsidRPr="008642D1" w:rsidRDefault="00396623" w:rsidP="00396623"/>
    <w:p w14:paraId="7A1CDF42" w14:textId="77777777" w:rsidR="00396623" w:rsidRDefault="00396623" w:rsidP="00396623"/>
    <w:p w14:paraId="7B40EE2F" w14:textId="77777777" w:rsidR="003F4BAB" w:rsidRDefault="003F4BAB" w:rsidP="00396623"/>
    <w:p w14:paraId="311FFB93" w14:textId="77777777" w:rsidR="003F4BAB" w:rsidRDefault="003F4BAB" w:rsidP="00396623"/>
    <w:p w14:paraId="165F5A09" w14:textId="77777777" w:rsidR="003F4BAB" w:rsidRDefault="003F4BAB" w:rsidP="00396623"/>
    <w:p w14:paraId="2421771E" w14:textId="77777777" w:rsidR="003F4BAB" w:rsidRDefault="003F4BAB" w:rsidP="00396623"/>
    <w:p w14:paraId="001A9FF3" w14:textId="77777777" w:rsidR="003F4BAB" w:rsidRPr="008642D1" w:rsidRDefault="003F4BAB" w:rsidP="00396623"/>
    <w:p w14:paraId="40ADE54E" w14:textId="77777777" w:rsidR="00396623" w:rsidRPr="008642D1" w:rsidRDefault="00396623" w:rsidP="00396623"/>
    <w:p w14:paraId="6A42C4C3" w14:textId="77777777" w:rsidR="00396623" w:rsidRPr="008642D1" w:rsidRDefault="00396623" w:rsidP="00396623"/>
    <w:p w14:paraId="1E836E78" w14:textId="77777777" w:rsidR="00396623" w:rsidRPr="008642D1" w:rsidRDefault="00396623" w:rsidP="00396623"/>
    <w:p w14:paraId="3331AE36" w14:textId="77777777" w:rsidR="00396623" w:rsidRPr="008642D1" w:rsidRDefault="00396623" w:rsidP="00396623"/>
    <w:p w14:paraId="440859D9" w14:textId="77777777" w:rsidR="00396623" w:rsidRPr="008642D1" w:rsidRDefault="00396623" w:rsidP="00396623"/>
    <w:p w14:paraId="0F6BAE94" w14:textId="77777777" w:rsidR="00396623" w:rsidRPr="008642D1" w:rsidRDefault="00396623" w:rsidP="00396623"/>
    <w:p w14:paraId="311527F4" w14:textId="77777777" w:rsidR="00396623" w:rsidRPr="008642D1" w:rsidRDefault="00396623" w:rsidP="00396623"/>
    <w:p w14:paraId="13AA7A5C" w14:textId="77777777" w:rsidR="00396623" w:rsidRPr="008642D1" w:rsidRDefault="00396623" w:rsidP="00396623"/>
    <w:p w14:paraId="0E24D02D" w14:textId="77777777" w:rsidR="00396623" w:rsidRPr="008642D1" w:rsidRDefault="00396623" w:rsidP="00396623">
      <w:r w:rsidRPr="008642D1">
        <w:rPr>
          <w:noProof/>
          <w:lang w:eastAsia="en-NZ"/>
        </w:rPr>
        <mc:AlternateContent>
          <mc:Choice Requires="wpg">
            <w:drawing>
              <wp:anchor distT="0" distB="0" distL="114300" distR="114300" simplePos="0" relativeHeight="251658303" behindDoc="1" locked="0" layoutInCell="1" allowOverlap="1" wp14:anchorId="4CD13B9E" wp14:editId="11E8EFB9">
                <wp:simplePos x="0" y="0"/>
                <wp:positionH relativeFrom="page">
                  <wp:posOffset>1076325</wp:posOffset>
                </wp:positionH>
                <wp:positionV relativeFrom="paragraph">
                  <wp:posOffset>89513</wp:posOffset>
                </wp:positionV>
                <wp:extent cx="2412000" cy="1270"/>
                <wp:effectExtent l="0" t="19050" r="26670" b="17780"/>
                <wp:wrapNone/>
                <wp:docPr id="764517974" name="Group 764517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2000" cy="1270"/>
                          <a:chOff x="1134" y="-469"/>
                          <a:chExt cx="2098" cy="2"/>
                        </a:xfrm>
                      </wpg:grpSpPr>
                      <wps:wsp>
                        <wps:cNvPr id="764517975"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6C235E" id="Group 764517974" o:spid="_x0000_s1026" style="position:absolute;margin-left:84.75pt;margin-top:7.05pt;width:189.9pt;height:.1pt;z-index:-251658177;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" path="m,l2097,e" filled="f" strokecolor="#72ab6a" strokeweight="3pt">
                  <v:path arrowok="t" o:connecttype="custom" o:connectlocs="0,0;2097,0" o:connectangles="0,0"/>
                </v:shape>
                <w10:wrap anchorx="page"/>
              </v:group>
            </w:pict>
          </mc:Fallback>
        </mc:AlternateContent>
      </w:r>
    </w:p>
    <w:p w14:paraId="3552FD07" w14:textId="77777777" w:rsidR="00396623" w:rsidRPr="008642D1" w:rsidRDefault="00396623" w:rsidP="00396623"/>
    <w:p w14:paraId="4BC1D59A" w14:textId="77777777" w:rsidR="00396623" w:rsidRPr="008642D1" w:rsidRDefault="00396623" w:rsidP="00396623">
      <w:r w:rsidRPr="008642D1">
        <w:rPr>
          <w:noProof/>
        </w:rPr>
        <w:drawing>
          <wp:inline distT="0" distB="0" distL="0" distR="0" wp14:anchorId="30413F16" wp14:editId="521DEF48">
            <wp:extent cx="2489689" cy="998768"/>
            <wp:effectExtent l="0" t="0" r="6350" b="0"/>
            <wp:docPr id="764517973" name="Picture 764517973" descr="A picture containing font, graphics, tex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17973" name="Picture 764517973" descr="A picture containing font, graphics, text, graphic design&#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32236" cy="1015836"/>
                    </a:xfrm>
                    <a:prstGeom prst="rect">
                      <a:avLst/>
                    </a:prstGeom>
                    <a:noFill/>
                    <a:ln>
                      <a:noFill/>
                    </a:ln>
                  </pic:spPr>
                </pic:pic>
              </a:graphicData>
            </a:graphic>
          </wp:inline>
        </w:drawing>
      </w:r>
    </w:p>
    <w:p w14:paraId="662C498A" w14:textId="77777777" w:rsidR="00396623" w:rsidRPr="008642D1" w:rsidRDefault="00396623" w:rsidP="00396623">
      <w:pPr>
        <w:spacing w:before="360"/>
        <w:ind w:left="113" w:right="3243"/>
        <w:rPr>
          <w:rFonts w:eastAsia="Times"/>
          <w:b/>
          <w:bCs/>
          <w:sz w:val="2"/>
          <w:szCs w:val="6"/>
        </w:rPr>
      </w:pPr>
    </w:p>
    <w:p w14:paraId="4C0E0FBE" w14:textId="77777777" w:rsidR="00396623" w:rsidRPr="008642D1" w:rsidRDefault="00396623" w:rsidP="00396623">
      <w:pPr>
        <w:spacing w:before="360"/>
        <w:ind w:right="3243"/>
        <w:rPr>
          <w:rFonts w:eastAsia="Times"/>
          <w:b/>
          <w:bCs/>
          <w:sz w:val="18"/>
        </w:rPr>
      </w:pPr>
      <w:r w:rsidRPr="008642D1">
        <w:rPr>
          <w:rFonts w:eastAsia="Times"/>
          <w:b/>
          <w:bCs/>
          <w:sz w:val="18"/>
        </w:rPr>
        <w:t xml:space="preserve">Te Aka Matua o te Ture | Law Commission is located at: </w:t>
      </w:r>
    </w:p>
    <w:p w14:paraId="527ED958" w14:textId="77777777" w:rsidR="00396623" w:rsidRPr="008642D1" w:rsidRDefault="00396623" w:rsidP="00396623">
      <w:pPr>
        <w:ind w:right="3243"/>
        <w:rPr>
          <w:rFonts w:eastAsia="Times"/>
          <w:sz w:val="18"/>
        </w:rPr>
      </w:pPr>
      <w:r w:rsidRPr="008642D1">
        <w:rPr>
          <w:rFonts w:eastAsia="Times"/>
          <w:sz w:val="18"/>
        </w:rPr>
        <w:t>Level 9, Solnet House, 70 The Terrace, Wellington 6011</w:t>
      </w:r>
    </w:p>
    <w:p w14:paraId="6764DF55" w14:textId="77777777" w:rsidR="00396623" w:rsidRPr="008642D1" w:rsidRDefault="00396623" w:rsidP="00396623">
      <w:pPr>
        <w:ind w:right="2281"/>
        <w:rPr>
          <w:rFonts w:eastAsia="Times"/>
          <w:sz w:val="18"/>
        </w:rPr>
      </w:pPr>
      <w:r w:rsidRPr="008642D1">
        <w:rPr>
          <w:rFonts w:eastAsia="Times"/>
          <w:sz w:val="18"/>
        </w:rPr>
        <w:t>Postal address: PO Box 2590, Wellington 6140, Aotearoa New Zealand</w:t>
      </w:r>
    </w:p>
    <w:p w14:paraId="23D89BF8" w14:textId="77777777" w:rsidR="00396623" w:rsidRPr="008642D1" w:rsidRDefault="00396623" w:rsidP="00396623">
      <w:pPr>
        <w:ind w:right="3243"/>
        <w:rPr>
          <w:rFonts w:eastAsia="Times"/>
          <w:sz w:val="18"/>
        </w:rPr>
      </w:pPr>
      <w:bookmarkStart w:id="192" w:name="_Hlk52890582"/>
      <w:r w:rsidRPr="008642D1">
        <w:rPr>
          <w:rFonts w:eastAsia="Times"/>
          <w:sz w:val="18"/>
        </w:rPr>
        <w:t xml:space="preserve">Document Exchange Number: SP 23534 </w:t>
      </w:r>
    </w:p>
    <w:bookmarkEnd w:id="192"/>
    <w:p w14:paraId="47E435A3" w14:textId="77777777" w:rsidR="00396623" w:rsidRPr="008642D1" w:rsidRDefault="00396623" w:rsidP="00396623">
      <w:pPr>
        <w:ind w:right="3243"/>
        <w:rPr>
          <w:rFonts w:eastAsia="Times"/>
          <w:sz w:val="18"/>
        </w:rPr>
      </w:pPr>
      <w:r w:rsidRPr="008642D1">
        <w:rPr>
          <w:rFonts w:eastAsia="Times"/>
          <w:sz w:val="18"/>
        </w:rPr>
        <w:t>Telephone: 04 473 3453</w:t>
      </w:r>
    </w:p>
    <w:p w14:paraId="18EA7F11" w14:textId="77777777" w:rsidR="00396623" w:rsidRPr="008642D1" w:rsidRDefault="00F437C5" w:rsidP="00396623">
      <w:pPr>
        <w:ind w:right="3243"/>
        <w:rPr>
          <w:rFonts w:eastAsia="Times"/>
          <w:sz w:val="18"/>
        </w:rPr>
      </w:pPr>
      <w:hyperlink r:id="rId72">
        <w:r w:rsidR="00396623" w:rsidRPr="008642D1">
          <w:rPr>
            <w:rFonts w:eastAsia="Times"/>
            <w:sz w:val="18"/>
          </w:rPr>
          <w:t>Email: com@lawcom.govt.nz</w:t>
        </w:r>
      </w:hyperlink>
    </w:p>
    <w:p w14:paraId="0115D871" w14:textId="0C39D3D0" w:rsidR="00396623" w:rsidRPr="008642D1" w:rsidRDefault="00396623" w:rsidP="00734E73">
      <w:pPr>
        <w:pStyle w:val="BodyText"/>
        <w:numPr>
          <w:ilvl w:val="0"/>
          <w:numId w:val="0"/>
        </w:numPr>
        <w:ind w:left="709" w:hanging="709"/>
      </w:pPr>
    </w:p>
    <w:p w14:paraId="2C79E26A" w14:textId="530ABE8F" w:rsidR="00734E73" w:rsidRPr="0043537C" w:rsidRDefault="00396623" w:rsidP="00734E73">
      <w:pPr>
        <w:pStyle w:val="BodyText"/>
        <w:numPr>
          <w:ilvl w:val="0"/>
          <w:numId w:val="0"/>
        </w:numPr>
        <w:ind w:left="709" w:hanging="709"/>
      </w:pPr>
      <w:r w:rsidRPr="008642D1">
        <w:rPr>
          <w:noProof/>
          <w:lang w:eastAsia="en-NZ"/>
        </w:rPr>
        <mc:AlternateContent>
          <mc:Choice Requires="wpg">
            <w:drawing>
              <wp:anchor distT="0" distB="0" distL="114300" distR="114300" simplePos="0" relativeHeight="251658305" behindDoc="1" locked="0" layoutInCell="1" allowOverlap="1" wp14:anchorId="5E3D4BB0" wp14:editId="708D93AC">
                <wp:simplePos x="0" y="0"/>
                <wp:positionH relativeFrom="page">
                  <wp:posOffset>1080135</wp:posOffset>
                </wp:positionH>
                <wp:positionV relativeFrom="paragraph">
                  <wp:posOffset>18415</wp:posOffset>
                </wp:positionV>
                <wp:extent cx="2412000" cy="1270"/>
                <wp:effectExtent l="0" t="19050" r="26670" b="17780"/>
                <wp:wrapNone/>
                <wp:docPr id="1748898593" name="Group 1748898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2000" cy="1270"/>
                          <a:chOff x="1134" y="-469"/>
                          <a:chExt cx="2098" cy="2"/>
                        </a:xfrm>
                      </wpg:grpSpPr>
                      <wps:wsp>
                        <wps:cNvPr id="1013066777"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2C032" id="Group 1748898593" o:spid="_x0000_s1026" style="position:absolute;margin-left:85.05pt;margin-top:1.45pt;width:189.9pt;height:.1pt;z-index:-251658175;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" path="m,l2097,e" filled="f" strokecolor="#72ab6a" strokeweight="3pt">
                  <v:path arrowok="t" o:connecttype="custom" o:connectlocs="0,0;2097,0" o:connectangles="0,0"/>
                </v:shape>
                <w10:wrap anchorx="page"/>
              </v:group>
            </w:pict>
          </mc:Fallback>
        </mc:AlternateContent>
      </w:r>
    </w:p>
    <w:sectPr w:rsidR="00734E73" w:rsidRPr="0043537C" w:rsidSect="006B03F1">
      <w:headerReference w:type="default" r:id="rId73"/>
      <w:footnotePr>
        <w:numRestart w:val="eachSect"/>
      </w:footnotePr>
      <w:pgSz w:w="11920" w:h="16840"/>
      <w:pgMar w:top="1134" w:right="1134" w:bottom="1134" w:left="1701" w:header="499" w:footer="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84FD6A" w14:textId="77777777" w:rsidR="00B95F89" w:rsidRDefault="00B95F89">
      <w:r>
        <w:separator/>
      </w:r>
    </w:p>
  </w:endnote>
  <w:endnote w:type="continuationSeparator" w:id="0">
    <w:p w14:paraId="3E107438" w14:textId="77777777" w:rsidR="00B95F89" w:rsidRDefault="00B95F89">
      <w:r>
        <w:continuationSeparator/>
      </w:r>
    </w:p>
  </w:endnote>
  <w:endnote w:type="continuationNotice" w:id="1">
    <w:p w14:paraId="05A295D8" w14:textId="77777777" w:rsidR="00B95F89" w:rsidRDefault="00B95F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Mäori">
    <w:altName w:val="Times New Roman"/>
    <w:charset w:val="00"/>
    <w:family w:val="roman"/>
    <w:pitch w:val="variable"/>
    <w:sig w:usb0="00000003" w:usb1="00000000" w:usb2="00000000" w:usb3="00000000" w:csb0="00000001" w:csb1="00000000"/>
  </w:font>
  <w:font w:name="Yu Mincho Light">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Metropolis">
    <w:altName w:val="Calibri"/>
    <w:panose1 w:val="00000500000000000000"/>
    <w:charset w:val="00"/>
    <w:family w:val="modern"/>
    <w:notTrueType/>
    <w:pitch w:val="variable"/>
    <w:sig w:usb0="00000007" w:usb1="00000000" w:usb2="00000000" w:usb3="00000000" w:csb0="00000093" w:csb1="00000000"/>
  </w:font>
  <w:font w:name="Metropolis Light">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subsetted="1" w:fontKey="{C9ADBD22-4D0C-4E49-AD96-A1BC546C6693}"/>
    <w:embedItalic r:id="rId2" w:subsetted="1" w:fontKey="{F776B761-22E7-4FC6-B529-05CC63B8EBF6}"/>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Metropolis Black">
    <w:panose1 w:val="00000A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Angsana New">
    <w:panose1 w:val="02020603050405020304"/>
    <w:charset w:val="DE"/>
    <w:family w:val="roman"/>
    <w:pitch w:val="variable"/>
    <w:sig w:usb0="81000003" w:usb1="00000000" w:usb2="00000000" w:usb3="00000000" w:csb0="00010001" w:csb1="00000000"/>
  </w:font>
  <w:font w:name="Times">
    <w:panose1 w:val="02020603050405020304"/>
    <w:charset w:val="00"/>
    <w:family w:val="roman"/>
    <w:pitch w:val="variable"/>
    <w:sig w:usb0="E0002EFF" w:usb1="C000785B" w:usb2="00000009" w:usb3="00000000" w:csb0="000001FF" w:csb1="00000000"/>
  </w:font>
  <w:font w:name="@Yu Gothic UI Semibold">
    <w:charset w:val="80"/>
    <w:family w:val="swiss"/>
    <w:pitch w:val="variable"/>
    <w:sig w:usb0="E00002FF" w:usb1="2AC7FDFF" w:usb2="00000016" w:usb3="00000000" w:csb0="0002009F" w:csb1="00000000"/>
  </w:font>
  <w:font w:name="VNI-Auchon">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etropolis Extra Bold">
    <w:panose1 w:val="00000900000000000000"/>
    <w:charset w:val="00"/>
    <w:family w:val="modern"/>
    <w:notTrueType/>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embedRegular r:id="rId3" w:fontKey="{62937ED7-63C0-4D73-B78C-254885A3C3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F64C0" w14:textId="77777777" w:rsidR="00E81695" w:rsidRDefault="00E81695">
    <w:pPr>
      <w:pStyle w:val="Footer"/>
    </w:pPr>
    <w:r>
      <w:rPr>
        <w:noProof/>
        <w:lang w:eastAsia="en-NZ"/>
      </w:rPr>
      <w:drawing>
        <wp:anchor distT="0" distB="0" distL="114300" distR="114300" simplePos="0" relativeHeight="251656192" behindDoc="0" locked="0" layoutInCell="1" allowOverlap="1" wp14:anchorId="657B357E" wp14:editId="42C01A6F">
          <wp:simplePos x="0" y="0"/>
          <wp:positionH relativeFrom="page">
            <wp:posOffset>146636</wp:posOffset>
          </wp:positionH>
          <wp:positionV relativeFrom="page">
            <wp:posOffset>9571600</wp:posOffset>
          </wp:positionV>
          <wp:extent cx="7242810" cy="1014095"/>
          <wp:effectExtent l="0" t="0" r="0" b="0"/>
          <wp:wrapNone/>
          <wp:docPr id="25405385" name="Picture 2540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42810" cy="1014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EB70BA" w14:paraId="0D2342DD" w14:textId="77777777" w:rsidTr="2A4E7D65">
      <w:tc>
        <w:tcPr>
          <w:tcW w:w="3028" w:type="dxa"/>
        </w:tcPr>
        <w:p w14:paraId="72180DD4" w14:textId="77777777" w:rsidR="00EB70BA" w:rsidRDefault="00EB70BA" w:rsidP="2A4E7D65">
          <w:pPr>
            <w:pStyle w:val="Header"/>
            <w:ind w:left="-115"/>
          </w:pPr>
        </w:p>
      </w:tc>
      <w:tc>
        <w:tcPr>
          <w:tcW w:w="3028" w:type="dxa"/>
        </w:tcPr>
        <w:p w14:paraId="1FD76831" w14:textId="77777777" w:rsidR="00EB70BA" w:rsidRDefault="00EB70BA" w:rsidP="2A4E7D65">
          <w:pPr>
            <w:pStyle w:val="Header"/>
            <w:jc w:val="center"/>
          </w:pPr>
        </w:p>
      </w:tc>
      <w:tc>
        <w:tcPr>
          <w:tcW w:w="3028" w:type="dxa"/>
        </w:tcPr>
        <w:p w14:paraId="25C4E21D" w14:textId="77777777" w:rsidR="00EB70BA" w:rsidRDefault="00EB70BA" w:rsidP="2A4E7D65">
          <w:pPr>
            <w:pStyle w:val="Header"/>
            <w:ind w:right="-115"/>
            <w:jc w:val="right"/>
          </w:pPr>
        </w:p>
      </w:tc>
    </w:tr>
  </w:tbl>
  <w:p w14:paraId="1CC8C0F9" w14:textId="77777777" w:rsidR="00EB70BA" w:rsidRDefault="00EB70B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EB70BA" w14:paraId="1303F4F1" w14:textId="77777777" w:rsidTr="2A4E7D65">
      <w:tc>
        <w:tcPr>
          <w:tcW w:w="3028" w:type="dxa"/>
        </w:tcPr>
        <w:p w14:paraId="51A4F8C3" w14:textId="77777777" w:rsidR="00EB70BA" w:rsidRDefault="00EB70BA" w:rsidP="2A4E7D65">
          <w:pPr>
            <w:pStyle w:val="Header"/>
            <w:ind w:left="-115"/>
          </w:pPr>
        </w:p>
      </w:tc>
      <w:tc>
        <w:tcPr>
          <w:tcW w:w="3028" w:type="dxa"/>
        </w:tcPr>
        <w:p w14:paraId="40E82A02" w14:textId="77777777" w:rsidR="00EB70BA" w:rsidRDefault="00EB70BA" w:rsidP="2A4E7D65">
          <w:pPr>
            <w:pStyle w:val="Header"/>
            <w:jc w:val="center"/>
          </w:pPr>
        </w:p>
      </w:tc>
      <w:tc>
        <w:tcPr>
          <w:tcW w:w="3028" w:type="dxa"/>
        </w:tcPr>
        <w:p w14:paraId="25A055B0" w14:textId="77777777" w:rsidR="00EB70BA" w:rsidRDefault="00EB70BA" w:rsidP="2A4E7D65">
          <w:pPr>
            <w:pStyle w:val="Header"/>
            <w:ind w:right="-115"/>
            <w:jc w:val="right"/>
          </w:pPr>
        </w:p>
      </w:tc>
    </w:tr>
  </w:tbl>
  <w:p w14:paraId="19D87747" w14:textId="77777777" w:rsidR="00EB70BA" w:rsidRDefault="00EB70B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2FE17" w14:textId="77777777" w:rsidR="00174F89" w:rsidRDefault="00174F8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54736" w14:textId="77777777" w:rsidR="00174F89" w:rsidRDefault="00174F8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174F89" w14:paraId="1DA46BAA" w14:textId="77777777" w:rsidTr="2A4E7D65">
      <w:tc>
        <w:tcPr>
          <w:tcW w:w="3028" w:type="dxa"/>
        </w:tcPr>
        <w:p w14:paraId="289A11B7" w14:textId="77777777" w:rsidR="00174F89" w:rsidRDefault="00174F89" w:rsidP="2A4E7D65">
          <w:pPr>
            <w:pStyle w:val="Header"/>
            <w:ind w:left="-115"/>
          </w:pPr>
        </w:p>
      </w:tc>
      <w:tc>
        <w:tcPr>
          <w:tcW w:w="3028" w:type="dxa"/>
        </w:tcPr>
        <w:p w14:paraId="39A65593" w14:textId="77777777" w:rsidR="00174F89" w:rsidRDefault="00174F89" w:rsidP="2A4E7D65">
          <w:pPr>
            <w:pStyle w:val="Header"/>
            <w:jc w:val="center"/>
          </w:pPr>
        </w:p>
      </w:tc>
      <w:tc>
        <w:tcPr>
          <w:tcW w:w="3028" w:type="dxa"/>
        </w:tcPr>
        <w:p w14:paraId="3D2DB5CE" w14:textId="77777777" w:rsidR="00174F89" w:rsidRDefault="00174F89" w:rsidP="2A4E7D65">
          <w:pPr>
            <w:pStyle w:val="Header"/>
            <w:ind w:right="-115"/>
            <w:jc w:val="right"/>
          </w:pPr>
        </w:p>
      </w:tc>
    </w:tr>
  </w:tbl>
  <w:p w14:paraId="47C32BB4" w14:textId="77777777" w:rsidR="00174F89" w:rsidRDefault="00174F89">
    <w:pPr>
      <w:pStyle w:val="Footer"/>
    </w:pPr>
  </w:p>
  <w:p w14:paraId="037E6D9B" w14:textId="77777777" w:rsidR="00174F89" w:rsidRDefault="00174F89"/>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174F89" w14:paraId="3BB4CFEC" w14:textId="77777777" w:rsidTr="2A4E7D65">
      <w:tc>
        <w:tcPr>
          <w:tcW w:w="3028" w:type="dxa"/>
        </w:tcPr>
        <w:p w14:paraId="55DEC6A9" w14:textId="77777777" w:rsidR="00174F89" w:rsidRDefault="00174F89" w:rsidP="2A4E7D65">
          <w:pPr>
            <w:pStyle w:val="Header"/>
            <w:ind w:left="-115"/>
          </w:pPr>
        </w:p>
      </w:tc>
      <w:tc>
        <w:tcPr>
          <w:tcW w:w="3028" w:type="dxa"/>
        </w:tcPr>
        <w:p w14:paraId="5E781D54" w14:textId="77777777" w:rsidR="00174F89" w:rsidRDefault="00174F89" w:rsidP="2A4E7D65">
          <w:pPr>
            <w:pStyle w:val="Header"/>
            <w:jc w:val="center"/>
          </w:pPr>
        </w:p>
      </w:tc>
      <w:tc>
        <w:tcPr>
          <w:tcW w:w="3028" w:type="dxa"/>
        </w:tcPr>
        <w:p w14:paraId="410A1AD9" w14:textId="77777777" w:rsidR="00174F89" w:rsidRDefault="00174F89" w:rsidP="2A4E7D65">
          <w:pPr>
            <w:pStyle w:val="Header"/>
            <w:ind w:right="-115"/>
            <w:jc w:val="right"/>
          </w:pPr>
        </w:p>
      </w:tc>
    </w:tr>
  </w:tbl>
  <w:p w14:paraId="22996974" w14:textId="77777777" w:rsidR="00174F89" w:rsidRDefault="00174F89">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174F89" w14:paraId="043FD55C" w14:textId="77777777" w:rsidTr="2A4E7D65">
      <w:tc>
        <w:tcPr>
          <w:tcW w:w="3028" w:type="dxa"/>
        </w:tcPr>
        <w:p w14:paraId="19EE96EB" w14:textId="77777777" w:rsidR="00174F89" w:rsidRDefault="00174F89" w:rsidP="2A4E7D65">
          <w:pPr>
            <w:pStyle w:val="Header"/>
            <w:ind w:left="-115"/>
          </w:pPr>
        </w:p>
      </w:tc>
      <w:tc>
        <w:tcPr>
          <w:tcW w:w="3028" w:type="dxa"/>
        </w:tcPr>
        <w:p w14:paraId="71207B47" w14:textId="77777777" w:rsidR="00174F89" w:rsidRDefault="00174F89" w:rsidP="2A4E7D65">
          <w:pPr>
            <w:pStyle w:val="Header"/>
            <w:jc w:val="center"/>
          </w:pPr>
        </w:p>
      </w:tc>
      <w:tc>
        <w:tcPr>
          <w:tcW w:w="3028" w:type="dxa"/>
        </w:tcPr>
        <w:p w14:paraId="06263EB2" w14:textId="77777777" w:rsidR="00174F89" w:rsidRDefault="00174F89" w:rsidP="2A4E7D65">
          <w:pPr>
            <w:pStyle w:val="Header"/>
            <w:ind w:right="-115"/>
            <w:jc w:val="right"/>
          </w:pPr>
        </w:p>
      </w:tc>
    </w:tr>
  </w:tbl>
  <w:p w14:paraId="1FE8E1B9" w14:textId="77777777" w:rsidR="00174F89" w:rsidRDefault="00174F89">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EACE2" w14:textId="77777777" w:rsidR="00174F89" w:rsidRDefault="00174F89">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174F89" w14:paraId="5A0B4A6E" w14:textId="77777777" w:rsidTr="2A4E7D65">
      <w:tc>
        <w:tcPr>
          <w:tcW w:w="3028" w:type="dxa"/>
        </w:tcPr>
        <w:p w14:paraId="137BDBA9" w14:textId="77777777" w:rsidR="00174F89" w:rsidRDefault="00174F89" w:rsidP="2A4E7D65">
          <w:pPr>
            <w:pStyle w:val="Header"/>
            <w:ind w:left="-115"/>
          </w:pPr>
        </w:p>
      </w:tc>
      <w:tc>
        <w:tcPr>
          <w:tcW w:w="3028" w:type="dxa"/>
        </w:tcPr>
        <w:p w14:paraId="11A6AE3A" w14:textId="77777777" w:rsidR="00174F89" w:rsidRDefault="00174F89" w:rsidP="2A4E7D65">
          <w:pPr>
            <w:pStyle w:val="Header"/>
            <w:jc w:val="center"/>
          </w:pPr>
        </w:p>
      </w:tc>
      <w:tc>
        <w:tcPr>
          <w:tcW w:w="3028" w:type="dxa"/>
        </w:tcPr>
        <w:p w14:paraId="427693A7" w14:textId="77777777" w:rsidR="00174F89" w:rsidRDefault="00174F89" w:rsidP="2A4E7D65">
          <w:pPr>
            <w:pStyle w:val="Header"/>
            <w:ind w:right="-115"/>
            <w:jc w:val="right"/>
          </w:pPr>
        </w:p>
      </w:tc>
    </w:tr>
  </w:tbl>
  <w:p w14:paraId="7E3332DA" w14:textId="77777777" w:rsidR="00174F89" w:rsidRDefault="00174F89">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9690B" w14:textId="77777777" w:rsidR="00174F89" w:rsidRDefault="00174F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0342BA" w14:paraId="2576295C" w14:textId="77777777" w:rsidTr="2A4E7D65">
      <w:tc>
        <w:tcPr>
          <w:tcW w:w="3028" w:type="dxa"/>
        </w:tcPr>
        <w:p w14:paraId="741027F5" w14:textId="77777777" w:rsidR="000342BA" w:rsidRDefault="000342BA" w:rsidP="2A4E7D65">
          <w:pPr>
            <w:pStyle w:val="Header"/>
            <w:ind w:left="-115"/>
          </w:pPr>
        </w:p>
      </w:tc>
      <w:tc>
        <w:tcPr>
          <w:tcW w:w="3028" w:type="dxa"/>
        </w:tcPr>
        <w:p w14:paraId="2AD9E235" w14:textId="77777777" w:rsidR="000342BA" w:rsidRDefault="000342BA" w:rsidP="2A4E7D65">
          <w:pPr>
            <w:pStyle w:val="Header"/>
            <w:jc w:val="center"/>
          </w:pPr>
        </w:p>
      </w:tc>
      <w:tc>
        <w:tcPr>
          <w:tcW w:w="3028" w:type="dxa"/>
        </w:tcPr>
        <w:p w14:paraId="03C7DD01" w14:textId="77777777" w:rsidR="000342BA" w:rsidRDefault="000342BA" w:rsidP="2A4E7D65">
          <w:pPr>
            <w:pStyle w:val="Header"/>
            <w:ind w:right="-115"/>
            <w:jc w:val="right"/>
          </w:pPr>
        </w:p>
      </w:tc>
    </w:tr>
  </w:tbl>
  <w:p w14:paraId="411D7887" w14:textId="77777777" w:rsidR="000342BA" w:rsidRDefault="000342B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174F89" w14:paraId="454152D3" w14:textId="77777777" w:rsidTr="2A4E7D65">
      <w:tc>
        <w:tcPr>
          <w:tcW w:w="3028" w:type="dxa"/>
        </w:tcPr>
        <w:p w14:paraId="6A6A0FB3" w14:textId="77777777" w:rsidR="00174F89" w:rsidRDefault="00174F89" w:rsidP="2A4E7D65">
          <w:pPr>
            <w:pStyle w:val="Header"/>
            <w:ind w:left="-115"/>
          </w:pPr>
        </w:p>
      </w:tc>
      <w:tc>
        <w:tcPr>
          <w:tcW w:w="3028" w:type="dxa"/>
        </w:tcPr>
        <w:p w14:paraId="01E9446F" w14:textId="77777777" w:rsidR="00174F89" w:rsidRDefault="00174F89" w:rsidP="2A4E7D65">
          <w:pPr>
            <w:pStyle w:val="Header"/>
            <w:jc w:val="center"/>
          </w:pPr>
        </w:p>
      </w:tc>
      <w:tc>
        <w:tcPr>
          <w:tcW w:w="3028" w:type="dxa"/>
        </w:tcPr>
        <w:p w14:paraId="6CF31A35" w14:textId="77777777" w:rsidR="00174F89" w:rsidRDefault="00174F89" w:rsidP="2A4E7D65">
          <w:pPr>
            <w:pStyle w:val="Header"/>
            <w:ind w:right="-115"/>
            <w:jc w:val="right"/>
          </w:pPr>
        </w:p>
      </w:tc>
    </w:tr>
  </w:tbl>
  <w:p w14:paraId="761344E3" w14:textId="77777777" w:rsidR="00174F89" w:rsidRDefault="00174F89">
    <w:pPr>
      <w:pStyle w:val="Footer"/>
    </w:pPr>
  </w:p>
  <w:p w14:paraId="5C46A94E" w14:textId="77777777" w:rsidR="00174F89" w:rsidRDefault="00174F89"/>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174F89" w14:paraId="1E838543" w14:textId="77777777" w:rsidTr="2A4E7D65">
      <w:tc>
        <w:tcPr>
          <w:tcW w:w="3028" w:type="dxa"/>
        </w:tcPr>
        <w:p w14:paraId="3D0A9A3B" w14:textId="77777777" w:rsidR="00174F89" w:rsidRDefault="00174F89" w:rsidP="2A4E7D65">
          <w:pPr>
            <w:pStyle w:val="Header"/>
            <w:ind w:left="-115"/>
          </w:pPr>
        </w:p>
      </w:tc>
      <w:tc>
        <w:tcPr>
          <w:tcW w:w="3028" w:type="dxa"/>
        </w:tcPr>
        <w:p w14:paraId="5ACBA718" w14:textId="77777777" w:rsidR="00174F89" w:rsidRDefault="00174F89" w:rsidP="2A4E7D65">
          <w:pPr>
            <w:pStyle w:val="Header"/>
            <w:jc w:val="center"/>
          </w:pPr>
        </w:p>
      </w:tc>
      <w:tc>
        <w:tcPr>
          <w:tcW w:w="3028" w:type="dxa"/>
        </w:tcPr>
        <w:p w14:paraId="51D61F81" w14:textId="77777777" w:rsidR="00174F89" w:rsidRDefault="00174F89" w:rsidP="2A4E7D65">
          <w:pPr>
            <w:pStyle w:val="Header"/>
            <w:ind w:right="-115"/>
            <w:jc w:val="right"/>
          </w:pPr>
        </w:p>
      </w:tc>
    </w:tr>
  </w:tbl>
  <w:p w14:paraId="369C164F" w14:textId="77777777" w:rsidR="00174F89" w:rsidRDefault="00174F89">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174F89" w14:paraId="4932E54D" w14:textId="77777777" w:rsidTr="2A4E7D65">
      <w:tc>
        <w:tcPr>
          <w:tcW w:w="3028" w:type="dxa"/>
        </w:tcPr>
        <w:p w14:paraId="71B74B22" w14:textId="77777777" w:rsidR="00174F89" w:rsidRDefault="00174F89" w:rsidP="2A4E7D65">
          <w:pPr>
            <w:pStyle w:val="Header"/>
            <w:ind w:left="-115"/>
          </w:pPr>
        </w:p>
      </w:tc>
      <w:tc>
        <w:tcPr>
          <w:tcW w:w="3028" w:type="dxa"/>
        </w:tcPr>
        <w:p w14:paraId="1FCA5A41" w14:textId="77777777" w:rsidR="00174F89" w:rsidRDefault="00174F89" w:rsidP="2A4E7D65">
          <w:pPr>
            <w:pStyle w:val="Header"/>
            <w:jc w:val="center"/>
          </w:pPr>
        </w:p>
      </w:tc>
      <w:tc>
        <w:tcPr>
          <w:tcW w:w="3028" w:type="dxa"/>
        </w:tcPr>
        <w:p w14:paraId="30F52FAE" w14:textId="77777777" w:rsidR="00174F89" w:rsidRDefault="00174F89" w:rsidP="2A4E7D65">
          <w:pPr>
            <w:pStyle w:val="Header"/>
            <w:ind w:right="-115"/>
            <w:jc w:val="right"/>
          </w:pPr>
        </w:p>
      </w:tc>
    </w:tr>
  </w:tbl>
  <w:p w14:paraId="40939290" w14:textId="77777777" w:rsidR="00174F89" w:rsidRDefault="00174F8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174F89" w14:paraId="588779F8" w14:textId="77777777" w:rsidTr="2A4E7D65">
      <w:tc>
        <w:tcPr>
          <w:tcW w:w="3028" w:type="dxa"/>
        </w:tcPr>
        <w:p w14:paraId="6EF00C43" w14:textId="77777777" w:rsidR="00174F89" w:rsidRDefault="00174F89" w:rsidP="2A4E7D65">
          <w:pPr>
            <w:pStyle w:val="Header"/>
            <w:ind w:left="-115"/>
          </w:pPr>
        </w:p>
      </w:tc>
      <w:tc>
        <w:tcPr>
          <w:tcW w:w="3028" w:type="dxa"/>
        </w:tcPr>
        <w:p w14:paraId="0A135C35" w14:textId="77777777" w:rsidR="00174F89" w:rsidRDefault="00174F89" w:rsidP="2A4E7D65">
          <w:pPr>
            <w:pStyle w:val="Header"/>
            <w:jc w:val="center"/>
          </w:pPr>
        </w:p>
      </w:tc>
      <w:tc>
        <w:tcPr>
          <w:tcW w:w="3028" w:type="dxa"/>
        </w:tcPr>
        <w:p w14:paraId="23C50618" w14:textId="77777777" w:rsidR="00174F89" w:rsidRDefault="00174F89" w:rsidP="2A4E7D65">
          <w:pPr>
            <w:pStyle w:val="Header"/>
            <w:ind w:right="-115"/>
            <w:jc w:val="right"/>
          </w:pPr>
        </w:p>
      </w:tc>
    </w:tr>
  </w:tbl>
  <w:p w14:paraId="605F0239" w14:textId="77777777" w:rsidR="00174F89" w:rsidRDefault="00174F89">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174F89" w14:paraId="74E549A9" w14:textId="77777777" w:rsidTr="2A4E7D65">
      <w:tc>
        <w:tcPr>
          <w:tcW w:w="3028" w:type="dxa"/>
        </w:tcPr>
        <w:p w14:paraId="471256AA" w14:textId="77777777" w:rsidR="00174F89" w:rsidRDefault="00174F89" w:rsidP="2A4E7D65">
          <w:pPr>
            <w:pStyle w:val="Header"/>
            <w:ind w:left="-115"/>
          </w:pPr>
        </w:p>
      </w:tc>
      <w:tc>
        <w:tcPr>
          <w:tcW w:w="3028" w:type="dxa"/>
        </w:tcPr>
        <w:p w14:paraId="25939ABD" w14:textId="77777777" w:rsidR="00174F89" w:rsidRDefault="00174F89" w:rsidP="2A4E7D65">
          <w:pPr>
            <w:pStyle w:val="Header"/>
            <w:jc w:val="center"/>
          </w:pPr>
        </w:p>
      </w:tc>
      <w:tc>
        <w:tcPr>
          <w:tcW w:w="3028" w:type="dxa"/>
        </w:tcPr>
        <w:p w14:paraId="2AA41C7A" w14:textId="77777777" w:rsidR="00174F89" w:rsidRDefault="00174F89" w:rsidP="2A4E7D65">
          <w:pPr>
            <w:pStyle w:val="Header"/>
            <w:ind w:right="-115"/>
            <w:jc w:val="right"/>
          </w:pPr>
        </w:p>
      </w:tc>
    </w:tr>
  </w:tbl>
  <w:p w14:paraId="1B47D454" w14:textId="77777777" w:rsidR="00174F89" w:rsidRDefault="00174F89">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1E69E7" w14:paraId="523E601A" w14:textId="77777777" w:rsidTr="2A4E7D65">
      <w:tc>
        <w:tcPr>
          <w:tcW w:w="3028" w:type="dxa"/>
        </w:tcPr>
        <w:p w14:paraId="36E435FE" w14:textId="77777777" w:rsidR="001E69E7" w:rsidRDefault="001E69E7" w:rsidP="2A4E7D65">
          <w:pPr>
            <w:pStyle w:val="Header"/>
            <w:ind w:left="-115"/>
          </w:pPr>
        </w:p>
      </w:tc>
      <w:tc>
        <w:tcPr>
          <w:tcW w:w="3028" w:type="dxa"/>
        </w:tcPr>
        <w:p w14:paraId="6BF8256A" w14:textId="77777777" w:rsidR="001E69E7" w:rsidRDefault="001E69E7" w:rsidP="2A4E7D65">
          <w:pPr>
            <w:pStyle w:val="Header"/>
            <w:jc w:val="center"/>
          </w:pPr>
        </w:p>
      </w:tc>
      <w:tc>
        <w:tcPr>
          <w:tcW w:w="3028" w:type="dxa"/>
        </w:tcPr>
        <w:p w14:paraId="29C0530A" w14:textId="77777777" w:rsidR="001E69E7" w:rsidRDefault="001E69E7" w:rsidP="2A4E7D65">
          <w:pPr>
            <w:pStyle w:val="Header"/>
            <w:ind w:right="-115"/>
            <w:jc w:val="right"/>
          </w:pPr>
        </w:p>
      </w:tc>
    </w:tr>
  </w:tbl>
  <w:p w14:paraId="3DF9AB80" w14:textId="77777777" w:rsidR="001E69E7" w:rsidRDefault="001E69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82371" w14:textId="77777777" w:rsidR="000342BA" w:rsidRPr="00DA0B23" w:rsidRDefault="000342BA" w:rsidP="00DA0B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C9C1A" w14:textId="77777777" w:rsidR="00E81695" w:rsidRDefault="00E8169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8A5B76" w14:paraId="2E6FEF76" w14:textId="77777777" w:rsidTr="2A4E7D65">
      <w:tc>
        <w:tcPr>
          <w:tcW w:w="3028" w:type="dxa"/>
        </w:tcPr>
        <w:p w14:paraId="5DFC5F0F" w14:textId="77777777" w:rsidR="008A5B76" w:rsidRDefault="008A5B76" w:rsidP="2A4E7D65">
          <w:pPr>
            <w:pStyle w:val="Header"/>
            <w:ind w:left="-115"/>
          </w:pPr>
        </w:p>
      </w:tc>
      <w:tc>
        <w:tcPr>
          <w:tcW w:w="3028" w:type="dxa"/>
        </w:tcPr>
        <w:p w14:paraId="35D79938" w14:textId="77777777" w:rsidR="008A5B76" w:rsidRDefault="008A5B76" w:rsidP="2A4E7D65">
          <w:pPr>
            <w:pStyle w:val="Header"/>
            <w:jc w:val="center"/>
          </w:pPr>
        </w:p>
      </w:tc>
      <w:tc>
        <w:tcPr>
          <w:tcW w:w="3028" w:type="dxa"/>
        </w:tcPr>
        <w:p w14:paraId="2B1DB9DC" w14:textId="77777777" w:rsidR="008A5B76" w:rsidRDefault="008A5B76" w:rsidP="2A4E7D65">
          <w:pPr>
            <w:pStyle w:val="Header"/>
            <w:ind w:right="-115"/>
            <w:jc w:val="right"/>
          </w:pPr>
        </w:p>
      </w:tc>
    </w:tr>
  </w:tbl>
  <w:p w14:paraId="174240BC" w14:textId="77777777" w:rsidR="008A5B76" w:rsidRDefault="008A5B7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EB70BA" w14:paraId="44E5BFCB" w14:textId="77777777" w:rsidTr="2A4E7D65">
      <w:tc>
        <w:tcPr>
          <w:tcW w:w="3028" w:type="dxa"/>
        </w:tcPr>
        <w:p w14:paraId="7ABDFEB0" w14:textId="77777777" w:rsidR="00EB70BA" w:rsidRDefault="00EB70BA" w:rsidP="2A4E7D65">
          <w:pPr>
            <w:pStyle w:val="Header"/>
            <w:ind w:left="-115"/>
          </w:pPr>
        </w:p>
      </w:tc>
      <w:tc>
        <w:tcPr>
          <w:tcW w:w="3028" w:type="dxa"/>
        </w:tcPr>
        <w:p w14:paraId="65E0AB15" w14:textId="77777777" w:rsidR="00EB70BA" w:rsidRDefault="00EB70BA" w:rsidP="2A4E7D65">
          <w:pPr>
            <w:pStyle w:val="Header"/>
            <w:jc w:val="center"/>
          </w:pPr>
        </w:p>
      </w:tc>
      <w:tc>
        <w:tcPr>
          <w:tcW w:w="3028" w:type="dxa"/>
        </w:tcPr>
        <w:p w14:paraId="77103C49" w14:textId="77777777" w:rsidR="00EB70BA" w:rsidRDefault="00EB70BA" w:rsidP="2A4E7D65">
          <w:pPr>
            <w:pStyle w:val="Header"/>
            <w:ind w:right="-115"/>
            <w:jc w:val="right"/>
          </w:pPr>
        </w:p>
      </w:tc>
    </w:tr>
  </w:tbl>
  <w:p w14:paraId="3CFBB194" w14:textId="77777777" w:rsidR="00EB70BA" w:rsidRDefault="00EB70B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EB70BA" w14:paraId="03F45A7D" w14:textId="77777777" w:rsidTr="2A4E7D65">
      <w:tc>
        <w:tcPr>
          <w:tcW w:w="3028" w:type="dxa"/>
        </w:tcPr>
        <w:p w14:paraId="33C23F70" w14:textId="77777777" w:rsidR="00EB70BA" w:rsidRDefault="00EB70BA" w:rsidP="2A4E7D65">
          <w:pPr>
            <w:pStyle w:val="Header"/>
            <w:ind w:left="-115"/>
          </w:pPr>
        </w:p>
      </w:tc>
      <w:tc>
        <w:tcPr>
          <w:tcW w:w="3028" w:type="dxa"/>
        </w:tcPr>
        <w:p w14:paraId="3E088CA5" w14:textId="77777777" w:rsidR="00EB70BA" w:rsidRDefault="00EB70BA" w:rsidP="2A4E7D65">
          <w:pPr>
            <w:pStyle w:val="Header"/>
            <w:jc w:val="center"/>
          </w:pPr>
        </w:p>
      </w:tc>
      <w:tc>
        <w:tcPr>
          <w:tcW w:w="3028" w:type="dxa"/>
        </w:tcPr>
        <w:p w14:paraId="6908716D" w14:textId="77777777" w:rsidR="00EB70BA" w:rsidRDefault="00EB70BA" w:rsidP="2A4E7D65">
          <w:pPr>
            <w:pStyle w:val="Header"/>
            <w:ind w:right="-115"/>
            <w:jc w:val="right"/>
          </w:pPr>
        </w:p>
      </w:tc>
    </w:tr>
  </w:tbl>
  <w:p w14:paraId="50401280" w14:textId="77777777" w:rsidR="00EB70BA" w:rsidRDefault="00EB70B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38B18" w14:textId="77777777" w:rsidR="00EB70BA" w:rsidRDefault="00EB70B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EB70BA" w14:paraId="0A4FD507" w14:textId="77777777" w:rsidTr="2A4E7D65">
      <w:tc>
        <w:tcPr>
          <w:tcW w:w="3028" w:type="dxa"/>
        </w:tcPr>
        <w:p w14:paraId="28971183" w14:textId="77777777" w:rsidR="00EB70BA" w:rsidRDefault="00EB70BA" w:rsidP="2A4E7D65">
          <w:pPr>
            <w:pStyle w:val="Header"/>
            <w:ind w:left="-115"/>
          </w:pPr>
        </w:p>
      </w:tc>
      <w:tc>
        <w:tcPr>
          <w:tcW w:w="3028" w:type="dxa"/>
        </w:tcPr>
        <w:p w14:paraId="4687A894" w14:textId="77777777" w:rsidR="00EB70BA" w:rsidRDefault="00EB70BA" w:rsidP="2A4E7D65">
          <w:pPr>
            <w:pStyle w:val="Header"/>
            <w:jc w:val="center"/>
          </w:pPr>
        </w:p>
      </w:tc>
      <w:tc>
        <w:tcPr>
          <w:tcW w:w="3028" w:type="dxa"/>
        </w:tcPr>
        <w:p w14:paraId="5D5B155F" w14:textId="77777777" w:rsidR="00EB70BA" w:rsidRDefault="00EB70BA" w:rsidP="2A4E7D65">
          <w:pPr>
            <w:pStyle w:val="Header"/>
            <w:ind w:right="-115"/>
            <w:jc w:val="right"/>
          </w:pPr>
        </w:p>
      </w:tc>
    </w:tr>
  </w:tbl>
  <w:p w14:paraId="33AC1628" w14:textId="77777777" w:rsidR="00EB70BA" w:rsidRDefault="00EB70BA">
    <w:pPr>
      <w:pStyle w:val="Footer"/>
    </w:pPr>
  </w:p>
  <w:p w14:paraId="0027E7ED" w14:textId="77777777" w:rsidR="00EB70BA" w:rsidRDefault="00EB70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F4D2F3" w14:textId="77777777" w:rsidR="00B95F89" w:rsidRDefault="00B95F89">
      <w:r>
        <w:separator/>
      </w:r>
    </w:p>
  </w:footnote>
  <w:footnote w:type="continuationSeparator" w:id="0">
    <w:p w14:paraId="1040A759" w14:textId="77777777" w:rsidR="00B95F89" w:rsidRDefault="00B95F89">
      <w:r>
        <w:continuationSeparator/>
      </w:r>
    </w:p>
  </w:footnote>
  <w:footnote w:type="continuationNotice" w:id="1">
    <w:p w14:paraId="6BA890F8" w14:textId="77777777" w:rsidR="00B95F89" w:rsidRDefault="00B95F89"/>
  </w:footnote>
  <w:footnote w:id="2">
    <w:p w14:paraId="25BE9F73" w14:textId="06B30980" w:rsidR="00736420" w:rsidRPr="008642D1" w:rsidRDefault="00736420" w:rsidP="00736420">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There is a small handful of exceptions. The only one relevant to this review is sexual harassment</w:t>
      </w:r>
      <w:r w:rsidR="004E03D3">
        <w:rPr>
          <w:color w:val="262626" w:themeColor="text1" w:themeTint="D9"/>
        </w:rPr>
        <w:t>,</w:t>
      </w:r>
      <w:r w:rsidRPr="008642D1">
        <w:rPr>
          <w:color w:val="262626" w:themeColor="text1" w:themeTint="D9"/>
        </w:rPr>
        <w:t xml:space="preserve"> which we discuss in Chapter 15.</w:t>
      </w:r>
    </w:p>
  </w:footnote>
  <w:footnote w:id="3">
    <w:p w14:paraId="1CF7C2D1" w14:textId="77777777" w:rsidR="00736420" w:rsidRPr="008642D1" w:rsidRDefault="00736420" w:rsidP="00736420">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This is called indirect discrimination. We explain indirect discrimination in Chapter 8.</w:t>
      </w:r>
    </w:p>
  </w:footnote>
  <w:footnote w:id="4">
    <w:p w14:paraId="67F97CB4" w14:textId="41A1DB9F" w:rsidR="00736420" w:rsidRPr="008642D1" w:rsidRDefault="00736420" w:rsidP="00736420">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20J(1) read together with New Zealand Bill of Rights Act 1990, s 3. We explain more precisely which acts are covered by Part 1A and which by Part 2 in Chapters 8 and 16.</w:t>
      </w:r>
    </w:p>
  </w:footnote>
  <w:footnote w:id="5">
    <w:p w14:paraId="6931E8BE" w14:textId="68C695BF" w:rsidR="00736420" w:rsidRPr="008642D1" w:rsidRDefault="00736420" w:rsidP="00736420">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Human Rights Act 1993, s 20L read together with New Zealand Bill of Rights Act 1990, ss 5 and 19; and </w:t>
      </w:r>
      <w:r w:rsidRPr="008642D1">
        <w:rPr>
          <w:i/>
          <w:iCs/>
          <w:color w:val="262626" w:themeColor="text1" w:themeTint="D9"/>
        </w:rPr>
        <w:t xml:space="preserve">Ministry of Health v Atkinson </w:t>
      </w:r>
      <w:r w:rsidRPr="008642D1">
        <w:rPr>
          <w:color w:val="262626" w:themeColor="text1" w:themeTint="D9"/>
        </w:rPr>
        <w:t>[2012] NZCA 184, [2012] 3 NZLR 456 at [135]–[136] and [143].</w:t>
      </w:r>
    </w:p>
  </w:footnote>
  <w:footnote w:id="6">
    <w:p w14:paraId="3ABABBAF" w14:textId="5AA3188C" w:rsidR="00736420" w:rsidRPr="008642D1" w:rsidRDefault="00736420" w:rsidP="00736420">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We discuss the idea of demonstrable justification or </w:t>
      </w:r>
      <w:r w:rsidRPr="008642D1" w:rsidDel="00BC6506">
        <w:rPr>
          <w:color w:val="262626" w:themeColor="text1" w:themeTint="D9"/>
        </w:rPr>
        <w:t>‘</w:t>
      </w:r>
      <w:r w:rsidRPr="008642D1">
        <w:rPr>
          <w:color w:val="262626" w:themeColor="text1" w:themeTint="D9"/>
        </w:rPr>
        <w:t>proportionality</w:t>
      </w:r>
      <w:r w:rsidRPr="008642D1" w:rsidDel="00BC6506">
        <w:rPr>
          <w:color w:val="262626" w:themeColor="text1" w:themeTint="D9"/>
        </w:rPr>
        <w:t>’</w:t>
      </w:r>
      <w:r w:rsidRPr="008642D1">
        <w:rPr>
          <w:color w:val="262626" w:themeColor="text1" w:themeTint="D9"/>
        </w:rPr>
        <w:t xml:space="preserve"> in Chapters 4 and 16.</w:t>
      </w:r>
    </w:p>
  </w:footnote>
  <w:footnote w:id="7">
    <w:p w14:paraId="28BEE950" w14:textId="77777777" w:rsidR="00736420" w:rsidRPr="008642D1" w:rsidRDefault="00736420" w:rsidP="00736420">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There are some limited circumstances in which Part 2 applies to government, which we identify in later chapters.</w:t>
      </w:r>
    </w:p>
  </w:footnote>
  <w:footnote w:id="8">
    <w:p w14:paraId="3F097981" w14:textId="77777777" w:rsidR="00736420" w:rsidRPr="008642D1" w:rsidRDefault="00736420" w:rsidP="00736420">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for example, Human Rights Act 1993, s 54.</w:t>
      </w:r>
    </w:p>
  </w:footnote>
  <w:footnote w:id="9">
    <w:p w14:paraId="698722BA" w14:textId="376F9AAA" w:rsidR="00736420" w:rsidRPr="008642D1" w:rsidRDefault="00736420" w:rsidP="00736420">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Te Kāhui Tika Tangata | Human Rights Commission has other oversight functions</w:t>
      </w:r>
      <w:r w:rsidRPr="008642D1" w:rsidDel="0053780C">
        <w:rPr>
          <w:color w:val="262626" w:themeColor="text1" w:themeTint="D9"/>
        </w:rPr>
        <w:t>, which</w:t>
      </w:r>
      <w:r w:rsidRPr="008642D1">
        <w:rPr>
          <w:color w:val="262626" w:themeColor="text1" w:themeTint="D9"/>
        </w:rPr>
        <w:t xml:space="preserve"> we do not discuss here.</w:t>
      </w:r>
    </w:p>
  </w:footnote>
  <w:footnote w:id="10">
    <w:p w14:paraId="004C23BF" w14:textId="77777777" w:rsidR="00736420" w:rsidRPr="008642D1" w:rsidRDefault="00736420" w:rsidP="00736420">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Age had been made a prohibited ground a year earlier, in 1992, but solely in relation to employment discrimination. </w:t>
      </w:r>
    </w:p>
  </w:footnote>
  <w:footnote w:id="11">
    <w:p w14:paraId="040418A1" w14:textId="77777777" w:rsidR="00736420" w:rsidRPr="008642D1" w:rsidRDefault="00736420" w:rsidP="00736420">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iCs/>
          <w:color w:val="262626" w:themeColor="text1" w:themeTint="D9"/>
        </w:rPr>
        <w:t xml:space="preserve">Quilter v Attorney-General </w:t>
      </w:r>
      <w:r w:rsidRPr="008642D1">
        <w:rPr>
          <w:color w:val="262626" w:themeColor="text1" w:themeTint="D9"/>
        </w:rPr>
        <w:t>[1998] 1 NZLR 523 (CA) at 565 per Keith J.</w:t>
      </w:r>
    </w:p>
  </w:footnote>
  <w:footnote w:id="12">
    <w:p w14:paraId="2C317B7C" w14:textId="77777777" w:rsidR="00736420" w:rsidRPr="008642D1" w:rsidRDefault="00736420" w:rsidP="00736420">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w:t>
      </w:r>
      <w:r w:rsidRPr="008642D1">
        <w:rPr>
          <w:rFonts w:eastAsia="Calibri" w:cs="Arial"/>
          <w:color w:val="262626" w:themeColor="text1" w:themeTint="D9"/>
          <w:lang w:eastAsia="en-AU"/>
        </w:rPr>
        <w:t>27 July 1993) 537 NZPD 16912 (Graeme Reeves MP).</w:t>
      </w:r>
    </w:p>
  </w:footnote>
  <w:footnote w:id="13">
    <w:p w14:paraId="015AFF3B" w14:textId="77777777" w:rsidR="00736420" w:rsidRPr="008642D1" w:rsidRDefault="00736420" w:rsidP="00736420">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There has</w:t>
      </w:r>
      <w:r w:rsidRPr="008642D1">
        <w:rPr>
          <w:rFonts w:eastAsia="Calibri" w:cs="Arial"/>
          <w:color w:val="262626" w:themeColor="text1" w:themeTint="D9"/>
        </w:rPr>
        <w:t xml:space="preserve"> been a handful of amendments to the wording of existing grounds but no new grounds have been added.</w:t>
      </w:r>
    </w:p>
  </w:footnote>
  <w:footnote w:id="14">
    <w:p w14:paraId="1AFE2A0E" w14:textId="77777777" w:rsidR="00736420" w:rsidRPr="008642D1" w:rsidRDefault="00736420" w:rsidP="00736420">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There was also an earlier attempt to amend the Human Rights Commission Act 1977 to that effect: see Human Rights Commission Amendment Bill 1990 (58-1), cl 14F(1)(j).</w:t>
      </w:r>
    </w:p>
  </w:footnote>
  <w:footnote w:id="15">
    <w:p w14:paraId="23A00BFB" w14:textId="77777777" w:rsidR="00736420" w:rsidRPr="008642D1" w:rsidRDefault="00736420" w:rsidP="00736420">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Human Rights (Gender Identity) Amendment Bill 2004 (225-1). </w:t>
      </w:r>
    </w:p>
  </w:footnote>
  <w:footnote w:id="16">
    <w:p w14:paraId="4DF85BF2" w14:textId="77777777" w:rsidR="00736420" w:rsidRPr="008642D1" w:rsidRDefault="00736420" w:rsidP="00736420">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Letter from Cheryl Gwyn (Acting Solicitor-General) to the Attorney-General “Human Rights (Gender Identity) Amendment Bill” (2 August 2006). </w:t>
      </w:r>
    </w:p>
  </w:footnote>
  <w:footnote w:id="17">
    <w:p w14:paraId="4BEC42DB" w14:textId="77777777" w:rsidR="00736420" w:rsidRPr="008642D1" w:rsidRDefault="00736420" w:rsidP="00736420">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Currently Cabinet Office </w:t>
      </w:r>
      <w:r w:rsidRPr="008642D1">
        <w:rPr>
          <w:i/>
          <w:iCs/>
          <w:color w:val="262626" w:themeColor="text1" w:themeTint="D9"/>
        </w:rPr>
        <w:t>Cabinet Manual 2023</w:t>
      </w:r>
      <w:r w:rsidRPr="008642D1">
        <w:rPr>
          <w:color w:val="262626" w:themeColor="text1" w:themeTint="D9"/>
        </w:rPr>
        <w:t xml:space="preserve"> at [7.72]. </w:t>
      </w:r>
    </w:p>
  </w:footnote>
  <w:footnote w:id="18">
    <w:p w14:paraId="41CDB3A2" w14:textId="77777777" w:rsidR="00736420" w:rsidRPr="008642D1" w:rsidRDefault="00736420" w:rsidP="00736420">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Currently Standing Orders of the House of Representatives 2023, SO 313(2). </w:t>
      </w:r>
    </w:p>
  </w:footnote>
  <w:footnote w:id="19">
    <w:p w14:paraId="0B713328" w14:textId="77777777" w:rsidR="00736420" w:rsidRPr="008642D1" w:rsidRDefault="00736420" w:rsidP="00736420">
      <w:pPr>
        <w:pStyle w:val="FootnoteText"/>
        <w:rPr>
          <w:i/>
          <w:iCs/>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(11 March 2015) 703 NZPD 2185 (Simon O’Connor MP). </w:t>
      </w:r>
    </w:p>
  </w:footnote>
  <w:footnote w:id="20">
    <w:p w14:paraId="10C44F30" w14:textId="77777777" w:rsidR="00736420" w:rsidRPr="008642D1" w:rsidRDefault="00736420" w:rsidP="00736420">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Te Tāhū o te Ture | Ministry of Justice </w:t>
      </w:r>
      <w:r w:rsidRPr="008642D1">
        <w:rPr>
          <w:i/>
          <w:color w:val="262626" w:themeColor="text1" w:themeTint="D9"/>
        </w:rPr>
        <w:t xml:space="preserve">Proposals against incitement of hatred and discrimination </w:t>
      </w:r>
      <w:r w:rsidRPr="008642D1">
        <w:rPr>
          <w:color w:val="262626" w:themeColor="text1" w:themeTint="D9"/>
        </w:rPr>
        <w:t>(2021) &lt;</w:t>
      </w:r>
      <w:hyperlink r:id="rId1" w:history="1">
        <w:r w:rsidRPr="008642D1">
          <w:rPr>
            <w:rStyle w:val="Hyperlink"/>
            <w:color w:val="262626" w:themeColor="text1" w:themeTint="D9"/>
          </w:rPr>
          <w:t>www.justice.govt.nz</w:t>
        </w:r>
      </w:hyperlink>
      <w:r w:rsidRPr="008642D1">
        <w:rPr>
          <w:color w:val="262626" w:themeColor="text1" w:themeTint="D9"/>
        </w:rPr>
        <w:t xml:space="preserve">&gt; at 5 and 23. </w:t>
      </w:r>
    </w:p>
  </w:footnote>
  <w:footnote w:id="21">
    <w:p w14:paraId="561EAD1E" w14:textId="77777777" w:rsidR="00736420" w:rsidRPr="008642D1" w:rsidRDefault="00736420" w:rsidP="00736420">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(Prohibition of Discrimination on Grounds of Gender Identity or Expression, and Variations of Sex Characteristics) Amendment Bill 2023 (275-1).</w:t>
      </w:r>
    </w:p>
  </w:footnote>
  <w:footnote w:id="22">
    <w:p w14:paraId="71E43914" w14:textId="77777777" w:rsidR="00736420" w:rsidRPr="008642D1" w:rsidRDefault="00736420" w:rsidP="00736420">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Business Committee “Determinations of the Business Committee for Wednesday, 6 December 2023” Pāremata Aotearoa | New Zealand Parliament (6 December 2023) &lt;</w:t>
      </w:r>
      <w:hyperlink r:id="rId2" w:history="1">
        <w:r w:rsidRPr="008642D1">
          <w:rPr>
            <w:rStyle w:val="Hyperlink"/>
            <w:color w:val="262626" w:themeColor="text1" w:themeTint="D9"/>
          </w:rPr>
          <w:t>www.selectcommittees.parliament.nz</w:t>
        </w:r>
      </w:hyperlink>
      <w:r w:rsidRPr="008642D1">
        <w:rPr>
          <w:color w:val="262626" w:themeColor="text1" w:themeTint="D9"/>
        </w:rPr>
        <w:t>&gt;.</w:t>
      </w:r>
    </w:p>
  </w:footnote>
  <w:footnote w:id="23">
    <w:p w14:paraId="5B6EA4A8" w14:textId="77777777" w:rsidR="00736420" w:rsidRPr="008642D1" w:rsidRDefault="00736420" w:rsidP="00736420">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We explore the current data that is available about discrimination in Chapter 3.</w:t>
      </w:r>
    </w:p>
  </w:footnote>
  <w:footnote w:id="24">
    <w:p w14:paraId="3EAFAC8E" w14:textId="77777777" w:rsidR="00736420" w:rsidRPr="008642D1" w:rsidRDefault="00736420" w:rsidP="00736420">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discussion, see Chapter 6.</w:t>
      </w:r>
    </w:p>
  </w:footnote>
  <w:footnote w:id="25">
    <w:p w14:paraId="747B9029" w14:textId="37A2B80A" w:rsidR="00736420" w:rsidRPr="008642D1" w:rsidRDefault="00736420" w:rsidP="00736420">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Especially Chapters 9–14.</w:t>
      </w:r>
    </w:p>
  </w:footnote>
  <w:footnote w:id="26">
    <w:p w14:paraId="43566729" w14:textId="77777777" w:rsidR="00736420" w:rsidRPr="008642D1" w:rsidRDefault="00736420" w:rsidP="00736420">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New Zealand Bill of Rights Act 1990, s 19.</w:t>
      </w:r>
    </w:p>
  </w:footnote>
  <w:footnote w:id="27">
    <w:p w14:paraId="64C069E2" w14:textId="7753EC1E" w:rsidR="00736420" w:rsidRPr="008642D1" w:rsidRDefault="00736420" w:rsidP="00736420">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Te Tāhū o te Ture | Ministry of Justice </w:t>
      </w:r>
      <w:r w:rsidRPr="008642D1">
        <w:rPr>
          <w:i/>
          <w:iCs/>
          <w:color w:val="262626" w:themeColor="text1" w:themeTint="D9"/>
        </w:rPr>
        <w:t xml:space="preserve">Discussion Paper: Re-evaluation of the Human Rights – Protections in New Zealand </w:t>
      </w:r>
      <w:r w:rsidRPr="008642D1">
        <w:rPr>
          <w:color w:val="262626" w:themeColor="text1" w:themeTint="D9"/>
        </w:rPr>
        <w:t>(October 2000) at [85] and recommendation iv, advising such a review should occur. A significant package of amendments in 2001 addressed the role of the</w:t>
      </w:r>
      <w:r w:rsidR="006C0289">
        <w:rPr>
          <w:color w:val="262626" w:themeColor="text1" w:themeTint="D9"/>
        </w:rPr>
        <w:t xml:space="preserve"> Human Rights </w:t>
      </w:r>
      <w:r w:rsidRPr="008642D1">
        <w:rPr>
          <w:color w:val="262626" w:themeColor="text1" w:themeTint="D9"/>
        </w:rPr>
        <w:t xml:space="preserve">Act </w:t>
      </w:r>
      <w:r w:rsidR="006C0289">
        <w:rPr>
          <w:color w:val="262626" w:themeColor="text1" w:themeTint="D9"/>
        </w:rPr>
        <w:t xml:space="preserve">1993 </w:t>
      </w:r>
      <w:r w:rsidRPr="008642D1">
        <w:rPr>
          <w:color w:val="262626" w:themeColor="text1" w:themeTint="D9"/>
        </w:rPr>
        <w:t>in regulating government agencies and functions and the role of monitoring and enforcement bodies but left large parts of the Act untouched: Human Rights Amendment Act 2001.</w:t>
      </w:r>
    </w:p>
  </w:footnote>
  <w:footnote w:id="28">
    <w:p w14:paraId="44AAE2B6" w14:textId="77777777" w:rsidR="00736420" w:rsidRPr="008642D1" w:rsidRDefault="00736420" w:rsidP="00736420">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We have since reissued amended terms of reference to reflect the request from the Minister responsible for the Law Commission that we withdraw issues relating to hate speech from our work programme.</w:t>
      </w:r>
    </w:p>
  </w:footnote>
  <w:footnote w:id="29">
    <w:p w14:paraId="6AC83143" w14:textId="77777777" w:rsidR="00736420" w:rsidRPr="008642D1" w:rsidRDefault="00736420" w:rsidP="00736420">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We discuss the steps we have taken to do this in Chapter 5.</w:t>
      </w:r>
    </w:p>
  </w:footnote>
  <w:footnote w:id="30">
    <w:p w14:paraId="1D16CCAE" w14:textId="77777777" w:rsidR="00736420" w:rsidRPr="008642D1" w:rsidRDefault="00736420" w:rsidP="00736420">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Law Commission Act 1985, s 5(1)(b). </w:t>
      </w:r>
    </w:p>
  </w:footnote>
  <w:footnote w:id="31">
    <w:p w14:paraId="761E62B8"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Te Tari Taiwhenua | Department of Internal Affairs </w:t>
      </w:r>
      <w:r w:rsidRPr="008642D1">
        <w:rPr>
          <w:i/>
          <w:iCs/>
          <w:color w:val="262626" w:themeColor="text1" w:themeTint="D9"/>
        </w:rPr>
        <w:t xml:space="preserve">Notification of birth for registration of child born in New Zealand </w:t>
      </w:r>
      <w:r w:rsidRPr="008642D1">
        <w:rPr>
          <w:color w:val="262626" w:themeColor="text1" w:themeTint="D9"/>
        </w:rPr>
        <w:t xml:space="preserve">(BDM27, 2 April 2024). </w:t>
      </w:r>
    </w:p>
  </w:footnote>
  <w:footnote w:id="32">
    <w:p w14:paraId="06BE1B4B"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Tatauranga Aotearoa | Stats NZ </w:t>
      </w:r>
      <w:r w:rsidRPr="008642D1">
        <w:rPr>
          <w:i/>
          <w:iCs/>
          <w:color w:val="262626" w:themeColor="text1" w:themeTint="D9"/>
        </w:rPr>
        <w:t xml:space="preserve">Data standard for gender, sex, and variations of sex characteristics </w:t>
      </w:r>
      <w:r w:rsidRPr="008642D1">
        <w:rPr>
          <w:color w:val="262626" w:themeColor="text1" w:themeTint="D9"/>
        </w:rPr>
        <w:t>(April 2021) at 17.</w:t>
      </w:r>
    </w:p>
  </w:footnote>
  <w:footnote w:id="33">
    <w:p w14:paraId="4629B5D5" w14:textId="1976A4DE"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w:t>
      </w:r>
      <w:r w:rsidRPr="008642D1" w:rsidDel="0011717F">
        <w:rPr>
          <w:color w:val="262626" w:themeColor="text1" w:themeTint="D9"/>
        </w:rPr>
        <w:t xml:space="preserve"> </w:t>
      </w:r>
      <w:r w:rsidR="0011717F">
        <w:rPr>
          <w:color w:val="262626" w:themeColor="text1" w:themeTint="D9"/>
        </w:rPr>
        <w:t>Theodore</w:t>
      </w:r>
      <w:r w:rsidR="0011717F" w:rsidRPr="008642D1">
        <w:rPr>
          <w:color w:val="262626" w:themeColor="text1" w:themeTint="D9"/>
        </w:rPr>
        <w:t xml:space="preserve"> </w:t>
      </w:r>
      <w:r w:rsidRPr="008642D1">
        <w:rPr>
          <w:color w:val="262626" w:themeColor="text1" w:themeTint="D9"/>
        </w:rPr>
        <w:t>Bennett “No Man’s Land: Non-Binary Sex Identification in Australian Law and Policy” (2014) 37 UNSWLJ 847 at 850.</w:t>
      </w:r>
    </w:p>
  </w:footnote>
  <w:footnote w:id="34">
    <w:p w14:paraId="49317EF3"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Anne Fausto-Sterling </w:t>
      </w:r>
      <w:r w:rsidRPr="008642D1">
        <w:rPr>
          <w:i/>
          <w:iCs/>
          <w:color w:val="262626" w:themeColor="text1" w:themeTint="D9"/>
        </w:rPr>
        <w:t xml:space="preserve">Sexing the Body: Gender Politics and the Construction of Sexuality </w:t>
      </w:r>
      <w:r w:rsidRPr="008642D1">
        <w:rPr>
          <w:color w:val="262626" w:themeColor="text1" w:themeTint="D9"/>
        </w:rPr>
        <w:t xml:space="preserve">(1st ed, Basic Books, New York, 2000) at 31–34; and Mara Viveros Vigoya “Sex/Gender” in Lisa Disch and Mary Hawkesworth (eds) </w:t>
      </w:r>
      <w:r w:rsidRPr="008642D1">
        <w:rPr>
          <w:i/>
          <w:iCs/>
          <w:color w:val="262626" w:themeColor="text1" w:themeTint="D9"/>
        </w:rPr>
        <w:t xml:space="preserve">The Oxford Handbook of Feminist Theory </w:t>
      </w:r>
      <w:r w:rsidRPr="008642D1">
        <w:rPr>
          <w:color w:val="262626" w:themeColor="text1" w:themeTint="D9"/>
        </w:rPr>
        <w:t>(Oxford University Press, 2015) 852 at 859–860.</w:t>
      </w:r>
    </w:p>
  </w:footnote>
  <w:footnote w:id="35">
    <w:p w14:paraId="0AE01090"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for example, Speak Up for Women “Terminology” &lt;</w:t>
      </w:r>
      <w:hyperlink r:id="rId3" w:history="1">
        <w:r w:rsidRPr="008642D1">
          <w:rPr>
            <w:rStyle w:val="Hyperlink"/>
            <w:color w:val="262626" w:themeColor="text1" w:themeTint="D9"/>
          </w:rPr>
          <w:t>www.speakupforwomen.nz</w:t>
        </w:r>
      </w:hyperlink>
      <w:r w:rsidRPr="008642D1">
        <w:rPr>
          <w:color w:val="262626" w:themeColor="text1" w:themeTint="D9"/>
        </w:rPr>
        <w:t>&gt;.</w:t>
      </w:r>
    </w:p>
  </w:footnote>
  <w:footnote w:id="36">
    <w:p w14:paraId="50E82773"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for example, Tatauranga Aotearoa | Stats NZ </w:t>
      </w:r>
      <w:r w:rsidRPr="008642D1">
        <w:rPr>
          <w:i/>
          <w:iCs/>
          <w:color w:val="262626" w:themeColor="text1" w:themeTint="D9"/>
        </w:rPr>
        <w:t xml:space="preserve">Data standard for gender, sex, and variations of sex characteristics </w:t>
      </w:r>
      <w:r w:rsidRPr="008642D1">
        <w:rPr>
          <w:color w:val="262626" w:themeColor="text1" w:themeTint="D9"/>
        </w:rPr>
        <w:t>(April 2021) at 12.</w:t>
      </w:r>
    </w:p>
  </w:footnote>
  <w:footnote w:id="37">
    <w:p w14:paraId="753E3706"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We discuss these genders further below.</w:t>
      </w:r>
    </w:p>
  </w:footnote>
  <w:footnote w:id="38">
    <w:p w14:paraId="6ED1CF9F"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for example, the definition used by the World Health Organization “Gender and health” &lt;</w:t>
      </w:r>
      <w:hyperlink r:id="rId4" w:anchor="tab=tab_1" w:history="1">
        <w:r w:rsidRPr="008642D1">
          <w:rPr>
            <w:rStyle w:val="Hyperlink"/>
            <w:color w:val="262626" w:themeColor="text1" w:themeTint="D9"/>
          </w:rPr>
          <w:t>www.who.int</w:t>
        </w:r>
      </w:hyperlink>
      <w:r w:rsidRPr="008642D1">
        <w:rPr>
          <w:color w:val="262626" w:themeColor="text1" w:themeTint="D9"/>
        </w:rPr>
        <w:t>&gt;.</w:t>
      </w:r>
    </w:p>
  </w:footnote>
  <w:footnote w:id="39">
    <w:p w14:paraId="0216FD14"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for example, </w:t>
      </w:r>
      <w:r w:rsidRPr="008642D1">
        <w:rPr>
          <w:color w:val="262626" w:themeColor="text1" w:themeTint="D9"/>
          <w:lang w:eastAsia="en-AU"/>
        </w:rPr>
        <w:t xml:space="preserve">Simone de Beauvoir </w:t>
      </w:r>
      <w:r w:rsidRPr="008642D1">
        <w:rPr>
          <w:i/>
          <w:iCs/>
          <w:color w:val="262626" w:themeColor="text1" w:themeTint="D9"/>
          <w:lang w:eastAsia="en-AU"/>
        </w:rPr>
        <w:t xml:space="preserve">The Second Sex </w:t>
      </w:r>
      <w:r w:rsidRPr="008642D1">
        <w:rPr>
          <w:color w:val="262626" w:themeColor="text1" w:themeTint="D9"/>
          <w:lang w:eastAsia="en-AU"/>
        </w:rPr>
        <w:t>(Jonathan Cape, London, 1993). This book was first published in 1949.</w:t>
      </w:r>
    </w:p>
  </w:footnote>
  <w:footnote w:id="40">
    <w:p w14:paraId="46F7948C"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w:t>
      </w:r>
      <w:r w:rsidRPr="008642D1">
        <w:rPr>
          <w:i/>
          <w:iCs/>
          <w:color w:val="262626" w:themeColor="text1" w:themeTint="D9"/>
        </w:rPr>
        <w:t xml:space="preserve"> The Yogyakarta Principles: Principles on the Application of International Human Rights Law in Relation to Sexual Orientation and Gender Identity</w:t>
      </w:r>
      <w:r w:rsidRPr="008642D1">
        <w:rPr>
          <w:color w:val="262626" w:themeColor="text1" w:themeTint="D9"/>
        </w:rPr>
        <w:t xml:space="preserve"> (March 2007) at 8.</w:t>
      </w:r>
    </w:p>
  </w:footnote>
  <w:footnote w:id="41">
    <w:p w14:paraId="230AA61D"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w:t>
      </w:r>
      <w:r w:rsidRPr="008642D1">
        <w:rPr>
          <w:i/>
          <w:color w:val="262626" w:themeColor="text1" w:themeTint="D9"/>
        </w:rPr>
        <w:t>The Yogyakarta Principles</w:t>
      </w:r>
      <w:r w:rsidRPr="008642D1">
        <w:rPr>
          <w:color w:val="262626" w:themeColor="text1" w:themeTint="D9"/>
        </w:rPr>
        <w:t xml:space="preserve"> </w:t>
      </w:r>
      <w:r w:rsidRPr="008642D1">
        <w:rPr>
          <w:i/>
          <w:color w:val="262626" w:themeColor="text1" w:themeTint="D9"/>
        </w:rPr>
        <w:t>plus 10</w:t>
      </w:r>
      <w:r w:rsidRPr="008642D1">
        <w:rPr>
          <w:color w:val="262626" w:themeColor="text1" w:themeTint="D9"/>
        </w:rPr>
        <w:t xml:space="preserve">: </w:t>
      </w:r>
      <w:r w:rsidRPr="008642D1">
        <w:rPr>
          <w:i/>
          <w:iCs/>
          <w:color w:val="262626" w:themeColor="text1" w:themeTint="D9"/>
        </w:rPr>
        <w:t>Additional Principles and State Obligations on the Application of International Human Rights Law in Relation to Sexual Orientation, Gender Identity, Gender Expression and Sex Characteristics to Complement the Yogyakarta Principles</w:t>
      </w:r>
      <w:r w:rsidRPr="008642D1">
        <w:rPr>
          <w:color w:val="262626" w:themeColor="text1" w:themeTint="D9"/>
        </w:rPr>
        <w:t xml:space="preserve"> (Geneva, 10 November 2017) at 6.</w:t>
      </w:r>
    </w:p>
  </w:footnote>
  <w:footnote w:id="42">
    <w:p w14:paraId="6A937C8D" w14:textId="77777777" w:rsidR="00EC204C" w:rsidRPr="008642D1" w:rsidDel="004F02F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w:t>
      </w:r>
      <w:r w:rsidRPr="008642D1">
        <w:rPr>
          <w:iCs/>
          <w:color w:val="262626" w:themeColor="text1" w:themeTint="D9"/>
        </w:rPr>
        <w:t>example,</w:t>
      </w:r>
      <w:r w:rsidRPr="008642D1" w:rsidDel="000F4A9B">
        <w:rPr>
          <w:i/>
          <w:color w:val="262626" w:themeColor="text1" w:themeTint="D9"/>
        </w:rPr>
        <w:t xml:space="preserve"> </w:t>
      </w:r>
      <w:r w:rsidRPr="008642D1">
        <w:rPr>
          <w:i/>
          <w:color w:val="262626" w:themeColor="text1" w:themeTint="D9"/>
        </w:rPr>
        <w:t>The Yogyakarta Principles plus 10: Additional Principles and State Obligations on the Application of International Human Rights Law in Relation to Sexual Orientation, Gender Identity, Gender Expression and Sex Characteristics to Complement the Yogyakarta Principles</w:t>
      </w:r>
      <w:r w:rsidRPr="008642D1">
        <w:rPr>
          <w:color w:val="262626" w:themeColor="text1" w:themeTint="D9"/>
        </w:rPr>
        <w:t xml:space="preserve"> (Geneva, 10 November 2017) at 6.</w:t>
      </w:r>
    </w:p>
  </w:footnote>
  <w:footnote w:id="43">
    <w:p w14:paraId="371E1B25"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Elisabeth McDonald “Discrimination and Trans People: The Abandoned Proposal to Amend the Human Rights Act 1993” (2005) 5 NZJPIL 301 at 304.</w:t>
      </w:r>
    </w:p>
  </w:footnote>
  <w:footnote w:id="44">
    <w:p w14:paraId="19041FD4"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Gender Minorities Aotearoa</w:t>
      </w:r>
      <w:r w:rsidRPr="008642D1">
        <w:rPr>
          <w:i/>
          <w:color w:val="262626" w:themeColor="text1" w:themeTint="D9"/>
        </w:rPr>
        <w:t xml:space="preserve"> Trans 101 Glossary: </w:t>
      </w:r>
      <w:r w:rsidRPr="008642D1">
        <w:rPr>
          <w:i/>
          <w:iCs/>
          <w:color w:val="262626" w:themeColor="text1" w:themeTint="D9"/>
        </w:rPr>
        <w:t>Transgender</w:t>
      </w:r>
      <w:r w:rsidRPr="008642D1">
        <w:rPr>
          <w:i/>
          <w:color w:val="262626" w:themeColor="text1" w:themeTint="D9"/>
        </w:rPr>
        <w:t xml:space="preserve"> terms and how to use them</w:t>
      </w:r>
      <w:r w:rsidRPr="008642D1">
        <w:rPr>
          <w:color w:val="262626" w:themeColor="text1" w:themeTint="D9"/>
        </w:rPr>
        <w:t xml:space="preserve"> (Wellington, 2023) at 4. We discuss some other objections to the concept of gender identity (coming from a gender-critical perspective) later in this chapter and in Chapter 7.</w:t>
      </w:r>
    </w:p>
  </w:footnote>
  <w:footnote w:id="45">
    <w:p w14:paraId="4E45C322" w14:textId="1D2B2118"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Dr Rogena Sterling argues that “[u]sing gender as a primary centre of analysis continues to erase being and personhood of intersex. Focusing on and centring gender disembodies intersex”: Rogena Sterling “Impact of ‘Gender Analysis’ as a Framework for Intersex” (2022) 19 Psychol Behav Sci Int J 556021 at 2.</w:t>
      </w:r>
    </w:p>
  </w:footnote>
  <w:footnote w:id="46">
    <w:p w14:paraId="655BD541"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w:t>
      </w:r>
      <w:r w:rsidRPr="008642D1">
        <w:rPr>
          <w:color w:val="262626" w:themeColor="text1" w:themeTint="D9"/>
          <w:szCs w:val="15"/>
          <w:shd w:val="clear" w:color="auto" w:fill="FFFFFF"/>
        </w:rPr>
        <w:t>Denise Steers “Gender mender, bender or defender: Understanding decision making in Aotearoa/New Zealand for people born with a variation in sex characteristics” (PhD thesis, Ōtākou Whakaihu Waka | University of Otago, 2019)</w:t>
      </w:r>
      <w:r w:rsidRPr="008642D1">
        <w:rPr>
          <w:rFonts w:ascii="Calibri" w:hAnsi="Calibri" w:cs="Calibri"/>
          <w:color w:val="262626" w:themeColor="text1" w:themeTint="D9"/>
          <w:szCs w:val="15"/>
          <w:shd w:val="clear" w:color="auto" w:fill="FFFFFF"/>
        </w:rPr>
        <w:t> </w:t>
      </w:r>
      <w:r w:rsidRPr="008642D1">
        <w:rPr>
          <w:color w:val="262626" w:themeColor="text1" w:themeTint="D9"/>
          <w:szCs w:val="15"/>
          <w:shd w:val="clear" w:color="auto" w:fill="FFFFFF"/>
        </w:rPr>
        <w:t>at 16–18.</w:t>
      </w:r>
    </w:p>
  </w:footnote>
  <w:footnote w:id="47">
    <w:p w14:paraId="0F10F9A8"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for example, Anne Fausto-Sterling </w:t>
      </w:r>
      <w:r w:rsidRPr="008642D1">
        <w:rPr>
          <w:i/>
          <w:iCs/>
          <w:color w:val="262626" w:themeColor="text1" w:themeTint="D9"/>
        </w:rPr>
        <w:t xml:space="preserve">Sexing the Body: Gender Politics and the Construction of Sexuality </w:t>
      </w:r>
      <w:r w:rsidRPr="008642D1">
        <w:rPr>
          <w:color w:val="262626" w:themeColor="text1" w:themeTint="D9"/>
        </w:rPr>
        <w:t>(1st ed, Basic Books, New York, 2000) at 101.</w:t>
      </w:r>
    </w:p>
  </w:footnote>
  <w:footnote w:id="48">
    <w:p w14:paraId="194649BF"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color w:val="262626" w:themeColor="text1" w:themeTint="D9"/>
          <w:szCs w:val="15"/>
          <w:shd w:val="clear" w:color="auto" w:fill="FFFFFF"/>
        </w:rPr>
        <w:t>Births, Deaths, Marriages, and Relationships Registration Act 2021, s</w:t>
      </w:r>
      <w:r w:rsidRPr="008642D1">
        <w:rPr>
          <w:rFonts w:ascii="Calibri" w:hAnsi="Calibri" w:cs="Calibri"/>
          <w:color w:val="262626" w:themeColor="text1" w:themeTint="D9"/>
          <w:szCs w:val="15"/>
          <w:shd w:val="clear" w:color="auto" w:fill="FFFFFF"/>
        </w:rPr>
        <w:t> </w:t>
      </w:r>
      <w:r w:rsidRPr="008642D1">
        <w:rPr>
          <w:color w:val="262626" w:themeColor="text1" w:themeTint="D9"/>
          <w:szCs w:val="15"/>
          <w:shd w:val="clear" w:color="auto" w:fill="FFFFFF"/>
        </w:rPr>
        <w:t xml:space="preserve">24(1)(a). At present, the only additional option specified in regulations is “non-binary”: </w:t>
      </w:r>
      <w:r w:rsidRPr="008642D1">
        <w:rPr>
          <w:color w:val="262626" w:themeColor="text1" w:themeTint="D9"/>
        </w:rPr>
        <w:t>Births, Deaths, Marriages, and Relationships Registration (Registering Nominated Sex) Regulations 2023, reg 5.</w:t>
      </w:r>
    </w:p>
  </w:footnote>
  <w:footnote w:id="49">
    <w:p w14:paraId="3887E234"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Human Rights Act 1993, s 67; and Maritime Security Act 2004, s 51(6)(b).</w:t>
      </w:r>
    </w:p>
  </w:footnote>
  <w:footnote w:id="50">
    <w:p w14:paraId="4FFDB91C"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for example, Jan Rivers and Jill Abigail “Sex, Gender and Women’s Rights” (2021) 17(4) Policy Quarterly 38 at 40.</w:t>
      </w:r>
    </w:p>
  </w:footnote>
  <w:footnote w:id="51">
    <w:p w14:paraId="53B3474E"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Tatauranga Aotearoa | Stats NZ </w:t>
      </w:r>
      <w:r w:rsidRPr="008642D1">
        <w:rPr>
          <w:i/>
          <w:iCs/>
          <w:color w:val="262626" w:themeColor="text1" w:themeTint="D9"/>
        </w:rPr>
        <w:t xml:space="preserve">Data standard for gender, sex, and variations of sex characteristics </w:t>
      </w:r>
      <w:r w:rsidRPr="008642D1">
        <w:rPr>
          <w:color w:val="262626" w:themeColor="text1" w:themeTint="D9"/>
        </w:rPr>
        <w:t>(April 2021) at 22; and Gender Minorities Aotearoa</w:t>
      </w:r>
      <w:r w:rsidRPr="008642D1">
        <w:rPr>
          <w:i/>
          <w:color w:val="262626" w:themeColor="text1" w:themeTint="D9"/>
        </w:rPr>
        <w:t xml:space="preserve"> Trans 101 Glossary: </w:t>
      </w:r>
      <w:r w:rsidRPr="008642D1">
        <w:rPr>
          <w:i/>
          <w:iCs/>
          <w:color w:val="262626" w:themeColor="text1" w:themeTint="D9"/>
        </w:rPr>
        <w:t>Transgender</w:t>
      </w:r>
      <w:r w:rsidRPr="008642D1">
        <w:rPr>
          <w:i/>
          <w:color w:val="262626" w:themeColor="text1" w:themeTint="D9"/>
        </w:rPr>
        <w:t xml:space="preserve"> terms and how to use them</w:t>
      </w:r>
      <w:r w:rsidRPr="008642D1">
        <w:rPr>
          <w:color w:val="262626" w:themeColor="text1" w:themeTint="D9"/>
        </w:rPr>
        <w:t xml:space="preserve"> (Wellington, 2023) at 8. </w:t>
      </w:r>
    </w:p>
  </w:footnote>
  <w:footnote w:id="52">
    <w:p w14:paraId="1FC356E7"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Tatauranga Aotearoa | Stats NZ </w:t>
      </w:r>
      <w:r w:rsidRPr="008642D1">
        <w:rPr>
          <w:i/>
          <w:iCs/>
          <w:color w:val="262626" w:themeColor="text1" w:themeTint="D9"/>
        </w:rPr>
        <w:t xml:space="preserve">Data standard for gender, sex, and variations of sex characteristics </w:t>
      </w:r>
      <w:r w:rsidRPr="008642D1">
        <w:rPr>
          <w:color w:val="262626" w:themeColor="text1" w:themeTint="D9"/>
        </w:rPr>
        <w:t>(April 2021) at 29.</w:t>
      </w:r>
    </w:p>
  </w:footnote>
  <w:footnote w:id="53">
    <w:p w14:paraId="23E98E0C" w14:textId="40F542D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 gender</w:t>
      </w:r>
      <w:r w:rsidR="00820E2F">
        <w:rPr>
          <w:color w:val="262626" w:themeColor="text1" w:themeTint="D9"/>
        </w:rPr>
        <w:t xml:space="preserve"> </w:t>
      </w:r>
      <w:r w:rsidRPr="008642D1">
        <w:rPr>
          <w:color w:val="262626" w:themeColor="text1" w:themeTint="D9"/>
        </w:rPr>
        <w:t>fluid identity can refer to a person whose gender changes over time. A bigender identity can refer to a person who has two different genders simultaneously: Gender Minorities Aotearoa</w:t>
      </w:r>
      <w:r w:rsidRPr="008642D1">
        <w:rPr>
          <w:i/>
          <w:color w:val="262626" w:themeColor="text1" w:themeTint="D9"/>
        </w:rPr>
        <w:t xml:space="preserve"> Trans 101 Glossary: </w:t>
      </w:r>
      <w:r w:rsidRPr="008642D1">
        <w:rPr>
          <w:i/>
          <w:iCs/>
          <w:color w:val="262626" w:themeColor="text1" w:themeTint="D9"/>
        </w:rPr>
        <w:t>Transgender</w:t>
      </w:r>
      <w:r w:rsidRPr="008642D1">
        <w:rPr>
          <w:i/>
          <w:color w:val="262626" w:themeColor="text1" w:themeTint="D9"/>
        </w:rPr>
        <w:t xml:space="preserve"> terms and how to use them</w:t>
      </w:r>
      <w:r w:rsidRPr="008642D1">
        <w:rPr>
          <w:color w:val="262626" w:themeColor="text1" w:themeTint="D9"/>
        </w:rPr>
        <w:t xml:space="preserve"> (Wellington, 2023) at 13.</w:t>
      </w:r>
    </w:p>
  </w:footnote>
  <w:footnote w:id="54">
    <w:p w14:paraId="51FB29B1"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Gender Minorities Aotearoa</w:t>
      </w:r>
      <w:r w:rsidRPr="008642D1">
        <w:rPr>
          <w:i/>
          <w:color w:val="262626" w:themeColor="text1" w:themeTint="D9"/>
        </w:rPr>
        <w:t xml:space="preserve"> Trans 101 Glossary: </w:t>
      </w:r>
      <w:r w:rsidRPr="008642D1">
        <w:rPr>
          <w:i/>
          <w:iCs/>
          <w:color w:val="262626" w:themeColor="text1" w:themeTint="D9"/>
        </w:rPr>
        <w:t>Transgender</w:t>
      </w:r>
      <w:r w:rsidRPr="008642D1">
        <w:rPr>
          <w:i/>
          <w:color w:val="262626" w:themeColor="text1" w:themeTint="D9"/>
        </w:rPr>
        <w:t xml:space="preserve"> terms and how to use them</w:t>
      </w:r>
      <w:r w:rsidRPr="008642D1">
        <w:rPr>
          <w:color w:val="262626" w:themeColor="text1" w:themeTint="D9"/>
        </w:rPr>
        <w:t xml:space="preserve"> (Wellington, 2023) at 8.</w:t>
      </w:r>
    </w:p>
  </w:footnote>
  <w:footnote w:id="55">
    <w:p w14:paraId="2B7B4225"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sidDel="00B5089D">
        <w:rPr>
          <w:color w:val="262626" w:themeColor="text1" w:themeTint="D9"/>
        </w:rPr>
        <w:t>Tatauranga Aotearoa | Stats NZ “</w:t>
      </w:r>
      <w:r w:rsidRPr="008642D1">
        <w:rPr>
          <w:color w:val="262626" w:themeColor="text1" w:themeTint="D9"/>
        </w:rPr>
        <w:t>LGBT+ population of Aotearoa: Year ended June 2021” (9 November 2022) &lt;</w:t>
      </w:r>
      <w:hyperlink r:id="rId5" w:history="1">
        <w:r w:rsidRPr="008642D1">
          <w:rPr>
            <w:rStyle w:val="Hyperlink"/>
            <w:color w:val="262626" w:themeColor="text1" w:themeTint="D9"/>
          </w:rPr>
          <w:t>www.stats.govt.nz</w:t>
        </w:r>
      </w:hyperlink>
      <w:r w:rsidRPr="008642D1">
        <w:rPr>
          <w:color w:val="262626" w:themeColor="text1" w:themeTint="D9"/>
        </w:rPr>
        <w:t xml:space="preserve">&gt;. </w:t>
      </w:r>
    </w:p>
  </w:footnote>
  <w:footnote w:id="56">
    <w:p w14:paraId="32A54CED"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color w:val="262626" w:themeColor="text1" w:themeTint="D9"/>
          <w:szCs w:val="15"/>
          <w:shd w:val="clear" w:color="auto" w:fill="FFFFFF"/>
        </w:rPr>
        <w:t>Transgender Health Research Lab</w:t>
      </w:r>
      <w:r w:rsidRPr="008642D1">
        <w:rPr>
          <w:i/>
          <w:color w:val="262626" w:themeColor="text1" w:themeTint="D9"/>
          <w:szCs w:val="15"/>
          <w:shd w:val="clear" w:color="auto" w:fill="FFFFFF"/>
        </w:rPr>
        <w:t xml:space="preserve"> Counting Ourselves: The health and wellbeing of trans and non-binary people in Aotearoa New Zealand</w:t>
      </w:r>
      <w:r w:rsidRPr="008642D1">
        <w:rPr>
          <w:rFonts w:ascii="Calibri" w:hAnsi="Calibri" w:cs="Calibri"/>
          <w:i/>
          <w:color w:val="262626" w:themeColor="text1" w:themeTint="D9"/>
          <w:szCs w:val="15"/>
          <w:shd w:val="clear" w:color="auto" w:fill="FFFFFF"/>
        </w:rPr>
        <w:t> </w:t>
      </w:r>
      <w:r w:rsidRPr="008642D1">
        <w:rPr>
          <w:color w:val="262626" w:themeColor="text1" w:themeTint="D9"/>
          <w:szCs w:val="15"/>
          <w:shd w:val="clear" w:color="auto" w:fill="FFFFFF"/>
        </w:rPr>
        <w:t>(Te Whare Wānanga o Waikato | University of Waikato, 2019)</w:t>
      </w:r>
      <w:r w:rsidRPr="008642D1">
        <w:rPr>
          <w:rFonts w:ascii="Calibri" w:hAnsi="Calibri" w:cs="Calibri"/>
          <w:color w:val="262626" w:themeColor="text1" w:themeTint="D9"/>
          <w:szCs w:val="15"/>
          <w:shd w:val="clear" w:color="auto" w:fill="FFFFFF"/>
        </w:rPr>
        <w:t> </w:t>
      </w:r>
      <w:r w:rsidRPr="008642D1">
        <w:rPr>
          <w:color w:val="262626" w:themeColor="text1" w:themeTint="D9"/>
          <w:szCs w:val="15"/>
          <w:shd w:val="clear" w:color="auto" w:fill="FFFFFF"/>
        </w:rPr>
        <w:t>at 7.</w:t>
      </w:r>
    </w:p>
  </w:footnote>
  <w:footnote w:id="57">
    <w:p w14:paraId="0A84DE84"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Gender Minorities Aotearoa</w:t>
      </w:r>
      <w:r w:rsidRPr="008642D1">
        <w:rPr>
          <w:i/>
          <w:color w:val="262626" w:themeColor="text1" w:themeTint="D9"/>
        </w:rPr>
        <w:t xml:space="preserve"> Trans 101 Glossary: </w:t>
      </w:r>
      <w:r w:rsidRPr="008642D1">
        <w:rPr>
          <w:i/>
          <w:iCs/>
          <w:color w:val="262626" w:themeColor="text1" w:themeTint="D9"/>
        </w:rPr>
        <w:t>Transgender</w:t>
      </w:r>
      <w:r w:rsidRPr="008642D1">
        <w:rPr>
          <w:i/>
          <w:color w:val="262626" w:themeColor="text1" w:themeTint="D9"/>
        </w:rPr>
        <w:t xml:space="preserve"> terms and how to use them</w:t>
      </w:r>
      <w:r w:rsidRPr="008642D1">
        <w:rPr>
          <w:color w:val="262626" w:themeColor="text1" w:themeTint="D9"/>
        </w:rPr>
        <w:t xml:space="preserve"> (Wellington, 2023) at 4. </w:t>
      </w:r>
    </w:p>
  </w:footnote>
  <w:footnote w:id="58">
    <w:p w14:paraId="26592D32" w14:textId="77777777" w:rsidR="00EC204C" w:rsidRPr="008642D1" w:rsidRDefault="00EC204C" w:rsidP="00EC204C">
      <w:pPr>
        <w:pStyle w:val="FootnoteText"/>
        <w:rPr>
          <w:b/>
          <w:bCs/>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Ngahuia Te Awekotuku “He Reka Anō – same-sex lust and loving in the ancient Māori world” in Alison J Laurie and Linda Evans (eds) </w:t>
      </w:r>
      <w:r w:rsidRPr="008642D1">
        <w:rPr>
          <w:i/>
          <w:iCs/>
          <w:color w:val="262626" w:themeColor="text1" w:themeTint="D9"/>
        </w:rPr>
        <w:t>Outlines: Lesbian &amp; Gay Histories of Aotearoa</w:t>
      </w:r>
      <w:r w:rsidRPr="008642D1">
        <w:rPr>
          <w:color w:val="262626" w:themeColor="text1" w:themeTint="D9"/>
        </w:rPr>
        <w:t xml:space="preserve"> (Lesbian &amp; Gay Archives of New Zealand, Wellington, 2005) 6 </w:t>
      </w:r>
      <w:r w:rsidRPr="008642D1">
        <w:rPr>
          <w:color w:val="262626" w:themeColor="text1" w:themeTint="D9"/>
          <w:lang w:val="mi-NZ" w:eastAsia="en-AU"/>
        </w:rPr>
        <w:t xml:space="preserve">at 8; and Te Aka Māori Dictionary (online ed) </w:t>
      </w:r>
      <w:r w:rsidRPr="008642D1">
        <w:rPr>
          <w:color w:val="262626" w:themeColor="text1" w:themeTint="D9"/>
        </w:rPr>
        <w:t>&lt;</w:t>
      </w:r>
      <w:hyperlink r:id="rId6" w:history="1">
        <w:r w:rsidRPr="008642D1">
          <w:rPr>
            <w:rStyle w:val="Hyperlink"/>
            <w:color w:val="262626" w:themeColor="text1" w:themeTint="D9"/>
          </w:rPr>
          <w:t>maoridictionary.co.nz</w:t>
        </w:r>
      </w:hyperlink>
      <w:r w:rsidRPr="008642D1">
        <w:rPr>
          <w:color w:val="262626" w:themeColor="text1" w:themeTint="D9"/>
        </w:rPr>
        <w:t>&gt;</w:t>
      </w:r>
      <w:r w:rsidRPr="008642D1">
        <w:rPr>
          <w:color w:val="262626" w:themeColor="text1" w:themeTint="D9"/>
          <w:lang w:val="mi-NZ" w:eastAsia="en-AU"/>
        </w:rPr>
        <w:t xml:space="preserve">. </w:t>
      </w:r>
    </w:p>
  </w:footnote>
  <w:footnote w:id="59">
    <w:p w14:paraId="46279654"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Elizabeth Kerekere “Part of The Whānau: The Emergence of Takatāpui Identity – </w:t>
      </w:r>
      <w:r w:rsidRPr="008642D1">
        <w:rPr>
          <w:i/>
          <w:iCs/>
          <w:color w:val="262626" w:themeColor="text1" w:themeTint="D9"/>
        </w:rPr>
        <w:t>He Whāriki Takatāpui</w:t>
      </w:r>
      <w:r w:rsidRPr="008642D1">
        <w:rPr>
          <w:color w:val="262626" w:themeColor="text1" w:themeTint="D9"/>
        </w:rPr>
        <w:t>” (PhD thesis, Te Herenga Waka | Victoria University of Wellington, 2017) at 25.</w:t>
      </w:r>
    </w:p>
  </w:footnote>
  <w:footnote w:id="60">
    <w:p w14:paraId="77BEF312" w14:textId="731A188E"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Except where specifically noted, the sources we rely on for this list are: Gender Minorities Aotearoa</w:t>
      </w:r>
      <w:r w:rsidRPr="008642D1">
        <w:rPr>
          <w:i/>
          <w:color w:val="262626" w:themeColor="text1" w:themeTint="D9"/>
        </w:rPr>
        <w:t xml:space="preserve"> Trans 101</w:t>
      </w:r>
      <w:r w:rsidRPr="008642D1">
        <w:rPr>
          <w:i/>
          <w:iCs/>
          <w:color w:val="262626" w:themeColor="text1" w:themeTint="D9"/>
        </w:rPr>
        <w:t xml:space="preserve"> Glossary: Transgender terms</w:t>
      </w:r>
      <w:r w:rsidRPr="008642D1">
        <w:rPr>
          <w:i/>
          <w:color w:val="262626" w:themeColor="text1" w:themeTint="D9"/>
        </w:rPr>
        <w:t xml:space="preserve"> and how to use them</w:t>
      </w:r>
      <w:r w:rsidRPr="008642D1">
        <w:rPr>
          <w:color w:val="262626" w:themeColor="text1" w:themeTint="D9"/>
        </w:rPr>
        <w:t xml:space="preserve"> (Wellington, 2023)</w:t>
      </w:r>
      <w:r w:rsidRPr="00BD13C5">
        <w:rPr>
          <w:rStyle w:val="Hyperlink"/>
          <w:color w:val="262626" w:themeColor="text1" w:themeTint="D9"/>
          <w:u w:val="none"/>
        </w:rPr>
        <w:t>;</w:t>
      </w:r>
      <w:r w:rsidRPr="008642D1">
        <w:rPr>
          <w:color w:val="262626" w:themeColor="text1" w:themeTint="D9"/>
        </w:rPr>
        <w:t xml:space="preserve"> and Te Aka Māori Dictionary (online ed) &lt;</w:t>
      </w:r>
      <w:hyperlink r:id="rId7" w:history="1">
        <w:r w:rsidRPr="008642D1">
          <w:rPr>
            <w:rStyle w:val="Hyperlink"/>
            <w:color w:val="262626" w:themeColor="text1" w:themeTint="D9"/>
          </w:rPr>
          <w:t>maoridictionary.co.nz</w:t>
        </w:r>
      </w:hyperlink>
      <w:r w:rsidRPr="008642D1">
        <w:rPr>
          <w:color w:val="262626" w:themeColor="text1" w:themeTint="D9"/>
        </w:rPr>
        <w:t>&gt;. Where these terms incorporate the kupu ira, some people use ia instead. Ia is used in Te Aka Māori Dictionary.</w:t>
      </w:r>
    </w:p>
  </w:footnote>
  <w:footnote w:id="61">
    <w:p w14:paraId="73800295"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The latter comes from Paraone Gloyne and others “Te Kōkōmuka: Sexuality and gender expressions in Te Ao Māori” (25 November 2020) YouTube &lt;</w:t>
      </w:r>
      <w:hyperlink r:id="rId8" w:history="1">
        <w:r w:rsidRPr="008642D1">
          <w:rPr>
            <w:rStyle w:val="Hyperlink"/>
            <w:color w:val="262626" w:themeColor="text1" w:themeTint="D9"/>
          </w:rPr>
          <w:t>youtube.com</w:t>
        </w:r>
      </w:hyperlink>
      <w:r w:rsidRPr="008642D1">
        <w:rPr>
          <w:color w:val="262626" w:themeColor="text1" w:themeTint="D9"/>
        </w:rPr>
        <w:t>&gt;</w:t>
      </w:r>
      <w:r w:rsidRPr="008642D1">
        <w:rPr>
          <w:i/>
          <w:iCs/>
          <w:color w:val="262626" w:themeColor="text1" w:themeTint="D9"/>
        </w:rPr>
        <w:t xml:space="preserve"> </w:t>
      </w:r>
      <w:r w:rsidRPr="008642D1">
        <w:rPr>
          <w:color w:val="262626" w:themeColor="text1" w:themeTint="D9"/>
        </w:rPr>
        <w:t>at 48 min 20 sec.</w:t>
      </w:r>
    </w:p>
  </w:footnote>
  <w:footnote w:id="62">
    <w:p w14:paraId="10EFF083"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Former Human Rights Commissioner Merimeri Penfold used this as a Māori translation of “Transgender Inquiry” in Te Kāhui Tika Tangata | Human Rights Commission </w:t>
      </w:r>
      <w:r w:rsidRPr="008642D1">
        <w:rPr>
          <w:i/>
          <w:iCs/>
          <w:color w:val="262626" w:themeColor="text1" w:themeTint="D9"/>
        </w:rPr>
        <w:t xml:space="preserve">To Be Who I Am: Report of the Inquiry into Discrimination Experienced by Transgender People </w:t>
      </w:r>
      <w:r w:rsidRPr="008642D1">
        <w:rPr>
          <w:color w:val="262626" w:themeColor="text1" w:themeTint="D9"/>
        </w:rPr>
        <w:t xml:space="preserve">| </w:t>
      </w:r>
      <w:r w:rsidRPr="008642D1">
        <w:rPr>
          <w:i/>
          <w:iCs/>
          <w:color w:val="262626" w:themeColor="text1" w:themeTint="D9"/>
        </w:rPr>
        <w:t xml:space="preserve">Kia noho au ki tōku anō ao: He Pūrongo mō te Uiuitanga mō Aukatitanga e Pāngia ana e ngā Tāngata Whakawhitiira </w:t>
      </w:r>
      <w:r w:rsidRPr="008642D1">
        <w:rPr>
          <w:color w:val="262626" w:themeColor="text1" w:themeTint="D9"/>
        </w:rPr>
        <w:t>(2008) at [1.26].</w:t>
      </w:r>
    </w:p>
  </w:footnote>
  <w:footnote w:id="63">
    <w:p w14:paraId="5FEA9819"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Gloria Fraser </w:t>
      </w:r>
      <w:r w:rsidRPr="008642D1">
        <w:rPr>
          <w:i/>
          <w:iCs/>
          <w:color w:val="262626" w:themeColor="text1" w:themeTint="D9"/>
        </w:rPr>
        <w:t>Te Tautoko I Te Hunga Āniwaniwa o Aotearoa: He Puka Whaitake mā Ngā Mātanga Hauora Hinengaro</w:t>
      </w:r>
      <w:r w:rsidRPr="008642D1">
        <w:rPr>
          <w:color w:val="262626" w:themeColor="text1" w:themeTint="D9"/>
        </w:rPr>
        <w:t xml:space="preserve"> (Youth Wellbeing Study and RainbowYOUTH, Wellington, 2019) at 3.</w:t>
      </w:r>
    </w:p>
  </w:footnote>
  <w:footnote w:id="64">
    <w:p w14:paraId="45D9CE00" w14:textId="5F70722F" w:rsidR="00EC204C" w:rsidRPr="00EF433C" w:rsidRDefault="00EC204C" w:rsidP="00EC204C">
      <w:pPr>
        <w:pStyle w:val="FootnoteText"/>
        <w:rPr>
          <w:color w:val="262626" w:themeColor="text1" w:themeTint="D9"/>
          <w:szCs w:val="15"/>
        </w:rPr>
      </w:pPr>
      <w:r w:rsidRPr="008642D1">
        <w:rPr>
          <w:rStyle w:val="FootnoteReference"/>
        </w:rPr>
        <w:footnoteRef/>
      </w:r>
      <w:r w:rsidRPr="008642D1">
        <w:rPr>
          <w:color w:val="262626" w:themeColor="text1" w:themeTint="D9"/>
        </w:rPr>
        <w:t xml:space="preserve"> </w:t>
      </w:r>
      <w:r w:rsidRPr="008642D1">
        <w:rPr>
          <w:color w:val="262626" w:themeColor="text1" w:themeTint="D9"/>
        </w:rPr>
        <w:tab/>
        <w:t>National Library of Medicine “DSM-5 Criteria for Gender Dysphoria” &lt;</w:t>
      </w:r>
      <w:hyperlink r:id="rId9" w:history="1">
        <w:r w:rsidRPr="008642D1">
          <w:rPr>
            <w:rStyle w:val="Hyperlink"/>
            <w:color w:val="262626" w:themeColor="text1" w:themeTint="D9"/>
          </w:rPr>
          <w:t>www.ncbi.nlm.nih.gov</w:t>
        </w:r>
      </w:hyperlink>
      <w:r w:rsidRPr="008642D1">
        <w:rPr>
          <w:color w:val="262626" w:themeColor="text1" w:themeTint="D9"/>
          <w:szCs w:val="15"/>
        </w:rPr>
        <w:t>&gt;; and World Health Organi</w:t>
      </w:r>
      <w:r w:rsidR="00A40960">
        <w:rPr>
          <w:color w:val="262626" w:themeColor="text1" w:themeTint="D9"/>
          <w:szCs w:val="15"/>
        </w:rPr>
        <w:t>z</w:t>
      </w:r>
      <w:r w:rsidRPr="008642D1">
        <w:rPr>
          <w:color w:val="262626" w:themeColor="text1" w:themeTint="D9"/>
          <w:szCs w:val="15"/>
        </w:rPr>
        <w:t>ation “ICD-11 for Mortality and Morbidity Statistics”</w:t>
      </w:r>
      <w:r w:rsidRPr="008642D1">
        <w:rPr>
          <w:i/>
          <w:iCs/>
          <w:color w:val="262626" w:themeColor="text1" w:themeTint="D9"/>
          <w:szCs w:val="15"/>
        </w:rPr>
        <w:t xml:space="preserve"> </w:t>
      </w:r>
      <w:r w:rsidRPr="008642D1">
        <w:rPr>
          <w:color w:val="262626" w:themeColor="text1" w:themeTint="D9"/>
          <w:szCs w:val="15"/>
        </w:rPr>
        <w:t>(2019) &lt;</w:t>
      </w:r>
      <w:hyperlink r:id="rId10" w:anchor="411470068" w:history="1">
        <w:r w:rsidRPr="008642D1">
          <w:rPr>
            <w:rStyle w:val="Hyperlink"/>
            <w:color w:val="262626" w:themeColor="text1" w:themeTint="D9"/>
          </w:rPr>
          <w:t>icd.who.int</w:t>
        </w:r>
      </w:hyperlink>
      <w:r w:rsidRPr="00EF433C">
        <w:rPr>
          <w:rStyle w:val="Hyperlink"/>
          <w:color w:val="262626" w:themeColor="text1" w:themeTint="D9"/>
          <w:szCs w:val="15"/>
          <w:u w:val="none"/>
        </w:rPr>
        <w:t>&gt; at 17 (gender incongruence).</w:t>
      </w:r>
    </w:p>
  </w:footnote>
  <w:footnote w:id="65">
    <w:p w14:paraId="4FC0A473"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American Psychiatric Association “Gender Dysphoria Diagnosis” (November 2017) &lt;</w:t>
      </w:r>
      <w:hyperlink r:id="rId11" w:history="1">
        <w:r w:rsidRPr="008642D1">
          <w:rPr>
            <w:rStyle w:val="Hyperlink"/>
            <w:color w:val="262626" w:themeColor="text1" w:themeTint="D9"/>
          </w:rPr>
          <w:t>www.psychiatry.org</w:t>
        </w:r>
      </w:hyperlink>
      <w:r w:rsidRPr="008642D1">
        <w:rPr>
          <w:color w:val="262626" w:themeColor="text1" w:themeTint="D9"/>
        </w:rPr>
        <w:t>&gt;.</w:t>
      </w:r>
    </w:p>
  </w:footnote>
  <w:footnote w:id="66">
    <w:p w14:paraId="2C71B070" w14:textId="74D0FE69"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We note the term gender incongruence is used by the World Health Organi</w:t>
      </w:r>
      <w:r w:rsidR="00A40960">
        <w:rPr>
          <w:color w:val="262626" w:themeColor="text1" w:themeTint="D9"/>
        </w:rPr>
        <w:t>z</w:t>
      </w:r>
      <w:r w:rsidRPr="008642D1">
        <w:rPr>
          <w:color w:val="262626" w:themeColor="text1" w:themeTint="D9"/>
        </w:rPr>
        <w:t xml:space="preserve">ation.  </w:t>
      </w:r>
    </w:p>
  </w:footnote>
  <w:footnote w:id="67">
    <w:p w14:paraId="208A784E"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Cross Agency Rainbow Network </w:t>
      </w:r>
      <w:r w:rsidRPr="008642D1">
        <w:rPr>
          <w:i/>
          <w:iCs/>
          <w:color w:val="262626" w:themeColor="text1" w:themeTint="D9"/>
        </w:rPr>
        <w:t xml:space="preserve">Transitioning and Gender Affirmation in the New Zealand Public Service </w:t>
      </w:r>
      <w:r w:rsidRPr="008642D1">
        <w:rPr>
          <w:color w:val="262626" w:themeColor="text1" w:themeTint="D9"/>
        </w:rPr>
        <w:t>|</w:t>
      </w:r>
      <w:r w:rsidRPr="008642D1">
        <w:rPr>
          <w:i/>
          <w:iCs/>
          <w:color w:val="262626" w:themeColor="text1" w:themeTint="D9"/>
        </w:rPr>
        <w:t xml:space="preserve"> Te Tauwhiro Ira Tangata i roto i te Ratonga Tūmatanui o Aotearoa </w:t>
      </w:r>
      <w:r w:rsidRPr="008642D1">
        <w:rPr>
          <w:color w:val="262626" w:themeColor="text1" w:themeTint="D9"/>
        </w:rPr>
        <w:t>(June 2023) &lt;</w:t>
      </w:r>
      <w:hyperlink r:id="rId12" w:history="1">
        <w:r w:rsidRPr="008642D1">
          <w:rPr>
            <w:rStyle w:val="Hyperlink"/>
            <w:color w:val="262626" w:themeColor="text1" w:themeTint="D9"/>
          </w:rPr>
          <w:t>www.publicservice.govt.nz</w:t>
        </w:r>
      </w:hyperlink>
      <w:r w:rsidRPr="008642D1">
        <w:rPr>
          <w:color w:val="262626" w:themeColor="text1" w:themeTint="D9"/>
        </w:rPr>
        <w:t>&gt; at 8–9.</w:t>
      </w:r>
    </w:p>
  </w:footnote>
  <w:footnote w:id="68">
    <w:p w14:paraId="7B3603FA" w14:textId="77777777" w:rsidR="00EC204C" w:rsidRPr="008642D1" w:rsidDel="009D35B9"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color w:val="262626" w:themeColor="text1" w:themeTint="D9"/>
          <w:szCs w:val="15"/>
          <w:shd w:val="clear" w:color="auto" w:fill="FFFFFF"/>
        </w:rPr>
        <w:t>Gender Minorities Aotearoa</w:t>
      </w:r>
      <w:r w:rsidRPr="008642D1">
        <w:rPr>
          <w:i/>
          <w:color w:val="262626" w:themeColor="text1" w:themeTint="D9"/>
          <w:szCs w:val="15"/>
          <w:shd w:val="clear" w:color="auto" w:fill="FFFFFF"/>
        </w:rPr>
        <w:t xml:space="preserve"> Trans 101 Glossary: Transgender terms and how to use them</w:t>
      </w:r>
      <w:r w:rsidRPr="008642D1">
        <w:rPr>
          <w:color w:val="262626" w:themeColor="text1" w:themeTint="D9"/>
          <w:szCs w:val="15"/>
          <w:shd w:val="clear" w:color="auto" w:fill="FFFFFF"/>
        </w:rPr>
        <w:t xml:space="preserve"> (Wellington, 2023) </w:t>
      </w:r>
      <w:r w:rsidRPr="008642D1">
        <w:rPr>
          <w:color w:val="262626" w:themeColor="text1" w:themeTint="D9"/>
        </w:rPr>
        <w:t>at 4.</w:t>
      </w:r>
    </w:p>
  </w:footnote>
  <w:footnote w:id="69">
    <w:p w14:paraId="62437E23"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Intersex Aotearoa “All About Intersex”</w:t>
      </w:r>
      <w:r w:rsidRPr="008642D1">
        <w:rPr>
          <w:i/>
          <w:iCs/>
          <w:color w:val="262626" w:themeColor="text1" w:themeTint="D9"/>
        </w:rPr>
        <w:t xml:space="preserve"> </w:t>
      </w:r>
      <w:r w:rsidRPr="008642D1">
        <w:rPr>
          <w:color w:val="262626" w:themeColor="text1" w:themeTint="D9"/>
        </w:rPr>
        <w:t>&lt;</w:t>
      </w:r>
      <w:hyperlink r:id="rId13" w:history="1">
        <w:r w:rsidRPr="008642D1">
          <w:rPr>
            <w:rStyle w:val="Hyperlink"/>
            <w:color w:val="262626" w:themeColor="text1" w:themeTint="D9"/>
          </w:rPr>
          <w:t>www.intersexaotearoa.org</w:t>
        </w:r>
      </w:hyperlink>
      <w:r w:rsidRPr="008642D1">
        <w:rPr>
          <w:color w:val="262626" w:themeColor="text1" w:themeTint="D9"/>
        </w:rPr>
        <w:t>&gt;.</w:t>
      </w:r>
    </w:p>
  </w:footnote>
  <w:footnote w:id="70">
    <w:p w14:paraId="524AE958"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InterACT </w:t>
      </w:r>
      <w:r w:rsidRPr="008642D1">
        <w:rPr>
          <w:i/>
          <w:iCs/>
          <w:color w:val="262626" w:themeColor="text1" w:themeTint="D9"/>
        </w:rPr>
        <w:t>Intersex Variations Glossary</w:t>
      </w:r>
      <w:r w:rsidRPr="008642D1">
        <w:rPr>
          <w:color w:val="262626" w:themeColor="text1" w:themeTint="D9"/>
        </w:rPr>
        <w:t xml:space="preserve">: </w:t>
      </w:r>
      <w:r w:rsidRPr="008642D1">
        <w:rPr>
          <w:i/>
          <w:color w:val="262626" w:themeColor="text1" w:themeTint="D9"/>
        </w:rPr>
        <w:t>People-centered definitions of intersex traits &amp; variations in sex characteristics</w:t>
      </w:r>
      <w:r w:rsidRPr="008642D1">
        <w:rPr>
          <w:color w:val="262626" w:themeColor="text1" w:themeTint="D9"/>
        </w:rPr>
        <w:t xml:space="preserve"> &lt;</w:t>
      </w:r>
      <w:hyperlink r:id="rId14" w:history="1">
        <w:r w:rsidRPr="008642D1">
          <w:rPr>
            <w:rStyle w:val="Hyperlink"/>
            <w:color w:val="262626" w:themeColor="text1" w:themeTint="D9"/>
          </w:rPr>
          <w:t>interactadvocates.org</w:t>
        </w:r>
      </w:hyperlink>
      <w:r w:rsidRPr="008642D1">
        <w:rPr>
          <w:color w:val="262626" w:themeColor="text1" w:themeTint="D9"/>
        </w:rPr>
        <w:t>&gt; at 3.</w:t>
      </w:r>
    </w:p>
  </w:footnote>
  <w:footnote w:id="71">
    <w:p w14:paraId="1EE6ACA3"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Tiffany Jones and others </w:t>
      </w:r>
      <w:r w:rsidRPr="008642D1">
        <w:rPr>
          <w:i/>
          <w:iCs/>
          <w:color w:val="262626" w:themeColor="text1" w:themeTint="D9"/>
        </w:rPr>
        <w:t>Intersex: Stories and Statistics from Australia</w:t>
      </w:r>
      <w:r w:rsidRPr="008642D1">
        <w:rPr>
          <w:color w:val="262626" w:themeColor="text1" w:themeTint="D9"/>
        </w:rPr>
        <w:t xml:space="preserve"> (Open Book Publishers, Cambridge, 2016) at 13–14; and InterACT </w:t>
      </w:r>
      <w:r w:rsidRPr="008642D1">
        <w:rPr>
          <w:i/>
          <w:iCs/>
          <w:color w:val="262626" w:themeColor="text1" w:themeTint="D9"/>
        </w:rPr>
        <w:t>Intersex Variations Glossary</w:t>
      </w:r>
      <w:r w:rsidRPr="008642D1">
        <w:rPr>
          <w:color w:val="262626" w:themeColor="text1" w:themeTint="D9"/>
        </w:rPr>
        <w:t xml:space="preserve">: </w:t>
      </w:r>
      <w:r w:rsidRPr="008642D1">
        <w:rPr>
          <w:i/>
          <w:color w:val="262626" w:themeColor="text1" w:themeTint="D9"/>
        </w:rPr>
        <w:t>People-centered definitions of intersex traits &amp; variations in sex characteristics</w:t>
      </w:r>
      <w:r w:rsidRPr="008642D1">
        <w:rPr>
          <w:color w:val="262626" w:themeColor="text1" w:themeTint="D9"/>
        </w:rPr>
        <w:t xml:space="preserve"> &lt;</w:t>
      </w:r>
      <w:hyperlink r:id="rId15" w:history="1">
        <w:r w:rsidRPr="008642D1">
          <w:rPr>
            <w:rStyle w:val="Hyperlink"/>
            <w:color w:val="262626" w:themeColor="text1" w:themeTint="D9"/>
          </w:rPr>
          <w:t>interactadvocates.org</w:t>
        </w:r>
      </w:hyperlink>
      <w:r w:rsidRPr="008642D1">
        <w:rPr>
          <w:color w:val="262626" w:themeColor="text1" w:themeTint="D9"/>
        </w:rPr>
        <w:t>&gt;.</w:t>
      </w:r>
    </w:p>
  </w:footnote>
  <w:footnote w:id="72">
    <w:p w14:paraId="1279B0A0"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Starship “Differences of sex development – Atawhai Taihemahema” (9 October 2020) &lt;</w:t>
      </w:r>
      <w:hyperlink r:id="rId16" w:history="1">
        <w:r w:rsidRPr="008642D1">
          <w:rPr>
            <w:rStyle w:val="Hyperlink"/>
            <w:color w:val="262626" w:themeColor="text1" w:themeTint="D9"/>
          </w:rPr>
          <w:t>starship.org.nz</w:t>
        </w:r>
      </w:hyperlink>
      <w:r w:rsidRPr="00102474">
        <w:rPr>
          <w:rStyle w:val="Hyperlink"/>
          <w:color w:val="262626" w:themeColor="text1" w:themeTint="D9"/>
          <w:u w:val="none"/>
        </w:rPr>
        <w:t>&gt;.</w:t>
      </w:r>
    </w:p>
  </w:footnote>
  <w:footnote w:id="73">
    <w:p w14:paraId="6179A192"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Rodolfo A Rey and Nathalie Josso “Diagnoses and Treatment of Disorders of Sexual Development” in J Larry Jameson and others (eds) </w:t>
      </w:r>
      <w:r w:rsidRPr="008642D1">
        <w:rPr>
          <w:i/>
          <w:iCs/>
          <w:color w:val="262626" w:themeColor="text1" w:themeTint="D9"/>
        </w:rPr>
        <w:t xml:space="preserve">Endocrinology: Adult and Pediatric </w:t>
      </w:r>
      <w:r w:rsidRPr="008642D1">
        <w:rPr>
          <w:color w:val="262626" w:themeColor="text1" w:themeTint="D9"/>
        </w:rPr>
        <w:t>(7th ed, Elsevier Saunders, Philadelphia, 2016) vol 2 at</w:t>
      </w:r>
      <w:r w:rsidRPr="008642D1">
        <w:rPr>
          <w:i/>
          <w:iCs/>
          <w:color w:val="262626" w:themeColor="text1" w:themeTint="D9"/>
        </w:rPr>
        <w:t xml:space="preserve"> </w:t>
      </w:r>
      <w:r w:rsidRPr="008642D1">
        <w:rPr>
          <w:color w:val="262626" w:themeColor="text1" w:themeTint="D9"/>
        </w:rPr>
        <w:t>2088–2118.</w:t>
      </w:r>
    </w:p>
  </w:footnote>
  <w:footnote w:id="74">
    <w:p w14:paraId="123847C4"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Starship “Differences of sex development – Atawhai Taihemahema” (9 October 2020) &lt;</w:t>
      </w:r>
      <w:hyperlink r:id="rId17" w:history="1">
        <w:r w:rsidRPr="008642D1">
          <w:rPr>
            <w:rStyle w:val="Hyperlink"/>
            <w:color w:val="262626" w:themeColor="text1" w:themeTint="D9"/>
          </w:rPr>
          <w:t>www.starship.org.nz</w:t>
        </w:r>
      </w:hyperlink>
      <w:r w:rsidRPr="00102474">
        <w:rPr>
          <w:rStyle w:val="Hyperlink"/>
          <w:color w:val="262626" w:themeColor="text1" w:themeTint="D9"/>
          <w:u w:val="none"/>
        </w:rPr>
        <w:t xml:space="preserve">&gt;. </w:t>
      </w:r>
    </w:p>
  </w:footnote>
  <w:footnote w:id="75">
    <w:p w14:paraId="1425E8FF"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a classification of differences of sex development, see Martine Cools and others</w:t>
      </w:r>
      <w:r w:rsidRPr="008642D1" w:rsidDel="00BC6FA4">
        <w:rPr>
          <w:color w:val="262626" w:themeColor="text1" w:themeTint="D9"/>
        </w:rPr>
        <w:t xml:space="preserve"> </w:t>
      </w:r>
      <w:r w:rsidRPr="008642D1">
        <w:rPr>
          <w:color w:val="262626" w:themeColor="text1" w:themeTint="D9"/>
        </w:rPr>
        <w:t>“Caring for individuals with a difference of sex development (DSD): a Consensus Statement”</w:t>
      </w:r>
      <w:r w:rsidRPr="008642D1">
        <w:rPr>
          <w:i/>
          <w:iCs/>
          <w:color w:val="262626" w:themeColor="text1" w:themeTint="D9"/>
        </w:rPr>
        <w:t xml:space="preserve"> </w:t>
      </w:r>
      <w:r w:rsidRPr="008642D1">
        <w:rPr>
          <w:color w:val="262626" w:themeColor="text1" w:themeTint="D9"/>
        </w:rPr>
        <w:t>(2018) 14 Nature Reviews</w:t>
      </w:r>
      <w:r w:rsidRPr="008642D1" w:rsidDel="00B879C5">
        <w:rPr>
          <w:color w:val="262626" w:themeColor="text1" w:themeTint="D9"/>
        </w:rPr>
        <w:t xml:space="preserve"> </w:t>
      </w:r>
      <w:r w:rsidRPr="008642D1">
        <w:rPr>
          <w:color w:val="262626" w:themeColor="text1" w:themeTint="D9"/>
        </w:rPr>
        <w:t>Endocrinology 415 at 417.</w:t>
      </w:r>
    </w:p>
  </w:footnote>
  <w:footnote w:id="76">
    <w:p w14:paraId="0D683A5C"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Denise Steers “Gender mender, bender or defender: Understanding decision making in Aotearoa/New Zealand for people born with a variation in sex characteristics” (PhD thesis, Ōtākou Whakaihu Waka | University of Otago, 2019)</w:t>
      </w:r>
      <w:r w:rsidRPr="008642D1">
        <w:rPr>
          <w:rFonts w:ascii="Calibri" w:hAnsi="Calibri" w:cs="Calibri"/>
          <w:color w:val="262626" w:themeColor="text1" w:themeTint="D9"/>
        </w:rPr>
        <w:t> </w:t>
      </w:r>
      <w:r w:rsidRPr="008642D1">
        <w:rPr>
          <w:color w:val="262626" w:themeColor="text1" w:themeTint="D9"/>
        </w:rPr>
        <w:t>at 69.</w:t>
      </w:r>
    </w:p>
  </w:footnote>
  <w:footnote w:id="77">
    <w:p w14:paraId="729385FA"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Starship “Differences of sex development – Atawhai Taihemahema” (9 October 2020) &lt;</w:t>
      </w:r>
      <w:hyperlink r:id="rId18" w:history="1">
        <w:r w:rsidRPr="008642D1">
          <w:rPr>
            <w:rStyle w:val="Hyperlink"/>
            <w:color w:val="262626" w:themeColor="text1" w:themeTint="D9"/>
          </w:rPr>
          <w:t>www.starship.org.nz</w:t>
        </w:r>
      </w:hyperlink>
      <w:r w:rsidRPr="00C94F44">
        <w:rPr>
          <w:rStyle w:val="Hyperlink"/>
          <w:color w:val="262626" w:themeColor="text1" w:themeTint="D9"/>
          <w:u w:val="none"/>
        </w:rPr>
        <w:t xml:space="preserve">&gt;. </w:t>
      </w:r>
    </w:p>
  </w:footnote>
  <w:footnote w:id="78">
    <w:p w14:paraId="2087CE9E"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Intersex Human Rights Australia</w:t>
      </w:r>
      <w:r w:rsidRPr="008642D1">
        <w:rPr>
          <w:rFonts w:ascii="Calibri" w:hAnsi="Calibri" w:cs="Calibri"/>
          <w:color w:val="262626" w:themeColor="text1" w:themeTint="D9"/>
        </w:rPr>
        <w:t> </w:t>
      </w:r>
      <w:r w:rsidRPr="008642D1">
        <w:rPr>
          <w:color w:val="262626" w:themeColor="text1" w:themeTint="D9"/>
        </w:rPr>
        <w:t>“Intersex population figures</w:t>
      </w:r>
      <w:r w:rsidRPr="008642D1">
        <w:rPr>
          <w:rFonts w:cs="Calibri"/>
          <w:color w:val="262626" w:themeColor="text1" w:themeTint="D9"/>
        </w:rPr>
        <w:t>” (16 September 2019)</w:t>
      </w:r>
      <w:r w:rsidRPr="008642D1">
        <w:rPr>
          <w:rFonts w:ascii="Calibri" w:hAnsi="Calibri" w:cs="Calibri"/>
          <w:color w:val="262626" w:themeColor="text1" w:themeTint="D9"/>
        </w:rPr>
        <w:t xml:space="preserve"> </w:t>
      </w:r>
      <w:r w:rsidRPr="008642D1">
        <w:rPr>
          <w:color w:val="262626" w:themeColor="text1" w:themeTint="D9"/>
        </w:rPr>
        <w:t>&lt;</w:t>
      </w:r>
      <w:hyperlink r:id="rId19" w:tgtFrame="_blank" w:history="1">
        <w:r w:rsidRPr="008642D1">
          <w:rPr>
            <w:rStyle w:val="Hyperlink"/>
            <w:color w:val="262626" w:themeColor="text1" w:themeTint="D9"/>
          </w:rPr>
          <w:t>ihra.org.au</w:t>
        </w:r>
      </w:hyperlink>
      <w:r w:rsidRPr="008642D1">
        <w:rPr>
          <w:color w:val="262626" w:themeColor="text1" w:themeTint="D9"/>
        </w:rPr>
        <w:t>&gt;.</w:t>
      </w:r>
    </w:p>
  </w:footnote>
  <w:footnote w:id="79">
    <w:p w14:paraId="150E548C" w14:textId="0B6B9D1F"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w:t>
      </w:r>
      <w:r w:rsidRPr="008642D1">
        <w:rPr>
          <w:color w:val="262626" w:themeColor="text1" w:themeTint="D9"/>
          <w:szCs w:val="15"/>
          <w:shd w:val="clear" w:color="auto" w:fill="FFFFFF"/>
        </w:rPr>
        <w:t>Melanie</w:t>
      </w:r>
      <w:r w:rsidRPr="008642D1">
        <w:rPr>
          <w:rFonts w:ascii="Calibri" w:hAnsi="Calibri" w:cs="Calibri"/>
          <w:color w:val="262626" w:themeColor="text1" w:themeTint="D9"/>
          <w:szCs w:val="15"/>
          <w:shd w:val="clear" w:color="auto" w:fill="FFFFFF"/>
        </w:rPr>
        <w:t> </w:t>
      </w:r>
      <w:r w:rsidRPr="008642D1">
        <w:rPr>
          <w:color w:val="262626" w:themeColor="text1" w:themeTint="D9"/>
          <w:szCs w:val="15"/>
          <w:shd w:val="clear" w:color="auto" w:fill="FFFFFF"/>
        </w:rPr>
        <w:t>Blackless</w:t>
      </w:r>
      <w:r w:rsidRPr="008642D1">
        <w:rPr>
          <w:rFonts w:ascii="Calibri" w:hAnsi="Calibri" w:cs="Calibri"/>
          <w:color w:val="262626" w:themeColor="text1" w:themeTint="D9"/>
          <w:szCs w:val="15"/>
          <w:shd w:val="clear" w:color="auto" w:fill="FFFFFF"/>
        </w:rPr>
        <w:t> </w:t>
      </w:r>
      <w:r w:rsidRPr="008642D1">
        <w:rPr>
          <w:color w:val="262626" w:themeColor="text1" w:themeTint="D9"/>
          <w:szCs w:val="15"/>
          <w:shd w:val="clear" w:color="auto" w:fill="FFFFFF"/>
        </w:rPr>
        <w:t xml:space="preserve">and others </w:t>
      </w:r>
      <w:r w:rsidRPr="008642D1">
        <w:rPr>
          <w:rFonts w:cs="Metropolis Light"/>
          <w:color w:val="262626" w:themeColor="text1" w:themeTint="D9"/>
          <w:szCs w:val="15"/>
          <w:shd w:val="clear" w:color="auto" w:fill="FFFFFF"/>
        </w:rPr>
        <w:t>“</w:t>
      </w:r>
      <w:r w:rsidRPr="008642D1">
        <w:rPr>
          <w:color w:val="262626" w:themeColor="text1" w:themeTint="D9"/>
          <w:szCs w:val="15"/>
          <w:shd w:val="clear" w:color="auto" w:fill="FFFFFF"/>
        </w:rPr>
        <w:t>How sexually dimorphic are we? Review and synthesis</w:t>
      </w:r>
      <w:r w:rsidRPr="008642D1">
        <w:rPr>
          <w:rFonts w:cs="Metropolis Light"/>
          <w:color w:val="262626" w:themeColor="text1" w:themeTint="D9"/>
          <w:szCs w:val="15"/>
          <w:shd w:val="clear" w:color="auto" w:fill="FFFFFF"/>
        </w:rPr>
        <w:t>”</w:t>
      </w:r>
      <w:r w:rsidRPr="008642D1">
        <w:rPr>
          <w:color w:val="262626" w:themeColor="text1" w:themeTint="D9"/>
          <w:szCs w:val="15"/>
          <w:shd w:val="clear" w:color="auto" w:fill="FFFFFF"/>
        </w:rPr>
        <w:t xml:space="preserve"> (2000) 12 Am J Hum Biol 151 at 151 and 161.</w:t>
      </w:r>
    </w:p>
  </w:footnote>
  <w:footnote w:id="80">
    <w:p w14:paraId="61CE4DD5"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Intersex Human Rights Australia</w:t>
      </w:r>
      <w:r w:rsidRPr="008642D1">
        <w:rPr>
          <w:rFonts w:ascii="Calibri" w:hAnsi="Calibri" w:cs="Calibri"/>
          <w:color w:val="262626" w:themeColor="text1" w:themeTint="D9"/>
        </w:rPr>
        <w:t> </w:t>
      </w:r>
      <w:r w:rsidRPr="008642D1">
        <w:rPr>
          <w:color w:val="262626" w:themeColor="text1" w:themeTint="D9"/>
        </w:rPr>
        <w:t>“Intersex population figures”</w:t>
      </w:r>
      <w:r w:rsidRPr="008642D1">
        <w:rPr>
          <w:rFonts w:ascii="Calibri" w:hAnsi="Calibri" w:cs="Calibri"/>
          <w:color w:val="262626" w:themeColor="text1" w:themeTint="D9"/>
        </w:rPr>
        <w:t> </w:t>
      </w:r>
      <w:r w:rsidRPr="008642D1">
        <w:rPr>
          <w:rFonts w:cs="Calibri"/>
          <w:color w:val="262626" w:themeColor="text1" w:themeTint="D9"/>
        </w:rPr>
        <w:t>(16 September 2019)</w:t>
      </w:r>
      <w:r w:rsidRPr="008642D1">
        <w:rPr>
          <w:rFonts w:ascii="Calibri" w:hAnsi="Calibri" w:cs="Calibri"/>
          <w:color w:val="262626" w:themeColor="text1" w:themeTint="D9"/>
        </w:rPr>
        <w:t xml:space="preserve"> </w:t>
      </w:r>
      <w:r w:rsidRPr="008642D1">
        <w:rPr>
          <w:color w:val="262626" w:themeColor="text1" w:themeTint="D9"/>
        </w:rPr>
        <w:t>&lt;</w:t>
      </w:r>
      <w:hyperlink r:id="rId20" w:tgtFrame="_blank" w:history="1">
        <w:r w:rsidRPr="008642D1">
          <w:rPr>
            <w:rStyle w:val="Hyperlink"/>
            <w:color w:val="262626" w:themeColor="text1" w:themeTint="D9"/>
          </w:rPr>
          <w:t>ihra.org.au</w:t>
        </w:r>
      </w:hyperlink>
      <w:r w:rsidRPr="008642D1">
        <w:rPr>
          <w:color w:val="262626" w:themeColor="text1" w:themeTint="D9"/>
        </w:rPr>
        <w:t>&gt;.</w:t>
      </w:r>
    </w:p>
  </w:footnote>
  <w:footnote w:id="81">
    <w:p w14:paraId="428CCF74"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Tiffany Jones and others </w:t>
      </w:r>
      <w:r w:rsidRPr="008642D1">
        <w:rPr>
          <w:i/>
          <w:iCs/>
          <w:color w:val="262626" w:themeColor="text1" w:themeTint="D9"/>
        </w:rPr>
        <w:t xml:space="preserve">Intersex: Stories and Statistics from Australia </w:t>
      </w:r>
      <w:r w:rsidRPr="008642D1">
        <w:rPr>
          <w:color w:val="262626" w:themeColor="text1" w:themeTint="D9"/>
        </w:rPr>
        <w:t>(Open Book Publishers, Cambridge, 2016) at 76 and 172.</w:t>
      </w:r>
    </w:p>
  </w:footnote>
  <w:footnote w:id="82">
    <w:p w14:paraId="2EFF5E46" w14:textId="1F5497C6" w:rsidR="00EC204C" w:rsidRPr="008642D1" w:rsidDel="006B0590"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sidDel="00991A37">
        <w:rPr>
          <w:color w:val="262626" w:themeColor="text1" w:themeTint="D9"/>
        </w:rPr>
        <w:t xml:space="preserve">See Tiffany Jones and others </w:t>
      </w:r>
      <w:r w:rsidRPr="008642D1" w:rsidDel="00991A37">
        <w:rPr>
          <w:i/>
          <w:iCs/>
          <w:color w:val="262626" w:themeColor="text1" w:themeTint="D9"/>
        </w:rPr>
        <w:t xml:space="preserve">Intersex: Stories and Statistics from Australia </w:t>
      </w:r>
      <w:r w:rsidRPr="008642D1" w:rsidDel="00991A37">
        <w:rPr>
          <w:color w:val="262626" w:themeColor="text1" w:themeTint="D9"/>
        </w:rPr>
        <w:t>(Open Book Publishers, Cambridge, 2016) a</w:t>
      </w:r>
      <w:r w:rsidRPr="008642D1">
        <w:rPr>
          <w:color w:val="262626" w:themeColor="text1" w:themeTint="D9"/>
        </w:rPr>
        <w:t>t 74.</w:t>
      </w:r>
    </w:p>
  </w:footnote>
  <w:footnote w:id="83">
    <w:p w14:paraId="15D061B3"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for example, this list of intersex support and advocacy groups worldwide: InterAct “Intersex Support and Advocacy Groups” (7 November 2022) &lt;</w:t>
      </w:r>
      <w:hyperlink r:id="rId21" w:history="1">
        <w:r w:rsidRPr="008642D1">
          <w:rPr>
            <w:rStyle w:val="Hyperlink"/>
            <w:color w:val="262626" w:themeColor="text1" w:themeTint="D9"/>
          </w:rPr>
          <w:t>www.interactadvocates.org</w:t>
        </w:r>
      </w:hyperlink>
      <w:r w:rsidRPr="008642D1">
        <w:rPr>
          <w:color w:val="262626" w:themeColor="text1" w:themeTint="D9"/>
        </w:rPr>
        <w:t>&gt;.</w:t>
      </w:r>
    </w:p>
  </w:footnote>
  <w:footnote w:id="84">
    <w:p w14:paraId="7640C154"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Elena Bennecke and others “Disorders or Differences of Sex Development? Views of Affected Individuals on DSD Terminology” (2020) 58 The Journal of Sex Research 522 at 528.  </w:t>
      </w:r>
    </w:p>
  </w:footnote>
  <w:footnote w:id="85">
    <w:p w14:paraId="2D45A149"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Tiffany Jones and others </w:t>
      </w:r>
      <w:r w:rsidRPr="008642D1">
        <w:rPr>
          <w:i/>
          <w:iCs/>
          <w:color w:val="262626" w:themeColor="text1" w:themeTint="D9"/>
        </w:rPr>
        <w:t>Intersex: Stories and Statistics from Australia</w:t>
      </w:r>
      <w:r w:rsidRPr="008642D1">
        <w:rPr>
          <w:color w:val="262626" w:themeColor="text1" w:themeTint="D9"/>
        </w:rPr>
        <w:t xml:space="preserve"> (Open Book Publishers, Cambridge, 2016) at 96–97.</w:t>
      </w:r>
    </w:p>
  </w:footnote>
  <w:footnote w:id="86">
    <w:p w14:paraId="63494B67"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The latter comes from Intersex Aotearoa “All About Intersex” &lt;</w:t>
      </w:r>
      <w:hyperlink r:id="rId22" w:history="1">
        <w:r w:rsidRPr="008642D1">
          <w:rPr>
            <w:rStyle w:val="Hyperlink"/>
            <w:color w:val="262626" w:themeColor="text1" w:themeTint="D9"/>
          </w:rPr>
          <w:t>www.intersexaotearoa.org</w:t>
        </w:r>
      </w:hyperlink>
      <w:r w:rsidRPr="008642D1">
        <w:rPr>
          <w:color w:val="262626" w:themeColor="text1" w:themeTint="D9"/>
        </w:rPr>
        <w:t>&gt;.</w:t>
      </w:r>
    </w:p>
  </w:footnote>
  <w:footnote w:id="87">
    <w:p w14:paraId="0DDE9F1D"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The latter was developed by former Human Rights Commissioner Merimeri Penfold in 2007 for the Transgender Inquiry: Te Kāhui Tika Tangata | Human Rights Commission </w:t>
      </w:r>
      <w:r w:rsidRPr="008642D1">
        <w:rPr>
          <w:i/>
          <w:iCs/>
          <w:color w:val="262626" w:themeColor="text1" w:themeTint="D9"/>
        </w:rPr>
        <w:t xml:space="preserve">To Be Who I Am: Report of the Inquiry into Discrimination Experienced by Transgender People </w:t>
      </w:r>
      <w:r w:rsidRPr="008642D1">
        <w:rPr>
          <w:color w:val="262626" w:themeColor="text1" w:themeTint="D9"/>
        </w:rPr>
        <w:t>|</w:t>
      </w:r>
      <w:r w:rsidRPr="008642D1">
        <w:rPr>
          <w:i/>
          <w:iCs/>
          <w:color w:val="262626" w:themeColor="text1" w:themeTint="D9"/>
        </w:rPr>
        <w:t xml:space="preserve"> Kia noho au ki tōku anō ao: He Pūrongo mō te Uiuitanga mō Aukatitanga e Pāngia ana e ngā Tāngata Whakawhitiira </w:t>
      </w:r>
      <w:r w:rsidRPr="008642D1">
        <w:rPr>
          <w:color w:val="262626" w:themeColor="text1" w:themeTint="D9"/>
        </w:rPr>
        <w:t>(2008) at 7. See Gender Minorities Aotearoa</w:t>
      </w:r>
      <w:r w:rsidRPr="008642D1">
        <w:rPr>
          <w:i/>
          <w:color w:val="262626" w:themeColor="text1" w:themeTint="D9"/>
        </w:rPr>
        <w:t xml:space="preserve"> Trans 101</w:t>
      </w:r>
      <w:r w:rsidRPr="008642D1">
        <w:rPr>
          <w:i/>
          <w:iCs/>
          <w:color w:val="262626" w:themeColor="text1" w:themeTint="D9"/>
        </w:rPr>
        <w:t xml:space="preserve"> Glossary: Transgender terms</w:t>
      </w:r>
      <w:r w:rsidRPr="008642D1">
        <w:rPr>
          <w:i/>
          <w:color w:val="262626" w:themeColor="text1" w:themeTint="D9"/>
        </w:rPr>
        <w:t xml:space="preserve"> and how to use them</w:t>
      </w:r>
      <w:r w:rsidRPr="008642D1">
        <w:rPr>
          <w:color w:val="262626" w:themeColor="text1" w:themeTint="D9"/>
        </w:rPr>
        <w:t xml:space="preserve"> (Wellington, 2023) for the other terms in this list.</w:t>
      </w:r>
    </w:p>
  </w:footnote>
  <w:footnote w:id="88">
    <w:p w14:paraId="308AD635"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Starship “Differences of sex development – Atawhai Taihemahema” (9 October 2020) &lt;</w:t>
      </w:r>
      <w:hyperlink r:id="rId23" w:history="1">
        <w:r w:rsidRPr="008642D1">
          <w:rPr>
            <w:rStyle w:val="Hyperlink"/>
            <w:color w:val="262626" w:themeColor="text1" w:themeTint="D9"/>
          </w:rPr>
          <w:t>www.starship.org.nz</w:t>
        </w:r>
      </w:hyperlink>
      <w:r w:rsidRPr="00EE6AF9">
        <w:rPr>
          <w:rStyle w:val="Hyperlink"/>
          <w:color w:val="262626" w:themeColor="text1" w:themeTint="D9"/>
          <w:u w:val="none"/>
        </w:rPr>
        <w:t>&gt;.</w:t>
      </w:r>
    </w:p>
  </w:footnote>
  <w:footnote w:id="89">
    <w:p w14:paraId="59486B58"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Tiffany Jones and others </w:t>
      </w:r>
      <w:r w:rsidRPr="008642D1">
        <w:rPr>
          <w:i/>
          <w:color w:val="262626" w:themeColor="text1" w:themeTint="D9"/>
        </w:rPr>
        <w:t>Intersex: Stories and Statistics from Australia</w:t>
      </w:r>
      <w:r w:rsidRPr="008642D1">
        <w:rPr>
          <w:color w:val="262626" w:themeColor="text1" w:themeTint="D9"/>
        </w:rPr>
        <w:t xml:space="preserve"> (Open Book Publishers, Cambridge, 2016) at 95.</w:t>
      </w:r>
    </w:p>
  </w:footnote>
  <w:footnote w:id="90">
    <w:p w14:paraId="4A4B02BC"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Elizabeth Reis “Divergence or Disorder? The politics of naming intersex” (2007) 50 Perspectives in Biology and Medicine 535 at 536–537; and Intersex Human Rights Australia “Intersex for allies” (7 March 2021) &lt;</w:t>
      </w:r>
      <w:hyperlink r:id="rId24" w:history="1">
        <w:r w:rsidRPr="008642D1">
          <w:rPr>
            <w:rStyle w:val="Hyperlink"/>
            <w:color w:val="262626" w:themeColor="text1" w:themeTint="D9"/>
          </w:rPr>
          <w:t>www.ihra.org.au</w:t>
        </w:r>
      </w:hyperlink>
      <w:r w:rsidRPr="008642D1">
        <w:rPr>
          <w:color w:val="262626" w:themeColor="text1" w:themeTint="D9"/>
        </w:rPr>
        <w:t>&gt;.</w:t>
      </w:r>
    </w:p>
  </w:footnote>
  <w:footnote w:id="91">
    <w:p w14:paraId="3AB4B220" w14:textId="7D09C92C"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Surya Monro and others “Intersex: cultural and social perspectives” (2021) 23 Culture, Health </w:t>
      </w:r>
      <w:r w:rsidR="0015722C">
        <w:rPr>
          <w:color w:val="262626" w:themeColor="text1" w:themeTint="D9"/>
        </w:rPr>
        <w:t>&amp;</w:t>
      </w:r>
      <w:r w:rsidR="0015722C" w:rsidRPr="008642D1">
        <w:rPr>
          <w:color w:val="262626" w:themeColor="text1" w:themeTint="D9"/>
        </w:rPr>
        <w:t xml:space="preserve"> </w:t>
      </w:r>
      <w:r w:rsidRPr="008642D1">
        <w:rPr>
          <w:color w:val="262626" w:themeColor="text1" w:themeTint="D9"/>
        </w:rPr>
        <w:t>Sexuality 431 at 437.</w:t>
      </w:r>
    </w:p>
  </w:footnote>
  <w:footnote w:id="92">
    <w:p w14:paraId="41224892" w14:textId="6C399DC8"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Ben Vincent and Ana Manzano “History and Cultural Diversity” in Christina Richards, Walter Pierre Bouman and Meg-John Barker (eds) </w:t>
      </w:r>
      <w:r w:rsidRPr="008642D1">
        <w:rPr>
          <w:i/>
          <w:iCs/>
          <w:color w:val="262626" w:themeColor="text1" w:themeTint="D9"/>
        </w:rPr>
        <w:t>Genderqueer and Non-Binary Genders</w:t>
      </w:r>
      <w:r w:rsidRPr="008642D1">
        <w:rPr>
          <w:color w:val="262626" w:themeColor="text1" w:themeTint="D9"/>
        </w:rPr>
        <w:t xml:space="preserve"> (Palgrave Macmillan, London, 2017) 11; and Geir Henning Presterudstuen “Understanding Sexual and Gender Diversity in the Pacific Islands” in Jioji Ravulo, Tracie Mafile</w:t>
      </w:r>
      <w:r w:rsidR="00DF2988">
        <w:rPr>
          <w:color w:val="262626" w:themeColor="text1" w:themeTint="D9"/>
        </w:rPr>
        <w:t>’</w:t>
      </w:r>
      <w:r w:rsidRPr="008642D1">
        <w:rPr>
          <w:color w:val="262626" w:themeColor="text1" w:themeTint="D9"/>
        </w:rPr>
        <w:t xml:space="preserve">o and Donald Bruce Yeates (eds) </w:t>
      </w:r>
      <w:r w:rsidRPr="008642D1">
        <w:rPr>
          <w:i/>
          <w:iCs/>
          <w:color w:val="262626" w:themeColor="text1" w:themeTint="D9"/>
        </w:rPr>
        <w:t>Pacific Social Work: Navigating Practice, Policy and Research</w:t>
      </w:r>
      <w:r w:rsidRPr="008642D1">
        <w:rPr>
          <w:color w:val="262626" w:themeColor="text1" w:themeTint="D9"/>
        </w:rPr>
        <w:t xml:space="preserve"> (1st ed, Routledge, London, 2019) 161 at 162.</w:t>
      </w:r>
    </w:p>
  </w:footnote>
  <w:footnote w:id="93">
    <w:p w14:paraId="5B46E5CD" w14:textId="5A646F3D"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Phylesha Brown-Acton “Movement building for change” (speech to Asia Pacific Outgames, third plenary session, Wellington, 18 March 2011). The acronym was developed as a Pasifika alternative to LGBTQI+</w:t>
      </w:r>
      <w:r w:rsidR="00DF2988">
        <w:rPr>
          <w:color w:val="262626" w:themeColor="text1" w:themeTint="D9"/>
        </w:rPr>
        <w:t>,</w:t>
      </w:r>
      <w:r w:rsidRPr="008642D1">
        <w:rPr>
          <w:color w:val="262626" w:themeColor="text1" w:themeTint="D9"/>
        </w:rPr>
        <w:t xml:space="preserve"> which stands for lesbian, gay, bisexual, transgender, queer or questioning, intersex and others (denoted by the +).</w:t>
      </w:r>
    </w:p>
  </w:footnote>
  <w:footnote w:id="94">
    <w:p w14:paraId="49EABE5E" w14:textId="2E348B55"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Patrick Thomsen and others </w:t>
      </w:r>
      <w:r w:rsidRPr="008642D1">
        <w:rPr>
          <w:i/>
          <w:iCs/>
          <w:color w:val="262626" w:themeColor="text1" w:themeTint="D9"/>
        </w:rPr>
        <w:t xml:space="preserve">The Manalagi Survey Community Report: Examining the Health and Wellbeing of Pacific Rainbow+ Peoples in Aotearoa-New Zealand </w:t>
      </w:r>
      <w:r w:rsidRPr="008642D1">
        <w:rPr>
          <w:color w:val="262626" w:themeColor="text1" w:themeTint="D9"/>
        </w:rPr>
        <w:t>(2023) at 13, 15 and 25. We understand that some of these terms may carry derogatory connotations, although in some cases</w:t>
      </w:r>
      <w:r w:rsidR="00DF2988">
        <w:rPr>
          <w:color w:val="262626" w:themeColor="text1" w:themeTint="D9"/>
        </w:rPr>
        <w:t>,</w:t>
      </w:r>
      <w:r w:rsidRPr="008642D1">
        <w:rPr>
          <w:color w:val="262626" w:themeColor="text1" w:themeTint="D9"/>
        </w:rPr>
        <w:t xml:space="preserve"> </w:t>
      </w:r>
      <w:r w:rsidR="00DF2988">
        <w:rPr>
          <w:color w:val="262626" w:themeColor="text1" w:themeTint="D9"/>
        </w:rPr>
        <w:t xml:space="preserve">they </w:t>
      </w:r>
      <w:r w:rsidRPr="008642D1">
        <w:rPr>
          <w:color w:val="262626" w:themeColor="text1" w:themeTint="D9"/>
        </w:rPr>
        <w:t>may have been reclaimed by communities.</w:t>
      </w:r>
    </w:p>
  </w:footnote>
  <w:footnote w:id="95">
    <w:p w14:paraId="4D95EE45"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Sharyn Graham Davies </w:t>
      </w:r>
      <w:r w:rsidRPr="008642D1">
        <w:rPr>
          <w:i/>
          <w:iCs/>
          <w:color w:val="262626" w:themeColor="text1" w:themeTint="D9"/>
        </w:rPr>
        <w:t>Gender Diversity in Indonesia: Sexuality, Islam and Queer Selves</w:t>
      </w:r>
      <w:r w:rsidRPr="008642D1">
        <w:rPr>
          <w:color w:val="262626" w:themeColor="text1" w:themeTint="D9"/>
        </w:rPr>
        <w:t xml:space="preserve"> (Routledge, Milton Park (UK), 2010).</w:t>
      </w:r>
    </w:p>
  </w:footnote>
  <w:footnote w:id="96">
    <w:p w14:paraId="0BE2A9E8" w14:textId="77777777" w:rsidR="00EC204C" w:rsidRPr="008642D1" w:rsidRDefault="00EC204C" w:rsidP="00EC204C">
      <w:pPr>
        <w:pStyle w:val="FootnoteText"/>
        <w:rPr>
          <w:color w:val="262626" w:themeColor="text1" w:themeTint="D9"/>
        </w:rPr>
      </w:pPr>
      <w:r w:rsidRPr="008642D1">
        <w:rPr>
          <w:rStyle w:val="FootnoteReference"/>
          <w:rFonts w:eastAsiaTheme="majorEastAsia"/>
        </w:rPr>
        <w:footnoteRef/>
      </w:r>
      <w:r w:rsidRPr="008642D1">
        <w:rPr>
          <w:color w:val="262626" w:themeColor="text1" w:themeTint="D9"/>
        </w:rPr>
        <w:t xml:space="preserve"> </w:t>
      </w:r>
      <w:r w:rsidRPr="008642D1">
        <w:rPr>
          <w:color w:val="262626" w:themeColor="text1" w:themeTint="D9"/>
        </w:rPr>
        <w:tab/>
        <w:t xml:space="preserve">See Lopamundra Sengupta </w:t>
      </w:r>
      <w:r w:rsidRPr="008642D1">
        <w:rPr>
          <w:i/>
          <w:iCs/>
          <w:color w:val="262626" w:themeColor="text1" w:themeTint="D9"/>
        </w:rPr>
        <w:t>Human Rights of the Third Gender in India: Beyond the Binary</w:t>
      </w:r>
      <w:r w:rsidRPr="008642D1">
        <w:rPr>
          <w:color w:val="262626" w:themeColor="text1" w:themeTint="D9"/>
        </w:rPr>
        <w:t xml:space="preserve"> (Routledge, Milton Park (UK), 2023) at 2–4.</w:t>
      </w:r>
    </w:p>
  </w:footnote>
  <w:footnote w:id="97">
    <w:p w14:paraId="119CDEC9" w14:textId="270ADFC5"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sidDel="00991A37">
        <w:rPr>
          <w:color w:val="262626" w:themeColor="text1" w:themeTint="D9"/>
        </w:rPr>
        <w:t xml:space="preserve">See Lopamundra Sengupta </w:t>
      </w:r>
      <w:r w:rsidRPr="008642D1" w:rsidDel="00991A37">
        <w:rPr>
          <w:i/>
          <w:iCs/>
          <w:color w:val="262626" w:themeColor="text1" w:themeTint="D9"/>
        </w:rPr>
        <w:t>Human Rights of the Third Gender in India: Beyond the Binary</w:t>
      </w:r>
      <w:r w:rsidRPr="008642D1" w:rsidDel="00991A37">
        <w:rPr>
          <w:color w:val="262626" w:themeColor="text1" w:themeTint="D9"/>
        </w:rPr>
        <w:t xml:space="preserve"> (Routledge, Milton Park (UK), 2023) a</w:t>
      </w:r>
      <w:r w:rsidRPr="008642D1">
        <w:rPr>
          <w:color w:val="262626" w:themeColor="text1" w:themeTint="D9"/>
        </w:rPr>
        <w:t>t 14.</w:t>
      </w:r>
    </w:p>
  </w:footnote>
  <w:footnote w:id="98">
    <w:p w14:paraId="4A1B6CA8"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Madeleine Pape “Feminism, Trans Justice, and Speech Rights: A Comparative Perspective” (2022) 85(1) Law and Contemporary Problems 215 at 220–221; and Shonagh</w:t>
      </w:r>
      <w:r w:rsidRPr="008642D1">
        <w:rPr>
          <w:rFonts w:ascii="Calibri" w:hAnsi="Calibri" w:cs="Calibri"/>
          <w:color w:val="262626" w:themeColor="text1" w:themeTint="D9"/>
        </w:rPr>
        <w:t> </w:t>
      </w:r>
      <w:r w:rsidRPr="008642D1">
        <w:rPr>
          <w:color w:val="262626" w:themeColor="text1" w:themeTint="D9"/>
        </w:rPr>
        <w:t>Dillon</w:t>
      </w:r>
      <w:r w:rsidRPr="008642D1">
        <w:rPr>
          <w:rFonts w:ascii="Calibri" w:hAnsi="Calibri" w:cs="Calibri"/>
          <w:color w:val="262626" w:themeColor="text1" w:themeTint="D9"/>
        </w:rPr>
        <w:t> “</w:t>
      </w:r>
      <w:r w:rsidRPr="008642D1">
        <w:rPr>
          <w:color w:val="262626" w:themeColor="text1" w:themeTint="D9"/>
        </w:rPr>
        <w:t xml:space="preserve">#TERF/Bigot/Transphobe </w:t>
      </w:r>
      <w:r w:rsidRPr="008642D1">
        <w:rPr>
          <w:rFonts w:cs="Metropolis Light"/>
          <w:color w:val="262626" w:themeColor="text1" w:themeTint="D9"/>
        </w:rPr>
        <w:t>–</w:t>
      </w:r>
      <w:r w:rsidRPr="008642D1">
        <w:rPr>
          <w:color w:val="262626" w:themeColor="text1" w:themeTint="D9"/>
        </w:rPr>
        <w:t xml:space="preserve"> We found the witch, burn her!</w:t>
      </w:r>
      <w:r w:rsidRPr="008642D1">
        <w:rPr>
          <w:rFonts w:cs="Metropolis Light"/>
          <w:color w:val="262626" w:themeColor="text1" w:themeTint="D9"/>
        </w:rPr>
        <w:t>: a contextual constructionist account of the silencing of feminist discourse on the proposed changes to the Gender Recognition Act 2004, and the policy capture of transgender ideology, focusing on the potential impacts and consequences for female-only spaces for victims of male violence”</w:t>
      </w:r>
      <w:r w:rsidRPr="008642D1">
        <w:rPr>
          <w:color w:val="262626" w:themeColor="text1" w:themeTint="D9"/>
        </w:rPr>
        <w:t xml:space="preserve"> (PhD thesis, University of Portsmouth, 2021) at 92.</w:t>
      </w:r>
    </w:p>
  </w:footnote>
  <w:footnote w:id="99">
    <w:p w14:paraId="1924463F"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for example, Jill Ovens “Changes to Human Rights Act will harm women and girls” (11 August 2023) Women’s Rights Party &lt;</w:t>
      </w:r>
      <w:hyperlink r:id="rId25" w:history="1">
        <w:r w:rsidRPr="008642D1">
          <w:rPr>
            <w:rStyle w:val="Hyperlink"/>
            <w:color w:val="262626" w:themeColor="text1" w:themeTint="D9"/>
          </w:rPr>
          <w:t>womensrightsparty.nz</w:t>
        </w:r>
      </w:hyperlink>
      <w:r w:rsidRPr="008642D1">
        <w:rPr>
          <w:color w:val="262626" w:themeColor="text1" w:themeTint="D9"/>
        </w:rPr>
        <w:t>&gt;.</w:t>
      </w:r>
    </w:p>
  </w:footnote>
  <w:footnote w:id="100">
    <w:p w14:paraId="1FA790DE"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Speak Up For Women “MEDIA RELEASE: SUFW welcome the introduction of Dr Elizabeth Kerekere’s Human Rights Amendment Bill” (5 August 2023) &lt;</w:t>
      </w:r>
      <w:hyperlink r:id="rId26" w:history="1">
        <w:r w:rsidRPr="008642D1">
          <w:rPr>
            <w:rStyle w:val="Hyperlink"/>
            <w:color w:val="262626" w:themeColor="text1" w:themeTint="D9"/>
          </w:rPr>
          <w:t>www.speakupforwomen.nz</w:t>
        </w:r>
      </w:hyperlink>
      <w:r w:rsidRPr="008642D1">
        <w:rPr>
          <w:color w:val="262626" w:themeColor="text1" w:themeTint="D9"/>
        </w:rPr>
        <w:t>&gt; and Speak Up For Women “Responses to Media Questions” (7 May 2023) &lt;</w:t>
      </w:r>
      <w:hyperlink r:id="rId27" w:history="1">
        <w:r w:rsidRPr="008642D1">
          <w:rPr>
            <w:rStyle w:val="Hyperlink"/>
            <w:color w:val="262626" w:themeColor="text1" w:themeTint="D9"/>
          </w:rPr>
          <w:t>www.speakupforwomen.nz</w:t>
        </w:r>
      </w:hyperlink>
      <w:r w:rsidRPr="008642D1">
        <w:rPr>
          <w:color w:val="262626" w:themeColor="text1" w:themeTint="D9"/>
        </w:rPr>
        <w:t>&gt;.</w:t>
      </w:r>
    </w:p>
  </w:footnote>
  <w:footnote w:id="101">
    <w:p w14:paraId="7A6D4E0A" w14:textId="77777777" w:rsidR="00EC204C" w:rsidRPr="008642D1" w:rsidRDefault="00EC204C" w:rsidP="00EC204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Speak Up For Women “Responses to Media Questions” (7 May 2023) &lt;</w:t>
      </w:r>
      <w:hyperlink r:id="rId28" w:history="1">
        <w:r w:rsidRPr="008642D1">
          <w:rPr>
            <w:rStyle w:val="Hyperlink"/>
            <w:color w:val="262626" w:themeColor="text1" w:themeTint="D9"/>
          </w:rPr>
          <w:t>www.speakupforwomen.nz</w:t>
        </w:r>
      </w:hyperlink>
      <w:r w:rsidRPr="008642D1">
        <w:rPr>
          <w:color w:val="262626" w:themeColor="text1" w:themeTint="D9"/>
        </w:rPr>
        <w:t>&gt;.</w:t>
      </w:r>
    </w:p>
  </w:footnote>
  <w:footnote w:id="102">
    <w:p w14:paraId="7C0FA3B5"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iCs/>
          <w:color w:val="262626" w:themeColor="text1" w:themeTint="D9"/>
        </w:rPr>
        <w:t xml:space="preserve">XY v Ontario (Government and Consumer Services) </w:t>
      </w:r>
      <w:r w:rsidRPr="008642D1">
        <w:rPr>
          <w:color w:val="262626" w:themeColor="text1" w:themeTint="D9"/>
        </w:rPr>
        <w:t>2012 HRTO 726, [2012] OHRTD No 715 at [164].</w:t>
      </w:r>
      <w:r w:rsidRPr="008642D1">
        <w:rPr>
          <w:i/>
          <w:iCs/>
          <w:color w:val="262626" w:themeColor="text1" w:themeTint="D9"/>
        </w:rPr>
        <w:t xml:space="preserve"> </w:t>
      </w:r>
    </w:p>
  </w:footnote>
  <w:footnote w:id="103">
    <w:p w14:paraId="7F085B86"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United Nations “Levels of violence against trans people ‘offend the human conscience’, says UN rights expert” (25 October 2018) &lt;</w:t>
      </w:r>
      <w:hyperlink r:id="rId29" w:history="1">
        <w:r w:rsidRPr="008642D1">
          <w:rPr>
            <w:rStyle w:val="Hyperlink"/>
            <w:color w:val="262626" w:themeColor="text1" w:themeTint="D9"/>
          </w:rPr>
          <w:t>www.ohchr.org</w:t>
        </w:r>
      </w:hyperlink>
      <w:r w:rsidRPr="00B33421">
        <w:rPr>
          <w:rStyle w:val="Hyperlink"/>
          <w:color w:val="262626" w:themeColor="text1" w:themeTint="D9"/>
          <w:u w:val="none"/>
        </w:rPr>
        <w:t>&gt;.</w:t>
      </w:r>
    </w:p>
  </w:footnote>
  <w:footnote w:id="104">
    <w:p w14:paraId="7EAC1EC9"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iCs/>
          <w:color w:val="262626" w:themeColor="text1" w:themeTint="D9"/>
          <w:lang w:bidi="th-TH"/>
        </w:rPr>
        <w:t xml:space="preserve">Hansman v Neufeld </w:t>
      </w:r>
      <w:r w:rsidRPr="008642D1">
        <w:rPr>
          <w:color w:val="262626" w:themeColor="text1" w:themeTint="D9"/>
          <w:lang w:bidi="th-TH"/>
        </w:rPr>
        <w:t xml:space="preserve">2023 SCC 14, (2023) 481 DLR (4th) 218 at [89], citing </w:t>
      </w:r>
      <w:r w:rsidRPr="008642D1">
        <w:rPr>
          <w:i/>
          <w:iCs/>
          <w:color w:val="262626" w:themeColor="text1" w:themeTint="D9"/>
          <w:lang w:bidi="th-TH"/>
        </w:rPr>
        <w:t>Oger v Whatcott (No 7)</w:t>
      </w:r>
      <w:r w:rsidRPr="008642D1">
        <w:rPr>
          <w:color w:val="262626" w:themeColor="text1" w:themeTint="D9"/>
          <w:lang w:bidi="th-TH"/>
        </w:rPr>
        <w:t xml:space="preserve"> 2019 BCHRT 58, 94 CHRR D/222 at [62].</w:t>
      </w:r>
    </w:p>
  </w:footnote>
  <w:footnote w:id="105">
    <w:p w14:paraId="2C25EFA5"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color w:val="262626" w:themeColor="text1" w:themeTint="D9"/>
          <w:lang w:bidi="th-TH"/>
        </w:rPr>
        <w:t xml:space="preserve">At [84] and [89], citing </w:t>
      </w:r>
      <w:r w:rsidRPr="008642D1">
        <w:rPr>
          <w:i/>
          <w:iCs/>
          <w:color w:val="262626" w:themeColor="text1" w:themeTint="D9"/>
          <w:lang w:bidi="th-TH"/>
        </w:rPr>
        <w:t xml:space="preserve">Oger v Whatcott (No 7) </w:t>
      </w:r>
      <w:r w:rsidRPr="008642D1">
        <w:rPr>
          <w:color w:val="262626" w:themeColor="text1" w:themeTint="D9"/>
          <w:lang w:bidi="th-TH"/>
        </w:rPr>
        <w:t xml:space="preserve">2019 BCHRT 58, 94 CHRR D/222 at [62] and </w:t>
      </w:r>
      <w:r w:rsidRPr="008642D1">
        <w:rPr>
          <w:i/>
          <w:iCs/>
          <w:color w:val="262626" w:themeColor="text1" w:themeTint="D9"/>
          <w:lang w:bidi="th-TH"/>
        </w:rPr>
        <w:t xml:space="preserve">CF v Alberta (Director of Vital Statistics) </w:t>
      </w:r>
      <w:r w:rsidRPr="008642D1">
        <w:rPr>
          <w:color w:val="262626" w:themeColor="text1" w:themeTint="D9"/>
          <w:lang w:bidi="th-TH"/>
        </w:rPr>
        <w:t>2014 ABQB 237, 587 AR 332 at [58].</w:t>
      </w:r>
    </w:p>
  </w:footnote>
  <w:footnote w:id="106">
    <w:p w14:paraId="466752B3"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color w:val="262626" w:themeColor="text1" w:themeTint="D9"/>
          <w:lang w:eastAsia="en-AU"/>
        </w:rPr>
        <w:t xml:space="preserve">Te Kāhui Tika Tangata | Human Rights Commission </w:t>
      </w:r>
      <w:r w:rsidRPr="008642D1">
        <w:rPr>
          <w:i/>
          <w:color w:val="262626" w:themeColor="text1" w:themeTint="D9"/>
          <w:lang w:eastAsia="en-AU"/>
        </w:rPr>
        <w:t>To Be Who I Am: Report of the Inquiry into Discrimination Experienced by Transgender</w:t>
      </w:r>
      <w:r w:rsidRPr="008642D1">
        <w:rPr>
          <w:i/>
          <w:iCs/>
          <w:color w:val="262626" w:themeColor="text1" w:themeTint="D9"/>
          <w:lang w:eastAsia="en-AU"/>
        </w:rPr>
        <w:t xml:space="preserve"> People</w:t>
      </w:r>
      <w:r w:rsidRPr="008642D1">
        <w:rPr>
          <w:color w:val="262626" w:themeColor="text1" w:themeTint="D9"/>
          <w:lang w:eastAsia="en-AU"/>
        </w:rPr>
        <w:t xml:space="preserve"> |</w:t>
      </w:r>
      <w:r w:rsidRPr="008642D1">
        <w:rPr>
          <w:i/>
          <w:iCs/>
          <w:color w:val="262626" w:themeColor="text1" w:themeTint="D9"/>
          <w:lang w:eastAsia="en-AU"/>
        </w:rPr>
        <w:t xml:space="preserve"> Kia noho au ki tōku anō ao: He Pūrongo mō te Uiuitanga mō Aukatitanga e Pāngia ana e ngā Tāngata Whakawhitiira </w:t>
      </w:r>
      <w:r w:rsidRPr="008642D1">
        <w:rPr>
          <w:color w:val="262626" w:themeColor="text1" w:themeTint="D9"/>
          <w:lang w:eastAsia="en-AU"/>
        </w:rPr>
        <w:t>(2008) at 3.</w:t>
      </w:r>
    </w:p>
  </w:footnote>
  <w:footnote w:id="107">
    <w:p w14:paraId="04DC7AFE"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Pride NZ “Georgina Beyer profile: Transcript” (21 January 2013)</w:t>
      </w:r>
      <w:r w:rsidRPr="008642D1">
        <w:rPr>
          <w:i/>
          <w:iCs/>
          <w:color w:val="262626" w:themeColor="text1" w:themeTint="D9"/>
        </w:rPr>
        <w:t xml:space="preserve"> &lt;</w:t>
      </w:r>
      <w:hyperlink r:id="rId30" w:history="1">
        <w:r w:rsidRPr="008642D1">
          <w:rPr>
            <w:rStyle w:val="Hyperlink"/>
            <w:color w:val="262626" w:themeColor="text1" w:themeTint="D9"/>
          </w:rPr>
          <w:t>www.pridenz.com</w:t>
        </w:r>
      </w:hyperlink>
      <w:r w:rsidRPr="004E035E">
        <w:rPr>
          <w:rStyle w:val="Hyperlink"/>
          <w:color w:val="262626" w:themeColor="text1" w:themeTint="D9"/>
          <w:u w:val="none"/>
        </w:rPr>
        <w:t>&gt;</w:t>
      </w:r>
      <w:r w:rsidRPr="00EA6A67">
        <w:rPr>
          <w:color w:val="262626" w:themeColor="text1" w:themeTint="D9"/>
        </w:rPr>
        <w:t>.</w:t>
      </w:r>
    </w:p>
  </w:footnote>
  <w:footnote w:id="108">
    <w:p w14:paraId="19670D36"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ab/>
        <w:t>Pride NZ “Georgina Beyer profile: Transcript”</w:t>
      </w:r>
      <w:r w:rsidRPr="008642D1" w:rsidDel="00AE7D23">
        <w:rPr>
          <w:color w:val="262626" w:themeColor="text1" w:themeTint="D9"/>
        </w:rPr>
        <w:t xml:space="preserve"> (21 January 2013)</w:t>
      </w:r>
      <w:r w:rsidRPr="008642D1" w:rsidDel="00AE7D23">
        <w:rPr>
          <w:i/>
          <w:iCs/>
          <w:color w:val="262626" w:themeColor="text1" w:themeTint="D9"/>
        </w:rPr>
        <w:t xml:space="preserve"> &lt;</w:t>
      </w:r>
      <w:hyperlink r:id="rId31" w:history="1">
        <w:r w:rsidRPr="008642D1" w:rsidDel="00AE7D23">
          <w:rPr>
            <w:rStyle w:val="Hyperlink"/>
            <w:color w:val="262626" w:themeColor="text1" w:themeTint="D9"/>
          </w:rPr>
          <w:t>www.pridenz.com</w:t>
        </w:r>
      </w:hyperlink>
      <w:r w:rsidRPr="008642D1" w:rsidDel="00AE7D23">
        <w:rPr>
          <w:color w:val="262626" w:themeColor="text1" w:themeTint="D9"/>
        </w:rPr>
        <w:t>&gt;.</w:t>
      </w:r>
    </w:p>
  </w:footnote>
  <w:footnote w:id="109">
    <w:p w14:paraId="2172872B"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color w:val="262626" w:themeColor="text1" w:themeTint="D9"/>
          <w:lang w:eastAsia="en-AU"/>
        </w:rPr>
        <w:t>See Will Hansen “Every Bloody Right To Be Here – Trans Resistance in Aotearoa New Zealand, 1967-1989” (MA thesis, Te Herenga Waka | Victoria University of Wellington, 2020) at 29–31.</w:t>
      </w:r>
    </w:p>
  </w:footnote>
  <w:footnote w:id="110">
    <w:p w14:paraId="41B83917" w14:textId="1497FB18"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sidDel="001F395B">
        <w:rPr>
          <w:color w:val="262626" w:themeColor="text1" w:themeTint="D9"/>
          <w:lang w:eastAsia="en-AU"/>
        </w:rPr>
        <w:t>Will Hansen “Every Bloody Right To Be Here – Trans Resistance in Aotearoa New Zealand, 1967-1989” (MA thesis, Te Herenga Waka | Victoria University of Wellington, 2020) a</w:t>
      </w:r>
      <w:r w:rsidRPr="008642D1">
        <w:rPr>
          <w:color w:val="262626" w:themeColor="text1" w:themeTint="D9"/>
          <w:lang w:eastAsia="en-AU"/>
        </w:rPr>
        <w:t>t 31.</w:t>
      </w:r>
    </w:p>
  </w:footnote>
  <w:footnote w:id="111">
    <w:p w14:paraId="5372F13C"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Elisabeth McDonald and Jack Byrne “The Legal Status of Transsexual and Transgender Persons in Aotearoa New Zealand” in Jens M Scherpe (ed) </w:t>
      </w:r>
      <w:r w:rsidRPr="008642D1">
        <w:rPr>
          <w:i/>
          <w:iCs/>
          <w:color w:val="262626" w:themeColor="text1" w:themeTint="D9"/>
        </w:rPr>
        <w:t>The Legal Status of Transsexual and Transgender Persons</w:t>
      </w:r>
      <w:r w:rsidRPr="008642D1">
        <w:rPr>
          <w:color w:val="262626" w:themeColor="text1" w:themeTint="D9"/>
        </w:rPr>
        <w:t xml:space="preserve"> (Intersentia, Cambridge, 2015) 527 at 530.</w:t>
      </w:r>
    </w:p>
  </w:footnote>
  <w:footnote w:id="112">
    <w:p w14:paraId="7B9D6861"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Marriage (Definition of Marriage) Amendment Bill 2012 (39-2) (select committee report) at 5. </w:t>
      </w:r>
    </w:p>
  </w:footnote>
  <w:footnote w:id="113">
    <w:p w14:paraId="60BA4C6B"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Will Hansen “Every Bloody Right To Be Here – Trans Resistance in Aotearoa New Zealand, 1967-1989” (MA thesis, Te Herenga Waka | Victoria University of Wellington, 2020) at 7.</w:t>
      </w:r>
    </w:p>
  </w:footnote>
  <w:footnote w:id="114">
    <w:p w14:paraId="66129663"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lang w:val="en-GB"/>
        </w:rPr>
        <w:tab/>
        <w:t xml:space="preserve">See Johanna Schmidt </w:t>
      </w:r>
      <w:r w:rsidRPr="008642D1">
        <w:rPr>
          <w:color w:val="262626" w:themeColor="text1" w:themeTint="D9"/>
        </w:rPr>
        <w:t>“Gender diversity: Difficulties and visibility” (5 May 2021) Te Ara: The Encyclopedia of New Zealand &lt;</w:t>
      </w:r>
      <w:hyperlink r:id="rId32" w:history="1">
        <w:r w:rsidRPr="008642D1">
          <w:rPr>
            <w:rStyle w:val="Hyperlink"/>
            <w:color w:val="262626" w:themeColor="text1" w:themeTint="D9"/>
          </w:rPr>
          <w:t>teara.govt.nz</w:t>
        </w:r>
      </w:hyperlink>
      <w:r w:rsidRPr="008642D1">
        <w:rPr>
          <w:color w:val="262626" w:themeColor="text1" w:themeTint="D9"/>
        </w:rPr>
        <w:t>&gt;.</w:t>
      </w:r>
    </w:p>
  </w:footnote>
  <w:footnote w:id="115">
    <w:p w14:paraId="722034EB"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Pride NZ “Georgina Beyer profile: Transcript” (21 January 2013)</w:t>
      </w:r>
      <w:r w:rsidRPr="008642D1">
        <w:rPr>
          <w:i/>
          <w:iCs/>
          <w:color w:val="262626" w:themeColor="text1" w:themeTint="D9"/>
        </w:rPr>
        <w:t xml:space="preserve"> </w:t>
      </w:r>
      <w:r w:rsidRPr="008642D1">
        <w:rPr>
          <w:color w:val="262626" w:themeColor="text1" w:themeTint="D9"/>
        </w:rPr>
        <w:t>&lt;</w:t>
      </w:r>
      <w:hyperlink r:id="rId33" w:history="1">
        <w:r w:rsidRPr="008642D1">
          <w:rPr>
            <w:rStyle w:val="Hyperlink"/>
            <w:color w:val="262626" w:themeColor="text1" w:themeTint="D9"/>
          </w:rPr>
          <w:t>www.pridenz.com</w:t>
        </w:r>
      </w:hyperlink>
      <w:r w:rsidRPr="00CB29C6">
        <w:rPr>
          <w:rStyle w:val="Hyperlink"/>
          <w:color w:val="262626" w:themeColor="text1" w:themeTint="D9"/>
          <w:u w:val="none"/>
        </w:rPr>
        <w:t>&gt;</w:t>
      </w:r>
      <w:r w:rsidRPr="00EA6A67">
        <w:rPr>
          <w:color w:val="262626" w:themeColor="text1" w:themeTint="D9"/>
        </w:rPr>
        <w:t>.</w:t>
      </w:r>
    </w:p>
  </w:footnote>
  <w:footnote w:id="116">
    <w:p w14:paraId="589B1D38"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Te Kāhui Tika Tangata | Human Rights Commission</w:t>
      </w:r>
      <w:r w:rsidRPr="008642D1">
        <w:rPr>
          <w:i/>
          <w:iCs/>
          <w:color w:val="262626" w:themeColor="text1" w:themeTint="D9"/>
        </w:rPr>
        <w:t xml:space="preserve"> Human Rights in New Zealand Today </w:t>
      </w:r>
      <w:r w:rsidRPr="008642D1">
        <w:rPr>
          <w:color w:val="262626" w:themeColor="text1" w:themeTint="D9"/>
        </w:rPr>
        <w:t xml:space="preserve">| </w:t>
      </w:r>
      <w:r w:rsidRPr="008642D1">
        <w:rPr>
          <w:i/>
          <w:iCs/>
          <w:color w:val="262626" w:themeColor="text1" w:themeTint="D9"/>
        </w:rPr>
        <w:t>Ngā Tika Tangata O Te Motu</w:t>
      </w:r>
      <w:r w:rsidRPr="008642D1">
        <w:rPr>
          <w:color w:val="262626" w:themeColor="text1" w:themeTint="D9"/>
        </w:rPr>
        <w:t xml:space="preserve"> (September 2004) at 252.</w:t>
      </w:r>
    </w:p>
  </w:footnote>
  <w:footnote w:id="117">
    <w:p w14:paraId="51BCE54E" w14:textId="116DB1AC"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Te Kaunihera W</w:t>
      </w:r>
      <w:r w:rsidR="00B77593">
        <w:rPr>
          <w:color w:val="262626" w:themeColor="text1" w:themeTint="D9"/>
        </w:rPr>
        <w:t>a</w:t>
      </w:r>
      <w:r w:rsidRPr="008642D1">
        <w:rPr>
          <w:color w:val="262626" w:themeColor="text1" w:themeTint="D9"/>
        </w:rPr>
        <w:t xml:space="preserve">hine o Aotearoa | National Council of Women of New Zealand </w:t>
      </w:r>
      <w:r w:rsidRPr="008642D1">
        <w:rPr>
          <w:i/>
          <w:iCs/>
          <w:color w:val="262626" w:themeColor="text1" w:themeTint="D9"/>
        </w:rPr>
        <w:t>Aotearoa New Zealand Gender Attitudes Survey</w:t>
      </w:r>
      <w:r w:rsidRPr="008642D1">
        <w:rPr>
          <w:color w:val="262626" w:themeColor="text1" w:themeTint="D9"/>
        </w:rPr>
        <w:t xml:space="preserve"> </w:t>
      </w:r>
      <w:r w:rsidRPr="008642D1">
        <w:rPr>
          <w:i/>
          <w:iCs/>
          <w:color w:val="262626" w:themeColor="text1" w:themeTint="D9"/>
        </w:rPr>
        <w:t>2023</w:t>
      </w:r>
      <w:r w:rsidRPr="008642D1">
        <w:rPr>
          <w:color w:val="262626" w:themeColor="text1" w:themeTint="D9"/>
        </w:rPr>
        <w:t xml:space="preserve"> (June 2023) at 76.</w:t>
      </w:r>
    </w:p>
  </w:footnote>
  <w:footnote w:id="118">
    <w:p w14:paraId="56B5B3C2"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Transgender Health Research Lab</w:t>
      </w:r>
      <w:r w:rsidRPr="008642D1">
        <w:rPr>
          <w:i/>
          <w:iCs/>
          <w:color w:val="262626" w:themeColor="text1" w:themeTint="D9"/>
        </w:rPr>
        <w:t xml:space="preserve"> Counting Ourselves: The health and wellbeing of trans and non-binary people in Aotearoa New Zealand</w:t>
      </w:r>
      <w:r w:rsidRPr="008642D1">
        <w:rPr>
          <w:color w:val="262626" w:themeColor="text1" w:themeTint="D9"/>
        </w:rPr>
        <w:t xml:space="preserve"> (Te Whare Wānanga o Waikato | University of Waikato, 2019). A second report will be published later in 2024.</w:t>
      </w:r>
    </w:p>
  </w:footnote>
  <w:footnote w:id="119">
    <w:p w14:paraId="13BDEBD3"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At iv and 67–68.</w:t>
      </w:r>
    </w:p>
  </w:footnote>
  <w:footnote w:id="120">
    <w:p w14:paraId="780CC907"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Adam O Hill and others </w:t>
      </w:r>
      <w:r w:rsidRPr="008642D1">
        <w:rPr>
          <w:i/>
          <w:iCs/>
          <w:color w:val="262626" w:themeColor="text1" w:themeTint="D9"/>
        </w:rPr>
        <w:t xml:space="preserve">Private Lives 3: The health and wellbeing of LGBTIQ people in Australia </w:t>
      </w:r>
      <w:r w:rsidRPr="008642D1">
        <w:rPr>
          <w:color w:val="262626" w:themeColor="text1" w:themeTint="D9"/>
        </w:rPr>
        <w:t>(Australian Research Centre in Sex, Health &amp; Society, La Trobe University, 2020) at 41.</w:t>
      </w:r>
    </w:p>
  </w:footnote>
  <w:footnote w:id="121">
    <w:p w14:paraId="1D890768"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Murphy “Reports of hate crimes against trans people jump 42%, spike month of Posie Parker visit” RNZ (17 April 2024) </w:t>
      </w:r>
      <w:hyperlink r:id="rId34" w:history="1">
        <w:r w:rsidRPr="002B4C89">
          <w:rPr>
            <w:rStyle w:val="Hyperlink"/>
            <w:color w:val="262626" w:themeColor="text1" w:themeTint="D9"/>
            <w:u w:val="none"/>
          </w:rPr>
          <w:t>&lt;</w:t>
        </w:r>
        <w:r w:rsidRPr="008642D1">
          <w:rPr>
            <w:rStyle w:val="Hyperlink"/>
            <w:color w:val="262626" w:themeColor="text1" w:themeTint="D9"/>
          </w:rPr>
          <w:t>www.rnz.co.nz</w:t>
        </w:r>
        <w:r w:rsidRPr="002B4C89">
          <w:rPr>
            <w:rStyle w:val="Hyperlink"/>
            <w:color w:val="262626" w:themeColor="text1" w:themeTint="D9"/>
            <w:u w:val="none"/>
          </w:rPr>
          <w:t>&gt;</w:t>
        </w:r>
      </w:hyperlink>
      <w:r w:rsidRPr="008642D1">
        <w:rPr>
          <w:color w:val="262626" w:themeColor="text1" w:themeTint="D9"/>
        </w:rPr>
        <w:t>.</w:t>
      </w:r>
    </w:p>
  </w:footnote>
  <w:footnote w:id="122">
    <w:p w14:paraId="2CEDEFFB"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for example, Sanjana Hattotuwa, Kate Hannah and Kayli Taylor </w:t>
      </w:r>
      <w:r w:rsidRPr="008642D1">
        <w:rPr>
          <w:i/>
          <w:iCs/>
          <w:color w:val="262626" w:themeColor="text1" w:themeTint="D9"/>
        </w:rPr>
        <w:t>Transgressive transitions: Transphobia, community building, bridging, and bonding within Aotearoa New Zealand’s disinformation ecologies March-April 2023</w:t>
      </w:r>
      <w:r w:rsidRPr="008642D1">
        <w:rPr>
          <w:color w:val="262626" w:themeColor="text1" w:themeTint="D9"/>
        </w:rPr>
        <w:t xml:space="preserve"> (The Disinformation Project, April 2023) at 16.</w:t>
      </w:r>
    </w:p>
  </w:footnote>
  <w:footnote w:id="123">
    <w:p w14:paraId="3F1C49CC"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Te Mana Whakaatu | Classification Office “Section 4.4 Intersectionality and misogyny: Intersections with sexual orientation and gender identity” in </w:t>
      </w:r>
      <w:r w:rsidRPr="008642D1">
        <w:rPr>
          <w:i/>
          <w:iCs/>
          <w:color w:val="262626" w:themeColor="text1" w:themeTint="D9"/>
        </w:rPr>
        <w:t xml:space="preserve">Online Misogyny and Violent Extremism — Online Resource </w:t>
      </w:r>
      <w:r w:rsidRPr="008642D1">
        <w:rPr>
          <w:color w:val="262626" w:themeColor="text1" w:themeTint="D9"/>
        </w:rPr>
        <w:t>(May 2024) &lt;</w:t>
      </w:r>
      <w:hyperlink r:id="rId35" w:history="1">
        <w:r w:rsidRPr="008642D1">
          <w:rPr>
            <w:rStyle w:val="Hyperlink"/>
            <w:color w:val="262626" w:themeColor="text1" w:themeTint="D9"/>
          </w:rPr>
          <w:t>www.classificationoffice.govt.nz</w:t>
        </w:r>
      </w:hyperlink>
      <w:r w:rsidRPr="008642D1">
        <w:rPr>
          <w:color w:val="262626" w:themeColor="text1" w:themeTint="D9"/>
        </w:rPr>
        <w:t xml:space="preserve">&gt;. </w:t>
      </w:r>
    </w:p>
  </w:footnote>
  <w:footnote w:id="124">
    <w:p w14:paraId="3B47FA3D"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Luke Hubbard </w:t>
      </w:r>
      <w:r w:rsidRPr="008642D1">
        <w:rPr>
          <w:i/>
          <w:color w:val="262626" w:themeColor="text1" w:themeTint="D9"/>
        </w:rPr>
        <w:t>Online Hate Crime Report 2020</w:t>
      </w:r>
      <w:r w:rsidRPr="008642D1">
        <w:rPr>
          <w:i/>
          <w:iCs/>
          <w:color w:val="262626" w:themeColor="text1" w:themeTint="D9"/>
        </w:rPr>
        <w:t xml:space="preserve">: Challenging online homophobia, biphobia and transphobia </w:t>
      </w:r>
      <w:r w:rsidRPr="008642D1">
        <w:rPr>
          <w:color w:val="262626" w:themeColor="text1" w:themeTint="D9"/>
        </w:rPr>
        <w:t>(Galop, United Kingdom, 2020) at 5.</w:t>
      </w:r>
    </w:p>
  </w:footnote>
  <w:footnote w:id="125">
    <w:p w14:paraId="5357DBE9"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At 6.</w:t>
      </w:r>
    </w:p>
  </w:footnote>
  <w:footnote w:id="126">
    <w:p w14:paraId="6C9C6D1B"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Chaka L Bachmann and Becca Gooch </w:t>
      </w:r>
      <w:r w:rsidRPr="008642D1">
        <w:rPr>
          <w:i/>
          <w:color w:val="262626" w:themeColor="text1" w:themeTint="D9"/>
        </w:rPr>
        <w:t>LGBT in Britain</w:t>
      </w:r>
      <w:r w:rsidRPr="008642D1">
        <w:rPr>
          <w:i/>
          <w:iCs/>
          <w:color w:val="262626" w:themeColor="text1" w:themeTint="D9"/>
        </w:rPr>
        <w:t xml:space="preserve"> – Hate Crime and Discrimination </w:t>
      </w:r>
      <w:r w:rsidRPr="008642D1">
        <w:rPr>
          <w:color w:val="262626" w:themeColor="text1" w:themeTint="D9"/>
        </w:rPr>
        <w:t>(Stonewall and YouGov, 2017) at 18.</w:t>
      </w:r>
    </w:p>
  </w:footnote>
  <w:footnote w:id="127">
    <w:p w14:paraId="4812A17D"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Transgender Health Research Lab</w:t>
      </w:r>
      <w:r w:rsidRPr="008642D1">
        <w:rPr>
          <w:i/>
          <w:iCs/>
          <w:color w:val="262626" w:themeColor="text1" w:themeTint="D9"/>
        </w:rPr>
        <w:t xml:space="preserve"> Counting Ourselves: The health and wellbeing of trans and non-binary people in Aotearoa New Zealand </w:t>
      </w:r>
      <w:r w:rsidRPr="008642D1">
        <w:rPr>
          <w:color w:val="262626" w:themeColor="text1" w:themeTint="D9"/>
        </w:rPr>
        <w:t>(Te Whare Wānanga o Waikato | University of Waikato, 2019) at 77–78.</w:t>
      </w:r>
    </w:p>
  </w:footnote>
  <w:footnote w:id="128">
    <w:p w14:paraId="0DCA1BD8"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At 77.</w:t>
      </w:r>
    </w:p>
  </w:footnote>
  <w:footnote w:id="129">
    <w:p w14:paraId="1D9AE25F"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The Backbone Collective and Hohou Te Rongo Kahukura </w:t>
      </w:r>
      <w:r w:rsidRPr="008642D1">
        <w:rPr>
          <w:i/>
          <w:iCs/>
          <w:color w:val="262626" w:themeColor="text1" w:themeTint="D9"/>
        </w:rPr>
        <w:t xml:space="preserve">Make it about us: Victim-survivors’ recommendations for building a safer police response to intimate partner violence, family violence and sexual violence in Aotearoa New Zealand </w:t>
      </w:r>
      <w:r w:rsidRPr="008642D1">
        <w:rPr>
          <w:color w:val="262626" w:themeColor="text1" w:themeTint="D9"/>
        </w:rPr>
        <w:t>(March 2024) at 40.</w:t>
      </w:r>
    </w:p>
  </w:footnote>
  <w:footnote w:id="130">
    <w:p w14:paraId="59EB1321"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At 11 and 54. </w:t>
      </w:r>
    </w:p>
  </w:footnote>
  <w:footnote w:id="131">
    <w:p w14:paraId="2A49B0CE"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At 57.</w:t>
      </w:r>
    </w:p>
  </w:footnote>
  <w:footnote w:id="132">
    <w:p w14:paraId="6810A42D" w14:textId="62139FC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sidDel="003327E9">
        <w:rPr>
          <w:color w:val="262626" w:themeColor="text1" w:themeTint="D9"/>
        </w:rPr>
        <w:t xml:space="preserve">See The Backbone Collective and Hohou Te Rongo Kahukura </w:t>
      </w:r>
      <w:r w:rsidRPr="008642D1" w:rsidDel="003327E9">
        <w:rPr>
          <w:i/>
          <w:iCs/>
          <w:color w:val="262626" w:themeColor="text1" w:themeTint="D9"/>
        </w:rPr>
        <w:t xml:space="preserve">Make it about us: Victim-survivors’ recommendations for building a safer police response to intimate partner violence, family violence and sexual violence in Aotearoa New Zealand </w:t>
      </w:r>
      <w:r w:rsidRPr="008642D1" w:rsidDel="003327E9">
        <w:rPr>
          <w:color w:val="262626" w:themeColor="text1" w:themeTint="D9"/>
        </w:rPr>
        <w:t>(March 2024) a</w:t>
      </w:r>
      <w:r w:rsidRPr="008642D1">
        <w:rPr>
          <w:color w:val="262626" w:themeColor="text1" w:themeTint="D9"/>
        </w:rPr>
        <w:t xml:space="preserve">t 57–58. </w:t>
      </w:r>
    </w:p>
  </w:footnote>
  <w:footnote w:id="133">
    <w:p w14:paraId="61774E47"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At 4 and 94. </w:t>
      </w:r>
    </w:p>
  </w:footnote>
  <w:footnote w:id="134">
    <w:p w14:paraId="3902E444"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At 105 and 122. </w:t>
      </w:r>
    </w:p>
  </w:footnote>
  <w:footnote w:id="135">
    <w:p w14:paraId="3EFBE2D0"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Leonie Pihama and others</w:t>
      </w:r>
      <w:r w:rsidRPr="008642D1">
        <w:rPr>
          <w:i/>
          <w:iCs/>
          <w:color w:val="262626" w:themeColor="text1" w:themeTint="D9"/>
        </w:rPr>
        <w:t xml:space="preserve"> Honour Project Aotearoa </w:t>
      </w:r>
      <w:r w:rsidRPr="008642D1">
        <w:rPr>
          <w:color w:val="262626" w:themeColor="text1" w:themeTint="D9"/>
        </w:rPr>
        <w:t xml:space="preserve">(Te Kotahi Research Institute, Te Whare Wānanga o Waikato | University of Waikato, 2020) at 79; and Zoe Hyde and others </w:t>
      </w:r>
      <w:r w:rsidRPr="008642D1">
        <w:rPr>
          <w:i/>
          <w:iCs/>
          <w:color w:val="262626" w:themeColor="text1" w:themeTint="D9"/>
        </w:rPr>
        <w:t xml:space="preserve">The First Australian National Trans Mental Health Study: Summary of Results </w:t>
      </w:r>
      <w:r w:rsidRPr="008642D1">
        <w:rPr>
          <w:color w:val="262626" w:themeColor="text1" w:themeTint="D9"/>
        </w:rPr>
        <w:t>(Western Australian Centre for Health Promotion Research, 2013) at 48.</w:t>
      </w:r>
    </w:p>
  </w:footnote>
  <w:footnote w:id="136">
    <w:p w14:paraId="603924CB"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sidDel="00AA5856">
        <w:rPr>
          <w:color w:val="262626" w:themeColor="text1" w:themeTint="D9"/>
        </w:rPr>
        <w:t xml:space="preserve">Zoe </w:t>
      </w:r>
      <w:r w:rsidRPr="008642D1">
        <w:rPr>
          <w:color w:val="262626" w:themeColor="text1" w:themeTint="D9"/>
        </w:rPr>
        <w:t xml:space="preserve">Hyde and others </w:t>
      </w:r>
      <w:r w:rsidRPr="008642D1">
        <w:rPr>
          <w:i/>
          <w:iCs/>
          <w:color w:val="262626" w:themeColor="text1" w:themeTint="D9"/>
        </w:rPr>
        <w:t>The First</w:t>
      </w:r>
      <w:r w:rsidRPr="008642D1">
        <w:rPr>
          <w:i/>
          <w:color w:val="262626" w:themeColor="text1" w:themeTint="D9"/>
        </w:rPr>
        <w:t xml:space="preserve"> Australian National Trans Mental Health Study</w:t>
      </w:r>
      <w:r w:rsidRPr="008642D1" w:rsidDel="00AA5856">
        <w:rPr>
          <w:i/>
          <w:iCs/>
          <w:color w:val="262626" w:themeColor="text1" w:themeTint="D9"/>
        </w:rPr>
        <w:t xml:space="preserve">: Summary of Results </w:t>
      </w:r>
      <w:r w:rsidRPr="008642D1" w:rsidDel="00AA5856">
        <w:rPr>
          <w:color w:val="262626" w:themeColor="text1" w:themeTint="D9"/>
        </w:rPr>
        <w:t>(</w:t>
      </w:r>
      <w:r w:rsidRPr="008642D1" w:rsidDel="0091312A">
        <w:rPr>
          <w:color w:val="262626" w:themeColor="text1" w:themeTint="D9"/>
        </w:rPr>
        <w:t>Western Australian Centre for Health Promotion Research, 2013)</w:t>
      </w:r>
      <w:r w:rsidRPr="008642D1" w:rsidDel="00A04EC5">
        <w:rPr>
          <w:color w:val="262626" w:themeColor="text1" w:themeTint="D9"/>
        </w:rPr>
        <w:t xml:space="preserve"> </w:t>
      </w:r>
      <w:r w:rsidRPr="008642D1">
        <w:rPr>
          <w:color w:val="262626" w:themeColor="text1" w:themeTint="D9"/>
        </w:rPr>
        <w:t>at iv.</w:t>
      </w:r>
    </w:p>
  </w:footnote>
  <w:footnote w:id="137">
    <w:p w14:paraId="0B457AC8" w14:textId="77777777" w:rsidR="00361703" w:rsidRPr="008642D1" w:rsidDel="008A03DE"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Transgender Health Research Lab</w:t>
      </w:r>
      <w:r w:rsidRPr="008642D1">
        <w:rPr>
          <w:i/>
          <w:iCs/>
          <w:color w:val="262626" w:themeColor="text1" w:themeTint="D9"/>
        </w:rPr>
        <w:t xml:space="preserve"> Counting Ourselves: The health and wellbeing of trans and non-binary people in Aotearoa New Zealand</w:t>
      </w:r>
      <w:r w:rsidRPr="008642D1">
        <w:rPr>
          <w:color w:val="262626" w:themeColor="text1" w:themeTint="D9"/>
        </w:rPr>
        <w:t xml:space="preserve"> (Te Whare Wānanga o Waikato | University of Waikato, 2019) at 45–46.</w:t>
      </w:r>
    </w:p>
  </w:footnote>
  <w:footnote w:id="138">
    <w:p w14:paraId="038407E0"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At 67. </w:t>
      </w:r>
    </w:p>
  </w:footnote>
  <w:footnote w:id="139">
    <w:p w14:paraId="7B2EDF35"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Transgender Health Research Lab</w:t>
      </w:r>
      <w:r w:rsidRPr="008642D1">
        <w:rPr>
          <w:i/>
          <w:iCs/>
          <w:color w:val="262626" w:themeColor="text1" w:themeTint="D9"/>
        </w:rPr>
        <w:t xml:space="preserve"> Counting Ourselves</w:t>
      </w:r>
      <w:r w:rsidRPr="008642D1" w:rsidDel="00A04EC5">
        <w:rPr>
          <w:i/>
          <w:iCs/>
          <w:color w:val="262626" w:themeColor="text1" w:themeTint="D9"/>
        </w:rPr>
        <w:t xml:space="preserve">: The health and wellbeing of trans and non-binary people in Aotearoa New Zealand </w:t>
      </w:r>
      <w:r w:rsidRPr="008642D1" w:rsidDel="00A04EC5">
        <w:rPr>
          <w:color w:val="262626" w:themeColor="text1" w:themeTint="D9"/>
        </w:rPr>
        <w:t>(Te Whare Wānanga o Waikato | University of Waikato, 2019)</w:t>
      </w:r>
      <w:r w:rsidRPr="008642D1" w:rsidDel="003855BE">
        <w:rPr>
          <w:color w:val="262626" w:themeColor="text1" w:themeTint="D9"/>
        </w:rPr>
        <w:t xml:space="preserve"> </w:t>
      </w:r>
      <w:r w:rsidRPr="008642D1">
        <w:rPr>
          <w:color w:val="262626" w:themeColor="text1" w:themeTint="D9"/>
        </w:rPr>
        <w:t xml:space="preserve">at 87. See, also, Tatauranga Aotearoa | Stats NZ “LGBT+ population of Aotearoa: Year ended June 2021” (9 November 2022) </w:t>
      </w:r>
      <w:r w:rsidRPr="00B704C7">
        <w:rPr>
          <w:rStyle w:val="Hyperlink"/>
          <w:color w:val="262626" w:themeColor="text1" w:themeTint="D9"/>
          <w:u w:val="none"/>
        </w:rPr>
        <w:t>&lt;</w:t>
      </w:r>
      <w:hyperlink r:id="rId36" w:anchor=":~:text=4.4%20percent%20of%20the%20Aotearoa,the%20year%20ended%20June%202021." w:history="1">
        <w:r w:rsidRPr="008642D1">
          <w:rPr>
            <w:rStyle w:val="Hyperlink"/>
            <w:color w:val="262626" w:themeColor="text1" w:themeTint="D9"/>
          </w:rPr>
          <w:t>stats.govt.nz</w:t>
        </w:r>
      </w:hyperlink>
      <w:r w:rsidRPr="008642D1">
        <w:rPr>
          <w:color w:val="262626" w:themeColor="text1" w:themeTint="D9"/>
        </w:rPr>
        <w:t>&gt;.</w:t>
      </w:r>
    </w:p>
  </w:footnote>
  <w:footnote w:id="140">
    <w:p w14:paraId="5035F55B" w14:textId="0AA3DBD9"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Tatauranga Aotearoa | Stats NZ “One-third of people who identify as LGBT+ hold a bachelor’s degree or higher”</w:t>
      </w:r>
      <w:r w:rsidRPr="008642D1">
        <w:rPr>
          <w:i/>
          <w:iCs/>
          <w:color w:val="262626" w:themeColor="text1" w:themeTint="D9"/>
        </w:rPr>
        <w:t xml:space="preserve"> </w:t>
      </w:r>
      <w:r w:rsidRPr="008642D1">
        <w:rPr>
          <w:color w:val="262626" w:themeColor="text1" w:themeTint="D9"/>
        </w:rPr>
        <w:t>(9 November 2022) &lt;</w:t>
      </w:r>
      <w:hyperlink r:id="rId37" w:anchor=":~:text=degree%20or%20higher-,One%2Dthird%20of%20people%20who%20identify%20as%20LGBT%2B,a%20bachelor%27s%20degree%20or%20higher&amp;text=For%20the%20year%20ended%20June,population%2C%20Stats%20NZ%20said%20today." w:history="1">
        <w:r w:rsidRPr="008642D1">
          <w:rPr>
            <w:rStyle w:val="Hyperlink"/>
            <w:color w:val="262626" w:themeColor="text1" w:themeTint="D9"/>
          </w:rPr>
          <w:t>stats.govt.nz</w:t>
        </w:r>
      </w:hyperlink>
      <w:r w:rsidRPr="008642D1">
        <w:rPr>
          <w:color w:val="262626" w:themeColor="text1" w:themeTint="D9"/>
        </w:rPr>
        <w:t xml:space="preserve">&gt; (reporting an average income level in the year ending June 2021 of $32,200 compared </w:t>
      </w:r>
      <w:r w:rsidR="00087A9E">
        <w:rPr>
          <w:color w:val="262626" w:themeColor="text1" w:themeTint="D9"/>
        </w:rPr>
        <w:t>to</w:t>
      </w:r>
      <w:r w:rsidR="00087A9E" w:rsidRPr="008642D1">
        <w:rPr>
          <w:color w:val="262626" w:themeColor="text1" w:themeTint="D9"/>
        </w:rPr>
        <w:t xml:space="preserve"> </w:t>
      </w:r>
      <w:r w:rsidRPr="008642D1">
        <w:rPr>
          <w:color w:val="262626" w:themeColor="text1" w:themeTint="D9"/>
        </w:rPr>
        <w:t>$42,600 for the cisgender population).</w:t>
      </w:r>
    </w:p>
  </w:footnote>
  <w:footnote w:id="141">
    <w:p w14:paraId="41127CB3"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Transgender Health Research Lab</w:t>
      </w:r>
      <w:r w:rsidRPr="008642D1">
        <w:rPr>
          <w:i/>
          <w:iCs/>
          <w:color w:val="262626" w:themeColor="text1" w:themeTint="D9"/>
        </w:rPr>
        <w:t xml:space="preserve"> Counting Ourselves: The health and wellbeing of trans and non-binary people in Aotearoa New Zealand </w:t>
      </w:r>
      <w:r w:rsidRPr="008642D1">
        <w:rPr>
          <w:color w:val="262626" w:themeColor="text1" w:themeTint="D9"/>
        </w:rPr>
        <w:t>(Te Whare Wānanga o Waikato | University of Waikato, 2019) at 86.</w:t>
      </w:r>
    </w:p>
  </w:footnote>
  <w:footnote w:id="142">
    <w:p w14:paraId="7D46B44B"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At 88.</w:t>
      </w:r>
    </w:p>
  </w:footnote>
  <w:footnote w:id="143">
    <w:p w14:paraId="1C7F9636"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color w:val="262626" w:themeColor="text1" w:themeTint="D9"/>
          <w:lang w:eastAsia="en-AU"/>
        </w:rPr>
        <w:t xml:space="preserve">Te Kāhui Tika Tangata | Human Rights Commission </w:t>
      </w:r>
      <w:r w:rsidRPr="008642D1">
        <w:rPr>
          <w:i/>
          <w:iCs/>
          <w:color w:val="262626" w:themeColor="text1" w:themeTint="D9"/>
          <w:lang w:eastAsia="en-AU"/>
        </w:rPr>
        <w:t xml:space="preserve">To Be Who I Am: Report of the Inquiry into Discrimination Experienced by Transgender People </w:t>
      </w:r>
      <w:r w:rsidRPr="008642D1">
        <w:rPr>
          <w:color w:val="262626" w:themeColor="text1" w:themeTint="D9"/>
          <w:lang w:eastAsia="en-AU"/>
        </w:rPr>
        <w:t>|</w:t>
      </w:r>
      <w:r w:rsidRPr="008642D1">
        <w:rPr>
          <w:i/>
          <w:iCs/>
          <w:color w:val="262626" w:themeColor="text1" w:themeTint="D9"/>
          <w:lang w:eastAsia="en-AU"/>
        </w:rPr>
        <w:t xml:space="preserve"> Kia noho au ki tōku anō ao: He Pūrongo mō te Uiuitanga mō Aukatitanga e Pāngia ana e ngā Tāngata Whakawhitiira</w:t>
      </w:r>
      <w:r w:rsidRPr="008642D1">
        <w:rPr>
          <w:i/>
          <w:iCs/>
          <w:color w:val="262626" w:themeColor="text1" w:themeTint="D9"/>
          <w:szCs w:val="15"/>
        </w:rPr>
        <w:t xml:space="preserve"> </w:t>
      </w:r>
      <w:r w:rsidRPr="008642D1">
        <w:rPr>
          <w:color w:val="262626" w:themeColor="text1" w:themeTint="D9"/>
          <w:szCs w:val="15"/>
        </w:rPr>
        <w:t xml:space="preserve">(2008) </w:t>
      </w:r>
      <w:r w:rsidRPr="008642D1">
        <w:rPr>
          <w:color w:val="262626" w:themeColor="text1" w:themeTint="D9"/>
        </w:rPr>
        <w:t xml:space="preserve">at 40. </w:t>
      </w:r>
    </w:p>
  </w:footnote>
  <w:footnote w:id="144">
    <w:p w14:paraId="65B25DEC" w14:textId="77777777" w:rsidR="00361703" w:rsidRPr="008642D1" w:rsidDel="00051F73"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Transgender Health Research Lab</w:t>
      </w:r>
      <w:r w:rsidRPr="008642D1">
        <w:rPr>
          <w:i/>
          <w:iCs/>
          <w:color w:val="262626" w:themeColor="text1" w:themeTint="D9"/>
        </w:rPr>
        <w:t xml:space="preserve"> Counting Ourselves: The health and wellbeing of trans and non-binary people in Aotearoa New Zealand </w:t>
      </w:r>
      <w:r w:rsidRPr="008642D1">
        <w:rPr>
          <w:color w:val="262626" w:themeColor="text1" w:themeTint="D9"/>
        </w:rPr>
        <w:t>(Te Whare Wānanga o Waikato | University of Waikato, 2019) at 90.</w:t>
      </w:r>
    </w:p>
  </w:footnote>
  <w:footnote w:id="145">
    <w:p w14:paraId="06CA0B71"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At 68.</w:t>
      </w:r>
    </w:p>
  </w:footnote>
  <w:footnote w:id="146">
    <w:p w14:paraId="1025A653" w14:textId="77777777" w:rsidR="00361703" w:rsidRPr="008642D1" w:rsidDel="00593815"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At 68–71.</w:t>
      </w:r>
    </w:p>
  </w:footnote>
  <w:footnote w:id="147">
    <w:p w14:paraId="0F6A8171" w14:textId="77777777" w:rsidR="00361703" w:rsidRPr="008642D1" w:rsidDel="00593815"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Sandra Dickson and others </w:t>
      </w:r>
      <w:r w:rsidRPr="008642D1">
        <w:rPr>
          <w:i/>
          <w:iCs/>
          <w:color w:val="262626" w:themeColor="text1" w:themeTint="D9"/>
        </w:rPr>
        <w:t xml:space="preserve">Uplifting Takatāpui and Rainbow Elder Voices: Tukua kia tū takitaki ngā whetū o te rangi </w:t>
      </w:r>
      <w:r w:rsidRPr="008642D1">
        <w:rPr>
          <w:color w:val="262626" w:themeColor="text1" w:themeTint="D9"/>
        </w:rPr>
        <w:t>(2023) at 44.</w:t>
      </w:r>
    </w:p>
  </w:footnote>
  <w:footnote w:id="148">
    <w:p w14:paraId="03F483E0" w14:textId="77777777" w:rsidR="00361703" w:rsidRPr="008642D1" w:rsidDel="00593815"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At 44.</w:t>
      </w:r>
    </w:p>
  </w:footnote>
  <w:footnote w:id="149">
    <w:p w14:paraId="5673E836"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Transgender Health Research Lab</w:t>
      </w:r>
      <w:r w:rsidRPr="008642D1">
        <w:rPr>
          <w:i/>
          <w:iCs/>
          <w:color w:val="262626" w:themeColor="text1" w:themeTint="D9"/>
        </w:rPr>
        <w:t xml:space="preserve"> Counting Ourselves: The health and wellbeing of trans and non-binary people in Aotearoa New Zealand </w:t>
      </w:r>
      <w:r w:rsidRPr="008642D1">
        <w:rPr>
          <w:color w:val="262626" w:themeColor="text1" w:themeTint="D9"/>
        </w:rPr>
        <w:t>(Te Whare Wānanga o Waikato | University of Waikato, 2019) at 68.</w:t>
      </w:r>
    </w:p>
  </w:footnote>
  <w:footnote w:id="150">
    <w:p w14:paraId="37A05687" w14:textId="77777777" w:rsidR="00361703" w:rsidRPr="008642D1" w:rsidDel="00E50F58"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At 42.</w:t>
      </w:r>
    </w:p>
  </w:footnote>
  <w:footnote w:id="151">
    <w:p w14:paraId="1D245D00" w14:textId="77777777" w:rsidR="00361703" w:rsidRPr="008642D1" w:rsidDel="00E50F58"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Sandra Dickson and others </w:t>
      </w:r>
      <w:r w:rsidRPr="008642D1">
        <w:rPr>
          <w:i/>
          <w:iCs/>
          <w:color w:val="262626" w:themeColor="text1" w:themeTint="D9"/>
        </w:rPr>
        <w:t xml:space="preserve">Uplifting Takatāpui and Rainbow Elder Voices: Tukua kia tū takitaki ngā whetū o te rangi </w:t>
      </w:r>
      <w:r w:rsidRPr="008642D1">
        <w:rPr>
          <w:color w:val="262626" w:themeColor="text1" w:themeTint="D9"/>
        </w:rPr>
        <w:t>(2023) at 43–44.</w:t>
      </w:r>
    </w:p>
  </w:footnote>
  <w:footnote w:id="152">
    <w:p w14:paraId="17108851" w14:textId="196B8E24" w:rsidR="00361703" w:rsidRPr="008642D1" w:rsidDel="00461E6A"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color w:val="262626" w:themeColor="text1" w:themeTint="D9"/>
          <w:szCs w:val="15"/>
        </w:rPr>
        <w:t>Transgender Health Research Lab</w:t>
      </w:r>
      <w:r w:rsidRPr="008642D1">
        <w:rPr>
          <w:i/>
          <w:iCs/>
          <w:color w:val="262626" w:themeColor="text1" w:themeTint="D9"/>
          <w:szCs w:val="15"/>
        </w:rPr>
        <w:t xml:space="preserve"> Counting Ourselves: The health and wellbeing of trans and non-binary people in Aotearoa New Zealand </w:t>
      </w:r>
      <w:r w:rsidRPr="008642D1">
        <w:rPr>
          <w:color w:val="262626" w:themeColor="text1" w:themeTint="D9"/>
          <w:szCs w:val="15"/>
        </w:rPr>
        <w:t xml:space="preserve">(Te Whare Wānanga o Waikato | University of Waikato, 2019) at 87. See, also, </w:t>
      </w:r>
      <w:r w:rsidRPr="008642D1">
        <w:rPr>
          <w:i/>
          <w:iCs/>
          <w:color w:val="262626" w:themeColor="text1" w:themeTint="D9"/>
        </w:rPr>
        <w:t>Report of the Independent Expert on protection against violence and discrimination based on sexual orientation and gender identity</w:t>
      </w:r>
      <w:r w:rsidRPr="008642D1">
        <w:rPr>
          <w:color w:val="262626" w:themeColor="text1" w:themeTint="D9"/>
        </w:rPr>
        <w:t xml:space="preserve"> UN Doc A/74/181 (17 July 2019) at [15], documenting international levels of homelessness among rainbow people at twice the rate of the general population. </w:t>
      </w:r>
    </w:p>
  </w:footnote>
  <w:footnote w:id="153">
    <w:p w14:paraId="704A518E" w14:textId="594D5B4E" w:rsidR="00361703" w:rsidRPr="008642D1" w:rsidDel="00EC0C6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067F0B">
        <w:rPr>
          <w:color w:val="262626" w:themeColor="text1" w:themeTint="D9"/>
          <w:szCs w:val="15"/>
        </w:rPr>
        <w:t>At</w:t>
      </w:r>
      <w:r w:rsidRPr="00067F0B" w:rsidDel="00020761">
        <w:rPr>
          <w:color w:val="262626" w:themeColor="text1" w:themeTint="D9"/>
          <w:szCs w:val="15"/>
        </w:rPr>
        <w:t xml:space="preserve"> </w:t>
      </w:r>
      <w:r w:rsidRPr="00067F0B">
        <w:rPr>
          <w:color w:val="262626" w:themeColor="text1" w:themeTint="D9"/>
          <w:szCs w:val="15"/>
        </w:rPr>
        <w:t>69</w:t>
      </w:r>
      <w:r w:rsidRPr="008642D1">
        <w:rPr>
          <w:color w:val="262626" w:themeColor="text1" w:themeTint="D9"/>
          <w:szCs w:val="15"/>
        </w:rPr>
        <w:t>.</w:t>
      </w:r>
      <w:r w:rsidR="0053776E">
        <w:rPr>
          <w:color w:val="262626" w:themeColor="text1" w:themeTint="D9"/>
          <w:szCs w:val="15"/>
        </w:rPr>
        <w:t xml:space="preserve"> </w:t>
      </w:r>
      <w:r w:rsidRPr="008642D1">
        <w:rPr>
          <w:color w:val="262626" w:themeColor="text1" w:themeTint="D9"/>
          <w:szCs w:val="15"/>
        </w:rPr>
        <w:t xml:space="preserve">See, generally, Te Kāhui Tika Tangata | Human Rights Commission </w:t>
      </w:r>
      <w:r w:rsidRPr="008642D1">
        <w:rPr>
          <w:i/>
          <w:iCs/>
          <w:color w:val="262626" w:themeColor="text1" w:themeTint="D9"/>
          <w:szCs w:val="15"/>
        </w:rPr>
        <w:t xml:space="preserve">To Be Who I Am: Report of the Inquiry into Discrimination Experienced by Transgender People </w:t>
      </w:r>
      <w:r w:rsidRPr="008642D1">
        <w:rPr>
          <w:color w:val="262626" w:themeColor="text1" w:themeTint="D9"/>
          <w:szCs w:val="15"/>
        </w:rPr>
        <w:t>(2008) at [4.13].</w:t>
      </w:r>
    </w:p>
  </w:footnote>
  <w:footnote w:id="154">
    <w:p w14:paraId="6E27B563"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Transgender Health Research Lab</w:t>
      </w:r>
      <w:r w:rsidRPr="008642D1">
        <w:rPr>
          <w:i/>
          <w:iCs/>
          <w:color w:val="262626" w:themeColor="text1" w:themeTint="D9"/>
        </w:rPr>
        <w:t xml:space="preserve"> Counting Ourselves: The health and wellbeing of trans and non-binary people in Aotearoa New Zealand </w:t>
      </w:r>
      <w:r w:rsidRPr="008642D1">
        <w:rPr>
          <w:color w:val="262626" w:themeColor="text1" w:themeTint="D9"/>
        </w:rPr>
        <w:t>(Te Whare Wānanga o Waikato | University of Waikato, 2019) at 62.</w:t>
      </w:r>
    </w:p>
  </w:footnote>
  <w:footnote w:id="155">
    <w:p w14:paraId="04667A19"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John Fenaughty and others </w:t>
      </w:r>
      <w:r w:rsidRPr="008642D1">
        <w:rPr>
          <w:i/>
          <w:iCs/>
          <w:color w:val="262626" w:themeColor="text1" w:themeTint="D9"/>
        </w:rPr>
        <w:t xml:space="preserve">Te āniwaniwa takatāpui whānui: te irawhiti me te ira huhua mō ngā rangatahi </w:t>
      </w:r>
      <w:r w:rsidRPr="008642D1">
        <w:rPr>
          <w:color w:val="262626" w:themeColor="text1" w:themeTint="D9"/>
        </w:rPr>
        <w:t>|</w:t>
      </w:r>
      <w:r w:rsidRPr="008642D1">
        <w:rPr>
          <w:i/>
          <w:iCs/>
          <w:color w:val="262626" w:themeColor="text1" w:themeTint="D9"/>
        </w:rPr>
        <w:t xml:space="preserve"> Gender Identity and young people’s wellbeing in Youth19</w:t>
      </w:r>
      <w:r w:rsidRPr="008642D1">
        <w:rPr>
          <w:color w:val="262626" w:themeColor="text1" w:themeTint="D9"/>
        </w:rPr>
        <w:t xml:space="preserve"> (Youth19 Research Group, 2023) at 20.</w:t>
      </w:r>
    </w:p>
  </w:footnote>
  <w:footnote w:id="156">
    <w:p w14:paraId="6A66D08B"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At 17–18.</w:t>
      </w:r>
    </w:p>
  </w:footnote>
  <w:footnote w:id="157">
    <w:p w14:paraId="055B5EEF"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At 18.</w:t>
      </w:r>
    </w:p>
  </w:footnote>
  <w:footnote w:id="158">
    <w:p w14:paraId="794DEAD5" w14:textId="357386E5"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Gareth Treharne and others C</w:t>
      </w:r>
      <w:r w:rsidRPr="008642D1">
        <w:rPr>
          <w:i/>
          <w:iCs/>
          <w:color w:val="262626" w:themeColor="text1" w:themeTint="D9"/>
        </w:rPr>
        <w:t>ampus climate for students with diverse sexual orientations and/or gender identities at the University of Otago, Aotearoa New Zealand</w:t>
      </w:r>
      <w:r w:rsidRPr="008642D1">
        <w:rPr>
          <w:color w:val="262626" w:themeColor="text1" w:themeTint="D9"/>
        </w:rPr>
        <w:t xml:space="preserve"> (Otago University Students’ Association, November 2016) at 19, 22 and 24. </w:t>
      </w:r>
      <w:r w:rsidR="003021EB" w:rsidRPr="008642D1">
        <w:rPr>
          <w:color w:val="262626" w:themeColor="text1" w:themeTint="D9"/>
        </w:rPr>
        <w:t>We note, however, that the sample size of gender diverse students was small.</w:t>
      </w:r>
      <w:r w:rsidR="003021EB">
        <w:rPr>
          <w:color w:val="262626" w:themeColor="text1" w:themeTint="D9"/>
        </w:rPr>
        <w:t xml:space="preserve"> </w:t>
      </w:r>
      <w:r w:rsidRPr="008642D1">
        <w:rPr>
          <w:color w:val="262626" w:themeColor="text1" w:themeTint="D9"/>
        </w:rPr>
        <w:t xml:space="preserve">See, similarly, Juliana Brown </w:t>
      </w:r>
      <w:r w:rsidRPr="008642D1">
        <w:rPr>
          <w:i/>
          <w:iCs/>
          <w:color w:val="262626" w:themeColor="text1" w:themeTint="D9"/>
        </w:rPr>
        <w:t>University of Waikato Campus Climate Initial Findings: Experiences of Gender, Sex, and Sexuality Diverse Staff and Students</w:t>
      </w:r>
      <w:r w:rsidRPr="008642D1">
        <w:rPr>
          <w:color w:val="262626" w:themeColor="text1" w:themeTint="D9"/>
        </w:rPr>
        <w:t xml:space="preserve"> (Te Whare Wānanga o Waikato | University of Waikato, 2020) at 23.</w:t>
      </w:r>
    </w:p>
  </w:footnote>
  <w:footnote w:id="159">
    <w:p w14:paraId="3D36EB7C"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Transgender Health Research Lab</w:t>
      </w:r>
      <w:r w:rsidRPr="008642D1">
        <w:rPr>
          <w:i/>
          <w:iCs/>
          <w:color w:val="262626" w:themeColor="text1" w:themeTint="D9"/>
        </w:rPr>
        <w:t xml:space="preserve"> Counting Ourselves: The health and wellbeing of trans and non-binary people in Aotearoa New Zealand </w:t>
      </w:r>
      <w:r w:rsidRPr="008642D1">
        <w:rPr>
          <w:color w:val="262626" w:themeColor="text1" w:themeTint="D9"/>
        </w:rPr>
        <w:t>(Te Whare Wānanga o Waikato | University of Waikato, 2019) at 90.</w:t>
      </w:r>
    </w:p>
  </w:footnote>
  <w:footnote w:id="160">
    <w:p w14:paraId="7EF4C27E"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At 85.</w:t>
      </w:r>
    </w:p>
  </w:footnote>
  <w:footnote w:id="161">
    <w:p w14:paraId="0ED662CC"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At 88.</w:t>
      </w:r>
    </w:p>
  </w:footnote>
  <w:footnote w:id="162">
    <w:p w14:paraId="5198EBDF" w14:textId="77777777" w:rsidR="00361703" w:rsidRPr="008642D1" w:rsidDel="0047254A"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Te Kawa Mataaho | Public Service Commission “Identity of the rainbow population” Findings from the WeCount 2019 survey</w:t>
      </w:r>
      <w:r w:rsidRPr="008642D1">
        <w:rPr>
          <w:i/>
          <w:iCs/>
          <w:color w:val="262626" w:themeColor="text1" w:themeTint="D9"/>
        </w:rPr>
        <w:t xml:space="preserve"> </w:t>
      </w:r>
      <w:r w:rsidRPr="008642D1">
        <w:rPr>
          <w:color w:val="262626" w:themeColor="text1" w:themeTint="D9"/>
        </w:rPr>
        <w:t>&lt;</w:t>
      </w:r>
      <w:hyperlink r:id="rId38" w:history="1">
        <w:r w:rsidRPr="008642D1">
          <w:rPr>
            <w:rStyle w:val="Hyperlink"/>
            <w:color w:val="262626" w:themeColor="text1" w:themeTint="D9"/>
          </w:rPr>
          <w:t>www.publicservice.govt.nz</w:t>
        </w:r>
      </w:hyperlink>
      <w:r w:rsidRPr="000811E8">
        <w:rPr>
          <w:rStyle w:val="Hyperlink"/>
          <w:color w:val="262626" w:themeColor="text1" w:themeTint="D9"/>
          <w:u w:val="none"/>
        </w:rPr>
        <w:t>&gt;</w:t>
      </w:r>
      <w:r w:rsidRPr="00EA6A67">
        <w:rPr>
          <w:color w:val="262626" w:themeColor="text1" w:themeTint="D9"/>
        </w:rPr>
        <w:t>.</w:t>
      </w:r>
    </w:p>
  </w:footnote>
  <w:footnote w:id="163">
    <w:p w14:paraId="729DB9F4" w14:textId="77777777" w:rsidR="00361703" w:rsidRPr="008642D1" w:rsidDel="0047254A"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John Fenaughty and others </w:t>
      </w:r>
      <w:r w:rsidRPr="008642D1">
        <w:rPr>
          <w:i/>
          <w:iCs/>
          <w:color w:val="262626" w:themeColor="text1" w:themeTint="D9"/>
        </w:rPr>
        <w:t xml:space="preserve">Identify Survey: Community and advocacy report </w:t>
      </w:r>
      <w:r w:rsidRPr="008642D1">
        <w:rPr>
          <w:color w:val="262626" w:themeColor="text1" w:themeTint="D9"/>
        </w:rPr>
        <w:t>(2022) at 64.</w:t>
      </w:r>
    </w:p>
  </w:footnote>
  <w:footnote w:id="164">
    <w:p w14:paraId="27F3ADB8"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At 45. </w:t>
      </w:r>
    </w:p>
  </w:footnote>
  <w:footnote w:id="165">
    <w:p w14:paraId="4A5C2ADC" w14:textId="77777777" w:rsidR="00361703" w:rsidRPr="008642D1" w:rsidRDefault="00361703" w:rsidP="00361703">
      <w:pPr>
        <w:pStyle w:val="FootnoteText"/>
        <w:rPr>
          <w:i/>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At 44. See, also, Te Tari Taiwhenua | Department of Internal Affairs </w:t>
      </w:r>
      <w:r w:rsidRPr="008642D1">
        <w:rPr>
          <w:i/>
          <w:iCs/>
          <w:color w:val="262626" w:themeColor="text1" w:themeTint="D9"/>
        </w:rPr>
        <w:t xml:space="preserve">Final Report of the Working Group for reducing barriers to changing registered sex: Recommendations to the Minister of Internal Affairs </w:t>
      </w:r>
      <w:r w:rsidRPr="008642D1">
        <w:rPr>
          <w:color w:val="262626" w:themeColor="text1" w:themeTint="D9"/>
        </w:rPr>
        <w:t>(2020) at 64.</w:t>
      </w:r>
      <w:r w:rsidRPr="008642D1">
        <w:rPr>
          <w:i/>
          <w:iCs/>
          <w:color w:val="262626" w:themeColor="text1" w:themeTint="D9"/>
        </w:rPr>
        <w:t xml:space="preserve"> </w:t>
      </w:r>
    </w:p>
  </w:footnote>
  <w:footnote w:id="166">
    <w:p w14:paraId="4CE50A8B"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Transgender Health Research Lab</w:t>
      </w:r>
      <w:r w:rsidRPr="008642D1">
        <w:rPr>
          <w:i/>
          <w:iCs/>
          <w:color w:val="262626" w:themeColor="text1" w:themeTint="D9"/>
        </w:rPr>
        <w:t xml:space="preserve"> Counting Ourselves: The health and wellbeing of trans and non-binary people in Aotearoa New Zealand </w:t>
      </w:r>
      <w:r w:rsidRPr="008642D1">
        <w:rPr>
          <w:color w:val="262626" w:themeColor="text1" w:themeTint="D9"/>
        </w:rPr>
        <w:t>(Te Whare Wānanga o Waikato | University of Waikato, 2019) at 66.</w:t>
      </w:r>
    </w:p>
  </w:footnote>
  <w:footnote w:id="167">
    <w:p w14:paraId="09D2616C"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John Fenaughty and others </w:t>
      </w:r>
      <w:r w:rsidRPr="008642D1">
        <w:rPr>
          <w:i/>
          <w:iCs/>
          <w:color w:val="262626" w:themeColor="text1" w:themeTint="D9"/>
        </w:rPr>
        <w:t xml:space="preserve">Identify Survey: Community and Advocacy Report </w:t>
      </w:r>
      <w:r w:rsidRPr="008642D1">
        <w:rPr>
          <w:color w:val="262626" w:themeColor="text1" w:themeTint="D9"/>
        </w:rPr>
        <w:t>(2022) at 41.</w:t>
      </w:r>
    </w:p>
  </w:footnote>
  <w:footnote w:id="168">
    <w:p w14:paraId="66F0276D" w14:textId="77777777" w:rsidR="00361703" w:rsidRPr="008642D1" w:rsidDel="00593815"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Transgender Health Research Lab</w:t>
      </w:r>
      <w:r w:rsidRPr="008642D1">
        <w:rPr>
          <w:i/>
          <w:iCs/>
          <w:color w:val="262626" w:themeColor="text1" w:themeTint="D9"/>
        </w:rPr>
        <w:t xml:space="preserve"> Counting Ourselves: The health and wellbeing of trans and non-binary people in Aotearoa New Zealand </w:t>
      </w:r>
      <w:r w:rsidRPr="008642D1">
        <w:rPr>
          <w:color w:val="262626" w:themeColor="text1" w:themeTint="D9"/>
        </w:rPr>
        <w:t>(Te Whare Wānanga o Waikato | University of Waikato, 2019) at 66.</w:t>
      </w:r>
    </w:p>
  </w:footnote>
  <w:footnote w:id="169">
    <w:p w14:paraId="26256D78" w14:textId="77777777" w:rsidR="00361703" w:rsidRPr="008642D1" w:rsidDel="00593815"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John Fenaughty and others </w:t>
      </w:r>
      <w:r w:rsidRPr="008642D1">
        <w:rPr>
          <w:i/>
          <w:iCs/>
          <w:color w:val="262626" w:themeColor="text1" w:themeTint="D9"/>
        </w:rPr>
        <w:t>Identify Survey: Community and Advocacy Report</w:t>
      </w:r>
      <w:r w:rsidRPr="008642D1">
        <w:rPr>
          <w:color w:val="262626" w:themeColor="text1" w:themeTint="D9"/>
        </w:rPr>
        <w:t xml:space="preserve"> (2022) at 42.</w:t>
      </w:r>
    </w:p>
  </w:footnote>
  <w:footnote w:id="170">
    <w:p w14:paraId="04E56B84" w14:textId="77777777" w:rsidR="00361703" w:rsidRPr="008642D1" w:rsidDel="00593815"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Transgender Health Research Lab</w:t>
      </w:r>
      <w:r w:rsidRPr="008642D1">
        <w:rPr>
          <w:i/>
          <w:iCs/>
          <w:color w:val="262626" w:themeColor="text1" w:themeTint="D9"/>
        </w:rPr>
        <w:t xml:space="preserve"> Counting Ourselves: The health and wellbeing of trans and non-binary people in Aotearoa New Zealand </w:t>
      </w:r>
      <w:r w:rsidRPr="008642D1">
        <w:rPr>
          <w:color w:val="262626" w:themeColor="text1" w:themeTint="D9"/>
        </w:rPr>
        <w:t>(Te Whare Wānanga o Waikato | University of Waikato, 2019) at 73–75.</w:t>
      </w:r>
    </w:p>
  </w:footnote>
  <w:footnote w:id="171">
    <w:p w14:paraId="705A4F0A" w14:textId="77777777" w:rsidR="00361703" w:rsidRPr="008642D1" w:rsidDel="00051F73"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At 90.</w:t>
      </w:r>
    </w:p>
  </w:footnote>
  <w:footnote w:id="172">
    <w:p w14:paraId="5397134A"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John Fenaughty and others </w:t>
      </w:r>
      <w:r w:rsidRPr="008642D1">
        <w:rPr>
          <w:i/>
          <w:iCs/>
          <w:color w:val="262626" w:themeColor="text1" w:themeTint="D9"/>
        </w:rPr>
        <w:t xml:space="preserve">Identify Survey: Community and Advocacy Report </w:t>
      </w:r>
      <w:r w:rsidRPr="008642D1">
        <w:rPr>
          <w:color w:val="262626" w:themeColor="text1" w:themeTint="D9"/>
        </w:rPr>
        <w:t>(2022) at 44 and 42.</w:t>
      </w:r>
    </w:p>
  </w:footnote>
  <w:footnote w:id="173">
    <w:p w14:paraId="65CBE402"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At 40.</w:t>
      </w:r>
    </w:p>
  </w:footnote>
  <w:footnote w:id="174">
    <w:p w14:paraId="59F710AB"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At 44.</w:t>
      </w:r>
    </w:p>
  </w:footnote>
  <w:footnote w:id="175">
    <w:p w14:paraId="76475832"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At 45.</w:t>
      </w:r>
    </w:p>
  </w:footnote>
  <w:footnote w:id="176">
    <w:p w14:paraId="2A0F5B78"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for example, Katy Jones “Transgender students should automatically get into nearest co-ed school, MP says” (2 January 2023) &lt;</w:t>
      </w:r>
      <w:hyperlink r:id="rId39" w:anchor=":~:text=Support%20Stuff%20LOGIN-,Transgender%20students%20should%20automatically%20get,co%2Ded%20school%2C%20MP%20says&amp;text=The%20introduction%20of%20an%20enrolment,to%20single%20sex%20schools%20only." w:history="1">
        <w:r w:rsidRPr="008642D1">
          <w:rPr>
            <w:rStyle w:val="Hyperlink"/>
            <w:color w:val="262626" w:themeColor="text1" w:themeTint="D9"/>
          </w:rPr>
          <w:t>www.stuff.co.nz</w:t>
        </w:r>
      </w:hyperlink>
      <w:r w:rsidRPr="008642D1">
        <w:rPr>
          <w:color w:val="262626" w:themeColor="text1" w:themeTint="D9"/>
        </w:rPr>
        <w:t>&gt;; and New Zealand Parents of Transgender and Gender Diverse Children “Nadia” (2020) &lt;</w:t>
      </w:r>
      <w:hyperlink r:id="rId40" w:history="1">
        <w:r w:rsidRPr="008642D1">
          <w:rPr>
            <w:rStyle w:val="Hyperlink"/>
            <w:color w:val="262626" w:themeColor="text1" w:themeTint="D9"/>
          </w:rPr>
          <w:t>www.transgenderchildren.nz</w:t>
        </w:r>
      </w:hyperlink>
      <w:r w:rsidRPr="008642D1">
        <w:rPr>
          <w:color w:val="262626" w:themeColor="text1" w:themeTint="D9"/>
        </w:rPr>
        <w:t>&gt;.</w:t>
      </w:r>
    </w:p>
  </w:footnote>
  <w:footnote w:id="177">
    <w:p w14:paraId="2A34D440"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In exceptional circumstances, the Ministry of Education may direct a state school to accept an out-of-zone student: Education and Training Act 2020, sch 20, cl 14. </w:t>
      </w:r>
    </w:p>
  </w:footnote>
  <w:footnote w:id="178">
    <w:p w14:paraId="47BF63EE"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John Fenaughty and others </w:t>
      </w:r>
      <w:r w:rsidRPr="008642D1">
        <w:rPr>
          <w:i/>
          <w:iCs/>
          <w:color w:val="262626" w:themeColor="text1" w:themeTint="D9"/>
        </w:rPr>
        <w:t xml:space="preserve">Identify Survey: Community and Advocacy Report </w:t>
      </w:r>
      <w:r w:rsidRPr="008642D1">
        <w:rPr>
          <w:color w:val="262626" w:themeColor="text1" w:themeTint="D9"/>
        </w:rPr>
        <w:t>(2022) 44–45.</w:t>
      </w:r>
    </w:p>
  </w:footnote>
  <w:footnote w:id="179">
    <w:p w14:paraId="146982A5"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Transgender Health Research Lab</w:t>
      </w:r>
      <w:r w:rsidRPr="008642D1">
        <w:rPr>
          <w:i/>
          <w:iCs/>
          <w:color w:val="262626" w:themeColor="text1" w:themeTint="D9"/>
        </w:rPr>
        <w:t xml:space="preserve"> Counting Ourselves: The health and wellbeing of trans and non-binary people in Aotearoa New Zealand </w:t>
      </w:r>
      <w:r w:rsidRPr="008642D1">
        <w:rPr>
          <w:color w:val="262626" w:themeColor="text1" w:themeTint="D9"/>
        </w:rPr>
        <w:t>(Te Whare Wānanga o Waikato | University of Waikato, 2019) at 63.</w:t>
      </w:r>
    </w:p>
  </w:footnote>
  <w:footnote w:id="180">
    <w:p w14:paraId="2EC5BDF9"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Te Kāhui Tika Tangata | Human Rights Commission </w:t>
      </w:r>
      <w:r w:rsidRPr="008642D1">
        <w:rPr>
          <w:i/>
          <w:iCs/>
          <w:color w:val="262626" w:themeColor="text1" w:themeTint="D9"/>
        </w:rPr>
        <w:t>To Be Who I Am: Report of the Inquiry into Discrimination Experienced by Transgender People</w:t>
      </w:r>
      <w:r w:rsidRPr="008642D1">
        <w:rPr>
          <w:color w:val="262626" w:themeColor="text1" w:themeTint="D9"/>
        </w:rPr>
        <w:t xml:space="preserve"> </w:t>
      </w:r>
      <w:r w:rsidRPr="008642D1">
        <w:rPr>
          <w:color w:val="262626" w:themeColor="text1" w:themeTint="D9"/>
          <w:lang w:eastAsia="en-AU"/>
        </w:rPr>
        <w:t>|</w:t>
      </w:r>
      <w:r w:rsidRPr="008642D1">
        <w:rPr>
          <w:i/>
          <w:iCs/>
          <w:color w:val="262626" w:themeColor="text1" w:themeTint="D9"/>
          <w:lang w:eastAsia="en-AU"/>
        </w:rPr>
        <w:t xml:space="preserve"> Kia noho au ki tōku anō ao: He Pūrongo mō te Uiuitanga mō Aukatitanga e Pāngia ana e ngā Tāngata Whakawhitiira</w:t>
      </w:r>
      <w:r w:rsidRPr="008642D1">
        <w:rPr>
          <w:i/>
          <w:iCs/>
          <w:color w:val="262626" w:themeColor="text1" w:themeTint="D9"/>
          <w:szCs w:val="15"/>
        </w:rPr>
        <w:t xml:space="preserve"> </w:t>
      </w:r>
      <w:r w:rsidRPr="008642D1">
        <w:rPr>
          <w:color w:val="262626" w:themeColor="text1" w:themeTint="D9"/>
          <w:szCs w:val="15"/>
        </w:rPr>
        <w:t xml:space="preserve">(2008) </w:t>
      </w:r>
      <w:r w:rsidRPr="008642D1">
        <w:rPr>
          <w:color w:val="262626" w:themeColor="text1" w:themeTint="D9"/>
        </w:rPr>
        <w:t>at 50.</w:t>
      </w:r>
    </w:p>
  </w:footnote>
  <w:footnote w:id="181">
    <w:p w14:paraId="7315BE9D"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Transgender Health Research Lab</w:t>
      </w:r>
      <w:r w:rsidRPr="008642D1">
        <w:rPr>
          <w:i/>
          <w:iCs/>
          <w:color w:val="262626" w:themeColor="text1" w:themeTint="D9"/>
        </w:rPr>
        <w:t xml:space="preserve"> Counting Ourselves: The health and wellbeing of trans and non-binary people in Aotearoa New Zealand </w:t>
      </w:r>
      <w:r w:rsidRPr="008642D1">
        <w:rPr>
          <w:color w:val="262626" w:themeColor="text1" w:themeTint="D9"/>
        </w:rPr>
        <w:t>(Te Whare Wānanga o Waikato | University of Waikato, 2019) at 19, 22 and 25.</w:t>
      </w:r>
    </w:p>
  </w:footnote>
  <w:footnote w:id="182">
    <w:p w14:paraId="243E7FFA"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Te Whatu Ora | Health New Zealand “The Gender Affirming (Genital) Surgery Service (7 March 2024) &lt;</w:t>
      </w:r>
      <w:hyperlink r:id="rId41" w:history="1">
        <w:r w:rsidRPr="008642D1">
          <w:rPr>
            <w:rStyle w:val="Hyperlink"/>
            <w:color w:val="262626" w:themeColor="text1" w:themeTint="D9"/>
          </w:rPr>
          <w:t>www.tewhatuora.govt.nz</w:t>
        </w:r>
      </w:hyperlink>
      <w:r w:rsidRPr="008642D1">
        <w:rPr>
          <w:color w:val="262626" w:themeColor="text1" w:themeTint="D9"/>
        </w:rPr>
        <w:t>&gt;.</w:t>
      </w:r>
    </w:p>
  </w:footnote>
  <w:footnote w:id="183">
    <w:p w14:paraId="0CC065E0"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Te Whatu Ora | Health New Zealand “Updates from the Gender affirming (genital) surgery service” (30 March 2024) &lt;</w:t>
      </w:r>
      <w:hyperlink r:id="rId42" w:history="1">
        <w:r w:rsidRPr="008642D1">
          <w:rPr>
            <w:rStyle w:val="Hyperlink"/>
            <w:color w:val="262626" w:themeColor="text1" w:themeTint="D9"/>
          </w:rPr>
          <w:t>www.tewhatuora.govt.nz</w:t>
        </w:r>
      </w:hyperlink>
      <w:r w:rsidRPr="008642D1">
        <w:rPr>
          <w:color w:val="262626" w:themeColor="text1" w:themeTint="D9"/>
        </w:rPr>
        <w:t>&gt;.</w:t>
      </w:r>
      <w:r w:rsidRPr="008642D1" w:rsidDel="006C38C4">
        <w:rPr>
          <w:color w:val="262626" w:themeColor="text1" w:themeTint="D9"/>
        </w:rPr>
        <w:t xml:space="preserve"> </w:t>
      </w:r>
    </w:p>
  </w:footnote>
  <w:footnote w:id="184">
    <w:p w14:paraId="4C1103DD"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Ron Paterson and others </w:t>
      </w:r>
      <w:r w:rsidRPr="008642D1">
        <w:rPr>
          <w:i/>
          <w:iCs/>
          <w:color w:val="262626" w:themeColor="text1" w:themeTint="D9"/>
        </w:rPr>
        <w:t>He Ara Oranga: Report of the Government Inquiry into Mental Health and Addiction</w:t>
      </w:r>
      <w:r w:rsidRPr="008642D1">
        <w:rPr>
          <w:color w:val="262626" w:themeColor="text1" w:themeTint="D9"/>
        </w:rPr>
        <w:t xml:space="preserve"> (Government Inquiry into Mental Health and Addiction, November 2018) at 72.</w:t>
      </w:r>
    </w:p>
  </w:footnote>
  <w:footnote w:id="185">
    <w:p w14:paraId="43CE05AF" w14:textId="12079A94"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Geraldine Christmas “‘It’s a</w:t>
      </w:r>
      <w:r w:rsidR="0053776E">
        <w:rPr>
          <w:color w:val="262626" w:themeColor="text1" w:themeTint="D9"/>
        </w:rPr>
        <w:t xml:space="preserve"> …</w:t>
      </w:r>
      <w:r w:rsidRPr="008642D1">
        <w:rPr>
          <w:color w:val="262626" w:themeColor="text1" w:themeTint="D9"/>
        </w:rPr>
        <w:t xml:space="preserve"> does it matter?’ Theorising ‘boy or girl’ binary classifications, intersexuality and medical practice in New Zealand” (PhD Thesis, Te Herenga Waka | Victoria University of Wellington, 2013) at 41, citing Hugh Young </w:t>
      </w:r>
      <w:r w:rsidRPr="008642D1">
        <w:rPr>
          <w:i/>
          <w:iCs/>
          <w:color w:val="262626" w:themeColor="text1" w:themeTint="D9"/>
        </w:rPr>
        <w:t>Genital abnormalities, hermaphroditism &amp; related adrenal diseases</w:t>
      </w:r>
      <w:r w:rsidRPr="008642D1">
        <w:rPr>
          <w:color w:val="262626" w:themeColor="text1" w:themeTint="D9"/>
        </w:rPr>
        <w:t xml:space="preserve"> (Williams &amp; Wilkins Company, Baltimore, 1937) at 8.</w:t>
      </w:r>
    </w:p>
  </w:footnote>
  <w:footnote w:id="186">
    <w:p w14:paraId="51BCE097"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Morgan Carpenter “The human rights of intersex people: addressing harmful practices and rhetoric of change” (2016) 24</w:t>
      </w:r>
      <w:r w:rsidRPr="008642D1" w:rsidDel="00255563">
        <w:rPr>
          <w:color w:val="262626" w:themeColor="text1" w:themeTint="D9"/>
        </w:rPr>
        <w:t>(47)</w:t>
      </w:r>
      <w:r w:rsidRPr="008642D1">
        <w:rPr>
          <w:color w:val="262626" w:themeColor="text1" w:themeTint="D9"/>
        </w:rPr>
        <w:t xml:space="preserve"> Reproductive Health Matters 74 at 74.</w:t>
      </w:r>
    </w:p>
  </w:footnote>
  <w:footnote w:id="187">
    <w:p w14:paraId="5600EEC6"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Council of Europe Commissioner for Human Rights </w:t>
      </w:r>
      <w:r w:rsidRPr="008642D1">
        <w:rPr>
          <w:i/>
          <w:iCs/>
          <w:color w:val="262626" w:themeColor="text1" w:themeTint="D9"/>
        </w:rPr>
        <w:t xml:space="preserve">Human rights and intersex people </w:t>
      </w:r>
      <w:r w:rsidRPr="008642D1">
        <w:rPr>
          <w:color w:val="262626" w:themeColor="text1" w:themeTint="D9"/>
        </w:rPr>
        <w:t>(April 2015) at 19.</w:t>
      </w:r>
    </w:p>
  </w:footnote>
  <w:footnote w:id="188">
    <w:p w14:paraId="7CD50DAC"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for example, Jameson Garland and Milton Diamond “Evidence-Based Reviews of Medical Interventions Relative to the Gender Status of Children with Intersex Conditions and Differences of Sex Development” in Jens M Scherpe, Anatol Dutta and Tobias Helms (eds) </w:t>
      </w:r>
      <w:r w:rsidRPr="008642D1">
        <w:rPr>
          <w:i/>
          <w:iCs/>
          <w:color w:val="262626" w:themeColor="text1" w:themeTint="D9"/>
        </w:rPr>
        <w:t xml:space="preserve">The Legal Status of Intersex Persons </w:t>
      </w:r>
      <w:r w:rsidRPr="008642D1">
        <w:rPr>
          <w:color w:val="262626" w:themeColor="text1" w:themeTint="D9"/>
        </w:rPr>
        <w:t>(Intersentia, Cambridge, 2018) 81 at 84–87.</w:t>
      </w:r>
    </w:p>
  </w:footnote>
  <w:footnote w:id="189">
    <w:p w14:paraId="147A8755"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Morgan Carpenter “The human rights of intersex people: addressing harmful practices and rhetoric of change” (2016) 24(47) Reproductive Health Matters 74 at 75. </w:t>
      </w:r>
    </w:p>
  </w:footnote>
  <w:footnote w:id="190">
    <w:p w14:paraId="3BA6877E"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Morgan Carpenter “The ‘Normalisation’ of Intersex Bodies and ‘Othering’ of Intersex Identities” in Jens M Scherpe, Anatol Dutta and Tobias Helms (eds) </w:t>
      </w:r>
      <w:r w:rsidRPr="008642D1">
        <w:rPr>
          <w:i/>
          <w:iCs/>
          <w:color w:val="262626" w:themeColor="text1" w:themeTint="D9"/>
        </w:rPr>
        <w:t xml:space="preserve">The Legal Status of Intersex Persons </w:t>
      </w:r>
      <w:r w:rsidRPr="008642D1">
        <w:rPr>
          <w:color w:val="262626" w:themeColor="text1" w:themeTint="D9"/>
        </w:rPr>
        <w:t xml:space="preserve">(Intersentia, Cambridge, 2018) 445 at 447–453; and Alice Dreger </w:t>
      </w:r>
      <w:r w:rsidRPr="008642D1">
        <w:rPr>
          <w:i/>
          <w:iCs/>
          <w:color w:val="262626" w:themeColor="text1" w:themeTint="D9"/>
        </w:rPr>
        <w:t>Shifting the Paradigm of Intersex Treatment</w:t>
      </w:r>
      <w:r w:rsidRPr="008642D1">
        <w:rPr>
          <w:color w:val="262626" w:themeColor="text1" w:themeTint="D9"/>
        </w:rPr>
        <w:t xml:space="preserve"> (Intersex Initiative, Portland, 2003) at 6–8. </w:t>
      </w:r>
    </w:p>
  </w:footnote>
  <w:footnote w:id="191">
    <w:p w14:paraId="7EA8CEC7"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Denise Steers “Gender mender, bender or defender: Understanding decision making in Aotearoa/New Zealand for people born with a variation in sex characteristics” (PhD thesis, Ōtākou Whakaihu Waka | University of Otago, 2019) at 19.</w:t>
      </w:r>
    </w:p>
  </w:footnote>
  <w:footnote w:id="192">
    <w:p w14:paraId="2D11989D"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We discuss further below the extent to which these practices continue today.</w:t>
      </w:r>
    </w:p>
  </w:footnote>
  <w:footnote w:id="193">
    <w:p w14:paraId="17187D4E"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Te Kāhui Tika Tangata | Human Rights Commission </w:t>
      </w:r>
      <w:r w:rsidRPr="008642D1">
        <w:rPr>
          <w:i/>
          <w:iCs/>
          <w:color w:val="262626" w:themeColor="text1" w:themeTint="D9"/>
        </w:rPr>
        <w:t xml:space="preserve">To Be Who I Am: Report of the Inquiry into Discrimination Experienced by Transgender People </w:t>
      </w:r>
      <w:r w:rsidRPr="008642D1">
        <w:rPr>
          <w:color w:val="262626" w:themeColor="text1" w:themeTint="D9"/>
          <w:lang w:eastAsia="en-AU"/>
        </w:rPr>
        <w:t>|</w:t>
      </w:r>
      <w:r w:rsidRPr="008642D1">
        <w:rPr>
          <w:i/>
          <w:iCs/>
          <w:color w:val="262626" w:themeColor="text1" w:themeTint="D9"/>
          <w:lang w:eastAsia="en-AU"/>
        </w:rPr>
        <w:t xml:space="preserve"> Kia noho au ki tōku anō ao: He Pūrongo mō te Uiuitanga mō Aukatitanga e Pāngia ana e ngā Tāngata Whakawhitiira</w:t>
      </w:r>
      <w:r w:rsidRPr="008642D1">
        <w:rPr>
          <w:i/>
          <w:iCs/>
          <w:color w:val="262626" w:themeColor="text1" w:themeTint="D9"/>
          <w:szCs w:val="15"/>
        </w:rPr>
        <w:t xml:space="preserve"> </w:t>
      </w:r>
      <w:r w:rsidRPr="008642D1">
        <w:rPr>
          <w:color w:val="262626" w:themeColor="text1" w:themeTint="D9"/>
        </w:rPr>
        <w:t>(2008) at 81–82.</w:t>
      </w:r>
    </w:p>
  </w:footnote>
  <w:footnote w:id="194">
    <w:p w14:paraId="218BCAA4"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FRA – European Union Agency for Fundamental Rights </w:t>
      </w:r>
      <w:r w:rsidRPr="008642D1">
        <w:rPr>
          <w:i/>
          <w:iCs/>
          <w:color w:val="262626" w:themeColor="text1" w:themeTint="D9"/>
        </w:rPr>
        <w:t xml:space="preserve">EU LGBT II: A long way to go for LGBTI equality </w:t>
      </w:r>
      <w:r w:rsidRPr="008642D1">
        <w:rPr>
          <w:color w:val="262626" w:themeColor="text1" w:themeTint="D9"/>
        </w:rPr>
        <w:t>(Publications Office of the European Union, 2020) at 51.</w:t>
      </w:r>
    </w:p>
  </w:footnote>
  <w:footnote w:id="195">
    <w:p w14:paraId="0AE9BCFD"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Tiffany Jones and others </w:t>
      </w:r>
      <w:r w:rsidRPr="008642D1">
        <w:rPr>
          <w:i/>
          <w:iCs/>
          <w:color w:val="262626" w:themeColor="text1" w:themeTint="D9"/>
        </w:rPr>
        <w:t>Intersex: Stories and Statistics from Australia</w:t>
      </w:r>
      <w:r w:rsidRPr="008642D1">
        <w:rPr>
          <w:color w:val="262626" w:themeColor="text1" w:themeTint="D9"/>
        </w:rPr>
        <w:t xml:space="preserve"> (Open Book Publishers, Cambridge, 2016) at 160.</w:t>
      </w:r>
    </w:p>
  </w:footnote>
  <w:footnote w:id="196">
    <w:p w14:paraId="4403ED5B"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At 78, 114, 130 and 147–151.</w:t>
      </w:r>
    </w:p>
  </w:footnote>
  <w:footnote w:id="197">
    <w:p w14:paraId="65B5A5C8"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Drew MacKenzie, Annette Huntington and Jean Gilmour “The experiences of people with an intersex condition: a journey from silence to voice” (2008) 18 Journal of Clinical Nursing 1775 at 1779.</w:t>
      </w:r>
    </w:p>
  </w:footnote>
  <w:footnote w:id="198">
    <w:p w14:paraId="04A5CED0"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Te Tāhuhu o te Mātauranga | Ministry of Education</w:t>
      </w:r>
      <w:r w:rsidRPr="008642D1">
        <w:rPr>
          <w:rFonts w:ascii="Calibri" w:hAnsi="Calibri" w:cs="Calibri"/>
          <w:color w:val="262626" w:themeColor="text1" w:themeTint="D9"/>
        </w:rPr>
        <w:t> </w:t>
      </w:r>
      <w:r w:rsidRPr="008642D1">
        <w:rPr>
          <w:i/>
          <w:iCs/>
          <w:color w:val="262626" w:themeColor="text1" w:themeTint="D9"/>
        </w:rPr>
        <w:t>National Education &amp; Learning Priorities: Treat kids like they’re</w:t>
      </w:r>
      <w:r w:rsidRPr="008642D1">
        <w:rPr>
          <w:rFonts w:ascii="Calibri" w:hAnsi="Calibri" w:cs="Calibri"/>
          <w:i/>
          <w:iCs/>
          <w:color w:val="262626" w:themeColor="text1" w:themeTint="D9"/>
        </w:rPr>
        <w:t> </w:t>
      </w:r>
      <w:r w:rsidRPr="008642D1">
        <w:rPr>
          <w:i/>
          <w:iCs/>
          <w:color w:val="262626" w:themeColor="text1" w:themeTint="D9"/>
        </w:rPr>
        <w:t>gold</w:t>
      </w:r>
      <w:r w:rsidRPr="008642D1">
        <w:rPr>
          <w:rFonts w:ascii="Calibri" w:hAnsi="Calibri" w:cs="Calibri"/>
          <w:color w:val="262626" w:themeColor="text1" w:themeTint="D9"/>
        </w:rPr>
        <w:t> </w:t>
      </w:r>
      <w:r w:rsidRPr="008642D1">
        <w:rPr>
          <w:color w:val="262626" w:themeColor="text1" w:themeTint="D9"/>
        </w:rPr>
        <w:t>(August 2019) at 49 and 70.</w:t>
      </w:r>
    </w:p>
  </w:footnote>
  <w:footnote w:id="199">
    <w:p w14:paraId="67FBBD47"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Karsten Schützmann and others “Psychological distress, self-harming behavior, and suicidal tendencies in adults with disorders of sex development”</w:t>
      </w:r>
      <w:r w:rsidRPr="008642D1">
        <w:rPr>
          <w:i/>
          <w:iCs/>
          <w:color w:val="262626" w:themeColor="text1" w:themeTint="D9"/>
        </w:rPr>
        <w:t xml:space="preserve"> </w:t>
      </w:r>
      <w:r w:rsidRPr="008642D1">
        <w:rPr>
          <w:color w:val="262626" w:themeColor="text1" w:themeTint="D9"/>
        </w:rPr>
        <w:t>(2007) 38</w:t>
      </w:r>
      <w:r w:rsidRPr="008642D1">
        <w:rPr>
          <w:i/>
          <w:iCs/>
          <w:color w:val="262626" w:themeColor="text1" w:themeTint="D9"/>
        </w:rPr>
        <w:t xml:space="preserve"> </w:t>
      </w:r>
      <w:r w:rsidRPr="008642D1">
        <w:rPr>
          <w:color w:val="262626" w:themeColor="text1" w:themeTint="D9"/>
        </w:rPr>
        <w:t xml:space="preserve">Archives of Sexual Behavior 16. </w:t>
      </w:r>
    </w:p>
  </w:footnote>
  <w:footnote w:id="200">
    <w:p w14:paraId="3F994414"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Tiffany Jones and others </w:t>
      </w:r>
      <w:r w:rsidRPr="008642D1">
        <w:rPr>
          <w:i/>
          <w:iCs/>
          <w:color w:val="262626" w:themeColor="text1" w:themeTint="D9"/>
        </w:rPr>
        <w:t xml:space="preserve">Intersex: Stories and Statistics from Australia </w:t>
      </w:r>
      <w:r w:rsidRPr="008642D1">
        <w:rPr>
          <w:color w:val="262626" w:themeColor="text1" w:themeTint="D9"/>
        </w:rPr>
        <w:t>(Open Book Publishers, Cambridge, 2016) at 121; and Department of Health and Aged Care “Suicide in Australia” (17 March 2021) &lt;</w:t>
      </w:r>
      <w:hyperlink r:id="rId43" w:history="1">
        <w:r w:rsidRPr="008642D1">
          <w:rPr>
            <w:rStyle w:val="Hyperlink"/>
            <w:color w:val="262626" w:themeColor="text1" w:themeTint="D9"/>
          </w:rPr>
          <w:t>www.health.gov.au</w:t>
        </w:r>
      </w:hyperlink>
      <w:r w:rsidRPr="008642D1">
        <w:rPr>
          <w:color w:val="262626" w:themeColor="text1" w:themeTint="D9"/>
        </w:rPr>
        <w:t>&gt;.</w:t>
      </w:r>
    </w:p>
  </w:footnote>
  <w:footnote w:id="201">
    <w:p w14:paraId="75D593B2"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for example, Zoe Madden-Smith “I’m intersex and I wish doctors had left my body alone” (16 April 2021) Re: News &lt;</w:t>
      </w:r>
      <w:hyperlink r:id="rId44" w:history="1">
        <w:r w:rsidRPr="008642D1">
          <w:rPr>
            <w:rStyle w:val="Hyperlink"/>
            <w:color w:val="262626" w:themeColor="text1" w:themeTint="D9"/>
          </w:rPr>
          <w:t>www.renews.co.nz</w:t>
        </w:r>
      </w:hyperlink>
      <w:r w:rsidRPr="008642D1">
        <w:rPr>
          <w:color w:val="262626" w:themeColor="text1" w:themeTint="D9"/>
        </w:rPr>
        <w:t>&gt;.</w:t>
      </w:r>
    </w:p>
  </w:footnote>
  <w:footnote w:id="202">
    <w:p w14:paraId="1D900B1A"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Starship “Differences of sex development – Atawhai Taihemahema” (9 October 2020) &lt;</w:t>
      </w:r>
      <w:hyperlink r:id="rId45" w:history="1">
        <w:r w:rsidRPr="008642D1">
          <w:rPr>
            <w:rStyle w:val="Hyperlink"/>
            <w:color w:val="262626" w:themeColor="text1" w:themeTint="D9"/>
          </w:rPr>
          <w:t>starship.org.nz</w:t>
        </w:r>
      </w:hyperlink>
      <w:r w:rsidRPr="008642D1">
        <w:rPr>
          <w:color w:val="262626" w:themeColor="text1" w:themeTint="D9"/>
        </w:rPr>
        <w:t>&gt;.</w:t>
      </w:r>
    </w:p>
  </w:footnote>
  <w:footnote w:id="203">
    <w:p w14:paraId="5E88C182" w14:textId="1DC268F1" w:rsidR="00A45985" w:rsidRDefault="00A45985">
      <w:pPr>
        <w:pStyle w:val="FootnoteText"/>
      </w:pPr>
      <w:r>
        <w:rPr>
          <w:rStyle w:val="FootnoteReference"/>
        </w:rPr>
        <w:footnoteRef/>
      </w:r>
      <w:r>
        <w:t xml:space="preserve"> </w:t>
      </w:r>
      <w:r>
        <w:tab/>
        <w:t xml:space="preserve">See, for example, </w:t>
      </w:r>
      <w:r w:rsidRPr="008642D1">
        <w:rPr>
          <w:color w:val="262626" w:themeColor="text1" w:themeTint="D9"/>
        </w:rPr>
        <w:t>Claire Breen and Katrina Roen “The Rights of Intersex Children in Aotearoa New Zealand: What Surgery is being Consented to, and Why?” (2023) 31 The International Journal of Children’s Rights 533</w:t>
      </w:r>
      <w:r w:rsidR="003A4E67">
        <w:rPr>
          <w:color w:val="262626" w:themeColor="text1" w:themeTint="D9"/>
        </w:rPr>
        <w:t xml:space="preserve">; </w:t>
      </w:r>
      <w:r w:rsidR="00B95F3E" w:rsidRPr="008642D1">
        <w:rPr>
          <w:color w:val="262626" w:themeColor="text1" w:themeTint="D9"/>
        </w:rPr>
        <w:t xml:space="preserve">Te Kāhui Tika Tangata | Human Rights Commission </w:t>
      </w:r>
      <w:r w:rsidR="00B95F3E" w:rsidRPr="008642D1">
        <w:rPr>
          <w:i/>
          <w:iCs/>
          <w:color w:val="262626" w:themeColor="text1" w:themeTint="D9"/>
        </w:rPr>
        <w:t>PRISM: Human Rights issues relating to Sexual Orientation, Gender Identity and Expression, and Sex Characteristics (SOGIESC) in Aotearoa New Zealand – A report with recommendations</w:t>
      </w:r>
      <w:r w:rsidR="00B95F3E" w:rsidRPr="008642D1">
        <w:rPr>
          <w:color w:val="262626" w:themeColor="text1" w:themeTint="D9"/>
        </w:rPr>
        <w:t xml:space="preserve"> (June 2020)</w:t>
      </w:r>
      <w:r w:rsidR="00B95F3E">
        <w:rPr>
          <w:color w:val="262626" w:themeColor="text1" w:themeTint="D9"/>
        </w:rPr>
        <w:t xml:space="preserve"> at </w:t>
      </w:r>
      <w:r w:rsidR="006D01C5">
        <w:rPr>
          <w:color w:val="262626" w:themeColor="text1" w:themeTint="D9"/>
        </w:rPr>
        <w:t>41–42</w:t>
      </w:r>
      <w:r w:rsidR="00CA69DD">
        <w:rPr>
          <w:color w:val="262626" w:themeColor="text1" w:themeTint="D9"/>
        </w:rPr>
        <w:t xml:space="preserve">; and </w:t>
      </w:r>
      <w:r w:rsidR="00CA69DD" w:rsidRPr="008642D1">
        <w:rPr>
          <w:color w:val="262626" w:themeColor="text1" w:themeTint="D9"/>
        </w:rPr>
        <w:t xml:space="preserve">Intersex Aotearoa </w:t>
      </w:r>
      <w:r w:rsidR="00CA69DD" w:rsidRPr="008642D1">
        <w:rPr>
          <w:i/>
          <w:iCs/>
          <w:color w:val="262626" w:themeColor="text1" w:themeTint="D9"/>
        </w:rPr>
        <w:t>Thematic Report to the United Nations Committee on the Rights of the Child</w:t>
      </w:r>
      <w:r w:rsidR="00CA69DD" w:rsidRPr="008642D1">
        <w:rPr>
          <w:color w:val="262626" w:themeColor="text1" w:themeTint="D9"/>
        </w:rPr>
        <w:t xml:space="preserve"> (August 2022)</w:t>
      </w:r>
      <w:r>
        <w:rPr>
          <w:color w:val="262626" w:themeColor="text1" w:themeTint="D9"/>
        </w:rPr>
        <w:t>.</w:t>
      </w:r>
    </w:p>
  </w:footnote>
  <w:footnote w:id="204">
    <w:p w14:paraId="3A06AC9A"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for example, Claire Breen and Katrina Roen “The Rights of Intersex Children in Aotearoa New Zealand: What Surgery is being Consented to, and Why?” (2023) 31 The International Journal of Children’s Rights 533.</w:t>
      </w:r>
    </w:p>
  </w:footnote>
  <w:footnote w:id="205">
    <w:p w14:paraId="2D1866B7"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color w:val="262626" w:themeColor="text1" w:themeTint="D9"/>
        </w:rPr>
        <w:t>S</w:t>
      </w:r>
      <w:r w:rsidRPr="008642D1">
        <w:rPr>
          <w:rFonts w:eastAsiaTheme="minorHAnsi" w:cstheme="minorBidi"/>
          <w:i/>
          <w:color w:val="262626" w:themeColor="text1" w:themeTint="D9"/>
          <w:szCs w:val="15"/>
          <w:shd w:val="clear" w:color="auto" w:fill="FFFFFF"/>
        </w:rPr>
        <w:t>eventh periodic report submitted by New Zealand</w:t>
      </w:r>
      <w:r w:rsidRPr="008642D1">
        <w:rPr>
          <w:rFonts w:eastAsiaTheme="minorHAnsi" w:cstheme="minorBidi"/>
          <w:i/>
          <w:iCs/>
          <w:color w:val="262626" w:themeColor="text1" w:themeTint="D9"/>
          <w:szCs w:val="15"/>
          <w:shd w:val="clear" w:color="auto" w:fill="FFFFFF"/>
        </w:rPr>
        <w:t xml:space="preserve"> under article 19 of the Convention pursuant to the simplified report procedure, due in 2019 </w:t>
      </w:r>
      <w:r w:rsidRPr="008642D1">
        <w:rPr>
          <w:rFonts w:eastAsiaTheme="minorHAnsi" w:cstheme="minorBidi"/>
          <w:color w:val="262626" w:themeColor="text1" w:themeTint="D9"/>
          <w:szCs w:val="15"/>
          <w:shd w:val="clear" w:color="auto" w:fill="FFFFFF"/>
        </w:rPr>
        <w:t>UN Doc CAT/C/NZL/7 (16 March 2020) at [329].</w:t>
      </w:r>
      <w:r w:rsidRPr="008642D1">
        <w:rPr>
          <w:rFonts w:ascii="Calibri" w:eastAsiaTheme="minorHAnsi" w:hAnsi="Calibri" w:cs="Calibri"/>
          <w:color w:val="262626" w:themeColor="text1" w:themeTint="D9"/>
          <w:szCs w:val="15"/>
          <w:shd w:val="clear" w:color="auto" w:fill="FFFFFF"/>
        </w:rPr>
        <w:t> </w:t>
      </w:r>
    </w:p>
  </w:footnote>
  <w:footnote w:id="206">
    <w:p w14:paraId="1C293AFF"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Claire Breen and Katrina Roen “The Rights of Intersex Children in Aotearoa New Zealand: What Surgery is being Consented to, and Why?” (2023) 31 The International Journal of Children’s Rights 533 at 537.</w:t>
      </w:r>
    </w:p>
  </w:footnote>
  <w:footnote w:id="207">
    <w:p w14:paraId="74C90B2C"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Denise Steers “Gender mender, bender or defender: Understanding decision making in Aotearoa/New Zealand for people born with a variation in sex characteristics” (PhD thesis, Ōtākou Whakaihu Waka | University of Otago, 2019) at 69.</w:t>
      </w:r>
    </w:p>
  </w:footnote>
  <w:footnote w:id="208">
    <w:p w14:paraId="5FBE7C36"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Murphy “Intersex awareness day: Aotearoa’s journey towards change” (26 October 2023) RNZ &lt;</w:t>
      </w:r>
      <w:hyperlink r:id="rId46" w:history="1">
        <w:r w:rsidRPr="008642D1">
          <w:rPr>
            <w:rStyle w:val="Hyperlink"/>
            <w:color w:val="262626" w:themeColor="text1" w:themeTint="D9"/>
          </w:rPr>
          <w:t>www.rnz.co.nz</w:t>
        </w:r>
      </w:hyperlink>
      <w:r w:rsidRPr="008642D1">
        <w:rPr>
          <w:color w:val="262626" w:themeColor="text1" w:themeTint="D9"/>
        </w:rPr>
        <w:t xml:space="preserve">&gt;. </w:t>
      </w:r>
    </w:p>
  </w:footnote>
  <w:footnote w:id="209">
    <w:p w14:paraId="29B00CBE"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Tiffany Jones and others </w:t>
      </w:r>
      <w:r w:rsidRPr="008642D1">
        <w:rPr>
          <w:i/>
          <w:iCs/>
          <w:color w:val="262626" w:themeColor="text1" w:themeTint="D9"/>
        </w:rPr>
        <w:t>Intersex: Stories and Statistics from Australia</w:t>
      </w:r>
      <w:r w:rsidRPr="008642D1">
        <w:rPr>
          <w:color w:val="262626" w:themeColor="text1" w:themeTint="D9"/>
        </w:rPr>
        <w:t xml:space="preserve"> (Open Book Publishers, Cambridge, 2016) at 28.</w:t>
      </w:r>
    </w:p>
  </w:footnote>
  <w:footnote w:id="210">
    <w:p w14:paraId="61E5A8CB"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Te Kāhui Tika Tangata | Human Rights Commission </w:t>
      </w:r>
      <w:r w:rsidRPr="008642D1">
        <w:rPr>
          <w:i/>
          <w:iCs/>
          <w:color w:val="262626" w:themeColor="text1" w:themeTint="D9"/>
        </w:rPr>
        <w:t>PRISM: Human Rights issues relating to Sexual Orientation, Gender Identity and Expression, and Sex Characteristics (SOGIESC) in Aotearoa New Zealand – A report with recommendations</w:t>
      </w:r>
      <w:r w:rsidRPr="008642D1">
        <w:rPr>
          <w:color w:val="262626" w:themeColor="text1" w:themeTint="D9"/>
        </w:rPr>
        <w:t xml:space="preserve"> (June 2020) at 22.</w:t>
      </w:r>
    </w:p>
  </w:footnote>
  <w:footnote w:id="211">
    <w:p w14:paraId="4289506F"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Tiffany Jones and others </w:t>
      </w:r>
      <w:r w:rsidRPr="008642D1">
        <w:rPr>
          <w:i/>
          <w:iCs/>
          <w:color w:val="262626" w:themeColor="text1" w:themeTint="D9"/>
        </w:rPr>
        <w:t>Intersex: Stories and Statistics from Australia</w:t>
      </w:r>
      <w:r w:rsidRPr="008642D1">
        <w:rPr>
          <w:color w:val="262626" w:themeColor="text1" w:themeTint="D9"/>
        </w:rPr>
        <w:t xml:space="preserve"> (Open Book Publishers, Cambridge, 2016) at 15–17. </w:t>
      </w:r>
    </w:p>
  </w:footnote>
  <w:footnote w:id="212">
    <w:p w14:paraId="28DF8040"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color w:val="262626" w:themeColor="text1" w:themeTint="D9"/>
          <w:szCs w:val="15"/>
        </w:rPr>
        <w:t xml:space="preserve">Te Kāhui Tika Tangata | Human Rights Commission </w:t>
      </w:r>
      <w:r w:rsidRPr="008642D1">
        <w:rPr>
          <w:i/>
          <w:iCs/>
          <w:color w:val="262626" w:themeColor="text1" w:themeTint="D9"/>
          <w:szCs w:val="15"/>
        </w:rPr>
        <w:t xml:space="preserve">To Be Who I Am: Report of the Inquiry into Discrimination Experienced by Transgender People </w:t>
      </w:r>
      <w:r w:rsidRPr="008642D1">
        <w:rPr>
          <w:color w:val="262626" w:themeColor="text1" w:themeTint="D9"/>
          <w:lang w:eastAsia="en-AU"/>
        </w:rPr>
        <w:t>|</w:t>
      </w:r>
      <w:r w:rsidRPr="008642D1">
        <w:rPr>
          <w:i/>
          <w:iCs/>
          <w:color w:val="262626" w:themeColor="text1" w:themeTint="D9"/>
          <w:lang w:eastAsia="en-AU"/>
        </w:rPr>
        <w:t xml:space="preserve"> Kia noho au ki tōku anō ao: He Pūrongo mō te Uiuitanga mō Aukatitanga e Pāngia ana e ngā Tāngata Whakawhitiira</w:t>
      </w:r>
      <w:r w:rsidRPr="008642D1">
        <w:rPr>
          <w:i/>
          <w:iCs/>
          <w:color w:val="262626" w:themeColor="text1" w:themeTint="D9"/>
          <w:szCs w:val="15"/>
        </w:rPr>
        <w:t xml:space="preserve"> </w:t>
      </w:r>
      <w:r w:rsidRPr="008642D1">
        <w:rPr>
          <w:color w:val="262626" w:themeColor="text1" w:themeTint="D9"/>
          <w:szCs w:val="15"/>
        </w:rPr>
        <w:t>(2008) at 80.</w:t>
      </w:r>
    </w:p>
  </w:footnote>
  <w:footnote w:id="213">
    <w:p w14:paraId="2147ED7F"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Te Tāhuhu o te Mātauranga | Ministry of Education </w:t>
      </w:r>
      <w:r w:rsidRPr="008642D1">
        <w:rPr>
          <w:i/>
          <w:iCs/>
          <w:color w:val="262626" w:themeColor="text1" w:themeTint="D9"/>
        </w:rPr>
        <w:t>National Education &amp; Learning Priorities: Treat kids like they’re gold</w:t>
      </w:r>
      <w:r w:rsidRPr="008642D1">
        <w:rPr>
          <w:color w:val="262626" w:themeColor="text1" w:themeTint="D9"/>
        </w:rPr>
        <w:t xml:space="preserve"> (August 2019) at 70.</w:t>
      </w:r>
    </w:p>
  </w:footnote>
  <w:footnote w:id="214">
    <w:p w14:paraId="5F6ED73C"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Morgan Carpenter “The human rights of intersex people: addressing harmful practices and rhetoric of change” (2016) 24(47) Reproductive Health Matters 74 at 79.</w:t>
      </w:r>
    </w:p>
  </w:footnote>
  <w:footnote w:id="215">
    <w:p w14:paraId="3A43F82E"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Te Kāhui Tika Tangata | Human Rights Commission </w:t>
      </w:r>
      <w:r w:rsidRPr="008642D1">
        <w:rPr>
          <w:i/>
          <w:iCs/>
          <w:color w:val="262626" w:themeColor="text1" w:themeTint="D9"/>
        </w:rPr>
        <w:t>PRISM: Human Rights issues relating to Sexual Orientation, Gender Identity and Expression, and Sex Characteristics (SOGIESC) in Aotearoa New Zealand – A report with recommendations</w:t>
      </w:r>
      <w:r w:rsidRPr="008642D1">
        <w:rPr>
          <w:color w:val="262626" w:themeColor="text1" w:themeTint="D9"/>
        </w:rPr>
        <w:t xml:space="preserve"> (June 2020) at 41–42.</w:t>
      </w:r>
    </w:p>
  </w:footnote>
  <w:footnote w:id="216">
    <w:p w14:paraId="5C94DF51"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Astraea Lesbian Foundation for Justice </w:t>
      </w:r>
      <w:r w:rsidRPr="008642D1">
        <w:rPr>
          <w:i/>
          <w:color w:val="262626" w:themeColor="text1" w:themeTint="D9"/>
        </w:rPr>
        <w:t xml:space="preserve">We </w:t>
      </w:r>
      <w:r w:rsidRPr="008642D1">
        <w:rPr>
          <w:i/>
          <w:iCs/>
          <w:color w:val="262626" w:themeColor="text1" w:themeTint="D9"/>
        </w:rPr>
        <w:t xml:space="preserve">are Real: The Growing </w:t>
      </w:r>
      <w:r w:rsidRPr="008642D1">
        <w:rPr>
          <w:i/>
          <w:color w:val="262626" w:themeColor="text1" w:themeTint="D9"/>
        </w:rPr>
        <w:t xml:space="preserve">Movement Advancing the Human Rights of Intersex People </w:t>
      </w:r>
      <w:r w:rsidRPr="008642D1">
        <w:rPr>
          <w:color w:val="262626" w:themeColor="text1" w:themeTint="D9"/>
        </w:rPr>
        <w:t>(2016) at 18.</w:t>
      </w:r>
    </w:p>
  </w:footnote>
  <w:footnote w:id="217">
    <w:p w14:paraId="564801C3"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Council of Europe Commissioner for Human Rights </w:t>
      </w:r>
      <w:r w:rsidRPr="008642D1">
        <w:rPr>
          <w:i/>
          <w:iCs/>
          <w:color w:val="262626" w:themeColor="text1" w:themeTint="D9"/>
        </w:rPr>
        <w:t xml:space="preserve">Human rights and intersex people </w:t>
      </w:r>
      <w:r w:rsidRPr="008642D1">
        <w:rPr>
          <w:color w:val="262626" w:themeColor="text1" w:themeTint="D9"/>
        </w:rPr>
        <w:t>(April 2015) at 13.</w:t>
      </w:r>
    </w:p>
  </w:footnote>
  <w:footnote w:id="218">
    <w:p w14:paraId="23787FCA" w14:textId="6F0BAAFC"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Te</w:t>
      </w:r>
      <w:r w:rsidRPr="008642D1">
        <w:rPr>
          <w:rFonts w:ascii="Calibri" w:hAnsi="Calibri" w:cs="Calibri"/>
          <w:color w:val="262626" w:themeColor="text1" w:themeTint="D9"/>
        </w:rPr>
        <w:t> </w:t>
      </w:r>
      <w:r w:rsidRPr="008642D1">
        <w:rPr>
          <w:color w:val="262626" w:themeColor="text1" w:themeTint="D9"/>
        </w:rPr>
        <w:t>Tari</w:t>
      </w:r>
      <w:r w:rsidRPr="008642D1">
        <w:rPr>
          <w:rFonts w:ascii="Calibri" w:hAnsi="Calibri" w:cs="Calibri"/>
          <w:color w:val="262626" w:themeColor="text1" w:themeTint="D9"/>
        </w:rPr>
        <w:t> </w:t>
      </w:r>
      <w:r w:rsidRPr="008642D1">
        <w:rPr>
          <w:color w:val="262626" w:themeColor="text1" w:themeTint="D9"/>
        </w:rPr>
        <w:t>Taiwhenua</w:t>
      </w:r>
      <w:r w:rsidRPr="008642D1">
        <w:rPr>
          <w:rFonts w:ascii="Calibri" w:hAnsi="Calibri" w:cs="Calibri"/>
          <w:color w:val="262626" w:themeColor="text1" w:themeTint="D9"/>
        </w:rPr>
        <w:t> </w:t>
      </w:r>
      <w:r w:rsidRPr="008642D1">
        <w:rPr>
          <w:color w:val="262626" w:themeColor="text1" w:themeTint="D9"/>
        </w:rPr>
        <w:t>| Department of Internal Affairs</w:t>
      </w:r>
      <w:r w:rsidRPr="008642D1">
        <w:rPr>
          <w:rFonts w:ascii="Calibri" w:hAnsi="Calibri" w:cs="Calibri"/>
          <w:color w:val="262626" w:themeColor="text1" w:themeTint="D9"/>
        </w:rPr>
        <w:t xml:space="preserve"> </w:t>
      </w:r>
      <w:r w:rsidRPr="008642D1">
        <w:rPr>
          <w:i/>
          <w:iCs/>
          <w:color w:val="262626" w:themeColor="text1" w:themeTint="D9"/>
        </w:rPr>
        <w:t>Births, Deaths, Marriages, and Relationships Registration Bill Supplementary Order Paper – Departmental Report</w:t>
      </w:r>
      <w:r w:rsidRPr="008642D1">
        <w:rPr>
          <w:rFonts w:ascii="Calibri" w:hAnsi="Calibri" w:cs="Calibri"/>
          <w:i/>
          <w:iCs/>
          <w:color w:val="262626" w:themeColor="text1" w:themeTint="D9"/>
        </w:rPr>
        <w:t> </w:t>
      </w:r>
      <w:r w:rsidRPr="008642D1">
        <w:rPr>
          <w:color w:val="262626" w:themeColor="text1" w:themeTint="D9"/>
        </w:rPr>
        <w:t>(11 October 2021) at [73.2]</w:t>
      </w:r>
      <w:r w:rsidRPr="008642D1">
        <w:rPr>
          <w:rFonts w:ascii="Calibri" w:hAnsi="Calibri" w:cs="Calibri"/>
          <w:color w:val="262626" w:themeColor="text1" w:themeTint="D9"/>
        </w:rPr>
        <w:t> </w:t>
      </w:r>
      <w:r w:rsidRPr="008642D1">
        <w:rPr>
          <w:color w:val="262626" w:themeColor="text1" w:themeTint="D9"/>
        </w:rPr>
        <w:t xml:space="preserve">and [113]. This report notes </w:t>
      </w:r>
      <w:r w:rsidR="00720FF8">
        <w:rPr>
          <w:color w:val="262626" w:themeColor="text1" w:themeTint="D9"/>
        </w:rPr>
        <w:t xml:space="preserve">the term </w:t>
      </w:r>
      <w:r w:rsidRPr="008642D1" w:rsidDel="00720FF8">
        <w:rPr>
          <w:rFonts w:cs="Metropolis Light"/>
          <w:color w:val="262626" w:themeColor="text1" w:themeTint="D9"/>
        </w:rPr>
        <w:t>‘</w:t>
      </w:r>
      <w:r w:rsidRPr="008642D1">
        <w:rPr>
          <w:color w:val="262626" w:themeColor="text1" w:themeTint="D9"/>
        </w:rPr>
        <w:t>indeterminate</w:t>
      </w:r>
      <w:r w:rsidRPr="008642D1" w:rsidDel="00720FF8">
        <w:rPr>
          <w:rFonts w:cs="Metropolis Light"/>
          <w:color w:val="262626" w:themeColor="text1" w:themeTint="D9"/>
        </w:rPr>
        <w:t>’</w:t>
      </w:r>
      <w:r w:rsidRPr="008642D1">
        <w:rPr>
          <w:color w:val="262626" w:themeColor="text1" w:themeTint="D9"/>
        </w:rPr>
        <w:t xml:space="preserve"> is</w:t>
      </w:r>
      <w:r w:rsidRPr="008642D1">
        <w:rPr>
          <w:rFonts w:ascii="Calibri" w:hAnsi="Calibri" w:cs="Calibri"/>
          <w:color w:val="262626" w:themeColor="text1" w:themeTint="D9"/>
        </w:rPr>
        <w:t> </w:t>
      </w:r>
      <w:r w:rsidRPr="008642D1">
        <w:rPr>
          <w:color w:val="262626" w:themeColor="text1" w:themeTint="D9"/>
        </w:rPr>
        <w:t>most commonly used</w:t>
      </w:r>
      <w:r w:rsidRPr="008642D1">
        <w:rPr>
          <w:rFonts w:ascii="Calibri" w:hAnsi="Calibri" w:cs="Calibri"/>
          <w:color w:val="262626" w:themeColor="text1" w:themeTint="D9"/>
        </w:rPr>
        <w:t> </w:t>
      </w:r>
      <w:r w:rsidRPr="008642D1">
        <w:rPr>
          <w:color w:val="262626" w:themeColor="text1" w:themeTint="D9"/>
        </w:rPr>
        <w:t>as a marker for sex at birth for babies who are stillborn or who die soon after birth where their sex cannot be determined. It</w:t>
      </w:r>
      <w:r w:rsidRPr="008642D1">
        <w:rPr>
          <w:rFonts w:ascii="Calibri" w:hAnsi="Calibri" w:cs="Calibri"/>
          <w:color w:val="262626" w:themeColor="text1" w:themeTint="D9"/>
        </w:rPr>
        <w:t xml:space="preserve"> </w:t>
      </w:r>
      <w:r w:rsidRPr="008642D1">
        <w:rPr>
          <w:color w:val="262626" w:themeColor="text1" w:themeTint="D9"/>
        </w:rPr>
        <w:t>is not intended to be a non-binary identity option.</w:t>
      </w:r>
      <w:r w:rsidRPr="008642D1">
        <w:rPr>
          <w:rFonts w:ascii="Calibri" w:hAnsi="Calibri" w:cs="Calibri"/>
          <w:color w:val="262626" w:themeColor="text1" w:themeTint="D9"/>
        </w:rPr>
        <w:t>   </w:t>
      </w:r>
    </w:p>
  </w:footnote>
  <w:footnote w:id="219">
    <w:p w14:paraId="60CB3C13" w14:textId="77777777" w:rsidR="00361703" w:rsidRPr="008642D1" w:rsidRDefault="00361703" w:rsidP="0036170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Astraea Lesbian Foundation for Justice </w:t>
      </w:r>
      <w:r w:rsidRPr="008642D1">
        <w:rPr>
          <w:i/>
          <w:iCs/>
          <w:color w:val="262626" w:themeColor="text1" w:themeTint="D9"/>
        </w:rPr>
        <w:t xml:space="preserve">We are Real: The Growing Movement Advancing the Human Rights of Intersex People </w:t>
      </w:r>
      <w:r w:rsidRPr="008642D1">
        <w:rPr>
          <w:color w:val="262626" w:themeColor="text1" w:themeTint="D9"/>
        </w:rPr>
        <w:t>(2016) at 15.</w:t>
      </w:r>
    </w:p>
  </w:footnote>
  <w:footnote w:id="220">
    <w:p w14:paraId="5310B527"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bookmarkStart w:id="64" w:name="_Hlk164341511"/>
      <w:r w:rsidRPr="008642D1">
        <w:rPr>
          <w:i/>
          <w:iCs/>
          <w:color w:val="262626" w:themeColor="text1" w:themeTint="D9"/>
        </w:rPr>
        <w:t xml:space="preserve">Ministry of Health v Atkinson </w:t>
      </w:r>
      <w:r w:rsidRPr="008642D1">
        <w:rPr>
          <w:color w:val="262626" w:themeColor="text1" w:themeTint="D9"/>
        </w:rPr>
        <w:t xml:space="preserve">[2012] NZCA 184, [2012] 3 NZLR 456 </w:t>
      </w:r>
      <w:bookmarkEnd w:id="64"/>
      <w:r w:rsidRPr="008642D1">
        <w:rPr>
          <w:color w:val="262626" w:themeColor="text1" w:themeTint="D9"/>
        </w:rPr>
        <w:t xml:space="preserve">at [116], citing </w:t>
      </w:r>
      <w:r w:rsidRPr="008642D1">
        <w:rPr>
          <w:i/>
          <w:iCs/>
          <w:color w:val="262626" w:themeColor="text1" w:themeTint="D9"/>
        </w:rPr>
        <w:t xml:space="preserve">Quilter v Attorney-General </w:t>
      </w:r>
      <w:r w:rsidRPr="008642D1">
        <w:rPr>
          <w:color w:val="262626" w:themeColor="text1" w:themeTint="D9"/>
        </w:rPr>
        <w:t xml:space="preserve">[1998] 1 NZLR 523 (CA) at 573 per Tipping J. </w:t>
      </w:r>
    </w:p>
  </w:footnote>
  <w:footnote w:id="221">
    <w:p w14:paraId="43027AF3"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Charlie Cox “The Majestic Equality of Disenfranchisement: Assessing the Right to Freedom from Discrimination in Light of the Ngaronoa Litigation” (2020) 51 VUWLR 27 at 27, citing Louis P Pojman and Robert Westmoreland (eds) </w:t>
      </w:r>
      <w:r w:rsidRPr="008642D1">
        <w:rPr>
          <w:i/>
          <w:iCs/>
          <w:color w:val="262626" w:themeColor="text1" w:themeTint="D9"/>
        </w:rPr>
        <w:t>Equality</w:t>
      </w:r>
      <w:r w:rsidRPr="008642D1">
        <w:rPr>
          <w:color w:val="262626" w:themeColor="text1" w:themeTint="D9"/>
        </w:rPr>
        <w:t xml:space="preserve"> (Oxford University Press, New York, 1997) at 1.</w:t>
      </w:r>
    </w:p>
  </w:footnote>
  <w:footnote w:id="222">
    <w:p w14:paraId="513397B0"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Cabinet Office </w:t>
      </w:r>
      <w:r w:rsidRPr="008642D1">
        <w:rPr>
          <w:i/>
          <w:iCs/>
          <w:color w:val="262626" w:themeColor="text1" w:themeTint="D9"/>
        </w:rPr>
        <w:t>Cabinet Manual 2023</w:t>
      </w:r>
      <w:r w:rsidRPr="008642D1">
        <w:rPr>
          <w:color w:val="262626" w:themeColor="text1" w:themeTint="D9"/>
        </w:rPr>
        <w:t xml:space="preserve"> at 159 reproducing the authoritative translation by Sir Hugh Kawharu.</w:t>
      </w:r>
    </w:p>
  </w:footnote>
  <w:footnote w:id="223">
    <w:p w14:paraId="434F2BDB"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for example, </w:t>
      </w:r>
      <w:r w:rsidRPr="008642D1">
        <w:rPr>
          <w:rFonts w:eastAsia="Calibri" w:cs="Arial"/>
          <w:color w:val="262626" w:themeColor="text1" w:themeTint="D9"/>
        </w:rPr>
        <w:t xml:space="preserve">David Bromell “‘A Fair Go’ in Public Policy” (2014) 10(2) Policy Quarterly 12; and Barbara Brookes “A Fair Go” in Royal Society Te Apārangi (ed) </w:t>
      </w:r>
      <w:r w:rsidRPr="008642D1">
        <w:rPr>
          <w:rFonts w:eastAsia="Calibri" w:cs="Arial"/>
          <w:i/>
          <w:iCs/>
          <w:color w:val="262626" w:themeColor="text1" w:themeTint="D9"/>
        </w:rPr>
        <w:t xml:space="preserve">Te Tapeke Fair Futures in Aotearoa </w:t>
      </w:r>
      <w:r w:rsidRPr="008642D1">
        <w:rPr>
          <w:rFonts w:eastAsia="Calibri" w:cs="Arial"/>
          <w:color w:val="262626" w:themeColor="text1" w:themeTint="D9"/>
        </w:rPr>
        <w:t>(2020) 2.</w:t>
      </w:r>
      <w:r w:rsidRPr="008642D1">
        <w:rPr>
          <w:color w:val="262626" w:themeColor="text1" w:themeTint="D9"/>
        </w:rPr>
        <w:t xml:space="preserve"> </w:t>
      </w:r>
    </w:p>
  </w:footnote>
  <w:footnote w:id="224">
    <w:p w14:paraId="4F524022"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bookmarkStart w:id="65" w:name="_Hlk164342874"/>
      <w:r w:rsidRPr="008642D1">
        <w:rPr>
          <w:color w:val="262626" w:themeColor="text1" w:themeTint="D9"/>
        </w:rPr>
        <w:t>Colin James “Ombudsmen’s services ensure ‘a fair go’” (1 October 2012) Stuff &lt;</w:t>
      </w:r>
      <w:hyperlink r:id="rId47" w:history="1">
        <w:r w:rsidRPr="008642D1">
          <w:rPr>
            <w:rStyle w:val="Hyperlink"/>
            <w:color w:val="262626" w:themeColor="text1" w:themeTint="D9"/>
          </w:rPr>
          <w:t>www.stuff.co.nz</w:t>
        </w:r>
      </w:hyperlink>
      <w:r w:rsidRPr="008642D1">
        <w:rPr>
          <w:color w:val="262626" w:themeColor="text1" w:themeTint="D9"/>
        </w:rPr>
        <w:t xml:space="preserve">&gt;. </w:t>
      </w:r>
      <w:bookmarkEnd w:id="65"/>
    </w:p>
  </w:footnote>
  <w:footnote w:id="225">
    <w:p w14:paraId="21732E72"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(20 July 1977) 411 NZPD </w:t>
      </w:r>
      <w:r w:rsidRPr="008642D1">
        <w:rPr>
          <w:rFonts w:eastAsia="Calibri" w:cs="Arial"/>
          <w:color w:val="262626" w:themeColor="text1" w:themeTint="D9"/>
          <w:lang w:eastAsia="en-AU"/>
        </w:rPr>
        <w:t xml:space="preserve">1477; and (27 July 1993) 537 NZPD 16904. </w:t>
      </w:r>
    </w:p>
  </w:footnote>
  <w:footnote w:id="226">
    <w:p w14:paraId="5AC999F0"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Department of Justice “A Bill of Rights for New Zealand: A White Paper” [1984–1985] I AJHR A6 at [10.81].</w:t>
      </w:r>
    </w:p>
  </w:footnote>
  <w:footnote w:id="227">
    <w:p w14:paraId="032373D1" w14:textId="4C923C28"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One example is that the Act exempts certain kinds of </w:t>
      </w:r>
      <w:r w:rsidRPr="008642D1" w:rsidDel="00720FF8">
        <w:rPr>
          <w:color w:val="262626" w:themeColor="text1" w:themeTint="D9"/>
        </w:rPr>
        <w:t>‘</w:t>
      </w:r>
      <w:r w:rsidRPr="008642D1">
        <w:rPr>
          <w:color w:val="262626" w:themeColor="text1" w:themeTint="D9"/>
        </w:rPr>
        <w:t>positive discrimination</w:t>
      </w:r>
      <w:r w:rsidRPr="008642D1" w:rsidDel="00720FF8">
        <w:rPr>
          <w:color w:val="262626" w:themeColor="text1" w:themeTint="D9"/>
        </w:rPr>
        <w:t>’</w:t>
      </w:r>
      <w:r w:rsidRPr="008642D1">
        <w:rPr>
          <w:color w:val="262626" w:themeColor="text1" w:themeTint="D9"/>
        </w:rPr>
        <w:t xml:space="preserve"> (distinctions that help a group that has suffered past discrimination): Human Rights Act 1993, s 73.</w:t>
      </w:r>
    </w:p>
  </w:footnote>
  <w:footnote w:id="228">
    <w:p w14:paraId="021ED46C"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for example, Sheilah L Martin “Equality Jurisprudence in Canada” (2019) 17 NZJPIL 127 at 135.</w:t>
      </w:r>
    </w:p>
  </w:footnote>
  <w:footnote w:id="229">
    <w:p w14:paraId="73C7EF40"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for example, Ronald Dworkin </w:t>
      </w:r>
      <w:r w:rsidRPr="008642D1">
        <w:rPr>
          <w:i/>
          <w:iCs/>
          <w:color w:val="262626" w:themeColor="text1" w:themeTint="D9"/>
        </w:rPr>
        <w:t xml:space="preserve">Taking Rights Seriously </w:t>
      </w:r>
      <w:r w:rsidRPr="008642D1">
        <w:rPr>
          <w:color w:val="262626" w:themeColor="text1" w:themeTint="D9"/>
        </w:rPr>
        <w:t>(Duckworth, London, 1978) at 198, describing dignity as a “vague but powerful idea”.</w:t>
      </w:r>
    </w:p>
  </w:footnote>
  <w:footnote w:id="230">
    <w:p w14:paraId="58326E0B" w14:textId="77777777" w:rsidR="00D82B85" w:rsidRPr="008642D1" w:rsidRDefault="00D82B85" w:rsidP="00D82B85">
      <w:pPr>
        <w:pStyle w:val="FootnoteText"/>
        <w:spacing w:before="0"/>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James May and Erin Daly “Why dignity rights matter” (2019) 2 EHRLR 129 at 129. </w:t>
      </w:r>
    </w:p>
  </w:footnote>
  <w:footnote w:id="231">
    <w:p w14:paraId="21B481AD"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for example, Mihiata Pirini and Anna High “Dignity and Mana in the ‘Third Law’ of Aotearoa New Zealand” (2021) 29 NZULR 623 at 629.</w:t>
      </w:r>
    </w:p>
  </w:footnote>
  <w:footnote w:id="232">
    <w:p w14:paraId="24DF8FFC" w14:textId="60D1483D"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iCs/>
          <w:color w:val="262626" w:themeColor="text1" w:themeTint="D9"/>
        </w:rPr>
        <w:t>Law v Canada (Minister of Employment and Immigration)</w:t>
      </w:r>
      <w:r w:rsidRPr="008642D1">
        <w:rPr>
          <w:color w:val="262626" w:themeColor="text1" w:themeTint="D9"/>
        </w:rPr>
        <w:t xml:space="preserve"> [1999] 1 SCR 497 at [53]. </w:t>
      </w:r>
      <w:r w:rsidRPr="008642D1">
        <w:rPr>
          <w:rFonts w:eastAsia="Calibri" w:cs="Arial"/>
          <w:color w:val="262626" w:themeColor="text1" w:themeTint="D9"/>
        </w:rPr>
        <w:t xml:space="preserve">Canadian judges have since backed away from using ‘harm to dignity’ as an operational test to determine whether discrimination has occurred but still identify dignity as a cardinal value underlying anti-discrimination law: for example, </w:t>
      </w:r>
      <w:r w:rsidRPr="008642D1">
        <w:rPr>
          <w:i/>
          <w:iCs/>
          <w:color w:val="262626" w:themeColor="text1" w:themeTint="D9"/>
        </w:rPr>
        <w:t xml:space="preserve">R v Kapp </w:t>
      </w:r>
      <w:r w:rsidRPr="008642D1">
        <w:rPr>
          <w:color w:val="262626" w:themeColor="text1" w:themeTint="D9"/>
        </w:rPr>
        <w:t>[2008] 2 SCR 483 at [21].</w:t>
      </w:r>
    </w:p>
  </w:footnote>
  <w:footnote w:id="233">
    <w:p w14:paraId="2FA36AA0"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(20 July 1977) 411 NZPD </w:t>
      </w:r>
      <w:r w:rsidRPr="008642D1">
        <w:rPr>
          <w:rFonts w:eastAsia="Calibri" w:cs="Arial"/>
          <w:color w:val="262626" w:themeColor="text1" w:themeTint="D9"/>
          <w:lang w:eastAsia="en-AU"/>
        </w:rPr>
        <w:t>1474.</w:t>
      </w:r>
      <w:r w:rsidRPr="008642D1">
        <w:rPr>
          <w:color w:val="262626" w:themeColor="text1" w:themeTint="D9"/>
        </w:rPr>
        <w:t xml:space="preserve"> </w:t>
      </w:r>
      <w:r w:rsidRPr="008642D1">
        <w:rPr>
          <w:rFonts w:eastAsia="Calibri" w:cs="Arial"/>
          <w:color w:val="262626" w:themeColor="text1" w:themeTint="D9"/>
          <w:lang w:eastAsia="en-AU"/>
        </w:rPr>
        <w:t>See, similarly, (</w:t>
      </w:r>
      <w:r w:rsidRPr="008642D1">
        <w:rPr>
          <w:color w:val="262626" w:themeColor="text1" w:themeTint="D9"/>
        </w:rPr>
        <w:t>23 August 1977) 413</w:t>
      </w:r>
      <w:r w:rsidRPr="008642D1">
        <w:rPr>
          <w:rFonts w:eastAsia="Calibri" w:cs="Arial"/>
          <w:color w:val="262626" w:themeColor="text1" w:themeTint="D9"/>
          <w:lang w:eastAsia="en-AU"/>
        </w:rPr>
        <w:t xml:space="preserve"> </w:t>
      </w:r>
      <w:r w:rsidRPr="008642D1">
        <w:rPr>
          <w:color w:val="262626" w:themeColor="text1" w:themeTint="D9"/>
        </w:rPr>
        <w:t xml:space="preserve">NZPD 2387 (Dr Shearer MP). </w:t>
      </w:r>
    </w:p>
  </w:footnote>
  <w:footnote w:id="234">
    <w:p w14:paraId="2B3E38D2"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92M(1)(c).</w:t>
      </w:r>
    </w:p>
  </w:footnote>
  <w:footnote w:id="235">
    <w:p w14:paraId="0D1688B7"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iCs/>
          <w:color w:val="262626" w:themeColor="text1" w:themeTint="D9"/>
        </w:rPr>
        <w:t xml:space="preserve">Marshall v Idea Services Ltd </w:t>
      </w:r>
      <w:r w:rsidRPr="008642D1">
        <w:rPr>
          <w:color w:val="262626" w:themeColor="text1" w:themeTint="D9"/>
        </w:rPr>
        <w:t>[2020] NZHRRT 9 at [82].</w:t>
      </w:r>
    </w:p>
  </w:footnote>
  <w:footnote w:id="236">
    <w:p w14:paraId="34877F57" w14:textId="4ACEFDF8"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sidDel="009862D8">
        <w:rPr>
          <w:i/>
          <w:iCs/>
          <w:color w:val="262626" w:themeColor="text1" w:themeTint="D9"/>
        </w:rPr>
        <w:t xml:space="preserve">Marshall v Idea Services Ltd </w:t>
      </w:r>
      <w:r w:rsidRPr="008642D1" w:rsidDel="009862D8">
        <w:rPr>
          <w:color w:val="262626" w:themeColor="text1" w:themeTint="D9"/>
        </w:rPr>
        <w:t xml:space="preserve">[2020] NZHRRT 9 </w:t>
      </w:r>
      <w:r w:rsidRPr="008642D1">
        <w:rPr>
          <w:color w:val="262626" w:themeColor="text1" w:themeTint="D9"/>
        </w:rPr>
        <w:t>at [79]. See</w:t>
      </w:r>
      <w:r w:rsidR="002E54F0">
        <w:rPr>
          <w:color w:val="262626" w:themeColor="text1" w:themeTint="D9"/>
        </w:rPr>
        <w:t>,</w:t>
      </w:r>
      <w:r w:rsidRPr="008642D1">
        <w:rPr>
          <w:color w:val="262626" w:themeColor="text1" w:themeTint="D9"/>
        </w:rPr>
        <w:t xml:space="preserve"> also</w:t>
      </w:r>
      <w:r w:rsidR="002E54F0">
        <w:rPr>
          <w:color w:val="262626" w:themeColor="text1" w:themeTint="D9"/>
        </w:rPr>
        <w:t>,</w:t>
      </w:r>
      <w:r w:rsidRPr="008642D1">
        <w:rPr>
          <w:color w:val="262626" w:themeColor="text1" w:themeTint="D9"/>
        </w:rPr>
        <w:t xml:space="preserve"> </w:t>
      </w:r>
      <w:r w:rsidRPr="008642D1">
        <w:rPr>
          <w:i/>
          <w:iCs/>
          <w:color w:val="262626" w:themeColor="text1" w:themeTint="D9"/>
        </w:rPr>
        <w:t xml:space="preserve">Seales v Attorney-General </w:t>
      </w:r>
      <w:r w:rsidRPr="008642D1">
        <w:rPr>
          <w:color w:val="262626" w:themeColor="text1" w:themeTint="D9"/>
        </w:rPr>
        <w:t>[2015] NZHC 1239, [2015] 3 NZLR 556 at [67].</w:t>
      </w:r>
    </w:p>
  </w:footnote>
  <w:footnote w:id="237">
    <w:p w14:paraId="4D2D028C"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w:t>
      </w:r>
      <w:bookmarkStart w:id="66" w:name="_Hlk164342192"/>
      <w:r w:rsidRPr="008642D1">
        <w:rPr>
          <w:i/>
          <w:iCs/>
          <w:color w:val="262626" w:themeColor="text1" w:themeTint="D9"/>
        </w:rPr>
        <w:t xml:space="preserve">Seales </w:t>
      </w:r>
      <w:r w:rsidRPr="008642D1" w:rsidDel="0042796F">
        <w:rPr>
          <w:i/>
          <w:iCs/>
          <w:color w:val="262626" w:themeColor="text1" w:themeTint="D9"/>
        </w:rPr>
        <w:t xml:space="preserve">v Attorney-General </w:t>
      </w:r>
      <w:r w:rsidRPr="008642D1" w:rsidDel="0042796F">
        <w:rPr>
          <w:color w:val="262626" w:themeColor="text1" w:themeTint="D9"/>
        </w:rPr>
        <w:t xml:space="preserve">[2015] NZHC 1239, [2015] 3 NZLR 556 </w:t>
      </w:r>
      <w:bookmarkEnd w:id="66"/>
      <w:r w:rsidRPr="008642D1">
        <w:rPr>
          <w:color w:val="262626" w:themeColor="text1" w:themeTint="D9"/>
        </w:rPr>
        <w:t>at</w:t>
      </w:r>
      <w:r w:rsidRPr="008642D1">
        <w:rPr>
          <w:i/>
          <w:iCs/>
          <w:color w:val="262626" w:themeColor="text1" w:themeTint="D9"/>
        </w:rPr>
        <w:t xml:space="preserve"> </w:t>
      </w:r>
      <w:r w:rsidRPr="008642D1">
        <w:rPr>
          <w:color w:val="262626" w:themeColor="text1" w:themeTint="D9"/>
        </w:rPr>
        <w:t>[71].</w:t>
      </w:r>
    </w:p>
  </w:footnote>
  <w:footnote w:id="238">
    <w:p w14:paraId="52C79BCF"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Jill Marshall </w:t>
      </w:r>
      <w:r w:rsidRPr="008642D1">
        <w:rPr>
          <w:i/>
          <w:iCs/>
          <w:color w:val="262626" w:themeColor="text1" w:themeTint="D9"/>
        </w:rPr>
        <w:t>Personal Freedom through Human Rights Law? Autonomy, Identity and Integrity under the European Convention on Human Rights</w:t>
      </w:r>
      <w:r w:rsidRPr="008642D1">
        <w:rPr>
          <w:color w:val="262626" w:themeColor="text1" w:themeTint="D9"/>
        </w:rPr>
        <w:t xml:space="preserve"> (Martinus Nijhoff, Leiden, 2009) at 21.</w:t>
      </w:r>
    </w:p>
  </w:footnote>
  <w:footnote w:id="239">
    <w:p w14:paraId="4EB14411"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John Gardner “Private Activities and Personal Autonomy: At the Margins of Anti-discrimination Law” in Bob A Hepple and Erika M Szyszczak (eds) </w:t>
      </w:r>
      <w:r w:rsidRPr="008642D1">
        <w:rPr>
          <w:i/>
          <w:iCs/>
          <w:color w:val="262626" w:themeColor="text1" w:themeTint="D9"/>
        </w:rPr>
        <w:t>Discrimination: the limits of law</w:t>
      </w:r>
      <w:r w:rsidRPr="008642D1">
        <w:rPr>
          <w:color w:val="262626" w:themeColor="text1" w:themeTint="D9"/>
        </w:rPr>
        <w:t xml:space="preserve"> (Mansell Publishing, 1992) 148 at 155. </w:t>
      </w:r>
    </w:p>
  </w:footnote>
  <w:footnote w:id="240">
    <w:p w14:paraId="018D2149"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At 155.</w:t>
      </w:r>
    </w:p>
  </w:footnote>
  <w:footnote w:id="241">
    <w:p w14:paraId="1E42B095"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i/>
          <w:iCs/>
          <w:color w:val="262626" w:themeColor="text1" w:themeTint="D9"/>
        </w:rPr>
        <w:tab/>
        <w:t>Law v Canada (Minister of Employment and Immigration)</w:t>
      </w:r>
      <w:r w:rsidRPr="008642D1">
        <w:rPr>
          <w:color w:val="262626" w:themeColor="text1" w:themeTint="D9"/>
        </w:rPr>
        <w:t xml:space="preserve"> [1999] 1 SCR 497 at [53].</w:t>
      </w:r>
    </w:p>
  </w:footnote>
  <w:footnote w:id="242">
    <w:p w14:paraId="7F7D0D68" w14:textId="4BB50E58"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Larry Alexander</w:t>
      </w:r>
      <w:r w:rsidRPr="008642D1">
        <w:rPr>
          <w:rFonts w:eastAsia="Calibri" w:cs="Arial"/>
          <w:color w:val="262626" w:themeColor="text1" w:themeTint="D9"/>
          <w:lang w:eastAsia="en-AU"/>
        </w:rPr>
        <w:t xml:space="preserve"> “What Makes Wrongful Discrimination Wrong? Biases, Preferences, Stereotypes, and Proxies” (1992) 141 U Pa L Rev 149 at 156; and see, further, at 154–155 and 201–202.</w:t>
      </w:r>
    </w:p>
  </w:footnote>
  <w:footnote w:id="243">
    <w:p w14:paraId="7B784CD8"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iCs/>
          <w:color w:val="262626" w:themeColor="text1" w:themeTint="D9"/>
        </w:rPr>
        <w:t>Tysiąc v Poland</w:t>
      </w:r>
      <w:r w:rsidRPr="008642D1">
        <w:rPr>
          <w:color w:val="262626" w:themeColor="text1" w:themeTint="D9"/>
        </w:rPr>
        <w:t xml:space="preserve"> ECHR 5410/03, 20 March 2007 at [107].</w:t>
      </w:r>
    </w:p>
  </w:footnote>
  <w:footnote w:id="244">
    <w:p w14:paraId="5128FF04" w14:textId="52886FEF"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Human Rights Act 1993, s 27(3)(a). For discussion of this dimension of the right to privacy (which the author calls ‘sexual privacy’) see Danielle Keats Citron “Sexual Privacy” (2019) 128 Yale LJ 1870.</w:t>
      </w:r>
    </w:p>
  </w:footnote>
  <w:footnote w:id="245">
    <w:p w14:paraId="2CCC22BB"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for example, Alysia Blackham “A Compromised Balance? A Comparative Examination of Exceptions to Age Discrimination Law in Australia and the UK” (2018) 41 MULR 1085 at 1086, suggesting the exceptions regimes in Australian anti-discrimination law represent a “negotiated compromise” between the progressive potential of equality law and the established status quo.</w:t>
      </w:r>
    </w:p>
  </w:footnote>
  <w:footnote w:id="246">
    <w:p w14:paraId="2E5D3774"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for example, Legislation Design and Advisory Committee </w:t>
      </w:r>
      <w:r w:rsidRPr="008642D1">
        <w:rPr>
          <w:i/>
          <w:iCs/>
          <w:color w:val="262626" w:themeColor="text1" w:themeTint="D9"/>
        </w:rPr>
        <w:t xml:space="preserve">Legislation Guidelines </w:t>
      </w:r>
      <w:r w:rsidRPr="008642D1">
        <w:rPr>
          <w:color w:val="262626" w:themeColor="text1" w:themeTint="D9"/>
        </w:rPr>
        <w:t>(September 2021) at [4.1].</w:t>
      </w:r>
    </w:p>
  </w:footnote>
  <w:footnote w:id="247">
    <w:p w14:paraId="4925169C"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for example, Cabinet Office </w:t>
      </w:r>
      <w:r w:rsidRPr="008642D1">
        <w:rPr>
          <w:i/>
          <w:iCs/>
          <w:color w:val="262626" w:themeColor="text1" w:themeTint="D9"/>
        </w:rPr>
        <w:t>Cabinet Manual 2023</w:t>
      </w:r>
      <w:r w:rsidRPr="008642D1">
        <w:rPr>
          <w:color w:val="262626" w:themeColor="text1" w:themeTint="D9"/>
        </w:rPr>
        <w:t xml:space="preserve"> at 155.</w:t>
      </w:r>
    </w:p>
  </w:footnote>
  <w:footnote w:id="248">
    <w:p w14:paraId="2EE144BA"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Legislation Design and Advisory Committee </w:t>
      </w:r>
      <w:r w:rsidRPr="008642D1">
        <w:rPr>
          <w:i/>
          <w:iCs/>
          <w:color w:val="262626" w:themeColor="text1" w:themeTint="D9"/>
        </w:rPr>
        <w:t xml:space="preserve">Legislation Guidelines </w:t>
      </w:r>
      <w:r w:rsidRPr="008642D1">
        <w:rPr>
          <w:color w:val="262626" w:themeColor="text1" w:themeTint="D9"/>
        </w:rPr>
        <w:t xml:space="preserve">(September 2021) at Ch 5, citing </w:t>
      </w:r>
      <w:r w:rsidRPr="008642D1">
        <w:rPr>
          <w:i/>
          <w:iCs/>
          <w:color w:val="262626" w:themeColor="text1" w:themeTint="D9"/>
        </w:rPr>
        <w:t xml:space="preserve">Huakina Development Trust v Waikato Valley Authority </w:t>
      </w:r>
      <w:r w:rsidRPr="008642D1">
        <w:rPr>
          <w:color w:val="262626" w:themeColor="text1" w:themeTint="D9"/>
        </w:rPr>
        <w:t>[1987] 2 NZLR 188 (HC) at 210.</w:t>
      </w:r>
    </w:p>
  </w:footnote>
  <w:footnote w:id="249">
    <w:p w14:paraId="1316562F"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also, </w:t>
      </w:r>
      <w:r w:rsidRPr="008642D1">
        <w:rPr>
          <w:i/>
          <w:iCs/>
          <w:color w:val="262626" w:themeColor="text1" w:themeTint="D9"/>
        </w:rPr>
        <w:t xml:space="preserve">United Nations Declaration on the Rights of Indigenous Peoples </w:t>
      </w:r>
      <w:r w:rsidRPr="008642D1">
        <w:rPr>
          <w:color w:val="262626" w:themeColor="text1" w:themeTint="D9"/>
        </w:rPr>
        <w:t>GA Res 61/295 (2007), art 37, which sets out the obligation on states to honour and respect treaties and agreements entered into with indigenous people.</w:t>
      </w:r>
    </w:p>
  </w:footnote>
  <w:footnote w:id="250">
    <w:p w14:paraId="5AF50EE8" w14:textId="77777777" w:rsidR="00D82B85" w:rsidRPr="008642D1" w:rsidRDefault="00D82B85" w:rsidP="00D82B85">
      <w:pPr>
        <w:pStyle w:val="FootnoteText"/>
        <w:rPr>
          <w:color w:val="262626" w:themeColor="text1" w:themeTint="D9"/>
          <w:u w:val="single"/>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Te Aka Matua o te Ture | Law Commission </w:t>
      </w:r>
      <w:r w:rsidRPr="008642D1">
        <w:rPr>
          <w:i/>
          <w:iCs/>
          <w:color w:val="262626" w:themeColor="text1" w:themeTint="D9"/>
        </w:rPr>
        <w:t xml:space="preserve">He arotake i te āheinga ki ngā rawa a te tangata ka mate ana </w:t>
      </w:r>
      <w:r w:rsidRPr="008642D1">
        <w:rPr>
          <w:color w:val="262626" w:themeColor="text1" w:themeTint="D9"/>
        </w:rPr>
        <w:t xml:space="preserve">| </w:t>
      </w:r>
      <w:r w:rsidRPr="008642D1">
        <w:rPr>
          <w:i/>
          <w:iCs/>
          <w:color w:val="262626" w:themeColor="text1" w:themeTint="D9"/>
        </w:rPr>
        <w:t xml:space="preserve">Review of succession law: rights to a person’s property on death </w:t>
      </w:r>
      <w:r w:rsidRPr="008642D1">
        <w:rPr>
          <w:color w:val="262626" w:themeColor="text1" w:themeTint="D9"/>
        </w:rPr>
        <w:t>(NZLC R145, 2021) at [2.54]–[2.67].</w:t>
      </w:r>
    </w:p>
  </w:footnote>
  <w:footnote w:id="251">
    <w:p w14:paraId="0649BF37" w14:textId="3108825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sidDel="002555C5">
        <w:rPr>
          <w:color w:val="262626" w:themeColor="text1" w:themeTint="D9"/>
        </w:rPr>
        <w:t xml:space="preserve">For example, Te Aka Matua o te Ture | Law Commission </w:t>
      </w:r>
      <w:r w:rsidRPr="008642D1" w:rsidDel="002555C5">
        <w:rPr>
          <w:i/>
          <w:iCs/>
          <w:color w:val="262626" w:themeColor="text1" w:themeTint="D9"/>
        </w:rPr>
        <w:t xml:space="preserve">He arotake i te āheinga ki ngā rawa a te tangata ka mate ana </w:t>
      </w:r>
      <w:r w:rsidRPr="008642D1" w:rsidDel="002555C5">
        <w:rPr>
          <w:color w:val="262626" w:themeColor="text1" w:themeTint="D9"/>
        </w:rPr>
        <w:t xml:space="preserve">| </w:t>
      </w:r>
      <w:r w:rsidRPr="008642D1" w:rsidDel="002555C5">
        <w:rPr>
          <w:i/>
          <w:iCs/>
          <w:color w:val="262626" w:themeColor="text1" w:themeTint="D9"/>
        </w:rPr>
        <w:t xml:space="preserve">Review of succession law: rights to a person’s property on death </w:t>
      </w:r>
      <w:r w:rsidRPr="008642D1" w:rsidDel="002555C5">
        <w:rPr>
          <w:color w:val="262626" w:themeColor="text1" w:themeTint="D9"/>
        </w:rPr>
        <w:t>(NZLC R145, 2021) a</w:t>
      </w:r>
      <w:r w:rsidRPr="008642D1">
        <w:rPr>
          <w:color w:val="262626" w:themeColor="text1" w:themeTint="D9"/>
        </w:rPr>
        <w:t>t [2.61]–[2.62].</w:t>
      </w:r>
    </w:p>
  </w:footnote>
  <w:footnote w:id="252">
    <w:p w14:paraId="563947CB"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Cabinet Office </w:t>
      </w:r>
      <w:r w:rsidRPr="008642D1">
        <w:rPr>
          <w:i/>
          <w:iCs/>
          <w:color w:val="262626" w:themeColor="text1" w:themeTint="D9"/>
        </w:rPr>
        <w:t xml:space="preserve">Cabinet Manual 2023 </w:t>
      </w:r>
      <w:r w:rsidRPr="008642D1">
        <w:rPr>
          <w:color w:val="262626" w:themeColor="text1" w:themeTint="D9"/>
        </w:rPr>
        <w:t>at 155.</w:t>
      </w:r>
    </w:p>
  </w:footnote>
  <w:footnote w:id="253">
    <w:p w14:paraId="6E841408"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Treaty of Waitangi Act 1975, s 6.</w:t>
      </w:r>
    </w:p>
  </w:footnote>
  <w:footnote w:id="254">
    <w:p w14:paraId="5C015637"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Te Rōpū Whakamana i te Tiriti o Waitangi | Waitangi Tribunal </w:t>
      </w:r>
      <w:r w:rsidRPr="008642D1">
        <w:rPr>
          <w:i/>
          <w:iCs/>
          <w:color w:val="262626" w:themeColor="text1" w:themeTint="D9"/>
        </w:rPr>
        <w:t>Muriwhenua Land Report</w:t>
      </w:r>
      <w:r w:rsidRPr="008642D1">
        <w:rPr>
          <w:color w:val="262626" w:themeColor="text1" w:themeTint="D9"/>
        </w:rPr>
        <w:t xml:space="preserve"> (Wai 45, 1997) at 386. </w:t>
      </w:r>
    </w:p>
  </w:footnote>
  <w:footnote w:id="255">
    <w:p w14:paraId="3A55579E"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Te Aka Matua o te Ture | Law Commission </w:t>
      </w:r>
      <w:r w:rsidRPr="008642D1">
        <w:rPr>
          <w:i/>
          <w:iCs/>
          <w:color w:val="262626" w:themeColor="text1" w:themeTint="D9"/>
        </w:rPr>
        <w:t xml:space="preserve">Hapori whānui me te tangata mōrea nui: he arotake o te mauhere ārai hē me ngā ōta nō muri whakawhiu </w:t>
      </w:r>
      <w:r w:rsidRPr="008642D1">
        <w:rPr>
          <w:color w:val="262626" w:themeColor="text1" w:themeTint="D9"/>
        </w:rPr>
        <w:t>|</w:t>
      </w:r>
      <w:r w:rsidRPr="008642D1">
        <w:rPr>
          <w:i/>
          <w:iCs/>
          <w:color w:val="262626" w:themeColor="text1" w:themeTint="D9"/>
        </w:rPr>
        <w:t xml:space="preserve"> Public safety and serious offenders: a review of preventive detention and post-sentence orders </w:t>
      </w:r>
      <w:r w:rsidRPr="008642D1">
        <w:rPr>
          <w:color w:val="262626" w:themeColor="text1" w:themeTint="D9"/>
        </w:rPr>
        <w:t>(NZLC IP51, 2023) at [2.37].</w:t>
      </w:r>
    </w:p>
  </w:footnote>
  <w:footnote w:id="256">
    <w:p w14:paraId="770F27DB"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We explain tino rangatiratanga in Chapter 6.</w:t>
      </w:r>
    </w:p>
  </w:footnote>
  <w:footnote w:id="257">
    <w:p w14:paraId="1B78E623"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Hirini Moko Mead </w:t>
      </w:r>
      <w:r w:rsidRPr="008642D1">
        <w:rPr>
          <w:i/>
          <w:iCs/>
          <w:color w:val="262626" w:themeColor="text1" w:themeTint="D9"/>
        </w:rPr>
        <w:t>Tikanga Māori: Living by Māori Values</w:t>
      </w:r>
      <w:r w:rsidRPr="008642D1">
        <w:rPr>
          <w:color w:val="262626" w:themeColor="text1" w:themeTint="D9"/>
        </w:rPr>
        <w:t xml:space="preserve"> (Revised ed, Huia Publishers, Wellington, 2016) at 29.</w:t>
      </w:r>
    </w:p>
  </w:footnote>
  <w:footnote w:id="258">
    <w:p w14:paraId="08217DA6"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Bishop Manuhuia Bennett “Te Pū Wānanga Seminar” (presented with Te Mātāhauariki Research Institute, 23 March 2000) as cited in Richard Benton, Alex Frame and Paul Meredith (eds)</w:t>
      </w:r>
      <w:r w:rsidRPr="008642D1">
        <w:rPr>
          <w:i/>
          <w:iCs/>
          <w:color w:val="262626" w:themeColor="text1" w:themeTint="D9"/>
        </w:rPr>
        <w:t xml:space="preserve"> Te Mātāpunenga: A Compendium of References to the Concepts and Institutions of Māori Customary Law</w:t>
      </w:r>
      <w:r w:rsidRPr="008642D1">
        <w:rPr>
          <w:color w:val="262626" w:themeColor="text1" w:themeTint="D9"/>
        </w:rPr>
        <w:t xml:space="preserve"> (Victoria University Press, Wellington, 2013) at 431.</w:t>
      </w:r>
    </w:p>
  </w:footnote>
  <w:footnote w:id="259">
    <w:p w14:paraId="07DDEDE0" w14:textId="2A859F85"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Te Aka Matua o te Ture | Law Commission </w:t>
      </w:r>
      <w:r w:rsidRPr="008642D1">
        <w:rPr>
          <w:i/>
          <w:iCs/>
          <w:color w:val="262626" w:themeColor="text1" w:themeTint="D9"/>
        </w:rPr>
        <w:t>He Poutama</w:t>
      </w:r>
      <w:r w:rsidRPr="008642D1">
        <w:rPr>
          <w:color w:val="262626" w:themeColor="text1" w:themeTint="D9"/>
        </w:rPr>
        <w:t xml:space="preserve"> (NZLC SP24, 2023) at [1.8].</w:t>
      </w:r>
    </w:p>
  </w:footnote>
  <w:footnote w:id="260">
    <w:p w14:paraId="67FB5010" w14:textId="70FF15A0"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sidDel="004042A7">
        <w:rPr>
          <w:color w:val="262626" w:themeColor="text1" w:themeTint="D9"/>
        </w:rPr>
        <w:t xml:space="preserve">See Te Aka Matua o te Ture | Law Commission </w:t>
      </w:r>
      <w:r w:rsidRPr="008642D1" w:rsidDel="004042A7">
        <w:rPr>
          <w:i/>
          <w:color w:val="262626" w:themeColor="text1" w:themeTint="D9"/>
        </w:rPr>
        <w:t>He Poutama</w:t>
      </w:r>
      <w:r w:rsidRPr="008642D1" w:rsidDel="004042A7">
        <w:rPr>
          <w:color w:val="262626" w:themeColor="text1" w:themeTint="D9"/>
        </w:rPr>
        <w:t xml:space="preserve"> (NZLC SP24, 2023) a</w:t>
      </w:r>
      <w:r w:rsidRPr="008642D1">
        <w:rPr>
          <w:color w:val="262626" w:themeColor="text1" w:themeTint="D9"/>
        </w:rPr>
        <w:t>t [1.22] and Figure 1.</w:t>
      </w:r>
    </w:p>
  </w:footnote>
  <w:footnote w:id="261">
    <w:p w14:paraId="2F3B5DAA"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Legislation Design and Advisory Committee </w:t>
      </w:r>
      <w:r w:rsidRPr="008642D1">
        <w:rPr>
          <w:i/>
          <w:iCs/>
          <w:color w:val="262626" w:themeColor="text1" w:themeTint="D9"/>
        </w:rPr>
        <w:t xml:space="preserve">Legislation Guidelines </w:t>
      </w:r>
      <w:r w:rsidRPr="008642D1">
        <w:rPr>
          <w:color w:val="262626" w:themeColor="text1" w:themeTint="D9"/>
        </w:rPr>
        <w:t>(September 2021) at [3.4] and [5.3].</w:t>
      </w:r>
    </w:p>
  </w:footnote>
  <w:footnote w:id="262">
    <w:p w14:paraId="13851329"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Cabinet Office Circular “Te Tiriti o Waitangi/Treaty of Waitangi guidance” (22 October 2019) CO 19/5 at [74]–[76].</w:t>
      </w:r>
    </w:p>
  </w:footnote>
  <w:footnote w:id="263">
    <w:p w14:paraId="733CBB8C" w14:textId="1B778328"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Law Commission Act 1985, s 5(2)(a). See, also, </w:t>
      </w:r>
      <w:r w:rsidRPr="008642D1">
        <w:rPr>
          <w:i/>
          <w:iCs/>
          <w:color w:val="262626" w:themeColor="text1" w:themeTint="D9"/>
        </w:rPr>
        <w:t>United Nations Declaration on the Rights of Indigenous Peoples</w:t>
      </w:r>
      <w:r w:rsidRPr="008642D1">
        <w:rPr>
          <w:color w:val="262626" w:themeColor="text1" w:themeTint="D9"/>
        </w:rPr>
        <w:t xml:space="preserve"> GA Res 61/295 (2007)</w:t>
      </w:r>
      <w:r w:rsidR="004042A7">
        <w:rPr>
          <w:color w:val="262626" w:themeColor="text1" w:themeTint="D9"/>
        </w:rPr>
        <w:t>,</w:t>
      </w:r>
      <w:r w:rsidRPr="008642D1">
        <w:rPr>
          <w:color w:val="262626" w:themeColor="text1" w:themeTint="D9"/>
        </w:rPr>
        <w:t xml:space="preserve"> which, in numerous articles, sets out the right of indigenous peoples to maintain, strengthen and practi</w:t>
      </w:r>
      <w:r w:rsidR="004042A7">
        <w:rPr>
          <w:color w:val="262626" w:themeColor="text1" w:themeTint="D9"/>
        </w:rPr>
        <w:t>s</w:t>
      </w:r>
      <w:r w:rsidRPr="008642D1">
        <w:rPr>
          <w:color w:val="262626" w:themeColor="text1" w:themeTint="D9"/>
        </w:rPr>
        <w:t>e their own customs, traditions and cultural institutions (for example, art</w:t>
      </w:r>
      <w:r w:rsidR="004042A7">
        <w:rPr>
          <w:color w:val="262626" w:themeColor="text1" w:themeTint="D9"/>
        </w:rPr>
        <w:t>s</w:t>
      </w:r>
      <w:r w:rsidRPr="008642D1">
        <w:rPr>
          <w:color w:val="262626" w:themeColor="text1" w:themeTint="D9"/>
        </w:rPr>
        <w:t xml:space="preserve"> 5, 8, 9, 11, 12, 15 and 31).</w:t>
      </w:r>
    </w:p>
  </w:footnote>
  <w:footnote w:id="264">
    <w:p w14:paraId="7BF3D7C7"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for example, Te Aka Matua o te Ture | Law Commission </w:t>
      </w:r>
      <w:r w:rsidRPr="008642D1">
        <w:rPr>
          <w:i/>
          <w:iCs/>
          <w:color w:val="262626" w:themeColor="text1" w:themeTint="D9"/>
        </w:rPr>
        <w:t xml:space="preserve">He arotake i te āheinga ki ngā rawa a te tangata ka mate ana </w:t>
      </w:r>
      <w:r w:rsidRPr="008642D1">
        <w:rPr>
          <w:color w:val="262626" w:themeColor="text1" w:themeTint="D9"/>
        </w:rPr>
        <w:t xml:space="preserve">| </w:t>
      </w:r>
      <w:r w:rsidRPr="008642D1">
        <w:rPr>
          <w:i/>
          <w:iCs/>
          <w:color w:val="262626" w:themeColor="text1" w:themeTint="D9"/>
        </w:rPr>
        <w:t xml:space="preserve">Review of Succession Law: rights to a person’s property on death </w:t>
      </w:r>
      <w:r w:rsidRPr="008642D1">
        <w:rPr>
          <w:color w:val="262626" w:themeColor="text1" w:themeTint="D9"/>
        </w:rPr>
        <w:t>(NZLC R145, 2021) at [2.127] in which the Law Commission recommended weaving together tikanga Māori with other values to make new law for all New Zealanders.</w:t>
      </w:r>
    </w:p>
  </w:footnote>
  <w:footnote w:id="265">
    <w:p w14:paraId="54A9D91D"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Legislation Design and Advisory Committee </w:t>
      </w:r>
      <w:r w:rsidRPr="008642D1">
        <w:rPr>
          <w:i/>
          <w:iCs/>
          <w:color w:val="262626" w:themeColor="text1" w:themeTint="D9"/>
        </w:rPr>
        <w:t xml:space="preserve">Legislation Guidelines </w:t>
      </w:r>
      <w:r w:rsidRPr="008642D1">
        <w:rPr>
          <w:color w:val="262626" w:themeColor="text1" w:themeTint="D9"/>
        </w:rPr>
        <w:t xml:space="preserve">(September 2021) at Ch 6 and 9. </w:t>
      </w:r>
    </w:p>
  </w:footnote>
  <w:footnote w:id="266">
    <w:p w14:paraId="12FB1610" w14:textId="41D61141"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Policy Project “Evidence and evaluation” (13 February 2024) </w:t>
      </w:r>
      <w:r w:rsidR="00F712FF" w:rsidRPr="00F712FF">
        <w:rPr>
          <w:color w:val="262626" w:themeColor="text1" w:themeTint="D9"/>
        </w:rPr>
        <w:t xml:space="preserve">Te Tari o Te Pirimia me Te Komiti Matua | </w:t>
      </w:r>
      <w:r w:rsidRPr="008642D1">
        <w:rPr>
          <w:color w:val="262626" w:themeColor="text1" w:themeTint="D9"/>
        </w:rPr>
        <w:t>Department of the Prime Minister and Cabinet &lt;</w:t>
      </w:r>
      <w:hyperlink r:id="rId48" w:history="1">
        <w:r w:rsidRPr="008642D1">
          <w:rPr>
            <w:rStyle w:val="Hyperlink"/>
            <w:color w:val="262626" w:themeColor="text1" w:themeTint="D9"/>
          </w:rPr>
          <w:t>www.dpmc.govt.nz</w:t>
        </w:r>
      </w:hyperlink>
      <w:r w:rsidRPr="008642D1">
        <w:rPr>
          <w:color w:val="262626" w:themeColor="text1" w:themeTint="D9"/>
        </w:rPr>
        <w:t xml:space="preserve">&gt;. </w:t>
      </w:r>
    </w:p>
  </w:footnote>
  <w:footnote w:id="267">
    <w:p w14:paraId="458A2633"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Legislation Design and Advisory Committee </w:t>
      </w:r>
      <w:r w:rsidRPr="008642D1">
        <w:rPr>
          <w:i/>
          <w:iCs/>
          <w:color w:val="262626" w:themeColor="text1" w:themeTint="D9"/>
        </w:rPr>
        <w:t xml:space="preserve">Legislation Guidelines </w:t>
      </w:r>
      <w:r w:rsidRPr="008642D1">
        <w:rPr>
          <w:color w:val="262626" w:themeColor="text1" w:themeTint="D9"/>
        </w:rPr>
        <w:t xml:space="preserve">(September 2021) at [2.3]. </w:t>
      </w:r>
    </w:p>
  </w:footnote>
  <w:footnote w:id="268">
    <w:p w14:paraId="5FE849D1"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At Ch 1.</w:t>
      </w:r>
    </w:p>
  </w:footnote>
  <w:footnote w:id="269">
    <w:p w14:paraId="6D64C837"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Australian Government Productivity Commission </w:t>
      </w:r>
      <w:r w:rsidRPr="008642D1">
        <w:rPr>
          <w:i/>
          <w:iCs/>
          <w:color w:val="262626" w:themeColor="text1" w:themeTint="D9"/>
        </w:rPr>
        <w:t xml:space="preserve">Access to Justice Arrangements </w:t>
      </w:r>
      <w:r w:rsidRPr="008642D1">
        <w:rPr>
          <w:color w:val="262626" w:themeColor="text1" w:themeTint="D9"/>
        </w:rPr>
        <w:t>(Inquiry Report 72, 5 September 2014)</w:t>
      </w:r>
      <w:r w:rsidRPr="008642D1">
        <w:rPr>
          <w:i/>
          <w:iCs/>
          <w:color w:val="262626" w:themeColor="text1" w:themeTint="D9"/>
        </w:rPr>
        <w:t xml:space="preserve"> </w:t>
      </w:r>
      <w:r w:rsidRPr="008642D1">
        <w:rPr>
          <w:color w:val="262626" w:themeColor="text1" w:themeTint="D9"/>
        </w:rPr>
        <w:t>at 132.</w:t>
      </w:r>
    </w:p>
  </w:footnote>
  <w:footnote w:id="270">
    <w:p w14:paraId="4E61D865"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Legislation Design and Advisory Committee </w:t>
      </w:r>
      <w:r w:rsidRPr="008642D1">
        <w:rPr>
          <w:i/>
          <w:iCs/>
          <w:color w:val="262626" w:themeColor="text1" w:themeTint="D9"/>
        </w:rPr>
        <w:t xml:space="preserve">Legislation Guidelines </w:t>
      </w:r>
      <w:r w:rsidRPr="008642D1">
        <w:rPr>
          <w:color w:val="262626" w:themeColor="text1" w:themeTint="D9"/>
        </w:rPr>
        <w:t>(September 2021) at Ch 1.</w:t>
      </w:r>
    </w:p>
  </w:footnote>
  <w:footnote w:id="271">
    <w:p w14:paraId="1AB7829F" w14:textId="77777777" w:rsidR="00D82B85" w:rsidRPr="008642D1" w:rsidRDefault="00D82B85" w:rsidP="00D82B85">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Law Commission Act 1985, s 5(1)(d). See, also, Law Commission Act 1985, s 5(2)(b), directing the Law Commission, when making its recommendations, to “have regard to the desirability of simplifying the expression and content of the law, as far as that is practicable”.</w:t>
      </w:r>
    </w:p>
  </w:footnote>
  <w:footnote w:id="272">
    <w:p w14:paraId="71897D57" w14:textId="77777777"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Elizabeth Kerekere “Part of The Whānau: The Emergence of Takatāpui Identity – </w:t>
      </w:r>
      <w:r w:rsidRPr="008642D1">
        <w:rPr>
          <w:i/>
          <w:iCs/>
          <w:color w:val="262626" w:themeColor="text1" w:themeTint="D9"/>
        </w:rPr>
        <w:t>He Whāriki Takatāpui</w:t>
      </w:r>
      <w:r w:rsidRPr="008642D1">
        <w:rPr>
          <w:color w:val="262626" w:themeColor="text1" w:themeTint="D9"/>
        </w:rPr>
        <w:t>” (PhD thesis, Te Herenga Waka | Victoria University of Wellington, 2017) at 25.</w:t>
      </w:r>
    </w:p>
  </w:footnote>
  <w:footnote w:id="273">
    <w:p w14:paraId="429A786D" w14:textId="77777777"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Te Aka Matua o te Ture | Law Commission </w:t>
      </w:r>
      <w:r w:rsidRPr="008642D1">
        <w:rPr>
          <w:i/>
          <w:iCs/>
          <w:color w:val="262626" w:themeColor="text1" w:themeTint="D9"/>
        </w:rPr>
        <w:t xml:space="preserve">Māori Custom and Values in New Zealand Law </w:t>
      </w:r>
      <w:r w:rsidRPr="008642D1">
        <w:rPr>
          <w:color w:val="262626" w:themeColor="text1" w:themeTint="D9"/>
        </w:rPr>
        <w:t>(NZLC SP9, 2001) at [146].</w:t>
      </w:r>
    </w:p>
  </w:footnote>
  <w:footnote w:id="274">
    <w:p w14:paraId="3B0AD752" w14:textId="77777777"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Transgender Health Research Lab </w:t>
      </w:r>
      <w:r w:rsidRPr="008642D1">
        <w:rPr>
          <w:i/>
          <w:iCs/>
          <w:color w:val="262626" w:themeColor="text1" w:themeTint="D9"/>
        </w:rPr>
        <w:t>Counting Ourselves: The health and wellbeing of trans and non-binary people in Aotearoa New Zealand</w:t>
      </w:r>
      <w:r w:rsidRPr="008642D1">
        <w:rPr>
          <w:color w:val="262626" w:themeColor="text1" w:themeTint="D9"/>
        </w:rPr>
        <w:t xml:space="preserve"> (Te Whare Wānanga o Waikato | University of Waikato, 2019) at 104.</w:t>
      </w:r>
    </w:p>
  </w:footnote>
  <w:footnote w:id="275">
    <w:p w14:paraId="29F349F2" w14:textId="77777777"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At 104.</w:t>
      </w:r>
    </w:p>
  </w:footnote>
  <w:footnote w:id="276">
    <w:p w14:paraId="756884A1" w14:textId="77777777"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w:t>
      </w:r>
      <w:r w:rsidRPr="008642D1">
        <w:rPr>
          <w:color w:val="262626" w:themeColor="text1" w:themeTint="D9"/>
          <w:lang w:val="mi-NZ"/>
        </w:rPr>
        <w:t xml:space="preserve">Te Aka Matua o te Ture | Law Commission </w:t>
      </w:r>
      <w:r w:rsidRPr="008642D1">
        <w:rPr>
          <w:i/>
          <w:iCs/>
          <w:color w:val="262626" w:themeColor="text1" w:themeTint="D9"/>
          <w:lang w:val="mi-NZ"/>
        </w:rPr>
        <w:t xml:space="preserve">He Poutama </w:t>
      </w:r>
      <w:r w:rsidRPr="008642D1">
        <w:rPr>
          <w:color w:val="262626" w:themeColor="text1" w:themeTint="D9"/>
          <w:lang w:val="mi-NZ"/>
        </w:rPr>
        <w:t>(NZLC SP24, 2023) at</w:t>
      </w:r>
      <w:r w:rsidRPr="008642D1">
        <w:rPr>
          <w:color w:val="262626" w:themeColor="text1" w:themeTint="D9"/>
        </w:rPr>
        <w:t xml:space="preserve"> [3.1].</w:t>
      </w:r>
    </w:p>
  </w:footnote>
  <w:footnote w:id="277">
    <w:p w14:paraId="45B50BC6" w14:textId="5012DE0C"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we wonder if concepts related to nurturing relationships such as whanaungatanga, manaakitanga and tiaki are relevant.</w:t>
      </w:r>
    </w:p>
  </w:footnote>
  <w:footnote w:id="278">
    <w:p w14:paraId="4D918B5D" w14:textId="77777777"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a fuller and more nuanced explanation, see </w:t>
      </w:r>
      <w:r w:rsidRPr="008642D1">
        <w:rPr>
          <w:color w:val="262626" w:themeColor="text1" w:themeTint="D9"/>
          <w:lang w:val="mi-NZ"/>
        </w:rPr>
        <w:t xml:space="preserve">Te Aka Matua o te Ture | Law Commission </w:t>
      </w:r>
      <w:r w:rsidRPr="008642D1">
        <w:rPr>
          <w:i/>
          <w:iCs/>
          <w:color w:val="262626" w:themeColor="text1" w:themeTint="D9"/>
          <w:lang w:val="mi-NZ"/>
        </w:rPr>
        <w:t xml:space="preserve">He Poutama </w:t>
      </w:r>
      <w:r w:rsidRPr="008642D1">
        <w:rPr>
          <w:color w:val="262626" w:themeColor="text1" w:themeTint="D9"/>
          <w:lang w:val="mi-NZ"/>
        </w:rPr>
        <w:t>(NZLC SP24, 2023) at</w:t>
      </w:r>
      <w:r w:rsidRPr="008642D1">
        <w:rPr>
          <w:color w:val="262626" w:themeColor="text1" w:themeTint="D9"/>
        </w:rPr>
        <w:t xml:space="preserve"> [3.23]–</w:t>
      </w:r>
      <w:r w:rsidRPr="008642D1">
        <w:rPr>
          <w:color w:val="262626" w:themeColor="text1" w:themeTint="D9"/>
        </w:rPr>
        <w:softHyphen/>
      </w:r>
      <w:r w:rsidRPr="008642D1">
        <w:rPr>
          <w:color w:val="262626" w:themeColor="text1" w:themeTint="D9"/>
        </w:rPr>
        <w:softHyphen/>
      </w:r>
      <w:r w:rsidRPr="008642D1">
        <w:rPr>
          <w:color w:val="262626" w:themeColor="text1" w:themeTint="D9"/>
        </w:rPr>
        <w:softHyphen/>
      </w:r>
      <w:r w:rsidRPr="008642D1">
        <w:rPr>
          <w:color w:val="262626" w:themeColor="text1" w:themeTint="D9"/>
        </w:rPr>
        <w:softHyphen/>
        <w:t>[3.35].</w:t>
      </w:r>
    </w:p>
  </w:footnote>
  <w:footnote w:id="279">
    <w:p w14:paraId="639C3FDB" w14:textId="53147007"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sidDel="00376987">
        <w:rPr>
          <w:color w:val="262626" w:themeColor="text1" w:themeTint="D9"/>
          <w:lang w:val="mi-NZ"/>
        </w:rPr>
        <w:t xml:space="preserve">Te Aka Matua o te Ture | Law Commission </w:t>
      </w:r>
      <w:r w:rsidRPr="008642D1" w:rsidDel="00376987">
        <w:rPr>
          <w:i/>
          <w:iCs/>
          <w:color w:val="262626" w:themeColor="text1" w:themeTint="D9"/>
          <w:lang w:val="mi-NZ"/>
        </w:rPr>
        <w:t xml:space="preserve">He Poutama </w:t>
      </w:r>
      <w:r w:rsidRPr="008642D1" w:rsidDel="00376987">
        <w:rPr>
          <w:color w:val="262626" w:themeColor="text1" w:themeTint="D9"/>
          <w:lang w:val="mi-NZ"/>
        </w:rPr>
        <w:t>(NZLC SP24, 2023) a</w:t>
      </w:r>
      <w:r w:rsidRPr="008642D1">
        <w:rPr>
          <w:color w:val="262626" w:themeColor="text1" w:themeTint="D9"/>
        </w:rPr>
        <w:t>t [3.22]. We concentrate in this discussion on whakapapa rather than whanaungatanga because the latter was not a focus of discussion at the wānanga.</w:t>
      </w:r>
    </w:p>
  </w:footnote>
  <w:footnote w:id="280">
    <w:p w14:paraId="7C4AA2ED" w14:textId="77777777"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w:t>
      </w:r>
      <w:r w:rsidRPr="008642D1">
        <w:rPr>
          <w:color w:val="262626" w:themeColor="text1" w:themeTint="D9"/>
          <w:lang w:val="mi-NZ"/>
        </w:rPr>
        <w:t xml:space="preserve"> Te Aka Matua o te Ture | Law Commission</w:t>
      </w:r>
      <w:r w:rsidRPr="008642D1">
        <w:rPr>
          <w:i/>
          <w:iCs/>
          <w:color w:val="262626" w:themeColor="text1" w:themeTint="D9"/>
        </w:rPr>
        <w:t xml:space="preserve"> Hapori whānui me te tangata mōrea nui: he arotake o te mauhere ārai hē me ngā ōta nō muri whakawhiu </w:t>
      </w:r>
      <w:r w:rsidRPr="008642D1">
        <w:rPr>
          <w:color w:val="262626" w:themeColor="text1" w:themeTint="D9"/>
        </w:rPr>
        <w:t>|</w:t>
      </w:r>
      <w:r w:rsidRPr="008642D1">
        <w:rPr>
          <w:i/>
          <w:iCs/>
          <w:color w:val="262626" w:themeColor="text1" w:themeTint="D9"/>
        </w:rPr>
        <w:t xml:space="preserve"> Public safety and serious offenders: a review of preventive detention and post-sentence orders</w:t>
      </w:r>
      <w:r w:rsidRPr="008642D1">
        <w:rPr>
          <w:color w:val="262626" w:themeColor="text1" w:themeTint="D9"/>
        </w:rPr>
        <w:t xml:space="preserve"> (NZLC IP51, 2023) at [2.7].</w:t>
      </w:r>
    </w:p>
  </w:footnote>
  <w:footnote w:id="281">
    <w:p w14:paraId="56594D4A" w14:textId="77777777"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Elizabeth Kerekere “Part of the Whānau: The Emergence of Takatāpui Identity – </w:t>
      </w:r>
      <w:r w:rsidRPr="008642D1">
        <w:rPr>
          <w:i/>
          <w:color w:val="262626" w:themeColor="text1" w:themeTint="D9"/>
        </w:rPr>
        <w:t>He Whāriki Takatāpui</w:t>
      </w:r>
      <w:r w:rsidRPr="008642D1">
        <w:rPr>
          <w:color w:val="262626" w:themeColor="text1" w:themeTint="D9"/>
        </w:rPr>
        <w:t>”</w:t>
      </w:r>
      <w:r w:rsidRPr="008642D1">
        <w:rPr>
          <w:i/>
          <w:iCs/>
          <w:color w:val="262626" w:themeColor="text1" w:themeTint="D9"/>
        </w:rPr>
        <w:t xml:space="preserve"> </w:t>
      </w:r>
      <w:r w:rsidRPr="008642D1">
        <w:rPr>
          <w:color w:val="262626" w:themeColor="text1" w:themeTint="D9"/>
        </w:rPr>
        <w:t>(PhD thesis, Te Herenga Waka | Victoria University of Wellington, 2017) at 25; and Te Tīmatanga | Auckland Pride “Te Whē S1 E6 – Te Ira Tangata with Tu Chapman and Hāmiora Bailey” (podcast, 24 March 2022) &lt;</w:t>
      </w:r>
      <w:hyperlink r:id="rId49" w:history="1">
        <w:r w:rsidRPr="008642D1">
          <w:rPr>
            <w:rStyle w:val="Hyperlink"/>
            <w:color w:val="262626" w:themeColor="text1" w:themeTint="D9"/>
          </w:rPr>
          <w:t>www.podcasters.spotify.com</w:t>
        </w:r>
      </w:hyperlink>
      <w:r w:rsidRPr="008642D1">
        <w:rPr>
          <w:color w:val="262626" w:themeColor="text1" w:themeTint="D9"/>
        </w:rPr>
        <w:t>&gt; at 4 min 20 sec.</w:t>
      </w:r>
    </w:p>
  </w:footnote>
  <w:footnote w:id="282">
    <w:p w14:paraId="3AF6FF01" w14:textId="77777777" w:rsidR="00DB0F9A" w:rsidRPr="008642D1" w:rsidRDefault="00DB0F9A" w:rsidP="00DB0F9A">
      <w:pPr>
        <w:pStyle w:val="FootnoteText"/>
        <w:rPr>
          <w:i/>
          <w:iCs/>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Hirini Moko Mead </w:t>
      </w:r>
      <w:r w:rsidRPr="008642D1">
        <w:rPr>
          <w:i/>
          <w:iCs/>
          <w:color w:val="262626" w:themeColor="text1" w:themeTint="D9"/>
        </w:rPr>
        <w:t>Tikanga Māori: Living by Māori Values</w:t>
      </w:r>
      <w:r w:rsidRPr="008642D1">
        <w:rPr>
          <w:color w:val="262626" w:themeColor="text1" w:themeTint="D9"/>
        </w:rPr>
        <w:t xml:space="preserve"> (2nd ed, Huia Publishers, Wellington, 2016) at 395.</w:t>
      </w:r>
    </w:p>
  </w:footnote>
  <w:footnote w:id="283">
    <w:p w14:paraId="30A18B27" w14:textId="77777777"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Wiremu Doherty, Hirini Moko Mead and Pou Temara “Appendix 1: Tikanga” in Te Aka Matua o te Ture | Law Commission </w:t>
      </w:r>
      <w:r w:rsidRPr="008642D1">
        <w:rPr>
          <w:i/>
          <w:iCs/>
          <w:color w:val="262626" w:themeColor="text1" w:themeTint="D9"/>
        </w:rPr>
        <w:t xml:space="preserve">He Poutama </w:t>
      </w:r>
      <w:r w:rsidRPr="008642D1">
        <w:rPr>
          <w:color w:val="262626" w:themeColor="text1" w:themeTint="D9"/>
        </w:rPr>
        <w:t>(</w:t>
      </w:r>
      <w:r w:rsidRPr="008642D1">
        <w:rPr>
          <w:color w:val="262626" w:themeColor="text1" w:themeTint="D9"/>
          <w:lang w:val="mi-NZ"/>
        </w:rPr>
        <w:t xml:space="preserve">NZLC SP24, </w:t>
      </w:r>
      <w:r w:rsidRPr="008642D1">
        <w:rPr>
          <w:color w:val="262626" w:themeColor="text1" w:themeTint="D9"/>
        </w:rPr>
        <w:t>2023) at [3.23].</w:t>
      </w:r>
    </w:p>
  </w:footnote>
  <w:footnote w:id="284">
    <w:p w14:paraId="40641D14" w14:textId="77777777" w:rsidR="00DB0F9A" w:rsidRPr="008642D1" w:rsidRDefault="00DB0F9A" w:rsidP="00DB0F9A">
      <w:pPr>
        <w:pStyle w:val="FootnoteText"/>
        <w:rPr>
          <w:i/>
          <w:iCs/>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Elizabeth Kerekere “Te Whare Takatāpui – Reclaiming the Spaces of Our Ancestors” in Alison Green and Leonie Pihama (eds) </w:t>
      </w:r>
      <w:r w:rsidRPr="008642D1">
        <w:rPr>
          <w:i/>
          <w:iCs/>
          <w:color w:val="262626" w:themeColor="text1" w:themeTint="D9"/>
        </w:rPr>
        <w:t xml:space="preserve">Honouring Our Ancestors: Takatāpui, Two-Spirit and Indigenous LGBTQI+ Well-being </w:t>
      </w:r>
      <w:r w:rsidRPr="008642D1">
        <w:rPr>
          <w:color w:val="262626" w:themeColor="text1" w:themeTint="D9"/>
        </w:rPr>
        <w:t xml:space="preserve">(Te Herenga Waka University Press, Wellington, 2023) at 82. </w:t>
      </w:r>
    </w:p>
  </w:footnote>
  <w:footnote w:id="285">
    <w:p w14:paraId="5BBC4DCC" w14:textId="77777777"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Rangimarie Rose Pere </w:t>
      </w:r>
      <w:r w:rsidRPr="008642D1">
        <w:rPr>
          <w:i/>
          <w:iCs/>
          <w:color w:val="262626" w:themeColor="text1" w:themeTint="D9"/>
        </w:rPr>
        <w:t xml:space="preserve">Ako: Concepts and learning in the Maori Tradition </w:t>
      </w:r>
      <w:r w:rsidRPr="008642D1">
        <w:rPr>
          <w:color w:val="262626" w:themeColor="text1" w:themeTint="D9"/>
        </w:rPr>
        <w:t>(Te Whare Wānanga o Waikato | University of Waikato, 1982) at 32.</w:t>
      </w:r>
    </w:p>
  </w:footnote>
  <w:footnote w:id="286">
    <w:p w14:paraId="62017A87" w14:textId="77777777" w:rsidR="00DB0F9A" w:rsidRPr="008642D1" w:rsidRDefault="00DB0F9A" w:rsidP="00DB0F9A">
      <w:pPr>
        <w:pStyle w:val="FootnoteText"/>
        <w:rPr>
          <w:i/>
          <w:iCs/>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Cleve Barlow </w:t>
      </w:r>
      <w:r w:rsidRPr="008642D1">
        <w:rPr>
          <w:rFonts w:eastAsia="Metropolis Light"/>
          <w:i/>
          <w:iCs/>
          <w:color w:val="262626" w:themeColor="text1" w:themeTint="D9"/>
        </w:rPr>
        <w:t xml:space="preserve">Tikanga Whakaaro: Key </w:t>
      </w:r>
      <w:r w:rsidRPr="008642D1">
        <w:rPr>
          <w:i/>
          <w:iCs/>
          <w:color w:val="262626" w:themeColor="text1" w:themeTint="D9"/>
        </w:rPr>
        <w:t>Concepts</w:t>
      </w:r>
      <w:r w:rsidRPr="008642D1">
        <w:rPr>
          <w:rFonts w:eastAsia="Metropolis Light"/>
          <w:i/>
          <w:iCs/>
          <w:color w:val="262626" w:themeColor="text1" w:themeTint="D9"/>
        </w:rPr>
        <w:t xml:space="preserve"> in </w:t>
      </w:r>
      <w:r w:rsidRPr="008642D1">
        <w:rPr>
          <w:i/>
          <w:iCs/>
          <w:color w:val="262626" w:themeColor="text1" w:themeTint="D9"/>
        </w:rPr>
        <w:t>Maori Culture</w:t>
      </w:r>
      <w:r w:rsidRPr="008642D1">
        <w:rPr>
          <w:rFonts w:eastAsia="Metropolis Light"/>
          <w:color w:val="262626" w:themeColor="text1" w:themeTint="D9"/>
        </w:rPr>
        <w:t xml:space="preserve"> </w:t>
      </w:r>
      <w:r w:rsidRPr="008642D1">
        <w:rPr>
          <w:color w:val="262626" w:themeColor="text1" w:themeTint="D9"/>
        </w:rPr>
        <w:t xml:space="preserve">(Oxford University Press, Melbourne, 1991) at 128; and Te Aka Matua o te Ture | Law Commission </w:t>
      </w:r>
      <w:r w:rsidRPr="008642D1">
        <w:rPr>
          <w:i/>
          <w:iCs/>
          <w:color w:val="262626" w:themeColor="text1" w:themeTint="D9"/>
        </w:rPr>
        <w:t xml:space="preserve">Hapori whānui me te tangata mōrea nui: he arotake o te mauhere ārai hē me ngā ōta nō muri whakawhiu </w:t>
      </w:r>
      <w:r w:rsidRPr="008642D1">
        <w:rPr>
          <w:color w:val="262626" w:themeColor="text1" w:themeTint="D9"/>
        </w:rPr>
        <w:t>|</w:t>
      </w:r>
      <w:r w:rsidRPr="008642D1">
        <w:rPr>
          <w:i/>
          <w:iCs/>
          <w:color w:val="262626" w:themeColor="text1" w:themeTint="D9"/>
        </w:rPr>
        <w:t xml:space="preserve"> Public safety and serious offenders: a review of preventive detention and post-sentence orders</w:t>
      </w:r>
      <w:r w:rsidRPr="008642D1">
        <w:rPr>
          <w:color w:val="262626" w:themeColor="text1" w:themeTint="D9"/>
        </w:rPr>
        <w:t xml:space="preserve"> (NZLC IP51, 2023) at [2.8].</w:t>
      </w:r>
    </w:p>
  </w:footnote>
  <w:footnote w:id="287">
    <w:p w14:paraId="6DC66AB3" w14:textId="77777777"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Hirini Moko Mead </w:t>
      </w:r>
      <w:r w:rsidRPr="008642D1">
        <w:rPr>
          <w:i/>
          <w:iCs/>
          <w:color w:val="262626" w:themeColor="text1" w:themeTint="D9"/>
        </w:rPr>
        <w:t>Tikanga Māori: Living by Māori Values</w:t>
      </w:r>
      <w:r w:rsidRPr="008642D1">
        <w:rPr>
          <w:color w:val="262626" w:themeColor="text1" w:themeTint="D9"/>
        </w:rPr>
        <w:t xml:space="preserve"> (2nd ed, Huia Publishers, Wellington, 2016) at 50.</w:t>
      </w:r>
    </w:p>
  </w:footnote>
  <w:footnote w:id="288">
    <w:p w14:paraId="6FF8572D" w14:textId="77777777"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Richard Benton, Alex Frame and Paul Meredith </w:t>
      </w:r>
      <w:r w:rsidRPr="008642D1">
        <w:rPr>
          <w:i/>
          <w:iCs/>
          <w:color w:val="262626" w:themeColor="text1" w:themeTint="D9"/>
        </w:rPr>
        <w:t>Te Mātāpunenga: A Compendium of References to the Concepts and Institutions of Māori Customary Law</w:t>
      </w:r>
      <w:r w:rsidRPr="008642D1">
        <w:rPr>
          <w:color w:val="262626" w:themeColor="text1" w:themeTint="D9"/>
        </w:rPr>
        <w:t xml:space="preserve"> (Victoria University Press, Wellington, 2013) at 154; and Te Aka Matua o te Ture | Law Commission </w:t>
      </w:r>
      <w:r w:rsidRPr="008642D1">
        <w:rPr>
          <w:i/>
          <w:iCs/>
          <w:color w:val="262626" w:themeColor="text1" w:themeTint="D9"/>
        </w:rPr>
        <w:t xml:space="preserve">Hapori whānui me te tangata mōrea nui: he arotake o te mauhere ārai hē me ngā ōta nō muri whakawhiu </w:t>
      </w:r>
      <w:r w:rsidRPr="008642D1">
        <w:rPr>
          <w:color w:val="262626" w:themeColor="text1" w:themeTint="D9"/>
        </w:rPr>
        <w:t>|</w:t>
      </w:r>
      <w:r w:rsidRPr="008642D1">
        <w:rPr>
          <w:i/>
          <w:iCs/>
          <w:color w:val="262626" w:themeColor="text1" w:themeTint="D9"/>
        </w:rPr>
        <w:t xml:space="preserve"> Public safety and serious offenders: a review of preventive detention and post-sentence orders</w:t>
      </w:r>
      <w:r w:rsidRPr="008642D1">
        <w:rPr>
          <w:color w:val="262626" w:themeColor="text1" w:themeTint="D9"/>
        </w:rPr>
        <w:t xml:space="preserve"> (NZLC IP51, 2023) at [2.8].</w:t>
      </w:r>
    </w:p>
  </w:footnote>
  <w:footnote w:id="289">
    <w:p w14:paraId="253546D2" w14:textId="77777777"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for example, </w:t>
      </w:r>
      <w:r w:rsidRPr="008642D1">
        <w:rPr>
          <w:color w:val="262626" w:themeColor="text1" w:themeTint="D9"/>
          <w:lang w:val="mi-NZ"/>
        </w:rPr>
        <w:t xml:space="preserve">Te Aka Matua o te Ture | Law Commission </w:t>
      </w:r>
      <w:r w:rsidRPr="008642D1">
        <w:rPr>
          <w:i/>
          <w:iCs/>
          <w:color w:val="262626" w:themeColor="text1" w:themeTint="D9"/>
          <w:lang w:val="mi-NZ"/>
        </w:rPr>
        <w:t xml:space="preserve">He Poutama </w:t>
      </w:r>
      <w:r w:rsidRPr="008642D1">
        <w:rPr>
          <w:color w:val="262626" w:themeColor="text1" w:themeTint="D9"/>
          <w:lang w:val="mi-NZ"/>
        </w:rPr>
        <w:t>(NZLC SP24, 2023) a</w:t>
      </w:r>
      <w:r w:rsidRPr="008642D1">
        <w:rPr>
          <w:color w:val="262626" w:themeColor="text1" w:themeTint="D9"/>
        </w:rPr>
        <w:t>t [3.73]–[3.86].</w:t>
      </w:r>
    </w:p>
  </w:footnote>
  <w:footnote w:id="290">
    <w:p w14:paraId="07EAA84E" w14:textId="77777777"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Te Ahukaramū Charles Royal “A modern view of mana” in Raymond Nairn and others (eds) </w:t>
      </w:r>
      <w:r w:rsidRPr="008642D1">
        <w:rPr>
          <w:i/>
          <w:iCs/>
          <w:color w:val="262626" w:themeColor="text1" w:themeTint="D9"/>
        </w:rPr>
        <w:t>Ka Tū, Ka Oho: Visions of a Bicultural Partnership in Psychology: invited keynotes: revisiting the past to reset the future</w:t>
      </w:r>
      <w:r w:rsidRPr="008642D1">
        <w:rPr>
          <w:color w:val="262626" w:themeColor="text1" w:themeTint="D9"/>
        </w:rPr>
        <w:t xml:space="preserve"> (New Zealand Psychological Society, Wellington, 2012) 195 at 203.</w:t>
      </w:r>
    </w:p>
  </w:footnote>
  <w:footnote w:id="291">
    <w:p w14:paraId="50476CC9" w14:textId="77777777"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We have read this may also be a reason sex is not regarded by some in te ao Māori as a particularly important determinant of social status: see, for example, Te Aka Matua o te Ture | Law Commission </w:t>
      </w:r>
      <w:r w:rsidRPr="008642D1">
        <w:rPr>
          <w:i/>
          <w:iCs/>
          <w:color w:val="262626" w:themeColor="text1" w:themeTint="D9"/>
        </w:rPr>
        <w:t xml:space="preserve">Māori Custom and Values in New Zealand Law </w:t>
      </w:r>
      <w:r w:rsidRPr="008642D1">
        <w:rPr>
          <w:color w:val="262626" w:themeColor="text1" w:themeTint="D9"/>
        </w:rPr>
        <w:t xml:space="preserve">(NZLC SP9, 2001) at [141]–[144]. </w:t>
      </w:r>
    </w:p>
  </w:footnote>
  <w:footnote w:id="292">
    <w:p w14:paraId="5F253A8D" w14:textId="77777777"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for example, Joan Metge </w:t>
      </w:r>
      <w:r w:rsidRPr="008642D1">
        <w:rPr>
          <w:i/>
          <w:iCs/>
          <w:color w:val="262626" w:themeColor="text1" w:themeTint="D9"/>
        </w:rPr>
        <w:t>In and Out of Touch: Whakamā in a Cross Cultural Context</w:t>
      </w:r>
      <w:r w:rsidRPr="008642D1">
        <w:rPr>
          <w:color w:val="262626" w:themeColor="text1" w:themeTint="D9"/>
        </w:rPr>
        <w:t xml:space="preserve"> (Victoria University Press, Wellington, 1986) at 68</w:t>
      </w:r>
      <w:r w:rsidRPr="008642D1">
        <w:rPr>
          <w:color w:val="262626" w:themeColor="text1" w:themeTint="D9"/>
        </w:rPr>
        <w:softHyphen/>
      </w:r>
      <w:r w:rsidRPr="008642D1">
        <w:rPr>
          <w:color w:val="262626" w:themeColor="text1" w:themeTint="D9"/>
        </w:rPr>
        <w:softHyphen/>
      </w:r>
      <w:r w:rsidRPr="008642D1">
        <w:rPr>
          <w:color w:val="262626" w:themeColor="text1" w:themeTint="D9"/>
        </w:rPr>
        <w:softHyphen/>
        <w:t xml:space="preserve">–69; Hirini Moko Mead </w:t>
      </w:r>
      <w:r w:rsidRPr="008642D1">
        <w:rPr>
          <w:i/>
          <w:iCs/>
          <w:color w:val="262626" w:themeColor="text1" w:themeTint="D9"/>
        </w:rPr>
        <w:t>Tikanga Māori: Living by Māori Values</w:t>
      </w:r>
      <w:r w:rsidRPr="008642D1">
        <w:rPr>
          <w:color w:val="262626" w:themeColor="text1" w:themeTint="D9"/>
        </w:rPr>
        <w:t xml:space="preserve"> (2nd ed, Huia Publishers, Wellington, 2016) at 51; and Rangimarie Rose Pere </w:t>
      </w:r>
      <w:r w:rsidRPr="008642D1">
        <w:rPr>
          <w:i/>
          <w:iCs/>
          <w:color w:val="262626" w:themeColor="text1" w:themeTint="D9"/>
        </w:rPr>
        <w:t xml:space="preserve">Ako: Concepts and learning in the Maori Tradition </w:t>
      </w:r>
      <w:r w:rsidRPr="008642D1">
        <w:rPr>
          <w:color w:val="262626" w:themeColor="text1" w:themeTint="D9"/>
        </w:rPr>
        <w:t>(Te Whare Wānanga o Waikato | University of Waikato, 1982) at 32.</w:t>
      </w:r>
    </w:p>
  </w:footnote>
  <w:footnote w:id="293">
    <w:p w14:paraId="324423C4" w14:textId="77777777"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also, Mahi Tahi “Te Kōkōmuka Episode 13 – Sexuality and gender”</w:t>
      </w:r>
      <w:r w:rsidRPr="008642D1">
        <w:rPr>
          <w:i/>
          <w:iCs/>
          <w:color w:val="262626" w:themeColor="text1" w:themeTint="D9"/>
        </w:rPr>
        <w:t xml:space="preserve"> </w:t>
      </w:r>
      <w:r w:rsidRPr="008642D1">
        <w:rPr>
          <w:color w:val="262626" w:themeColor="text1" w:themeTint="D9"/>
        </w:rPr>
        <w:t>(25 November 2020) YouTube &lt;</w:t>
      </w:r>
      <w:hyperlink r:id="rId50" w:history="1">
        <w:r w:rsidRPr="008642D1">
          <w:rPr>
            <w:rStyle w:val="Hyperlink"/>
            <w:color w:val="262626" w:themeColor="text1" w:themeTint="D9"/>
          </w:rPr>
          <w:t>www.youtube.com</w:t>
        </w:r>
      </w:hyperlink>
      <w:r w:rsidRPr="008642D1">
        <w:rPr>
          <w:color w:val="262626" w:themeColor="text1" w:themeTint="D9"/>
        </w:rPr>
        <w:t xml:space="preserve">&gt; at 44 min 14 sec, in which Pānia Papa discusses the male and female side of all things. </w:t>
      </w:r>
    </w:p>
  </w:footnote>
  <w:footnote w:id="294">
    <w:p w14:paraId="7B1CE94C" w14:textId="13F20562"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Leonie Pihama and others</w:t>
      </w:r>
      <w:r w:rsidRPr="008642D1">
        <w:rPr>
          <w:i/>
          <w:iCs/>
          <w:color w:val="262626" w:themeColor="text1" w:themeTint="D9"/>
        </w:rPr>
        <w:t xml:space="preserve"> Honour Project Aotearoa </w:t>
      </w:r>
      <w:r w:rsidRPr="008642D1">
        <w:rPr>
          <w:color w:val="262626" w:themeColor="text1" w:themeTint="D9"/>
        </w:rPr>
        <w:t xml:space="preserve">(Te Kotahi Research Institute, Te Whare Wānanga o Waikato | University of Waikato, 2020) at 85. </w:t>
      </w:r>
      <w:r w:rsidRPr="00034C79">
        <w:rPr>
          <w:color w:val="262626" w:themeColor="text1" w:themeTint="D9"/>
        </w:rPr>
        <w:t>LGBTQI+ is an acronym that represents diverse sexualities and genders and stands for lesbian, gay, bisexual, transgender, queer or questioning, intersex and others (denoted by the +).</w:t>
      </w:r>
    </w:p>
  </w:footnote>
  <w:footnote w:id="295">
    <w:p w14:paraId="1F2EF34F" w14:textId="77777777"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At 79. </w:t>
      </w:r>
    </w:p>
  </w:footnote>
  <w:footnote w:id="296">
    <w:p w14:paraId="6738EA59" w14:textId="241B5958"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Youth19 Research Group </w:t>
      </w:r>
      <w:r w:rsidRPr="008642D1">
        <w:rPr>
          <w:i/>
          <w:iCs/>
          <w:color w:val="262626" w:themeColor="text1" w:themeTint="D9"/>
        </w:rPr>
        <w:t>Negotiating Multiple Identities: Intersecting Identities among Māori, Pacific, Rainbow and Disabled Young People</w:t>
      </w:r>
      <w:r w:rsidRPr="008642D1">
        <w:rPr>
          <w:color w:val="262626" w:themeColor="text1" w:themeTint="D9"/>
        </w:rPr>
        <w:t xml:space="preserve"> (2021) at 32–33. See also Transgender Health Research Lab </w:t>
      </w:r>
      <w:r w:rsidRPr="008642D1">
        <w:rPr>
          <w:i/>
          <w:iCs/>
          <w:color w:val="262626" w:themeColor="text1" w:themeTint="D9"/>
        </w:rPr>
        <w:t>Counting Ourselves: The health and wellbeing of trans and non-binary people in Aotearoa New Zealand</w:t>
      </w:r>
      <w:r w:rsidRPr="008642D1">
        <w:rPr>
          <w:color w:val="262626" w:themeColor="text1" w:themeTint="D9"/>
        </w:rPr>
        <w:t xml:space="preserve"> (Te Whare Wānanga o Waikato | University of Waikato, 2019) at 68.</w:t>
      </w:r>
    </w:p>
  </w:footnote>
  <w:footnote w:id="297">
    <w:p w14:paraId="0D835192" w14:textId="77777777"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Elizabeth Kerekere </w:t>
      </w:r>
      <w:r w:rsidRPr="008642D1">
        <w:rPr>
          <w:rFonts w:cs="Metropolis Light"/>
          <w:color w:val="262626" w:themeColor="text1" w:themeTint="D9"/>
        </w:rPr>
        <w:t>“</w:t>
      </w:r>
      <w:r w:rsidRPr="008642D1">
        <w:rPr>
          <w:color w:val="262626" w:themeColor="text1" w:themeTint="D9"/>
        </w:rPr>
        <w:t>Part of The Wh</w:t>
      </w:r>
      <w:r w:rsidRPr="008642D1">
        <w:rPr>
          <w:rFonts w:cs="Metropolis Light"/>
          <w:color w:val="262626" w:themeColor="text1" w:themeTint="D9"/>
        </w:rPr>
        <w:t>ā</w:t>
      </w:r>
      <w:r w:rsidRPr="008642D1">
        <w:rPr>
          <w:color w:val="262626" w:themeColor="text1" w:themeTint="D9"/>
        </w:rPr>
        <w:t>nau: The Emergence of Takat</w:t>
      </w:r>
      <w:r w:rsidRPr="008642D1">
        <w:rPr>
          <w:rFonts w:cs="Metropolis Light"/>
          <w:color w:val="262626" w:themeColor="text1" w:themeTint="D9"/>
        </w:rPr>
        <w:t>ā</w:t>
      </w:r>
      <w:r w:rsidRPr="008642D1">
        <w:rPr>
          <w:color w:val="262626" w:themeColor="text1" w:themeTint="D9"/>
        </w:rPr>
        <w:t xml:space="preserve">pui Identity – </w:t>
      </w:r>
      <w:r w:rsidRPr="008642D1">
        <w:rPr>
          <w:i/>
          <w:iCs/>
          <w:color w:val="262626" w:themeColor="text1" w:themeTint="D9"/>
        </w:rPr>
        <w:t>He Wh</w:t>
      </w:r>
      <w:r w:rsidRPr="008642D1">
        <w:rPr>
          <w:rFonts w:cs="Metropolis Light"/>
          <w:i/>
          <w:iCs/>
          <w:color w:val="262626" w:themeColor="text1" w:themeTint="D9"/>
        </w:rPr>
        <w:t>ā</w:t>
      </w:r>
      <w:r w:rsidRPr="008642D1">
        <w:rPr>
          <w:i/>
          <w:iCs/>
          <w:color w:val="262626" w:themeColor="text1" w:themeTint="D9"/>
        </w:rPr>
        <w:t>riki Takat</w:t>
      </w:r>
      <w:r w:rsidRPr="008642D1">
        <w:rPr>
          <w:rFonts w:cs="Metropolis Light"/>
          <w:i/>
          <w:iCs/>
          <w:color w:val="262626" w:themeColor="text1" w:themeTint="D9"/>
        </w:rPr>
        <w:t>ā</w:t>
      </w:r>
      <w:r w:rsidRPr="008642D1">
        <w:rPr>
          <w:i/>
          <w:iCs/>
          <w:color w:val="262626" w:themeColor="text1" w:themeTint="D9"/>
        </w:rPr>
        <w:t>pui</w:t>
      </w:r>
      <w:r w:rsidRPr="008642D1">
        <w:rPr>
          <w:rFonts w:cs="Metropolis Light"/>
          <w:color w:val="262626" w:themeColor="text1" w:themeTint="D9"/>
        </w:rPr>
        <w:t>”</w:t>
      </w:r>
      <w:r w:rsidRPr="008642D1">
        <w:rPr>
          <w:color w:val="262626" w:themeColor="text1" w:themeTint="D9"/>
        </w:rPr>
        <w:t xml:space="preserve"> (PhD thesis, Te Herenga Waka | Victoria University of Wellington, 2017) at 63; and </w:t>
      </w:r>
      <w:r w:rsidRPr="008642D1">
        <w:rPr>
          <w:color w:val="262626" w:themeColor="text1" w:themeTint="D9"/>
          <w:lang w:val="mi-NZ" w:eastAsia="en-AU"/>
        </w:rPr>
        <w:t>Clive Aspin and Jessica Hutchings “Reclaiming the past to inform the future: Contemporary views of Maori sexuality” (2007) 9 Culture, Health &amp; Sexuality 415 at 419.</w:t>
      </w:r>
      <w:r w:rsidRPr="008642D1" w:rsidDel="00BA4680">
        <w:rPr>
          <w:color w:val="262626" w:themeColor="text1" w:themeTint="D9"/>
          <w:lang w:val="mi-NZ" w:eastAsia="en-AU"/>
        </w:rPr>
        <w:t xml:space="preserve"> </w:t>
      </w:r>
    </w:p>
  </w:footnote>
  <w:footnote w:id="298">
    <w:p w14:paraId="01DCFD79" w14:textId="72E5ED85"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for example, </w:t>
      </w:r>
      <w:r w:rsidRPr="008642D1" w:rsidDel="00CE09B0">
        <w:rPr>
          <w:color w:val="262626" w:themeColor="text1" w:themeTint="D9"/>
        </w:rPr>
        <w:t>Ella Yvette Henry</w:t>
      </w:r>
      <w:r w:rsidRPr="008642D1">
        <w:rPr>
          <w:color w:val="262626" w:themeColor="text1" w:themeTint="D9"/>
        </w:rPr>
        <w:t xml:space="preserve"> </w:t>
      </w:r>
      <w:r w:rsidRPr="008642D1">
        <w:rPr>
          <w:i/>
          <w:iCs/>
          <w:color w:val="262626" w:themeColor="text1" w:themeTint="D9"/>
        </w:rPr>
        <w:t xml:space="preserve">Brief of Evidence </w:t>
      </w:r>
      <w:r w:rsidRPr="008642D1">
        <w:rPr>
          <w:color w:val="262626" w:themeColor="text1" w:themeTint="D9"/>
        </w:rPr>
        <w:t>(29 June 2021)</w:t>
      </w:r>
      <w:r w:rsidRPr="008642D1" w:rsidDel="00CE09B0">
        <w:rPr>
          <w:color w:val="262626" w:themeColor="text1" w:themeTint="D9"/>
        </w:rPr>
        <w:t xml:space="preserve"> in </w:t>
      </w:r>
      <w:r w:rsidRPr="008642D1">
        <w:rPr>
          <w:color w:val="262626" w:themeColor="text1" w:themeTint="D9"/>
        </w:rPr>
        <w:t xml:space="preserve">Te Rōpū Whakamana i te Tiriti o Waitangi | Waitangi Tribunal </w:t>
      </w:r>
      <w:r w:rsidRPr="008642D1" w:rsidDel="00CE09B0">
        <w:rPr>
          <w:i/>
          <w:iCs/>
          <w:color w:val="262626" w:themeColor="text1" w:themeTint="D9"/>
        </w:rPr>
        <w:t xml:space="preserve">Mana Wāhine </w:t>
      </w:r>
      <w:r w:rsidRPr="008642D1">
        <w:rPr>
          <w:i/>
          <w:iCs/>
          <w:color w:val="262626" w:themeColor="text1" w:themeTint="D9"/>
        </w:rPr>
        <w:t xml:space="preserve">Kaupapa </w:t>
      </w:r>
      <w:r w:rsidRPr="008642D1" w:rsidDel="00CE09B0">
        <w:rPr>
          <w:i/>
          <w:iCs/>
          <w:color w:val="262626" w:themeColor="text1" w:themeTint="D9"/>
        </w:rPr>
        <w:t>Inquiry</w:t>
      </w:r>
      <w:r w:rsidRPr="008642D1" w:rsidDel="00CE09B0">
        <w:rPr>
          <w:color w:val="262626" w:themeColor="text1" w:themeTint="D9"/>
        </w:rPr>
        <w:t xml:space="preserve"> (Wai 2700</w:t>
      </w:r>
      <w:r w:rsidRPr="008642D1">
        <w:rPr>
          <w:color w:val="262626" w:themeColor="text1" w:themeTint="D9"/>
        </w:rPr>
        <w:t>, 2021) at [17] and [20];</w:t>
      </w:r>
      <w:r w:rsidRPr="008642D1" w:rsidDel="00CE09B0">
        <w:rPr>
          <w:color w:val="262626" w:themeColor="text1" w:themeTint="D9"/>
        </w:rPr>
        <w:t xml:space="preserve"> Heeni Meretini Collins </w:t>
      </w:r>
      <w:r w:rsidRPr="008642D1">
        <w:rPr>
          <w:i/>
          <w:iCs/>
          <w:color w:val="262626" w:themeColor="text1" w:themeTint="D9"/>
        </w:rPr>
        <w:t xml:space="preserve">Brief of Evidence </w:t>
      </w:r>
      <w:r w:rsidRPr="008642D1">
        <w:rPr>
          <w:color w:val="262626" w:themeColor="text1" w:themeTint="D9"/>
        </w:rPr>
        <w:t xml:space="preserve">(21 July 2022) </w:t>
      </w:r>
      <w:r w:rsidRPr="008642D1" w:rsidDel="00CE09B0">
        <w:rPr>
          <w:color w:val="262626" w:themeColor="text1" w:themeTint="D9"/>
        </w:rPr>
        <w:t xml:space="preserve">in </w:t>
      </w:r>
      <w:r w:rsidRPr="008642D1">
        <w:rPr>
          <w:color w:val="262626" w:themeColor="text1" w:themeTint="D9"/>
        </w:rPr>
        <w:t xml:space="preserve">Te Rōpū Whakamana i te Tiriti o Waitangi | Waitangi Tribunal </w:t>
      </w:r>
      <w:r w:rsidRPr="008642D1" w:rsidDel="00CE09B0">
        <w:rPr>
          <w:i/>
          <w:iCs/>
          <w:color w:val="262626" w:themeColor="text1" w:themeTint="D9"/>
        </w:rPr>
        <w:t xml:space="preserve">Mana Wāhine </w:t>
      </w:r>
      <w:r w:rsidRPr="008642D1">
        <w:rPr>
          <w:i/>
          <w:iCs/>
          <w:color w:val="262626" w:themeColor="text1" w:themeTint="D9"/>
        </w:rPr>
        <w:t xml:space="preserve">Kaupapa </w:t>
      </w:r>
      <w:r w:rsidRPr="008642D1" w:rsidDel="00CE09B0">
        <w:rPr>
          <w:i/>
          <w:iCs/>
          <w:color w:val="262626" w:themeColor="text1" w:themeTint="D9"/>
        </w:rPr>
        <w:t>Inquiry</w:t>
      </w:r>
      <w:r w:rsidRPr="008642D1" w:rsidDel="00CE09B0">
        <w:rPr>
          <w:color w:val="262626" w:themeColor="text1" w:themeTint="D9"/>
        </w:rPr>
        <w:t xml:space="preserve"> (Wai 2700</w:t>
      </w:r>
      <w:r w:rsidRPr="008642D1">
        <w:rPr>
          <w:color w:val="262626" w:themeColor="text1" w:themeTint="D9"/>
        </w:rPr>
        <w:t xml:space="preserve">, 2022) at [25]; Pei Te Hurinui Jones </w:t>
      </w:r>
      <w:r w:rsidRPr="008642D1">
        <w:rPr>
          <w:i/>
          <w:iCs/>
          <w:color w:val="262626" w:themeColor="text1" w:themeTint="D9"/>
        </w:rPr>
        <w:t>King Pōtatau: An account of the life of Pōtatau Te Wherowhero the first Māori King</w:t>
      </w:r>
      <w:r w:rsidRPr="008642D1">
        <w:rPr>
          <w:color w:val="262626" w:themeColor="text1" w:themeTint="D9"/>
        </w:rPr>
        <w:t xml:space="preserve"> (The Polynesian Society, Wellington, 1959) at 247–253; Elizabeth Kerekere </w:t>
      </w:r>
      <w:r w:rsidRPr="008642D1">
        <w:rPr>
          <w:rFonts w:cs="Metropolis Light"/>
          <w:color w:val="262626" w:themeColor="text1" w:themeTint="D9"/>
        </w:rPr>
        <w:t>“</w:t>
      </w:r>
      <w:r w:rsidRPr="008642D1">
        <w:rPr>
          <w:color w:val="262626" w:themeColor="text1" w:themeTint="D9"/>
        </w:rPr>
        <w:t>Part of The Wh</w:t>
      </w:r>
      <w:r w:rsidRPr="008642D1">
        <w:rPr>
          <w:rFonts w:cs="Metropolis Light"/>
          <w:color w:val="262626" w:themeColor="text1" w:themeTint="D9"/>
        </w:rPr>
        <w:t>ā</w:t>
      </w:r>
      <w:r w:rsidRPr="008642D1">
        <w:rPr>
          <w:color w:val="262626" w:themeColor="text1" w:themeTint="D9"/>
        </w:rPr>
        <w:t>nau: The Emergence of Takat</w:t>
      </w:r>
      <w:r w:rsidRPr="008642D1">
        <w:rPr>
          <w:rFonts w:cs="Metropolis Light"/>
          <w:color w:val="262626" w:themeColor="text1" w:themeTint="D9"/>
        </w:rPr>
        <w:t>ā</w:t>
      </w:r>
      <w:r w:rsidRPr="008642D1">
        <w:rPr>
          <w:color w:val="262626" w:themeColor="text1" w:themeTint="D9"/>
        </w:rPr>
        <w:t xml:space="preserve">pui Identity – </w:t>
      </w:r>
      <w:r w:rsidRPr="008642D1">
        <w:rPr>
          <w:i/>
          <w:iCs/>
          <w:color w:val="262626" w:themeColor="text1" w:themeTint="D9"/>
        </w:rPr>
        <w:t>He Wh</w:t>
      </w:r>
      <w:r w:rsidRPr="008642D1">
        <w:rPr>
          <w:rFonts w:cs="Metropolis Light"/>
          <w:i/>
          <w:iCs/>
          <w:color w:val="262626" w:themeColor="text1" w:themeTint="D9"/>
        </w:rPr>
        <w:t>ā</w:t>
      </w:r>
      <w:r w:rsidRPr="008642D1">
        <w:rPr>
          <w:i/>
          <w:iCs/>
          <w:color w:val="262626" w:themeColor="text1" w:themeTint="D9"/>
        </w:rPr>
        <w:t>riki Takat</w:t>
      </w:r>
      <w:r w:rsidRPr="008642D1">
        <w:rPr>
          <w:rFonts w:cs="Metropolis Light"/>
          <w:i/>
          <w:iCs/>
          <w:color w:val="262626" w:themeColor="text1" w:themeTint="D9"/>
        </w:rPr>
        <w:t>ā</w:t>
      </w:r>
      <w:r w:rsidRPr="008642D1">
        <w:rPr>
          <w:i/>
          <w:iCs/>
          <w:color w:val="262626" w:themeColor="text1" w:themeTint="D9"/>
        </w:rPr>
        <w:t>pui</w:t>
      </w:r>
      <w:r w:rsidRPr="008642D1">
        <w:rPr>
          <w:rFonts w:cs="Metropolis Light"/>
          <w:color w:val="262626" w:themeColor="text1" w:themeTint="D9"/>
        </w:rPr>
        <w:t>”</w:t>
      </w:r>
      <w:r w:rsidRPr="008642D1">
        <w:rPr>
          <w:color w:val="262626" w:themeColor="text1" w:themeTint="D9"/>
        </w:rPr>
        <w:t xml:space="preserve"> (PhD thesis, Te Herenga Waka | Victoria University of Wellington, 2017) at 65; Ngahuia Te Awekotuku “He Reka Anō – same-sex lust and loving in the ancient Māori world” in Alison J Laurie and Linda Evans (eds) </w:t>
      </w:r>
      <w:r w:rsidRPr="008642D1">
        <w:rPr>
          <w:i/>
          <w:iCs/>
          <w:color w:val="262626" w:themeColor="text1" w:themeTint="D9"/>
        </w:rPr>
        <w:t xml:space="preserve">Outlines: Lesbian &amp; Gay Histories of Aotearoa </w:t>
      </w:r>
      <w:r w:rsidRPr="008642D1">
        <w:rPr>
          <w:color w:val="262626" w:themeColor="text1" w:themeTint="D9"/>
        </w:rPr>
        <w:t>(Lesbian &amp; Gay Archives of New Zealand, Wellington, 2005) 6 at 7; and Leonie Hayden “Pre-colonial attitudes to sex and gender fluidity – On the Rag: Sex positivity”</w:t>
      </w:r>
      <w:r w:rsidRPr="008642D1">
        <w:rPr>
          <w:b/>
          <w:bCs/>
          <w:color w:val="262626" w:themeColor="text1" w:themeTint="D9"/>
        </w:rPr>
        <w:t xml:space="preserve"> </w:t>
      </w:r>
      <w:r w:rsidRPr="008642D1">
        <w:rPr>
          <w:color w:val="262626" w:themeColor="text1" w:themeTint="D9"/>
        </w:rPr>
        <w:t>(23 October 2019) YouTube &lt;</w:t>
      </w:r>
      <w:hyperlink r:id="rId51" w:history="1">
        <w:r w:rsidRPr="008642D1">
          <w:rPr>
            <w:rStyle w:val="Hyperlink"/>
            <w:color w:val="262626" w:themeColor="text1" w:themeTint="D9"/>
          </w:rPr>
          <w:t>www.youtube.com</w:t>
        </w:r>
      </w:hyperlink>
      <w:r w:rsidRPr="008642D1">
        <w:rPr>
          <w:color w:val="262626" w:themeColor="text1" w:themeTint="D9"/>
        </w:rPr>
        <w:t>&gt; at 4</w:t>
      </w:r>
      <w:r w:rsidR="00CE15C5">
        <w:rPr>
          <w:color w:val="262626" w:themeColor="text1" w:themeTint="D9"/>
        </w:rPr>
        <w:t xml:space="preserve"> min </w:t>
      </w:r>
      <w:r w:rsidRPr="008642D1">
        <w:rPr>
          <w:color w:val="262626" w:themeColor="text1" w:themeTint="D9"/>
        </w:rPr>
        <w:t xml:space="preserve">40 </w:t>
      </w:r>
      <w:r w:rsidR="00CE15C5">
        <w:rPr>
          <w:color w:val="262626" w:themeColor="text1" w:themeTint="D9"/>
        </w:rPr>
        <w:t>sec</w:t>
      </w:r>
      <w:r w:rsidRPr="008642D1">
        <w:rPr>
          <w:color w:val="262626" w:themeColor="text1" w:themeTint="D9"/>
        </w:rPr>
        <w:t>.</w:t>
      </w:r>
    </w:p>
  </w:footnote>
  <w:footnote w:id="299">
    <w:p w14:paraId="15F4BD9D" w14:textId="14057D8B"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while </w:t>
      </w:r>
      <w:r w:rsidRPr="008642D1">
        <w:rPr>
          <w:color w:val="262626" w:themeColor="text1" w:themeTint="D9"/>
          <w:lang w:val="mi-NZ"/>
        </w:rPr>
        <w:t>the role of kaikōrero is typically occupied by males, among some iwi</w:t>
      </w:r>
      <w:r w:rsidR="00164C01">
        <w:rPr>
          <w:color w:val="262626" w:themeColor="text1" w:themeTint="D9"/>
          <w:lang w:val="mi-NZ"/>
        </w:rPr>
        <w:t>,</w:t>
      </w:r>
      <w:r w:rsidRPr="008642D1">
        <w:rPr>
          <w:color w:val="262626" w:themeColor="text1" w:themeTint="D9"/>
          <w:lang w:val="mi-NZ"/>
        </w:rPr>
        <w:t xml:space="preserve"> including Ngāti Porou, Ngāpuhi and Ngāti Kahungunu, women are also kaikōrero:</w:t>
      </w:r>
      <w:r w:rsidRPr="008642D1">
        <w:rPr>
          <w:color w:val="262626" w:themeColor="text1" w:themeTint="D9"/>
        </w:rPr>
        <w:t xml:space="preserve"> Poia Rewi </w:t>
      </w:r>
      <w:r w:rsidRPr="008642D1">
        <w:rPr>
          <w:i/>
          <w:iCs/>
          <w:color w:val="262626" w:themeColor="text1" w:themeTint="D9"/>
        </w:rPr>
        <w:t xml:space="preserve">Whaikōrero: The World of Māori Oratory </w:t>
      </w:r>
      <w:r w:rsidRPr="008642D1">
        <w:rPr>
          <w:color w:val="262626" w:themeColor="text1" w:themeTint="D9"/>
        </w:rPr>
        <w:t xml:space="preserve">(Auckland University Press, Auckland, 2010) at 74. </w:t>
      </w:r>
    </w:p>
  </w:footnote>
  <w:footnote w:id="300">
    <w:p w14:paraId="691ADB6B" w14:textId="77777777"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Rawinia Higgins and Paul Meredith “Te Mana o te wāhine – Māori women: Waiata, karanga and whaikōrero” (1 June 2017) Te Ara Encyclopedia of New Zealand &lt;</w:t>
      </w:r>
      <w:hyperlink r:id="rId52" w:history="1">
        <w:r w:rsidRPr="008642D1">
          <w:rPr>
            <w:rStyle w:val="Hyperlink"/>
            <w:color w:val="262626" w:themeColor="text1" w:themeTint="D9"/>
          </w:rPr>
          <w:t>teara.govt.nz</w:t>
        </w:r>
      </w:hyperlink>
      <w:r w:rsidRPr="008642D1">
        <w:rPr>
          <w:color w:val="262626" w:themeColor="text1" w:themeTint="D9"/>
        </w:rPr>
        <w:t>&gt;.</w:t>
      </w:r>
    </w:p>
  </w:footnote>
  <w:footnote w:id="301">
    <w:p w14:paraId="46608F3B" w14:textId="77777777"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for example, Poia Rewi </w:t>
      </w:r>
      <w:r w:rsidRPr="008642D1">
        <w:rPr>
          <w:i/>
          <w:iCs/>
          <w:color w:val="262626" w:themeColor="text1" w:themeTint="D9"/>
        </w:rPr>
        <w:t xml:space="preserve">Whaikōrero: The World of Māori Oratory </w:t>
      </w:r>
      <w:r w:rsidRPr="008642D1">
        <w:rPr>
          <w:color w:val="262626" w:themeColor="text1" w:themeTint="D9"/>
        </w:rPr>
        <w:t>(Auckland University Press, Auckland, 2010) at 71. Rewi refers to the practices of Mātaatua and Te Arawa.</w:t>
      </w:r>
    </w:p>
  </w:footnote>
  <w:footnote w:id="302">
    <w:p w14:paraId="0163B1D7" w14:textId="77777777"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for example, Poia Rewi </w:t>
      </w:r>
      <w:r w:rsidRPr="008642D1">
        <w:rPr>
          <w:i/>
          <w:iCs/>
          <w:color w:val="262626" w:themeColor="text1" w:themeTint="D9"/>
        </w:rPr>
        <w:t xml:space="preserve">Whaikōrero: The World of Māori Oratory </w:t>
      </w:r>
      <w:r w:rsidRPr="008642D1">
        <w:rPr>
          <w:color w:val="262626" w:themeColor="text1" w:themeTint="D9"/>
        </w:rPr>
        <w:t xml:space="preserve">(Auckland University Press, Auckland, 2010) at 71–72. Rewi refers to Ngāti Porou, Te Whānau-a-Apanui and Ngāti Kahungunu. </w:t>
      </w:r>
    </w:p>
  </w:footnote>
  <w:footnote w:id="303">
    <w:p w14:paraId="68AA2BB1" w14:textId="407540F1"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for example, Ngāhuia Te Awekotuku and others</w:t>
      </w:r>
      <w:r w:rsidRPr="008642D1" w:rsidDel="0053776E">
        <w:rPr>
          <w:color w:val="262626" w:themeColor="text1" w:themeTint="D9"/>
        </w:rPr>
        <w:t xml:space="preserve"> </w:t>
      </w:r>
      <w:r w:rsidRPr="008642D1">
        <w:rPr>
          <w:i/>
          <w:iCs/>
          <w:color w:val="262626" w:themeColor="text1" w:themeTint="D9"/>
        </w:rPr>
        <w:t xml:space="preserve">Mau Moko: The World of Māori Tattoo </w:t>
      </w:r>
      <w:r w:rsidRPr="008642D1">
        <w:rPr>
          <w:color w:val="262626" w:themeColor="text1" w:themeTint="D9"/>
        </w:rPr>
        <w:t xml:space="preserve">(Penguin Group, North Shore, 2007) at 101; Jordan Harris </w:t>
      </w:r>
      <w:r w:rsidRPr="008642D1">
        <w:rPr>
          <w:i/>
          <w:iCs/>
          <w:color w:val="262626" w:themeColor="text1" w:themeTint="D9"/>
        </w:rPr>
        <w:t>Takatāpui – A Place of Standing</w:t>
      </w:r>
      <w:r w:rsidRPr="008642D1">
        <w:rPr>
          <w:color w:val="262626" w:themeColor="text1" w:themeTint="D9"/>
        </w:rPr>
        <w:t xml:space="preserve"> (Oratia Books, Auckland, 2016) at 47; and Māori Television “Karanga: The First Voice, Series 2 Episode 11” &lt;</w:t>
      </w:r>
      <w:hyperlink r:id="rId53" w:history="1">
        <w:r w:rsidRPr="008642D1">
          <w:rPr>
            <w:rStyle w:val="Hyperlink"/>
            <w:color w:val="262626" w:themeColor="text1" w:themeTint="D9"/>
          </w:rPr>
          <w:t>www.maoriplus.co.nz</w:t>
        </w:r>
      </w:hyperlink>
      <w:r w:rsidRPr="008642D1">
        <w:rPr>
          <w:color w:val="262626" w:themeColor="text1" w:themeTint="D9"/>
        </w:rPr>
        <w:t>&gt;.</w:t>
      </w:r>
    </w:p>
  </w:footnote>
  <w:footnote w:id="304">
    <w:p w14:paraId="635B140B" w14:textId="77777777"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Jordan Harris </w:t>
      </w:r>
      <w:r w:rsidRPr="008642D1">
        <w:rPr>
          <w:i/>
          <w:iCs/>
          <w:color w:val="262626" w:themeColor="text1" w:themeTint="D9"/>
        </w:rPr>
        <w:t xml:space="preserve">Takatāpui – A place of standing </w:t>
      </w:r>
      <w:r w:rsidRPr="008642D1">
        <w:rPr>
          <w:color w:val="262626" w:themeColor="text1" w:themeTint="D9"/>
        </w:rPr>
        <w:t>(Oratia Books, Auckland, 2016) at 46.</w:t>
      </w:r>
    </w:p>
  </w:footnote>
  <w:footnote w:id="305">
    <w:p w14:paraId="381CE122" w14:textId="77777777"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Te Hiku Media “Angitu Challenge Gender Roles In Te Matatini 2023” (3 March 2023) &lt;</w:t>
      </w:r>
      <w:hyperlink r:id="rId54" w:history="1">
        <w:r w:rsidRPr="008642D1">
          <w:rPr>
            <w:rStyle w:val="Hyperlink"/>
            <w:color w:val="262626" w:themeColor="text1" w:themeTint="D9"/>
          </w:rPr>
          <w:t>tehiku.nz</w:t>
        </w:r>
      </w:hyperlink>
      <w:r w:rsidRPr="008642D1">
        <w:rPr>
          <w:color w:val="262626" w:themeColor="text1" w:themeTint="D9"/>
        </w:rPr>
        <w:t>&gt;.</w:t>
      </w:r>
    </w:p>
  </w:footnote>
  <w:footnote w:id="306">
    <w:p w14:paraId="46F5A7D9" w14:textId="222E05EB"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also, Wiremu Doherty, Hirini Moko Mead and Pou Temara “Appendix 1: Tikanga” in Te Aka Matua o te Ture | Law Commission </w:t>
      </w:r>
      <w:r w:rsidRPr="008642D1">
        <w:rPr>
          <w:i/>
          <w:iCs/>
          <w:color w:val="262626" w:themeColor="text1" w:themeTint="D9"/>
        </w:rPr>
        <w:t xml:space="preserve">He Poutama </w:t>
      </w:r>
      <w:r w:rsidRPr="008642D1">
        <w:rPr>
          <w:color w:val="262626" w:themeColor="text1" w:themeTint="D9"/>
        </w:rPr>
        <w:t>(</w:t>
      </w:r>
      <w:r w:rsidRPr="008642D1">
        <w:rPr>
          <w:color w:val="262626" w:themeColor="text1" w:themeTint="D9"/>
          <w:lang w:val="mi-NZ"/>
        </w:rPr>
        <w:t xml:space="preserve">NZLC SP24, </w:t>
      </w:r>
      <w:r w:rsidRPr="008642D1">
        <w:rPr>
          <w:color w:val="262626" w:themeColor="text1" w:themeTint="D9"/>
        </w:rPr>
        <w:t>2023) at [2.38]</w:t>
      </w:r>
      <w:r w:rsidRPr="008642D1">
        <w:rPr>
          <w:color w:val="262626" w:themeColor="text1" w:themeTint="D9"/>
          <w:lang w:val="mi-NZ"/>
        </w:rPr>
        <w:t>: “[T]ikanga needs to be accepted and acknowledged by the collective</w:t>
      </w:r>
      <w:r w:rsidR="0053776E">
        <w:rPr>
          <w:color w:val="262626" w:themeColor="text1" w:themeTint="D9"/>
          <w:lang w:val="mi-NZ"/>
        </w:rPr>
        <w:t xml:space="preserve"> </w:t>
      </w:r>
      <w:r w:rsidR="0053776E">
        <w:t>…</w:t>
      </w:r>
      <w:r w:rsidRPr="008642D1">
        <w:rPr>
          <w:color w:val="262626" w:themeColor="text1" w:themeTint="D9"/>
          <w:lang w:val="mi-NZ"/>
        </w:rPr>
        <w:t xml:space="preserve"> .”</w:t>
      </w:r>
    </w:p>
  </w:footnote>
  <w:footnote w:id="307">
    <w:p w14:paraId="59350925" w14:textId="1DF8065E" w:rsidR="00DB0F9A" w:rsidRPr="008642D1" w:rsidRDefault="00DB0F9A" w:rsidP="00DB0F9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sidDel="001747E1">
        <w:rPr>
          <w:color w:val="262626" w:themeColor="text1" w:themeTint="D9"/>
        </w:rPr>
        <w:t xml:space="preserve">See, also, Wiremu Doherty, Hirini Moko Mead and Pou Temara “Appendix 1: Tikanga” in Te Aka Matua o te Ture | Law Commission </w:t>
      </w:r>
      <w:r w:rsidRPr="008642D1" w:rsidDel="001747E1">
        <w:rPr>
          <w:i/>
          <w:iCs/>
          <w:color w:val="262626" w:themeColor="text1" w:themeTint="D9"/>
        </w:rPr>
        <w:t xml:space="preserve">He Poutama </w:t>
      </w:r>
      <w:r w:rsidRPr="008642D1" w:rsidDel="001747E1">
        <w:rPr>
          <w:color w:val="262626" w:themeColor="text1" w:themeTint="D9"/>
        </w:rPr>
        <w:t>(</w:t>
      </w:r>
      <w:r w:rsidRPr="008642D1" w:rsidDel="001747E1">
        <w:rPr>
          <w:color w:val="262626" w:themeColor="text1" w:themeTint="D9"/>
          <w:lang w:val="mi-NZ"/>
        </w:rPr>
        <w:t xml:space="preserve">NZLC SP24, </w:t>
      </w:r>
      <w:r w:rsidRPr="008642D1" w:rsidDel="001747E1">
        <w:rPr>
          <w:color w:val="262626" w:themeColor="text1" w:themeTint="D9"/>
        </w:rPr>
        <w:t>2023) a</w:t>
      </w:r>
      <w:r w:rsidRPr="008642D1">
        <w:rPr>
          <w:color w:val="262626" w:themeColor="text1" w:themeTint="D9"/>
        </w:rPr>
        <w:t>t [2.34].</w:t>
      </w:r>
    </w:p>
  </w:footnote>
  <w:footnote w:id="308">
    <w:p w14:paraId="1FDFCB06"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discussion, see Sandra Fredman </w:t>
      </w:r>
      <w:r w:rsidRPr="008642D1">
        <w:rPr>
          <w:i/>
          <w:iCs/>
          <w:color w:val="262626" w:themeColor="text1" w:themeTint="D9"/>
        </w:rPr>
        <w:t xml:space="preserve">Discrimination Law </w:t>
      </w:r>
      <w:r w:rsidRPr="008642D1">
        <w:rPr>
          <w:color w:val="262626" w:themeColor="text1" w:themeTint="D9"/>
        </w:rPr>
        <w:t xml:space="preserve">(3rd ed, Oxford University Press, Oxford, 2022) at 210–218; and Tarunabh Khaitan </w:t>
      </w:r>
      <w:r w:rsidRPr="008642D1">
        <w:rPr>
          <w:i/>
          <w:iCs/>
          <w:color w:val="262626" w:themeColor="text1" w:themeTint="D9"/>
        </w:rPr>
        <w:t xml:space="preserve">A Theory of Discrimination Law </w:t>
      </w:r>
      <w:r w:rsidRPr="008642D1">
        <w:rPr>
          <w:color w:val="262626" w:themeColor="text1" w:themeTint="D9"/>
        </w:rPr>
        <w:t>(Oxford University Press, Oxford, 2015) at [3.1.1].</w:t>
      </w:r>
    </w:p>
  </w:footnote>
  <w:footnote w:id="309">
    <w:p w14:paraId="677C7952"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w:t>
      </w:r>
      <w:r w:rsidRPr="008642D1">
        <w:rPr>
          <w:i/>
          <w:iCs/>
          <w:color w:val="262626" w:themeColor="text1" w:themeTint="D9"/>
        </w:rPr>
        <w:t xml:space="preserve"> Egan v Canada </w:t>
      </w:r>
      <w:r w:rsidRPr="008642D1">
        <w:rPr>
          <w:color w:val="262626" w:themeColor="text1" w:themeTint="D9"/>
        </w:rPr>
        <w:t>[1995] 2 SCR 513 at</w:t>
      </w:r>
      <w:r w:rsidRPr="008642D1">
        <w:rPr>
          <w:i/>
          <w:iCs/>
          <w:color w:val="262626" w:themeColor="text1" w:themeTint="D9"/>
        </w:rPr>
        <w:t xml:space="preserve"> </w:t>
      </w:r>
      <w:r w:rsidRPr="008642D1">
        <w:rPr>
          <w:color w:val="262626" w:themeColor="text1" w:themeTint="D9"/>
        </w:rPr>
        <w:t>[173]</w:t>
      </w:r>
      <w:r w:rsidRPr="008642D1">
        <w:rPr>
          <w:color w:val="262626" w:themeColor="text1" w:themeTint="D9"/>
        </w:rPr>
        <w:softHyphen/>
      </w:r>
      <w:r w:rsidRPr="008642D1">
        <w:rPr>
          <w:color w:val="262626" w:themeColor="text1" w:themeTint="D9"/>
        </w:rPr>
        <w:softHyphen/>
      </w:r>
      <w:r w:rsidRPr="008642D1">
        <w:rPr>
          <w:color w:val="262626" w:themeColor="text1" w:themeTint="D9"/>
        </w:rPr>
        <w:softHyphen/>
      </w:r>
      <w:r w:rsidRPr="008642D1">
        <w:rPr>
          <w:color w:val="262626" w:themeColor="text1" w:themeTint="D9"/>
        </w:rPr>
        <w:softHyphen/>
        <w:t>–[175] per Cory J;</w:t>
      </w:r>
      <w:r w:rsidRPr="008642D1">
        <w:rPr>
          <w:i/>
          <w:iCs/>
          <w:color w:val="262626" w:themeColor="text1" w:themeTint="D9"/>
        </w:rPr>
        <w:t xml:space="preserve"> </w:t>
      </w:r>
      <w:bookmarkStart w:id="84" w:name="_Hlk164081334"/>
      <w:bookmarkStart w:id="85" w:name="_Hlk165280903"/>
      <w:r w:rsidRPr="008642D1">
        <w:rPr>
          <w:i/>
          <w:iCs/>
          <w:color w:val="262626" w:themeColor="text1" w:themeTint="D9"/>
        </w:rPr>
        <w:t xml:space="preserve">San Antonio Independent School District v Rodriguez </w:t>
      </w:r>
      <w:bookmarkEnd w:id="84"/>
      <w:r w:rsidRPr="008642D1">
        <w:rPr>
          <w:color w:val="262626" w:themeColor="text1" w:themeTint="D9"/>
        </w:rPr>
        <w:t>411 US 1 (1973)</w:t>
      </w:r>
      <w:bookmarkEnd w:id="85"/>
      <w:r w:rsidRPr="008642D1">
        <w:rPr>
          <w:color w:val="262626" w:themeColor="text1" w:themeTint="D9"/>
        </w:rPr>
        <w:t xml:space="preserve"> at 40;</w:t>
      </w:r>
      <w:r w:rsidRPr="008642D1">
        <w:rPr>
          <w:i/>
          <w:iCs/>
          <w:color w:val="262626" w:themeColor="text1" w:themeTint="D9"/>
        </w:rPr>
        <w:t xml:space="preserve"> Harksen v Lane NO </w:t>
      </w:r>
      <w:r w:rsidRPr="008642D1">
        <w:rPr>
          <w:color w:val="262626" w:themeColor="text1" w:themeTint="D9"/>
        </w:rPr>
        <w:t>[1997] ZACC 12, 1997 (11) BCLR 1489 at [49]; (</w:t>
      </w:r>
      <w:r w:rsidRPr="008642D1">
        <w:rPr>
          <w:rFonts w:eastAsia="Calibri" w:cs="Arial"/>
          <w:color w:val="262626" w:themeColor="text1" w:themeTint="D9"/>
          <w:lang w:eastAsia="en-AU"/>
        </w:rPr>
        <w:t>27 July 1993) 537 NZPD 16965 (Steve Maharey MP); and</w:t>
      </w:r>
      <w:r w:rsidRPr="008642D1">
        <w:rPr>
          <w:color w:val="262626" w:themeColor="text1" w:themeTint="D9"/>
        </w:rPr>
        <w:t xml:space="preserve"> (</w:t>
      </w:r>
      <w:r w:rsidRPr="008642D1">
        <w:rPr>
          <w:rFonts w:eastAsia="Calibri" w:cs="Arial"/>
          <w:color w:val="262626" w:themeColor="text1" w:themeTint="D9"/>
          <w:lang w:eastAsia="en-AU"/>
        </w:rPr>
        <w:t xml:space="preserve">27 July 1993) 537 NZPD 16943 (Clem Simich MP). </w:t>
      </w:r>
      <w:r w:rsidRPr="008642D1">
        <w:rPr>
          <w:color w:val="262626" w:themeColor="text1" w:themeTint="D9"/>
        </w:rPr>
        <w:t xml:space="preserve">See, similarly, </w:t>
      </w:r>
      <w:r w:rsidRPr="008642D1">
        <w:rPr>
          <w:rFonts w:eastAsiaTheme="minorHAnsi" w:cstheme="minorBidi"/>
          <w:color w:val="262626" w:themeColor="text1" w:themeTint="D9"/>
          <w:szCs w:val="15"/>
          <w:shd w:val="clear" w:color="auto" w:fill="FFFFFF"/>
        </w:rPr>
        <w:t>Law Reform Commission of Western Australia</w:t>
      </w:r>
      <w:r w:rsidRPr="008642D1">
        <w:rPr>
          <w:rFonts w:ascii="Calibri" w:eastAsiaTheme="minorHAnsi" w:hAnsi="Calibri" w:cs="Calibri"/>
          <w:color w:val="262626" w:themeColor="text1" w:themeTint="D9"/>
          <w:szCs w:val="15"/>
          <w:shd w:val="clear" w:color="auto" w:fill="FFFFFF"/>
        </w:rPr>
        <w:t> </w:t>
      </w:r>
      <w:r w:rsidRPr="008642D1">
        <w:rPr>
          <w:rFonts w:eastAsiaTheme="minorHAnsi" w:cstheme="minorBidi"/>
          <w:i/>
          <w:iCs/>
          <w:color w:val="262626" w:themeColor="text1" w:themeTint="D9"/>
          <w:szCs w:val="15"/>
          <w:shd w:val="clear" w:color="auto" w:fill="FFFFFF"/>
        </w:rPr>
        <w:t>Review of the Equal Opportunity Act 1984 (WA)</w:t>
      </w:r>
      <w:r w:rsidRPr="008642D1">
        <w:rPr>
          <w:rFonts w:ascii="Calibri" w:eastAsiaTheme="minorHAnsi" w:hAnsi="Calibri" w:cs="Calibri"/>
          <w:i/>
          <w:iCs/>
          <w:color w:val="262626" w:themeColor="text1" w:themeTint="D9"/>
          <w:szCs w:val="15"/>
          <w:shd w:val="clear" w:color="auto" w:fill="FFFFFF"/>
        </w:rPr>
        <w:t> </w:t>
      </w:r>
      <w:r w:rsidRPr="008642D1">
        <w:rPr>
          <w:rFonts w:eastAsiaTheme="minorHAnsi" w:cstheme="minorBidi"/>
          <w:color w:val="262626" w:themeColor="text1" w:themeTint="D9"/>
          <w:szCs w:val="15"/>
          <w:shd w:val="clear" w:color="auto" w:fill="FFFFFF"/>
        </w:rPr>
        <w:t>(Project 111 Final Report, May 2022) at [4.2]</w:t>
      </w:r>
      <w:r w:rsidRPr="008642D1">
        <w:rPr>
          <w:color w:val="262626" w:themeColor="text1" w:themeTint="D9"/>
        </w:rPr>
        <w:t>. We discuss international treaty bodies further below.</w:t>
      </w:r>
    </w:p>
  </w:footnote>
  <w:footnote w:id="310">
    <w:p w14:paraId="2D473E52"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discussion, see Sandra Fredman </w:t>
      </w:r>
      <w:r w:rsidRPr="008642D1">
        <w:rPr>
          <w:i/>
          <w:iCs/>
          <w:color w:val="262626" w:themeColor="text1" w:themeTint="D9"/>
        </w:rPr>
        <w:t xml:space="preserve">Discrimination Law </w:t>
      </w:r>
      <w:r w:rsidRPr="008642D1">
        <w:rPr>
          <w:color w:val="262626" w:themeColor="text1" w:themeTint="D9"/>
        </w:rPr>
        <w:t xml:space="preserve">(3rd ed, Oxford University Press, Oxford, 2022) at 206–210; and Tarunabh Khaitan </w:t>
      </w:r>
      <w:r w:rsidRPr="008642D1">
        <w:rPr>
          <w:i/>
          <w:iCs/>
          <w:color w:val="262626" w:themeColor="text1" w:themeTint="D9"/>
        </w:rPr>
        <w:t xml:space="preserve">A Theory of Discrimination Law </w:t>
      </w:r>
      <w:r w:rsidRPr="008642D1">
        <w:rPr>
          <w:color w:val="262626" w:themeColor="text1" w:themeTint="D9"/>
        </w:rPr>
        <w:t>(Oxford University Press, Oxford, 2015) at [3.1.2].</w:t>
      </w:r>
    </w:p>
  </w:footnote>
  <w:footnote w:id="311">
    <w:p w14:paraId="212E891D"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w:t>
      </w:r>
      <w:r w:rsidRPr="008642D1">
        <w:rPr>
          <w:rFonts w:eastAsia="Calibri" w:cs="Arial"/>
          <w:i/>
          <w:iCs/>
          <w:color w:val="262626" w:themeColor="text1" w:themeTint="D9"/>
          <w:lang w:eastAsia="en-AU"/>
        </w:rPr>
        <w:t xml:space="preserve">Corbiere v Canada </w:t>
      </w:r>
      <w:r w:rsidRPr="008642D1">
        <w:rPr>
          <w:rFonts w:eastAsia="Calibri" w:cs="Arial"/>
          <w:color w:val="262626" w:themeColor="text1" w:themeTint="D9"/>
          <w:lang w:eastAsia="en-AU"/>
        </w:rPr>
        <w:t xml:space="preserve">[1999] 2 SCR 203 at [13] per </w:t>
      </w:r>
      <w:r w:rsidRPr="008642D1">
        <w:rPr>
          <w:color w:val="262626" w:themeColor="text1" w:themeTint="D9"/>
        </w:rPr>
        <w:t xml:space="preserve">McLachlin and Bastarache JJ for the majority; </w:t>
      </w:r>
      <w:r w:rsidRPr="008642D1">
        <w:rPr>
          <w:i/>
          <w:iCs/>
          <w:color w:val="262626" w:themeColor="text1" w:themeTint="D9"/>
        </w:rPr>
        <w:t>AL (Serbia) v Secretary of State for the Home Department</w:t>
      </w:r>
      <w:r w:rsidRPr="008642D1">
        <w:rPr>
          <w:color w:val="262626" w:themeColor="text1" w:themeTint="D9"/>
        </w:rPr>
        <w:t xml:space="preserve"> [2008] UKHL 42, [2008] 1 WLR 1434 at [26] per Lady Hale; and </w:t>
      </w:r>
      <w:r w:rsidRPr="008642D1">
        <w:rPr>
          <w:i/>
          <w:iCs/>
          <w:color w:val="262626" w:themeColor="text1" w:themeTint="D9"/>
        </w:rPr>
        <w:t>Khosa v Minister of Social Development</w:t>
      </w:r>
      <w:r w:rsidRPr="008642D1">
        <w:rPr>
          <w:color w:val="262626" w:themeColor="text1" w:themeTint="D9"/>
        </w:rPr>
        <w:t xml:space="preserve"> [2004] ZACC 11, 2004 (6) SA 505 at [71] per Mokgoro J.</w:t>
      </w:r>
    </w:p>
  </w:footnote>
  <w:footnote w:id="312">
    <w:p w14:paraId="114ECF4A"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w:t>
      </w:r>
      <w:r w:rsidRPr="008642D1">
        <w:rPr>
          <w:i/>
          <w:iCs/>
          <w:color w:val="262626" w:themeColor="text1" w:themeTint="D9"/>
        </w:rPr>
        <w:t xml:space="preserve">Centre for Gender Advocacy v The Attorney General of Québec </w:t>
      </w:r>
      <w:r w:rsidRPr="008642D1">
        <w:rPr>
          <w:color w:val="262626" w:themeColor="text1" w:themeTint="D9"/>
        </w:rPr>
        <w:t xml:space="preserve">2021 QCCS 191, 481 CRR (2d) 273 at [106]–[109]. See, also, </w:t>
      </w:r>
      <w:r w:rsidRPr="008642D1">
        <w:rPr>
          <w:i/>
          <w:iCs/>
          <w:color w:val="262626" w:themeColor="text1" w:themeTint="D9"/>
        </w:rPr>
        <w:t>Hansman v Neufeld</w:t>
      </w:r>
      <w:r w:rsidRPr="008642D1">
        <w:rPr>
          <w:color w:val="262626" w:themeColor="text1" w:themeTint="D9"/>
        </w:rPr>
        <w:t xml:space="preserve"> (2023) SCC 14 at [88], expressing apparent approval in obiter.</w:t>
      </w:r>
    </w:p>
  </w:footnote>
  <w:footnote w:id="313">
    <w:p w14:paraId="177314BD"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Sandra Fredman </w:t>
      </w:r>
      <w:r w:rsidRPr="008642D1">
        <w:rPr>
          <w:i/>
          <w:iCs/>
          <w:color w:val="262626" w:themeColor="text1" w:themeTint="D9"/>
        </w:rPr>
        <w:t xml:space="preserve">Discrimination Law </w:t>
      </w:r>
      <w:r w:rsidRPr="008642D1">
        <w:rPr>
          <w:color w:val="262626" w:themeColor="text1" w:themeTint="D9"/>
        </w:rPr>
        <w:t xml:space="preserve">(3rd ed, Oxford University Press, Oxford, 2022) at </w:t>
      </w:r>
      <w:r w:rsidRPr="008642D1">
        <w:rPr>
          <w:rFonts w:eastAsia="Calibri" w:cs="Arial"/>
          <w:color w:val="262626" w:themeColor="text1" w:themeTint="D9"/>
          <w:lang w:eastAsia="en-AU"/>
        </w:rPr>
        <w:t>207.</w:t>
      </w:r>
    </w:p>
  </w:footnote>
  <w:footnote w:id="314">
    <w:p w14:paraId="34EF5BBF"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iCs/>
          <w:color w:val="262626" w:themeColor="text1" w:themeTint="D9"/>
        </w:rPr>
        <w:t xml:space="preserve">Centre for Gender Advocacy v The Attorney General of Québec </w:t>
      </w:r>
      <w:r w:rsidRPr="008642D1">
        <w:rPr>
          <w:color w:val="262626" w:themeColor="text1" w:themeTint="D9"/>
        </w:rPr>
        <w:t xml:space="preserve">2021 QCCS 191, 481 CRR (2d) 273 at [109]. </w:t>
      </w:r>
    </w:p>
  </w:footnote>
  <w:footnote w:id="315">
    <w:p w14:paraId="5D9F73FE"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iCs/>
          <w:color w:val="262626" w:themeColor="text1" w:themeTint="D9"/>
        </w:rPr>
        <w:t xml:space="preserve">SV v Italy </w:t>
      </w:r>
      <w:r w:rsidRPr="008642D1">
        <w:rPr>
          <w:color w:val="262626" w:themeColor="text1" w:themeTint="D9"/>
        </w:rPr>
        <w:t>ECHR (First Section) 55216/08, 11 October 2018</w:t>
      </w:r>
      <w:r w:rsidRPr="008642D1" w:rsidDel="00C06C96">
        <w:rPr>
          <w:color w:val="262626" w:themeColor="text1" w:themeTint="D9"/>
        </w:rPr>
        <w:t xml:space="preserve"> </w:t>
      </w:r>
      <w:r w:rsidRPr="008642D1">
        <w:rPr>
          <w:color w:val="262626" w:themeColor="text1" w:themeTint="D9"/>
        </w:rPr>
        <w:t>at [62].</w:t>
      </w:r>
    </w:p>
  </w:footnote>
  <w:footnote w:id="316">
    <w:p w14:paraId="4931CDA9"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iCs/>
          <w:color w:val="262626" w:themeColor="text1" w:themeTint="D9"/>
        </w:rPr>
        <w:t xml:space="preserve">YY v Turkey </w:t>
      </w:r>
      <w:r w:rsidRPr="008642D1">
        <w:rPr>
          <w:color w:val="262626" w:themeColor="text1" w:themeTint="D9"/>
        </w:rPr>
        <w:t xml:space="preserve">ECHR (Former Second Section) 14793/08, 10 March 2015 at [102]. See, similarly, </w:t>
      </w:r>
      <w:r w:rsidRPr="008642D1">
        <w:rPr>
          <w:i/>
          <w:iCs/>
          <w:color w:val="262626" w:themeColor="text1" w:themeTint="D9"/>
        </w:rPr>
        <w:t>G v Australia</w:t>
      </w:r>
      <w:r w:rsidRPr="008642D1">
        <w:rPr>
          <w:color w:val="262626" w:themeColor="text1" w:themeTint="D9"/>
        </w:rPr>
        <w:t xml:space="preserve"> UN Doc CCPR/C/119/D/2172/2012 (28 June 2017) (HRC)</w:t>
      </w:r>
      <w:r w:rsidRPr="008642D1">
        <w:rPr>
          <w:i/>
          <w:color w:val="262626" w:themeColor="text1" w:themeTint="D9"/>
        </w:rPr>
        <w:t xml:space="preserve"> </w:t>
      </w:r>
      <w:r w:rsidRPr="008642D1">
        <w:rPr>
          <w:color w:val="262626" w:themeColor="text1" w:themeTint="D9"/>
        </w:rPr>
        <w:t>at [7.2].</w:t>
      </w:r>
    </w:p>
  </w:footnote>
  <w:footnote w:id="317">
    <w:p w14:paraId="16ABA5F0"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There is implicit support for this proposition in </w:t>
      </w:r>
      <w:bookmarkStart w:id="86" w:name="_Hlk164676643"/>
      <w:r w:rsidRPr="008642D1">
        <w:rPr>
          <w:rFonts w:eastAsiaTheme="minorHAnsi" w:cstheme="minorBidi"/>
          <w:i/>
          <w:iCs/>
          <w:color w:val="262626" w:themeColor="text1" w:themeTint="D9"/>
          <w:szCs w:val="15"/>
          <w:shd w:val="clear" w:color="auto" w:fill="FFFFFF"/>
        </w:rPr>
        <w:t xml:space="preserve">Semenya v Switzerland </w:t>
      </w:r>
      <w:bookmarkEnd w:id="86"/>
      <w:r w:rsidRPr="008642D1">
        <w:rPr>
          <w:rFonts w:eastAsiaTheme="minorHAnsi" w:cstheme="minorBidi"/>
          <w:color w:val="262626" w:themeColor="text1" w:themeTint="D9"/>
          <w:szCs w:val="15"/>
          <w:shd w:val="clear" w:color="auto" w:fill="FFFFFF"/>
        </w:rPr>
        <w:t>ECHR (Third Section) 10934/21</w:t>
      </w:r>
      <w:r w:rsidRPr="008642D1">
        <w:rPr>
          <w:rFonts w:eastAsiaTheme="minorHAnsi" w:cs="Calibri"/>
          <w:color w:val="262626" w:themeColor="text1" w:themeTint="D9"/>
          <w:szCs w:val="15"/>
          <w:shd w:val="clear" w:color="auto" w:fill="FFFFFF"/>
        </w:rPr>
        <w:t>, 11 July 2023</w:t>
      </w:r>
      <w:r w:rsidRPr="008642D1">
        <w:rPr>
          <w:rFonts w:ascii="Calibri" w:eastAsiaTheme="minorHAnsi" w:hAnsi="Calibri" w:cs="Calibri"/>
          <w:color w:val="262626" w:themeColor="text1" w:themeTint="D9"/>
          <w:szCs w:val="15"/>
          <w:shd w:val="clear" w:color="auto" w:fill="FFFFFF"/>
        </w:rPr>
        <w:t xml:space="preserve"> </w:t>
      </w:r>
      <w:r w:rsidRPr="008642D1">
        <w:rPr>
          <w:rFonts w:eastAsiaTheme="minorHAnsi" w:cstheme="minorBidi"/>
          <w:color w:val="262626" w:themeColor="text1" w:themeTint="D9"/>
          <w:szCs w:val="15"/>
          <w:shd w:val="clear" w:color="auto" w:fill="FFFFFF"/>
        </w:rPr>
        <w:t xml:space="preserve">at [169] and [187]. This decision is on appeal to the Grand Chamber. </w:t>
      </w:r>
    </w:p>
  </w:footnote>
  <w:footnote w:id="318">
    <w:p w14:paraId="52099DFC"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iCs/>
          <w:color w:val="262626" w:themeColor="text1" w:themeTint="D9"/>
        </w:rPr>
        <w:t xml:space="preserve">Egan v Canada </w:t>
      </w:r>
      <w:r w:rsidRPr="008642D1">
        <w:rPr>
          <w:color w:val="262626" w:themeColor="text1" w:themeTint="D9"/>
        </w:rPr>
        <w:t>[1995] 2 SCR 513 at [171].</w:t>
      </w:r>
    </w:p>
  </w:footnote>
  <w:footnote w:id="319">
    <w:p w14:paraId="55FEB66B"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iCs/>
          <w:color w:val="262626" w:themeColor="text1" w:themeTint="D9"/>
        </w:rPr>
        <w:t>R (Carson) v Secretary of State for Work and Pensions</w:t>
      </w:r>
      <w:r w:rsidRPr="008642D1">
        <w:rPr>
          <w:color w:val="262626" w:themeColor="text1" w:themeTint="D9"/>
        </w:rPr>
        <w:t xml:space="preserve"> [2005] UKHL 37, [2006] AC 173 at [58].</w:t>
      </w:r>
    </w:p>
  </w:footnote>
  <w:footnote w:id="320">
    <w:p w14:paraId="27A919F6"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w:t>
      </w:r>
      <w:r w:rsidRPr="008642D1">
        <w:rPr>
          <w:i/>
          <w:iCs/>
          <w:color w:val="262626" w:themeColor="text1" w:themeTint="D9"/>
        </w:rPr>
        <w:t xml:space="preserve">Harksen v Lane NO </w:t>
      </w:r>
      <w:r w:rsidRPr="008642D1">
        <w:rPr>
          <w:color w:val="262626" w:themeColor="text1" w:themeTint="D9"/>
        </w:rPr>
        <w:t>[1997] ZACC 12, 1997 (11) BCLR 1489 at [46].</w:t>
      </w:r>
    </w:p>
  </w:footnote>
  <w:footnote w:id="321">
    <w:p w14:paraId="1D55CC35"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w:t>
      </w:r>
      <w:r w:rsidRPr="008642D1">
        <w:rPr>
          <w:i/>
          <w:iCs/>
          <w:color w:val="262626" w:themeColor="text1" w:themeTint="D9"/>
        </w:rPr>
        <w:t xml:space="preserve">Harksen v Lane NO </w:t>
      </w:r>
      <w:r w:rsidRPr="008642D1">
        <w:rPr>
          <w:color w:val="262626" w:themeColor="text1" w:themeTint="D9"/>
        </w:rPr>
        <w:t>[1997] ZACC 12, 1997 (11) BCLR 1489 at [49].</w:t>
      </w:r>
    </w:p>
  </w:footnote>
  <w:footnote w:id="322">
    <w:p w14:paraId="7F87DEEC"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Case C-13/94 </w:t>
      </w:r>
      <w:r w:rsidRPr="008642D1">
        <w:rPr>
          <w:i/>
          <w:iCs/>
          <w:color w:val="262626" w:themeColor="text1" w:themeTint="D9"/>
        </w:rPr>
        <w:t xml:space="preserve">P v S </w:t>
      </w:r>
      <w:r w:rsidRPr="008642D1">
        <w:rPr>
          <w:color w:val="262626" w:themeColor="text1" w:themeTint="D9"/>
        </w:rPr>
        <w:t xml:space="preserve">[1996] ECR I-2143 at [22]. See, also, </w:t>
      </w:r>
      <w:r w:rsidRPr="008642D1">
        <w:rPr>
          <w:i/>
          <w:iCs/>
          <w:color w:val="262626" w:themeColor="text1" w:themeTint="D9"/>
        </w:rPr>
        <w:t xml:space="preserve">Centre for Gender Advocacy v The Attorney General of Québec </w:t>
      </w:r>
      <w:r w:rsidRPr="008642D1">
        <w:rPr>
          <w:color w:val="262626" w:themeColor="text1" w:themeTint="D9"/>
        </w:rPr>
        <w:t>2021 QCCS 191, 481 CRR (2d) 273 at [328].</w:t>
      </w:r>
    </w:p>
  </w:footnote>
  <w:footnote w:id="323">
    <w:p w14:paraId="1A80037D"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International Covenant on Civil and Political Rights 999 UNTS 171 (opened for signature 16 December 1966, entered into force 23 March 1976), arts 2(1) and 26; International Covenant on Economic, Social and Cultural Rights 993 UNTS 3 (opened for signature 16 December 1966, entered into force 3 January 1976), art 2(2); and Convention on the Rights of the Child 1577 UNTS 3 (opened for signature 20 November 1989, entered into force 2 September 1990), art 2(1).</w:t>
      </w:r>
    </w:p>
  </w:footnote>
  <w:footnote w:id="324">
    <w:p w14:paraId="3C12A0B6"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United Nations Human Rights Committee </w:t>
      </w:r>
      <w:r w:rsidRPr="008642D1">
        <w:rPr>
          <w:i/>
          <w:iCs/>
          <w:color w:val="262626" w:themeColor="text1" w:themeTint="D9"/>
        </w:rPr>
        <w:t>General Comment No 36: Article 6 – right to life</w:t>
      </w:r>
      <w:r w:rsidRPr="008642D1">
        <w:rPr>
          <w:color w:val="262626" w:themeColor="text1" w:themeTint="D9"/>
        </w:rPr>
        <w:t xml:space="preserve"> (3 September 2019) at [23] and [61]; United Nations Committee on Economic, Social and Cultural Rights </w:t>
      </w:r>
      <w:r w:rsidRPr="008642D1">
        <w:rPr>
          <w:i/>
          <w:iCs/>
          <w:color w:val="262626" w:themeColor="text1" w:themeTint="D9"/>
        </w:rPr>
        <w:t xml:space="preserve">General Comment No 20: Non-discrimination in economic, social and cultural rights </w:t>
      </w:r>
      <w:r w:rsidRPr="008642D1">
        <w:rPr>
          <w:color w:val="262626" w:themeColor="text1" w:themeTint="D9"/>
        </w:rPr>
        <w:t xml:space="preserve">(20 July 2009) at [32]; and </w:t>
      </w:r>
      <w:bookmarkStart w:id="88" w:name="_Hlk165285783"/>
      <w:r w:rsidRPr="008642D1">
        <w:rPr>
          <w:color w:val="262626" w:themeColor="text1" w:themeTint="D9"/>
        </w:rPr>
        <w:t xml:space="preserve">United Nations Committee on the Rights of the Child </w:t>
      </w:r>
      <w:r w:rsidRPr="008642D1">
        <w:rPr>
          <w:i/>
          <w:iCs/>
          <w:color w:val="262626" w:themeColor="text1" w:themeTint="D9"/>
        </w:rPr>
        <w:t>General Comment No 15:</w:t>
      </w:r>
      <w:r w:rsidRPr="008642D1">
        <w:rPr>
          <w:color w:val="262626" w:themeColor="text1" w:themeTint="D9"/>
        </w:rPr>
        <w:t xml:space="preserve"> </w:t>
      </w:r>
      <w:r w:rsidRPr="008642D1">
        <w:rPr>
          <w:i/>
          <w:iCs/>
          <w:color w:val="262626" w:themeColor="text1" w:themeTint="D9"/>
        </w:rPr>
        <w:t xml:space="preserve">on the right of the child to the enjoyment of the highest attainable standard of health </w:t>
      </w:r>
      <w:r w:rsidRPr="008642D1">
        <w:rPr>
          <w:color w:val="262626" w:themeColor="text1" w:themeTint="D9"/>
        </w:rPr>
        <w:t xml:space="preserve">(17 April 2013) at [8]. </w:t>
      </w:r>
      <w:bookmarkEnd w:id="88"/>
      <w:r w:rsidRPr="008642D1">
        <w:rPr>
          <w:color w:val="262626" w:themeColor="text1" w:themeTint="D9"/>
        </w:rPr>
        <w:t>The treaty bodies do not mention explicitly people who are non-binary.</w:t>
      </w:r>
    </w:p>
  </w:footnote>
  <w:footnote w:id="325">
    <w:p w14:paraId="31AC38D7"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iCs/>
          <w:color w:val="262626" w:themeColor="text1" w:themeTint="D9"/>
        </w:rPr>
        <w:t xml:space="preserve">G v Australia </w:t>
      </w:r>
      <w:r w:rsidRPr="008642D1">
        <w:rPr>
          <w:color w:val="262626" w:themeColor="text1" w:themeTint="D9"/>
        </w:rPr>
        <w:t xml:space="preserve">UN Doc CCPR/C/119/D/2172/2012 (28 June 2017) (HRC); and </w:t>
      </w:r>
      <w:r w:rsidRPr="008642D1">
        <w:rPr>
          <w:i/>
          <w:iCs/>
          <w:color w:val="262626" w:themeColor="text1" w:themeTint="D9"/>
        </w:rPr>
        <w:t>Savolaynen v Russian Federation</w:t>
      </w:r>
      <w:r w:rsidRPr="008642D1">
        <w:rPr>
          <w:color w:val="262626" w:themeColor="text1" w:themeTint="D9"/>
        </w:rPr>
        <w:t xml:space="preserve"> UN Doc CCPR/C/135/D/2830/2016 (HRC) (23 July 2023).</w:t>
      </w:r>
    </w:p>
  </w:footnote>
  <w:footnote w:id="326">
    <w:p w14:paraId="370D57F6" w14:textId="5A1D391C"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rFonts w:eastAsiaTheme="minorHAnsi" w:cstheme="minorBidi"/>
          <w:i/>
          <w:iCs/>
          <w:color w:val="262626" w:themeColor="text1" w:themeTint="D9"/>
          <w:szCs w:val="15"/>
          <w:shd w:val="clear" w:color="auto" w:fill="FFFFFF"/>
        </w:rPr>
        <w:t>Semenya v Switzerland</w:t>
      </w:r>
      <w:r w:rsidRPr="008642D1">
        <w:rPr>
          <w:rFonts w:ascii="Calibri" w:eastAsiaTheme="minorHAnsi" w:hAnsi="Calibri" w:cs="Calibri"/>
          <w:color w:val="262626" w:themeColor="text1" w:themeTint="D9"/>
          <w:szCs w:val="15"/>
          <w:shd w:val="clear" w:color="auto" w:fill="FFFFFF"/>
        </w:rPr>
        <w:t> </w:t>
      </w:r>
      <w:r w:rsidRPr="008642D1">
        <w:rPr>
          <w:rFonts w:eastAsiaTheme="minorHAnsi" w:cstheme="minorBidi"/>
          <w:color w:val="262626" w:themeColor="text1" w:themeTint="D9"/>
          <w:szCs w:val="15"/>
          <w:shd w:val="clear" w:color="auto" w:fill="FFFFFF"/>
        </w:rPr>
        <w:t>ECHR (Third Section) 10934/21</w:t>
      </w:r>
      <w:r w:rsidRPr="008642D1">
        <w:rPr>
          <w:rFonts w:eastAsiaTheme="minorHAnsi" w:cs="Calibri"/>
          <w:color w:val="262626" w:themeColor="text1" w:themeTint="D9"/>
          <w:szCs w:val="15"/>
          <w:shd w:val="clear" w:color="auto" w:fill="FFFFFF"/>
        </w:rPr>
        <w:t>, 11 July 2023</w:t>
      </w:r>
      <w:r w:rsidRPr="008642D1">
        <w:rPr>
          <w:rFonts w:ascii="Calibri" w:eastAsiaTheme="minorHAnsi" w:hAnsi="Calibri" w:cs="Calibri"/>
          <w:color w:val="262626" w:themeColor="text1" w:themeTint="D9"/>
          <w:szCs w:val="15"/>
          <w:shd w:val="clear" w:color="auto" w:fill="FFFFFF"/>
        </w:rPr>
        <w:t xml:space="preserve">. </w:t>
      </w:r>
      <w:r w:rsidRPr="008642D1">
        <w:rPr>
          <w:rFonts w:eastAsiaTheme="minorHAnsi" w:cstheme="minorBidi"/>
          <w:color w:val="262626" w:themeColor="text1" w:themeTint="D9"/>
          <w:szCs w:val="15"/>
          <w:shd w:val="clear" w:color="auto" w:fill="FFFFFF"/>
        </w:rPr>
        <w:t xml:space="preserve">This decision is </w:t>
      </w:r>
      <w:r w:rsidR="00F536E1">
        <w:rPr>
          <w:rFonts w:eastAsiaTheme="minorHAnsi" w:cstheme="minorBidi"/>
          <w:color w:val="262626" w:themeColor="text1" w:themeTint="D9"/>
          <w:szCs w:val="15"/>
          <w:shd w:val="clear" w:color="auto" w:fill="FFFFFF"/>
        </w:rPr>
        <w:t>on appeal</w:t>
      </w:r>
      <w:r w:rsidRPr="008642D1">
        <w:rPr>
          <w:rFonts w:eastAsiaTheme="minorHAnsi" w:cstheme="minorBidi"/>
          <w:color w:val="262626" w:themeColor="text1" w:themeTint="D9"/>
          <w:szCs w:val="15"/>
          <w:shd w:val="clear" w:color="auto" w:fill="FFFFFF"/>
        </w:rPr>
        <w:t xml:space="preserve"> to the Grand Chamber.</w:t>
      </w:r>
    </w:p>
  </w:footnote>
  <w:footnote w:id="327">
    <w:p w14:paraId="15F459A1" w14:textId="77777777" w:rsidR="00FB34B7" w:rsidRPr="008642D1" w:rsidRDefault="00FB34B7" w:rsidP="00FB34B7">
      <w:pPr>
        <w:pStyle w:val="FootnoteText"/>
        <w:rPr>
          <w:i/>
          <w:iCs/>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United Nations Human Rights Committee </w:t>
      </w:r>
      <w:r w:rsidRPr="008642D1">
        <w:rPr>
          <w:i/>
          <w:iCs/>
          <w:color w:val="262626" w:themeColor="text1" w:themeTint="D9"/>
        </w:rPr>
        <w:t xml:space="preserve">General Comment No 36: Article 6 – right to life </w:t>
      </w:r>
      <w:r w:rsidRPr="008642D1">
        <w:rPr>
          <w:color w:val="262626" w:themeColor="text1" w:themeTint="D9"/>
        </w:rPr>
        <w:t xml:space="preserve">(3 September 2019) at [23]; United Nations Committee on Economic, Social and Cultural Rights </w:t>
      </w:r>
      <w:r w:rsidRPr="008642D1">
        <w:rPr>
          <w:i/>
          <w:iCs/>
          <w:color w:val="262626" w:themeColor="text1" w:themeTint="D9"/>
        </w:rPr>
        <w:t>General Comment No 20: Non-discrimination in economic, social and cultural rights</w:t>
      </w:r>
      <w:r w:rsidRPr="008642D1">
        <w:rPr>
          <w:color w:val="262626" w:themeColor="text1" w:themeTint="D9"/>
        </w:rPr>
        <w:t xml:space="preserve"> (20 July 2009) at [32</w:t>
      </w:r>
      <w:r w:rsidRPr="008642D1" w:rsidDel="00D2065C">
        <w:rPr>
          <w:color w:val="262626" w:themeColor="text1" w:themeTint="D9"/>
        </w:rPr>
        <w:t>]</w:t>
      </w:r>
      <w:r w:rsidRPr="008642D1">
        <w:rPr>
          <w:color w:val="262626" w:themeColor="text1" w:themeTint="D9"/>
        </w:rPr>
        <w:t xml:space="preserve">; United Nations Committee on the Rights of the Child </w:t>
      </w:r>
      <w:r w:rsidRPr="008642D1">
        <w:rPr>
          <w:i/>
          <w:iCs/>
          <w:color w:val="262626" w:themeColor="text1" w:themeTint="D9"/>
        </w:rPr>
        <w:t xml:space="preserve">General Comment No 20: on the implementation of the rights of the child during adolescence </w:t>
      </w:r>
      <w:r w:rsidRPr="008642D1">
        <w:rPr>
          <w:color w:val="262626" w:themeColor="text1" w:themeTint="D9"/>
        </w:rPr>
        <w:t xml:space="preserve">(6 December 2016) at [33]; United Nations Committee against Torture </w:t>
      </w:r>
      <w:r w:rsidRPr="008642D1">
        <w:rPr>
          <w:i/>
          <w:iCs/>
          <w:color w:val="262626" w:themeColor="text1" w:themeTint="D9"/>
        </w:rPr>
        <w:t xml:space="preserve">General Comment No 2: Implementation of article 2 by States parties </w:t>
      </w:r>
      <w:r w:rsidRPr="008642D1">
        <w:rPr>
          <w:color w:val="262626" w:themeColor="text1" w:themeTint="D9"/>
        </w:rPr>
        <w:t>(24 January 2008) at [</w:t>
      </w:r>
      <w:r w:rsidRPr="008642D1" w:rsidDel="00BD504D">
        <w:rPr>
          <w:color w:val="262626" w:themeColor="text1" w:themeTint="D9"/>
        </w:rPr>
        <w:t>21</w:t>
      </w:r>
      <w:r w:rsidRPr="008642D1" w:rsidDel="00E22391">
        <w:rPr>
          <w:color w:val="262626" w:themeColor="text1" w:themeTint="D9"/>
        </w:rPr>
        <w:t xml:space="preserve">]; </w:t>
      </w:r>
      <w:r w:rsidRPr="008642D1">
        <w:rPr>
          <w:color w:val="262626" w:themeColor="text1" w:themeTint="D9"/>
        </w:rPr>
        <w:t xml:space="preserve">United Nations Committee on the Elimination of Discrimination against Women </w:t>
      </w:r>
      <w:r w:rsidRPr="008642D1">
        <w:rPr>
          <w:i/>
          <w:iCs/>
          <w:color w:val="262626" w:themeColor="text1" w:themeTint="D9"/>
        </w:rPr>
        <w:t xml:space="preserve">General Comment No 36: on the right of girls and women to education </w:t>
      </w:r>
      <w:r w:rsidRPr="008642D1">
        <w:rPr>
          <w:color w:val="262626" w:themeColor="text1" w:themeTint="D9"/>
        </w:rPr>
        <w:t>(23 November 2017)</w:t>
      </w:r>
      <w:r w:rsidRPr="008642D1">
        <w:rPr>
          <w:i/>
          <w:iCs/>
          <w:color w:val="262626" w:themeColor="text1" w:themeTint="D9"/>
        </w:rPr>
        <w:t xml:space="preserve"> </w:t>
      </w:r>
      <w:r w:rsidRPr="008642D1">
        <w:rPr>
          <w:color w:val="262626" w:themeColor="text1" w:themeTint="D9"/>
        </w:rPr>
        <w:t xml:space="preserve">at [45] and [66]; and United Nations Committee on the Rights of Persons with Disabilities </w:t>
      </w:r>
      <w:r w:rsidRPr="008642D1">
        <w:rPr>
          <w:i/>
          <w:iCs/>
          <w:color w:val="262626" w:themeColor="text1" w:themeTint="D9"/>
        </w:rPr>
        <w:t>General Comment No 8: on the right of persons with disabilities to work and employment</w:t>
      </w:r>
      <w:r w:rsidRPr="008642D1" w:rsidDel="00E22391">
        <w:rPr>
          <w:i/>
          <w:iCs/>
          <w:color w:val="262626" w:themeColor="text1" w:themeTint="D9"/>
        </w:rPr>
        <w:t xml:space="preserve"> </w:t>
      </w:r>
      <w:r w:rsidRPr="008642D1">
        <w:rPr>
          <w:color w:val="262626" w:themeColor="text1" w:themeTint="D9"/>
        </w:rPr>
        <w:t xml:space="preserve">(7 October 2022) at [22] and [23]. </w:t>
      </w:r>
    </w:p>
  </w:footnote>
  <w:footnote w:id="328">
    <w:p w14:paraId="5A1F201F"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United Nations Committee on the Elimination of Discrimination against Women </w:t>
      </w:r>
      <w:r w:rsidRPr="008642D1">
        <w:rPr>
          <w:i/>
          <w:iCs/>
          <w:color w:val="262626" w:themeColor="text1" w:themeTint="D9"/>
        </w:rPr>
        <w:t>Concluding observations on the eighth periodic report of New Zealand</w:t>
      </w:r>
      <w:r w:rsidRPr="008642D1">
        <w:rPr>
          <w:color w:val="262626" w:themeColor="text1" w:themeTint="D9"/>
        </w:rPr>
        <w:t xml:space="preserve"> (25 July 2018) CEDAW/C/NZL/CO/8 (2018) at [11(a)] and [12(a)]; United Nations Committee on the Rights of Persons with </w:t>
      </w:r>
      <w:r w:rsidRPr="007656E6">
        <w:rPr>
          <w:color w:val="262626" w:themeColor="text1" w:themeTint="D9"/>
        </w:rPr>
        <w:t>Disabilities</w:t>
      </w:r>
      <w:r w:rsidRPr="008642D1">
        <w:rPr>
          <w:i/>
          <w:iCs/>
          <w:color w:val="262626" w:themeColor="text1" w:themeTint="D9"/>
        </w:rPr>
        <w:t xml:space="preserve"> Concluding observations on the combined second and third periodic reports of New Zealand</w:t>
      </w:r>
      <w:r w:rsidRPr="008642D1">
        <w:rPr>
          <w:color w:val="262626" w:themeColor="text1" w:themeTint="D9"/>
        </w:rPr>
        <w:t xml:space="preserve"> (26 September 2022) CRPD/C/NZL/CO/2-3 at [8(b)]; and United Nations General Assembly </w:t>
      </w:r>
      <w:r w:rsidRPr="008642D1">
        <w:rPr>
          <w:i/>
          <w:iCs/>
          <w:color w:val="262626" w:themeColor="text1" w:themeTint="D9"/>
        </w:rPr>
        <w:t xml:space="preserve">Report of the Working Group on the Universal Periodic Review </w:t>
      </w:r>
      <w:r w:rsidRPr="008642D1">
        <w:rPr>
          <w:color w:val="262626" w:themeColor="text1" w:themeTint="D9"/>
        </w:rPr>
        <w:t>(1 April 2019) A/HRC/41/4 at [10</w:t>
      </w:r>
      <w:r w:rsidRPr="008642D1" w:rsidDel="00C67516">
        <w:rPr>
          <w:color w:val="262626" w:themeColor="text1" w:themeTint="D9"/>
        </w:rPr>
        <w:t xml:space="preserve">], </w:t>
      </w:r>
      <w:r w:rsidRPr="008642D1">
        <w:rPr>
          <w:color w:val="262626" w:themeColor="text1" w:themeTint="D9"/>
        </w:rPr>
        <w:t>[122.51] and [122.52].</w:t>
      </w:r>
    </w:p>
  </w:footnote>
  <w:footnote w:id="329">
    <w:p w14:paraId="77202CA9" w14:textId="48619106" w:rsidR="00FB34B7" w:rsidRPr="008642D1" w:rsidRDefault="00FB34B7" w:rsidP="00FB34B7">
      <w:pPr>
        <w:pStyle w:val="FootnoteText"/>
        <w:rPr>
          <w:rFonts w:eastAsia="Calibri" w:cs="Arial"/>
          <w:color w:val="262626" w:themeColor="text1" w:themeTint="D9"/>
          <w:lang w:eastAsia="en-AU"/>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(27 July 1993) 537 NZPD 16904 (Douglas Graham MP). </w:t>
      </w:r>
      <w:r w:rsidRPr="008642D1">
        <w:rPr>
          <w:rFonts w:eastAsia="Calibri" w:cs="Arial"/>
          <w:color w:val="262626" w:themeColor="text1" w:themeTint="D9"/>
          <w:lang w:eastAsia="en-AU"/>
        </w:rPr>
        <w:t xml:space="preserve">See, similarly, </w:t>
      </w:r>
      <w:r w:rsidRPr="008642D1">
        <w:rPr>
          <w:rFonts w:eastAsiaTheme="minorHAnsi" w:cstheme="minorBidi"/>
          <w:color w:val="262626" w:themeColor="text1" w:themeTint="D9"/>
          <w:szCs w:val="15"/>
          <w:shd w:val="clear" w:color="auto" w:fill="FFFFFF"/>
        </w:rPr>
        <w:t>Queensland Human Rights Commission</w:t>
      </w:r>
      <w:r w:rsidRPr="008642D1">
        <w:rPr>
          <w:rFonts w:ascii="Calibri" w:eastAsiaTheme="minorHAnsi" w:hAnsi="Calibri" w:cs="Calibri"/>
          <w:color w:val="262626" w:themeColor="text1" w:themeTint="D9"/>
          <w:szCs w:val="15"/>
          <w:shd w:val="clear" w:color="auto" w:fill="FFFFFF"/>
        </w:rPr>
        <w:t> </w:t>
      </w:r>
      <w:r w:rsidRPr="008642D1">
        <w:rPr>
          <w:rFonts w:eastAsiaTheme="minorHAnsi" w:cstheme="minorBidi"/>
          <w:i/>
          <w:iCs/>
          <w:color w:val="262626" w:themeColor="text1" w:themeTint="D9"/>
          <w:szCs w:val="15"/>
          <w:shd w:val="clear" w:color="auto" w:fill="FFFFFF"/>
        </w:rPr>
        <w:t xml:space="preserve">Building belonging </w:t>
      </w:r>
      <w:r w:rsidR="00482689">
        <w:rPr>
          <w:rFonts w:eastAsiaTheme="minorHAnsi" w:cstheme="minorBidi"/>
          <w:i/>
          <w:iCs/>
          <w:color w:val="262626" w:themeColor="text1" w:themeTint="D9"/>
          <w:szCs w:val="15"/>
          <w:shd w:val="clear" w:color="auto" w:fill="FFFFFF"/>
        </w:rPr>
        <w:t>–</w:t>
      </w:r>
      <w:r w:rsidRPr="008642D1">
        <w:rPr>
          <w:rFonts w:eastAsiaTheme="minorHAnsi" w:cstheme="minorBidi"/>
          <w:i/>
          <w:iCs/>
          <w:color w:val="262626" w:themeColor="text1" w:themeTint="D9"/>
          <w:szCs w:val="15"/>
          <w:shd w:val="clear" w:color="auto" w:fill="FFFFFF"/>
        </w:rPr>
        <w:t xml:space="preserve"> Review of Queensland’s Anti-Discrimination Act 1991</w:t>
      </w:r>
      <w:r w:rsidRPr="008642D1">
        <w:rPr>
          <w:rFonts w:ascii="Calibri" w:eastAsiaTheme="minorHAnsi" w:hAnsi="Calibri" w:cs="Calibri"/>
          <w:i/>
          <w:iCs/>
          <w:color w:val="262626" w:themeColor="text1" w:themeTint="D9"/>
          <w:szCs w:val="15"/>
          <w:shd w:val="clear" w:color="auto" w:fill="FFFFFF"/>
        </w:rPr>
        <w:t> </w:t>
      </w:r>
      <w:r w:rsidRPr="008642D1">
        <w:rPr>
          <w:rFonts w:eastAsiaTheme="minorHAnsi" w:cstheme="minorBidi"/>
          <w:color w:val="262626" w:themeColor="text1" w:themeTint="D9"/>
          <w:szCs w:val="15"/>
          <w:shd w:val="clear" w:color="auto" w:fill="FFFFFF"/>
        </w:rPr>
        <w:t>(July 2022)</w:t>
      </w:r>
      <w:r w:rsidRPr="008642D1">
        <w:rPr>
          <w:rFonts w:ascii="Calibri" w:eastAsiaTheme="minorHAnsi" w:hAnsi="Calibri" w:cs="Calibri"/>
          <w:color w:val="262626" w:themeColor="text1" w:themeTint="D9"/>
          <w:szCs w:val="15"/>
          <w:shd w:val="clear" w:color="auto" w:fill="FFFFFF"/>
        </w:rPr>
        <w:t> </w:t>
      </w:r>
      <w:r w:rsidRPr="008642D1">
        <w:rPr>
          <w:rFonts w:eastAsiaTheme="minorHAnsi" w:cstheme="minorBidi"/>
          <w:color w:val="262626" w:themeColor="text1" w:themeTint="D9"/>
          <w:szCs w:val="15"/>
          <w:shd w:val="clear" w:color="auto" w:fill="FFFFFF"/>
        </w:rPr>
        <w:t>at 261.</w:t>
      </w:r>
    </w:p>
  </w:footnote>
  <w:footnote w:id="330">
    <w:p w14:paraId="285E42B6"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As we explore in Chapter 7, the exact wording varies considerably.</w:t>
      </w:r>
    </w:p>
  </w:footnote>
  <w:footnote w:id="331">
    <w:p w14:paraId="43320893"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Justia “Employment Discrimination Laws: 50-State survey” (September 2022) &lt;</w:t>
      </w:r>
      <w:hyperlink r:id="rId55" w:history="1">
        <w:r w:rsidRPr="008642D1">
          <w:rPr>
            <w:rStyle w:val="Hyperlink"/>
            <w:color w:val="262626" w:themeColor="text1" w:themeTint="D9"/>
          </w:rPr>
          <w:t>www.justia.com</w:t>
        </w:r>
      </w:hyperlink>
      <w:r w:rsidRPr="006930C3">
        <w:rPr>
          <w:rStyle w:val="Hyperlink"/>
          <w:color w:val="262626" w:themeColor="text1" w:themeTint="D9"/>
          <w:u w:val="none"/>
        </w:rPr>
        <w:t>&gt;</w:t>
      </w:r>
      <w:r w:rsidRPr="00EA6A67">
        <w:rPr>
          <w:color w:val="262626" w:themeColor="text1" w:themeTint="D9"/>
        </w:rPr>
        <w:t xml:space="preserve">. </w:t>
      </w:r>
    </w:p>
  </w:footnote>
  <w:footnote w:id="332">
    <w:p w14:paraId="717FBBAD" w14:textId="367761BF"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w:t>
      </w:r>
      <w:r w:rsidRPr="008642D1">
        <w:rPr>
          <w:i/>
          <w:iCs/>
          <w:color w:val="262626" w:themeColor="text1" w:themeTint="D9"/>
        </w:rPr>
        <w:t xml:space="preserve">Hannon v First Direct Logistics Limited </w:t>
      </w:r>
      <w:r w:rsidRPr="008642D1">
        <w:rPr>
          <w:color w:val="262626" w:themeColor="text1" w:themeTint="D9"/>
        </w:rPr>
        <w:t xml:space="preserve">Equality Tribunal </w:t>
      </w:r>
      <w:r w:rsidR="00F536E1">
        <w:rPr>
          <w:color w:val="262626" w:themeColor="text1" w:themeTint="D9"/>
        </w:rPr>
        <w:t>(</w:t>
      </w:r>
      <w:r w:rsidRPr="008642D1">
        <w:rPr>
          <w:color w:val="262626" w:themeColor="text1" w:themeTint="D9"/>
        </w:rPr>
        <w:t>Ireland</w:t>
      </w:r>
      <w:r w:rsidR="00F536E1">
        <w:rPr>
          <w:color w:val="262626" w:themeColor="text1" w:themeTint="D9"/>
        </w:rPr>
        <w:t>)</w:t>
      </w:r>
      <w:r w:rsidRPr="008642D1">
        <w:rPr>
          <w:color w:val="262626" w:themeColor="text1" w:themeTint="D9"/>
        </w:rPr>
        <w:t xml:space="preserve"> DEC-S2011-066, 29 March 2011</w:t>
      </w:r>
      <w:r w:rsidRPr="008642D1" w:rsidDel="00B86D86">
        <w:rPr>
          <w:color w:val="262626" w:themeColor="text1" w:themeTint="D9"/>
        </w:rPr>
        <w:t xml:space="preserve"> </w:t>
      </w:r>
      <w:r w:rsidRPr="008642D1">
        <w:rPr>
          <w:color w:val="262626" w:themeColor="text1" w:themeTint="D9"/>
        </w:rPr>
        <w:t>at [4.2] and [4.4].</w:t>
      </w:r>
    </w:p>
  </w:footnote>
  <w:footnote w:id="333">
    <w:p w14:paraId="4C4FD89A"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Alberta Human Rights Commission “Protected grounds” &lt;</w:t>
      </w:r>
      <w:hyperlink r:id="rId56" w:history="1">
        <w:r w:rsidRPr="008642D1">
          <w:rPr>
            <w:rStyle w:val="Hyperlink"/>
            <w:color w:val="262626" w:themeColor="text1" w:themeTint="D9"/>
          </w:rPr>
          <w:t>albertahumanrights.ab.ca</w:t>
        </w:r>
      </w:hyperlink>
      <w:r w:rsidRPr="008642D1">
        <w:rPr>
          <w:color w:val="262626" w:themeColor="text1" w:themeTint="D9"/>
        </w:rPr>
        <w:t>&gt;; and British Columbia’s Office of the Human Rights Commissioner “Human rights in BC” &lt;</w:t>
      </w:r>
      <w:hyperlink r:id="rId57" w:history="1">
        <w:r w:rsidRPr="008642D1">
          <w:rPr>
            <w:rStyle w:val="Hyperlink"/>
            <w:color w:val="262626" w:themeColor="text1" w:themeTint="D9"/>
          </w:rPr>
          <w:t>bchumanrights.ca</w:t>
        </w:r>
      </w:hyperlink>
      <w:r w:rsidRPr="008642D1">
        <w:rPr>
          <w:color w:val="262626" w:themeColor="text1" w:themeTint="D9"/>
        </w:rPr>
        <w:t xml:space="preserve">&gt;.   </w:t>
      </w:r>
    </w:p>
  </w:footnote>
  <w:footnote w:id="334">
    <w:p w14:paraId="2E35766B"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iCs/>
          <w:color w:val="262626" w:themeColor="text1" w:themeTint="D9"/>
        </w:rPr>
        <w:t>Bostock v Clayton County</w:t>
      </w:r>
      <w:r w:rsidRPr="008642D1">
        <w:rPr>
          <w:color w:val="262626" w:themeColor="text1" w:themeTint="D9"/>
        </w:rPr>
        <w:t xml:space="preserve"> 590 US 644 (2020). </w:t>
      </w:r>
    </w:p>
  </w:footnote>
  <w:footnote w:id="335">
    <w:p w14:paraId="540CC4FB"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w:t>
      </w:r>
      <w:r w:rsidRPr="008642D1">
        <w:rPr>
          <w:rFonts w:eastAsia="Calibri" w:cs="Arial"/>
          <w:color w:val="262626" w:themeColor="text1" w:themeTint="D9"/>
          <w:lang w:eastAsia="en-AU"/>
        </w:rPr>
        <w:t>27 July 1993) 537 NZPD 16912.</w:t>
      </w:r>
    </w:p>
  </w:footnote>
  <w:footnote w:id="336">
    <w:p w14:paraId="08EDB06C"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Ipsos </w:t>
      </w:r>
      <w:r w:rsidRPr="008642D1">
        <w:rPr>
          <w:i/>
          <w:iCs/>
          <w:color w:val="262626" w:themeColor="text1" w:themeTint="D9"/>
        </w:rPr>
        <w:t>LGBT+ Pride 2023: A 30-Country Ipsos Global Advisor Survey</w:t>
      </w:r>
      <w:r w:rsidRPr="008642D1" w:rsidDel="00E51B8A">
        <w:rPr>
          <w:i/>
          <w:iCs/>
          <w:color w:val="262626" w:themeColor="text1" w:themeTint="D9"/>
        </w:rPr>
        <w:t xml:space="preserve"> </w:t>
      </w:r>
      <w:r w:rsidRPr="008642D1">
        <w:rPr>
          <w:color w:val="262626" w:themeColor="text1" w:themeTint="D9"/>
        </w:rPr>
        <w:t>(2023) at 35.</w:t>
      </w:r>
    </w:p>
  </w:footnote>
  <w:footnote w:id="337">
    <w:p w14:paraId="2195CD8B"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Hannah Morgan and others </w:t>
      </w:r>
      <w:r w:rsidRPr="008642D1">
        <w:rPr>
          <w:i/>
          <w:iCs/>
          <w:color w:val="262626" w:themeColor="text1" w:themeTint="D9"/>
        </w:rPr>
        <w:t>Attitudes to transgender people</w:t>
      </w:r>
      <w:r w:rsidRPr="008642D1">
        <w:rPr>
          <w:color w:val="262626" w:themeColor="text1" w:themeTint="D9"/>
        </w:rPr>
        <w:t xml:space="preserve"> (Equality and Human Rights Commission, Research Report, Manchester, August 2020) at 7.</w:t>
      </w:r>
    </w:p>
  </w:footnote>
  <w:footnote w:id="338">
    <w:p w14:paraId="0AFB0AB7"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We rely in this Issues Paper on the translation of Sir Hugh Kawharu as appended to the Cabinet Office </w:t>
      </w:r>
      <w:r w:rsidRPr="008642D1">
        <w:rPr>
          <w:i/>
          <w:iCs/>
          <w:color w:val="262626" w:themeColor="text1" w:themeTint="D9"/>
        </w:rPr>
        <w:t xml:space="preserve">Cabinet Manual 2023 </w:t>
      </w:r>
      <w:r w:rsidRPr="008642D1">
        <w:rPr>
          <w:color w:val="262626" w:themeColor="text1" w:themeTint="D9"/>
        </w:rPr>
        <w:t>at 157–158.</w:t>
      </w:r>
    </w:p>
  </w:footnote>
  <w:footnote w:id="339">
    <w:p w14:paraId="5BD6D151"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for example, Te Rōpū Whakamana i te Tiriti o Waitangi | Waitangi Tribunal </w:t>
      </w:r>
      <w:r w:rsidRPr="008642D1">
        <w:rPr>
          <w:i/>
          <w:iCs/>
          <w:color w:val="262626" w:themeColor="text1" w:themeTint="D9"/>
        </w:rPr>
        <w:t xml:space="preserve">Hauora: Report on Stage One of the Health Services and Outcomes Kaupapa Inquiry </w:t>
      </w:r>
      <w:r w:rsidRPr="008642D1">
        <w:rPr>
          <w:color w:val="262626" w:themeColor="text1" w:themeTint="D9"/>
        </w:rPr>
        <w:t>(Wai 2575, 2023) at 33–34.</w:t>
      </w:r>
    </w:p>
  </w:footnote>
  <w:footnote w:id="340">
    <w:p w14:paraId="5B28EB2A"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for example, Te Rōpū Whakamana i te Tiriti o Waitangi | Waitangi Tribunal </w:t>
      </w:r>
      <w:r w:rsidRPr="008642D1">
        <w:rPr>
          <w:i/>
          <w:iCs/>
          <w:color w:val="262626" w:themeColor="text1" w:themeTint="D9"/>
        </w:rPr>
        <w:t xml:space="preserve">Tū Mai te Rangi! Report on the Crown and Disproportionate Reoffending Rates </w:t>
      </w:r>
      <w:r w:rsidRPr="008642D1">
        <w:rPr>
          <w:color w:val="262626" w:themeColor="text1" w:themeTint="D9"/>
        </w:rPr>
        <w:t>(Wai 2540, 2017) at 22.</w:t>
      </w:r>
    </w:p>
  </w:footnote>
  <w:footnote w:id="341">
    <w:p w14:paraId="4BD282D3"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for example, Te Rōpū Whakamana i te Tiriti o Waitangi | Waitangi Tribunal </w:t>
      </w:r>
      <w:r w:rsidRPr="008642D1">
        <w:rPr>
          <w:i/>
          <w:iCs/>
          <w:color w:val="262626" w:themeColor="text1" w:themeTint="D9"/>
        </w:rPr>
        <w:t xml:space="preserve">The Napier Hospital and Health Services Report </w:t>
      </w:r>
      <w:r w:rsidRPr="008642D1">
        <w:rPr>
          <w:color w:val="262626" w:themeColor="text1" w:themeTint="D9"/>
        </w:rPr>
        <w:t xml:space="preserve">(Wai 692, 2001) at 54–55. </w:t>
      </w:r>
    </w:p>
  </w:footnote>
  <w:footnote w:id="342">
    <w:p w14:paraId="65F1A6F3"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Tatauranga Aotearoa | Stats NZ “LGBT+ population of Aotearoa: Year ended June 2021” (9 November 2022) &lt;</w:t>
      </w:r>
      <w:hyperlink r:id="rId58" w:history="1">
        <w:r w:rsidRPr="008642D1">
          <w:rPr>
            <w:rStyle w:val="Hyperlink"/>
            <w:color w:val="262626" w:themeColor="text1" w:themeTint="D9"/>
          </w:rPr>
          <w:t>www.stats.govt.nz</w:t>
        </w:r>
      </w:hyperlink>
      <w:r w:rsidRPr="008642D1">
        <w:rPr>
          <w:color w:val="262626" w:themeColor="text1" w:themeTint="D9"/>
        </w:rPr>
        <w:t>&gt;.</w:t>
      </w:r>
    </w:p>
  </w:footnote>
  <w:footnote w:id="343">
    <w:p w14:paraId="029EB15E"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for example, </w:t>
      </w:r>
      <w:r w:rsidRPr="008642D1">
        <w:rPr>
          <w:color w:val="262626" w:themeColor="text1" w:themeTint="D9"/>
          <w:lang w:eastAsia="en-AU"/>
        </w:rPr>
        <w:t xml:space="preserve">Te Kāhui Tika Tangata | Human Rights Commission </w:t>
      </w:r>
      <w:r w:rsidRPr="008642D1">
        <w:rPr>
          <w:i/>
          <w:iCs/>
          <w:color w:val="262626" w:themeColor="text1" w:themeTint="D9"/>
          <w:lang w:eastAsia="en-AU"/>
        </w:rPr>
        <w:t xml:space="preserve">PRISM: Human Rights issues relating to Sexual Orientation, Gender Identity and Expression, and Sex Characteristics (SOGIESC) in Aotearoa New Zealand – A report with recommendations </w:t>
      </w:r>
      <w:r w:rsidRPr="008642D1">
        <w:rPr>
          <w:color w:val="262626" w:themeColor="text1" w:themeTint="D9"/>
          <w:lang w:eastAsia="en-AU"/>
        </w:rPr>
        <w:t>(June 2020)</w:t>
      </w:r>
      <w:r w:rsidRPr="008642D1">
        <w:rPr>
          <w:i/>
          <w:iCs/>
          <w:color w:val="262626" w:themeColor="text1" w:themeTint="D9"/>
          <w:lang w:eastAsia="en-AU"/>
        </w:rPr>
        <w:t xml:space="preserve"> </w:t>
      </w:r>
      <w:r w:rsidRPr="008642D1">
        <w:rPr>
          <w:color w:val="262626" w:themeColor="text1" w:themeTint="D9"/>
          <w:lang w:eastAsia="en-AU"/>
        </w:rPr>
        <w:t xml:space="preserve">at 10 and 19. </w:t>
      </w:r>
    </w:p>
  </w:footnote>
  <w:footnote w:id="344">
    <w:p w14:paraId="1D0704A5"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further discussion of this wānanga, see Chapter 5.</w:t>
      </w:r>
    </w:p>
  </w:footnote>
  <w:footnote w:id="345">
    <w:p w14:paraId="3149E8D7"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The particular claim is Wai 2843, brought by Ahi Wi-Hongi. See Te Rōpū Whakamana i te Tiriti o Waitangi | Waitangi Tribunal </w:t>
      </w:r>
      <w:r w:rsidRPr="008642D1">
        <w:rPr>
          <w:i/>
          <w:iCs/>
          <w:color w:val="262626" w:themeColor="text1" w:themeTint="D9"/>
        </w:rPr>
        <w:t xml:space="preserve">The Chief Historian’s Pre-Casebook Discussion Paper for the Mana Wāhine Inquiry </w:t>
      </w:r>
      <w:r w:rsidRPr="008642D1">
        <w:rPr>
          <w:color w:val="262626" w:themeColor="text1" w:themeTint="D9"/>
        </w:rPr>
        <w:t>(Wai 2700, July 2020) at 77.</w:t>
      </w:r>
    </w:p>
  </w:footnote>
  <w:footnote w:id="346">
    <w:p w14:paraId="7B7641BD"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We explain the concept of tino rangatiratanga in Chapter 17.</w:t>
      </w:r>
    </w:p>
  </w:footnote>
  <w:footnote w:id="347">
    <w:p w14:paraId="02C4F45D"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Legislation Design and Advisory Committee </w:t>
      </w:r>
      <w:r w:rsidRPr="008642D1">
        <w:rPr>
          <w:i/>
          <w:iCs/>
          <w:color w:val="262626" w:themeColor="text1" w:themeTint="D9"/>
        </w:rPr>
        <w:t>Legislation Guidelines</w:t>
      </w:r>
      <w:r w:rsidRPr="008642D1">
        <w:rPr>
          <w:color w:val="262626" w:themeColor="text1" w:themeTint="D9"/>
        </w:rPr>
        <w:t xml:space="preserve"> (September 2021) at [2.3]. See also Cabinet Office </w:t>
      </w:r>
      <w:r w:rsidRPr="008642D1">
        <w:rPr>
          <w:i/>
          <w:color w:val="262626" w:themeColor="text1" w:themeTint="D9"/>
        </w:rPr>
        <w:t>Cabinet Manual 2023</w:t>
      </w:r>
      <w:r w:rsidRPr="008642D1">
        <w:rPr>
          <w:color w:val="262626" w:themeColor="text1" w:themeTint="D9"/>
        </w:rPr>
        <w:t xml:space="preserve"> at [7.24]: “unnecessary new legislation” should be avoided.</w:t>
      </w:r>
    </w:p>
  </w:footnote>
  <w:footnote w:id="348">
    <w:p w14:paraId="58DF3B45"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Letter from Cheryl Gwyn (Acting Solicitor-General) to the Attorney-General “Human Rights (Gender Identity) Amendment Bill” (2 August 2006) at [1] and [30]. </w:t>
      </w:r>
    </w:p>
  </w:footnote>
  <w:footnote w:id="349">
    <w:p w14:paraId="06F1BBB6"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Te Tāhū o te Ture | Ministry of Justice </w:t>
      </w:r>
      <w:r w:rsidRPr="008642D1">
        <w:rPr>
          <w:i/>
          <w:iCs/>
          <w:color w:val="262626" w:themeColor="text1" w:themeTint="D9"/>
        </w:rPr>
        <w:t xml:space="preserve">Proposals against incitement of hatred and discrimination </w:t>
      </w:r>
      <w:r w:rsidRPr="008642D1">
        <w:rPr>
          <w:color w:val="262626" w:themeColor="text1" w:themeTint="D9"/>
        </w:rPr>
        <w:t>(2021) at 23.</w:t>
      </w:r>
    </w:p>
  </w:footnote>
  <w:footnote w:id="350">
    <w:p w14:paraId="02BADFFB"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w:t>
      </w:r>
      <w:r w:rsidRPr="008642D1">
        <w:rPr>
          <w:color w:val="262626" w:themeColor="text1" w:themeTint="D9"/>
          <w:lang w:bidi="th-TH"/>
        </w:rPr>
        <w:t xml:space="preserve">Te Kāhui Tika Tangata | Human Rights Commission </w:t>
      </w:r>
      <w:r w:rsidRPr="008642D1">
        <w:rPr>
          <w:i/>
          <w:iCs/>
          <w:color w:val="262626" w:themeColor="text1" w:themeTint="D9"/>
          <w:lang w:bidi="th-TH"/>
        </w:rPr>
        <w:t>PRISM: Human Rights issues relating to Sexual Orientation, Gender Identity and Expression, and Sex Characteristics (SOGIESC) in Aotearoa New Zealand – A report with recommendations</w:t>
      </w:r>
      <w:r w:rsidRPr="008642D1">
        <w:rPr>
          <w:color w:val="262626" w:themeColor="text1" w:themeTint="D9"/>
          <w:lang w:bidi="th-TH"/>
        </w:rPr>
        <w:t xml:space="preserve"> (June 2020) at 14. </w:t>
      </w:r>
    </w:p>
  </w:footnote>
  <w:footnote w:id="351">
    <w:p w14:paraId="562F4FC3"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Alex Casey “Deadnaming, insults and harassment: trans Corrections officer brings landmark human rights case against employer” (16 May 2024) The Spinoff &lt;</w:t>
      </w:r>
      <w:hyperlink r:id="rId59" w:history="1">
        <w:r w:rsidRPr="008642D1">
          <w:rPr>
            <w:rStyle w:val="Hyperlink"/>
            <w:color w:val="262626" w:themeColor="text1" w:themeTint="D9"/>
          </w:rPr>
          <w:t>thespinoff.co.nz</w:t>
        </w:r>
      </w:hyperlink>
      <w:r w:rsidRPr="008642D1">
        <w:rPr>
          <w:color w:val="262626" w:themeColor="text1" w:themeTint="D9"/>
        </w:rPr>
        <w:t>&gt;; and LAVA “Discrimination claim served on Pride Board” (30 December 2022) &lt;</w:t>
      </w:r>
      <w:hyperlink r:id="rId60" w:history="1">
        <w:r w:rsidRPr="008642D1">
          <w:rPr>
            <w:rStyle w:val="Hyperlink"/>
            <w:color w:val="262626" w:themeColor="text1" w:themeTint="D9"/>
          </w:rPr>
          <w:t>www.lava.nz</w:t>
        </w:r>
      </w:hyperlink>
      <w:r w:rsidRPr="008642D1">
        <w:rPr>
          <w:color w:val="262626" w:themeColor="text1" w:themeTint="D9"/>
        </w:rPr>
        <w:t>&gt;.</w:t>
      </w:r>
    </w:p>
  </w:footnote>
  <w:footnote w:id="352">
    <w:p w14:paraId="7013D2CB"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iCs/>
          <w:color w:val="262626" w:themeColor="text1" w:themeTint="D9"/>
        </w:rPr>
        <w:t xml:space="preserve">Adam v Radio New Zealand </w:t>
      </w:r>
      <w:r w:rsidRPr="008642D1">
        <w:rPr>
          <w:color w:val="262626" w:themeColor="text1" w:themeTint="D9"/>
        </w:rPr>
        <w:t>BSA 2022-067, 27 February 2023 at [35].</w:t>
      </w:r>
    </w:p>
  </w:footnote>
  <w:footnote w:id="353">
    <w:p w14:paraId="438A9641"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w:t>
      </w:r>
      <w:r w:rsidRPr="008642D1">
        <w:rPr>
          <w:i/>
          <w:iCs/>
          <w:color w:val="262626" w:themeColor="text1" w:themeTint="D9"/>
        </w:rPr>
        <w:t>Chief Constable of West Yorkshire Police v A</w:t>
      </w:r>
      <w:r w:rsidRPr="008642D1">
        <w:rPr>
          <w:color w:val="262626" w:themeColor="text1" w:themeTint="D9"/>
        </w:rPr>
        <w:t xml:space="preserve"> [2004] UKHL 21, [2005] 1 AC 51; </w:t>
      </w:r>
      <w:r w:rsidRPr="008642D1">
        <w:rPr>
          <w:i/>
          <w:iCs/>
          <w:color w:val="262626" w:themeColor="text1" w:themeTint="D9"/>
        </w:rPr>
        <w:t>Bostock v Clayton County</w:t>
      </w:r>
      <w:r w:rsidRPr="008642D1">
        <w:rPr>
          <w:color w:val="262626" w:themeColor="text1" w:themeTint="D9"/>
        </w:rPr>
        <w:t xml:space="preserve"> 590 US 644 (2020); and Case C-13/94</w:t>
      </w:r>
      <w:r w:rsidRPr="008642D1">
        <w:rPr>
          <w:i/>
          <w:iCs/>
          <w:color w:val="262626" w:themeColor="text1" w:themeTint="D9"/>
        </w:rPr>
        <w:t xml:space="preserve"> P v S</w:t>
      </w:r>
      <w:r w:rsidRPr="008642D1">
        <w:rPr>
          <w:color w:val="262626" w:themeColor="text1" w:themeTint="D9"/>
        </w:rPr>
        <w:t xml:space="preserve"> [1996] ECR I-2143.</w:t>
      </w:r>
    </w:p>
  </w:footnote>
  <w:footnote w:id="354">
    <w:p w14:paraId="36B313A8" w14:textId="407DE18F"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w:t>
      </w:r>
      <w:r w:rsidRPr="008642D1">
        <w:rPr>
          <w:i/>
          <w:iCs/>
          <w:color w:val="262626" w:themeColor="text1" w:themeTint="D9"/>
        </w:rPr>
        <w:t xml:space="preserve">Sheridan v Sanctuary Investments Ltd (No 3) </w:t>
      </w:r>
      <w:r w:rsidRPr="008642D1">
        <w:rPr>
          <w:color w:val="262626" w:themeColor="text1" w:themeTint="D9"/>
        </w:rPr>
        <w:t xml:space="preserve">1999 BCHRT 4, 33 CHRR D/467; and </w:t>
      </w:r>
      <w:r w:rsidRPr="008642D1">
        <w:rPr>
          <w:rFonts w:eastAsiaTheme="minorHAnsi" w:cstheme="minorBidi"/>
          <w:i/>
          <w:iCs/>
          <w:color w:val="262626" w:themeColor="text1" w:themeTint="D9"/>
          <w:szCs w:val="15"/>
          <w:shd w:val="clear" w:color="auto" w:fill="FFFFFF"/>
        </w:rPr>
        <w:t>Hannon v First Direct Logistics Limited</w:t>
      </w:r>
      <w:r w:rsidRPr="008642D1">
        <w:rPr>
          <w:rFonts w:ascii="Calibri" w:eastAsiaTheme="minorHAnsi" w:hAnsi="Calibri" w:cs="Calibri"/>
          <w:color w:val="262626" w:themeColor="text1" w:themeTint="D9"/>
          <w:szCs w:val="15"/>
          <w:shd w:val="clear" w:color="auto" w:fill="FFFFFF"/>
        </w:rPr>
        <w:t> </w:t>
      </w:r>
      <w:r w:rsidRPr="008642D1">
        <w:rPr>
          <w:rFonts w:eastAsiaTheme="minorHAnsi" w:cstheme="minorBidi"/>
          <w:color w:val="262626" w:themeColor="text1" w:themeTint="D9"/>
          <w:szCs w:val="15"/>
          <w:shd w:val="clear" w:color="auto" w:fill="FFFFFF"/>
        </w:rPr>
        <w:t xml:space="preserve">Equality Tribunal </w:t>
      </w:r>
      <w:r w:rsidR="00C36E7F">
        <w:rPr>
          <w:rFonts w:eastAsiaTheme="minorHAnsi" w:cstheme="minorBidi"/>
          <w:color w:val="262626" w:themeColor="text1" w:themeTint="D9"/>
          <w:szCs w:val="15"/>
          <w:shd w:val="clear" w:color="auto" w:fill="FFFFFF"/>
        </w:rPr>
        <w:t>(</w:t>
      </w:r>
      <w:r w:rsidRPr="008642D1">
        <w:rPr>
          <w:rFonts w:eastAsiaTheme="minorHAnsi" w:cstheme="minorBidi"/>
          <w:color w:val="262626" w:themeColor="text1" w:themeTint="D9"/>
          <w:szCs w:val="15"/>
          <w:shd w:val="clear" w:color="auto" w:fill="FFFFFF"/>
        </w:rPr>
        <w:t>Ireland</w:t>
      </w:r>
      <w:r w:rsidR="00C36E7F">
        <w:rPr>
          <w:rFonts w:eastAsiaTheme="minorHAnsi" w:cstheme="minorBidi"/>
          <w:color w:val="262626" w:themeColor="text1" w:themeTint="D9"/>
          <w:szCs w:val="15"/>
          <w:shd w:val="clear" w:color="auto" w:fill="FFFFFF"/>
        </w:rPr>
        <w:t>)</w:t>
      </w:r>
      <w:r w:rsidRPr="008642D1">
        <w:rPr>
          <w:rFonts w:eastAsiaTheme="minorHAnsi" w:cstheme="minorBidi"/>
          <w:color w:val="262626" w:themeColor="text1" w:themeTint="D9"/>
          <w:szCs w:val="15"/>
          <w:shd w:val="clear" w:color="auto" w:fill="FFFFFF"/>
        </w:rPr>
        <w:t xml:space="preserve"> DEC-S2011-</w:t>
      </w:r>
      <w:r w:rsidRPr="008642D1" w:rsidDel="00657105">
        <w:rPr>
          <w:rFonts w:eastAsiaTheme="minorHAnsi" w:cstheme="minorBidi"/>
          <w:color w:val="262626" w:themeColor="text1" w:themeTint="D9"/>
          <w:szCs w:val="15"/>
          <w:shd w:val="clear" w:color="auto" w:fill="FFFFFF"/>
        </w:rPr>
        <w:t>066</w:t>
      </w:r>
      <w:r w:rsidRPr="008642D1">
        <w:rPr>
          <w:rFonts w:eastAsiaTheme="minorHAnsi" w:cstheme="minorBidi"/>
          <w:color w:val="262626" w:themeColor="text1" w:themeTint="D9"/>
          <w:szCs w:val="15"/>
          <w:shd w:val="clear" w:color="auto" w:fill="FFFFFF"/>
        </w:rPr>
        <w:t>, 29 March 2011.</w:t>
      </w:r>
      <w:r w:rsidRPr="008642D1">
        <w:rPr>
          <w:color w:val="262626" w:themeColor="text1" w:themeTint="D9"/>
        </w:rPr>
        <w:t xml:space="preserve"> </w:t>
      </w:r>
    </w:p>
  </w:footnote>
  <w:footnote w:id="355">
    <w:p w14:paraId="0F05D7EB"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Tia Frances Koonse “‘There is No There, There’ – How Anti-Discrimination Successes for Trans Litigants under the Categories of Sex and Disability Can Further the Intersex Rights Movement” (2009) 8 Dukeminier Awards: Best Sexual Orientation and Gender Identity LR 333.</w:t>
      </w:r>
    </w:p>
  </w:footnote>
  <w:footnote w:id="356">
    <w:p w14:paraId="6E391B93"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Te Kāhui Tika Tangata | Human Rights Commission</w:t>
      </w:r>
      <w:r w:rsidRPr="008642D1">
        <w:rPr>
          <w:i/>
          <w:iCs/>
          <w:color w:val="262626" w:themeColor="text1" w:themeTint="D9"/>
        </w:rPr>
        <w:t xml:space="preserve"> Human Rights in New Zealand Today</w:t>
      </w:r>
      <w:r w:rsidRPr="008642D1">
        <w:rPr>
          <w:rFonts w:ascii="Calibri" w:hAnsi="Calibri" w:cs="Calibri"/>
          <w:i/>
          <w:iCs/>
          <w:color w:val="262626" w:themeColor="text1" w:themeTint="D9"/>
        </w:rPr>
        <w:t> </w:t>
      </w:r>
      <w:r w:rsidRPr="008642D1">
        <w:rPr>
          <w:color w:val="262626" w:themeColor="text1" w:themeTint="D9"/>
        </w:rPr>
        <w:t>|</w:t>
      </w:r>
      <w:r w:rsidRPr="008642D1">
        <w:rPr>
          <w:rFonts w:ascii="Calibri" w:hAnsi="Calibri" w:cs="Calibri"/>
          <w:color w:val="262626" w:themeColor="text1" w:themeTint="D9"/>
        </w:rPr>
        <w:t> </w:t>
      </w:r>
      <w:r w:rsidRPr="008642D1">
        <w:rPr>
          <w:i/>
          <w:iCs/>
          <w:color w:val="262626" w:themeColor="text1" w:themeTint="D9"/>
        </w:rPr>
        <w:t>Ngā Tika Tangata o Te Motu</w:t>
      </w:r>
      <w:r w:rsidRPr="008642D1">
        <w:rPr>
          <w:color w:val="262626" w:themeColor="text1" w:themeTint="D9"/>
        </w:rPr>
        <w:t xml:space="preserve"> (September 2004) at 360.</w:t>
      </w:r>
    </w:p>
  </w:footnote>
  <w:footnote w:id="357">
    <w:p w14:paraId="1FE3C200" w14:textId="77777777" w:rsidR="00FB34B7" w:rsidRPr="008642D1" w:rsidRDefault="00FB34B7" w:rsidP="00FB34B7">
      <w:pPr>
        <w:pStyle w:val="FootnoteText"/>
        <w:rPr>
          <w:color w:val="262626" w:themeColor="text1" w:themeTint="D9"/>
        </w:rPr>
      </w:pPr>
      <w:r w:rsidRPr="008642D1" w:rsidDel="0011548B">
        <w:rPr>
          <w:rStyle w:val="FootnoteReference"/>
        </w:rPr>
        <w:footnoteRef/>
      </w:r>
      <w:r w:rsidRPr="008642D1" w:rsidDel="0011548B">
        <w:rPr>
          <w:color w:val="262626" w:themeColor="text1" w:themeTint="D9"/>
        </w:rPr>
        <w:t xml:space="preserve"> </w:t>
      </w:r>
      <w:r w:rsidRPr="008642D1" w:rsidDel="0011548B">
        <w:rPr>
          <w:color w:val="262626" w:themeColor="text1" w:themeTint="D9"/>
        </w:rPr>
        <w:tab/>
        <w:t>See Elisabeth McDonald “Discrimination and Trans People: The Abandoned Proposal to Amend the Human Rights Act 1993” (2007) 5 NZJPIL 301 at 307.</w:t>
      </w:r>
    </w:p>
  </w:footnote>
  <w:footnote w:id="358">
    <w:p w14:paraId="7F964D8B" w14:textId="47D8394E"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w:t>
      </w:r>
      <w:r w:rsidRPr="008642D1">
        <w:rPr>
          <w:rFonts w:eastAsiaTheme="minorHAnsi" w:cstheme="minorBidi"/>
          <w:color w:val="262626" w:themeColor="text1" w:themeTint="D9"/>
          <w:szCs w:val="15"/>
          <w:shd w:val="clear" w:color="auto" w:fill="FFFFFF"/>
        </w:rPr>
        <w:t>A Russell “</w:t>
      </w:r>
      <w:r w:rsidRPr="008642D1">
        <w:rPr>
          <w:rFonts w:eastAsiaTheme="minorHAnsi" w:cstheme="minorBidi"/>
          <w:i/>
          <w:iCs/>
          <w:color w:val="262626" w:themeColor="text1" w:themeTint="D9"/>
          <w:szCs w:val="15"/>
          <w:shd w:val="clear" w:color="auto" w:fill="FFFFFF"/>
        </w:rPr>
        <w:t>Bostock v Clayton County</w:t>
      </w:r>
      <w:r w:rsidRPr="008642D1">
        <w:rPr>
          <w:rFonts w:eastAsiaTheme="minorHAnsi" w:cstheme="minorBidi"/>
          <w:color w:val="262626" w:themeColor="text1" w:themeTint="D9"/>
          <w:szCs w:val="15"/>
          <w:shd w:val="clear" w:color="auto" w:fill="FFFFFF"/>
        </w:rPr>
        <w:t>:</w:t>
      </w:r>
      <w:r w:rsidRPr="008642D1">
        <w:rPr>
          <w:rFonts w:ascii="Calibri" w:eastAsiaTheme="minorHAnsi" w:hAnsi="Calibri" w:cs="Calibri"/>
          <w:color w:val="262626" w:themeColor="text1" w:themeTint="D9"/>
          <w:szCs w:val="15"/>
          <w:shd w:val="clear" w:color="auto" w:fill="FFFFFF"/>
        </w:rPr>
        <w:t> </w:t>
      </w:r>
      <w:r w:rsidRPr="008642D1">
        <w:rPr>
          <w:rFonts w:eastAsiaTheme="minorHAnsi" w:cstheme="minorBidi"/>
          <w:color w:val="262626" w:themeColor="text1" w:themeTint="D9"/>
          <w:szCs w:val="15"/>
          <w:shd w:val="clear" w:color="auto" w:fill="FFFFFF"/>
        </w:rPr>
        <w:t>The</w:t>
      </w:r>
      <w:r w:rsidRPr="008642D1">
        <w:rPr>
          <w:rFonts w:ascii="Calibri" w:eastAsiaTheme="minorHAnsi" w:hAnsi="Calibri" w:cs="Calibri"/>
          <w:color w:val="262626" w:themeColor="text1" w:themeTint="D9"/>
          <w:szCs w:val="15"/>
          <w:shd w:val="clear" w:color="auto" w:fill="FFFFFF"/>
        </w:rPr>
        <w:t> </w:t>
      </w:r>
      <w:r w:rsidRPr="008642D1">
        <w:rPr>
          <w:rFonts w:eastAsiaTheme="minorHAnsi" w:cstheme="minorBidi"/>
          <w:color w:val="262626" w:themeColor="text1" w:themeTint="D9"/>
          <w:szCs w:val="15"/>
          <w:shd w:val="clear" w:color="auto" w:fill="FFFFFF"/>
        </w:rPr>
        <w:t>Implications of a Binary Bias</w:t>
      </w:r>
      <w:r w:rsidRPr="008642D1">
        <w:rPr>
          <w:rFonts w:eastAsiaTheme="minorHAnsi" w:cs="Metropolis Light"/>
          <w:color w:val="262626" w:themeColor="text1" w:themeTint="D9"/>
          <w:szCs w:val="15"/>
          <w:shd w:val="clear" w:color="auto" w:fill="FFFFFF"/>
        </w:rPr>
        <w:t>”</w:t>
      </w:r>
      <w:r w:rsidRPr="008642D1">
        <w:rPr>
          <w:rFonts w:eastAsiaTheme="minorHAnsi" w:cstheme="minorBidi"/>
          <w:color w:val="262626" w:themeColor="text1" w:themeTint="D9"/>
          <w:szCs w:val="15"/>
          <w:shd w:val="clear" w:color="auto" w:fill="FFFFFF"/>
        </w:rPr>
        <w:t xml:space="preserve"> (2021) 106</w:t>
      </w:r>
      <w:r w:rsidRPr="008642D1">
        <w:rPr>
          <w:rFonts w:ascii="Calibri" w:eastAsiaTheme="minorHAnsi" w:hAnsi="Calibri" w:cs="Calibri"/>
          <w:color w:val="262626" w:themeColor="text1" w:themeTint="D9"/>
          <w:szCs w:val="15"/>
          <w:shd w:val="clear" w:color="auto" w:fill="FFFFFF"/>
        </w:rPr>
        <w:t> </w:t>
      </w:r>
      <w:r w:rsidRPr="008642D1">
        <w:rPr>
          <w:rFonts w:eastAsiaTheme="minorHAnsi" w:cstheme="minorBidi"/>
          <w:color w:val="262626" w:themeColor="text1" w:themeTint="D9"/>
          <w:szCs w:val="15"/>
          <w:shd w:val="clear" w:color="auto" w:fill="FFFFFF"/>
        </w:rPr>
        <w:t>Cornell L Rev</w:t>
      </w:r>
      <w:r w:rsidRPr="008642D1">
        <w:rPr>
          <w:rFonts w:ascii="Calibri" w:eastAsiaTheme="minorHAnsi" w:hAnsi="Calibri" w:cs="Calibri"/>
          <w:i/>
          <w:iCs/>
          <w:color w:val="262626" w:themeColor="text1" w:themeTint="D9"/>
          <w:szCs w:val="15"/>
          <w:shd w:val="clear" w:color="auto" w:fill="FFFFFF"/>
        </w:rPr>
        <w:t> </w:t>
      </w:r>
      <w:r w:rsidRPr="008642D1">
        <w:rPr>
          <w:rFonts w:eastAsiaTheme="minorHAnsi" w:cstheme="minorBidi"/>
          <w:color w:val="262626" w:themeColor="text1" w:themeTint="D9"/>
          <w:szCs w:val="15"/>
          <w:shd w:val="clear" w:color="auto" w:fill="FFFFFF"/>
        </w:rPr>
        <w:t>1601</w:t>
      </w:r>
      <w:r w:rsidRPr="008642D1">
        <w:rPr>
          <w:rFonts w:ascii="Calibri" w:eastAsiaTheme="minorHAnsi" w:hAnsi="Calibri" w:cs="Calibri"/>
          <w:color w:val="262626" w:themeColor="text1" w:themeTint="D9"/>
          <w:szCs w:val="15"/>
          <w:shd w:val="clear" w:color="auto" w:fill="FFFFFF"/>
        </w:rPr>
        <w:t> </w:t>
      </w:r>
      <w:r w:rsidRPr="008642D1">
        <w:rPr>
          <w:rFonts w:eastAsiaTheme="minorHAnsi" w:cstheme="minorBidi"/>
          <w:color w:val="262626" w:themeColor="text1" w:themeTint="D9"/>
          <w:szCs w:val="15"/>
          <w:shd w:val="clear" w:color="auto" w:fill="FFFFFF"/>
        </w:rPr>
        <w:t xml:space="preserve">at </w:t>
      </w:r>
      <w:r w:rsidRPr="008642D1">
        <w:rPr>
          <w:color w:val="262626" w:themeColor="text1" w:themeTint="D9"/>
        </w:rPr>
        <w:t xml:space="preserve">1603; and </w:t>
      </w:r>
      <w:r w:rsidRPr="008642D1">
        <w:rPr>
          <w:rFonts w:eastAsiaTheme="minorHAnsi" w:cstheme="minorBidi"/>
          <w:color w:val="262626" w:themeColor="text1" w:themeTint="D9"/>
          <w:szCs w:val="15"/>
          <w:shd w:val="clear" w:color="auto" w:fill="FFFFFF"/>
        </w:rPr>
        <w:t>Sam Parry “Sex Trait Discrimination: Intersex People and Title VII after</w:t>
      </w:r>
      <w:r w:rsidRPr="008642D1">
        <w:rPr>
          <w:rFonts w:ascii="Calibri" w:eastAsiaTheme="minorHAnsi" w:hAnsi="Calibri" w:cs="Calibri"/>
          <w:color w:val="262626" w:themeColor="text1" w:themeTint="D9"/>
          <w:szCs w:val="15"/>
          <w:shd w:val="clear" w:color="auto" w:fill="FFFFFF"/>
        </w:rPr>
        <w:t> </w:t>
      </w:r>
      <w:r w:rsidRPr="008642D1">
        <w:rPr>
          <w:rFonts w:eastAsiaTheme="minorHAnsi" w:cstheme="minorBidi"/>
          <w:i/>
          <w:iCs/>
          <w:color w:val="262626" w:themeColor="text1" w:themeTint="D9"/>
          <w:szCs w:val="15"/>
          <w:shd w:val="clear" w:color="auto" w:fill="FFFFFF"/>
        </w:rPr>
        <w:t>Bostock v Clayton County</w:t>
      </w:r>
      <w:r w:rsidRPr="008642D1">
        <w:rPr>
          <w:rFonts w:eastAsiaTheme="minorHAnsi" w:cstheme="minorBidi"/>
          <w:color w:val="262626" w:themeColor="text1" w:themeTint="D9"/>
          <w:szCs w:val="15"/>
          <w:shd w:val="clear" w:color="auto" w:fill="FFFFFF"/>
        </w:rPr>
        <w:t>” (2022) 97(4)</w:t>
      </w:r>
      <w:r w:rsidRPr="008642D1">
        <w:rPr>
          <w:rFonts w:ascii="Calibri" w:eastAsiaTheme="minorHAnsi" w:hAnsi="Calibri" w:cs="Calibri"/>
          <w:color w:val="262626" w:themeColor="text1" w:themeTint="D9"/>
          <w:szCs w:val="15"/>
          <w:shd w:val="clear" w:color="auto" w:fill="FFFFFF"/>
        </w:rPr>
        <w:t> </w:t>
      </w:r>
      <w:r w:rsidRPr="008642D1">
        <w:rPr>
          <w:rFonts w:eastAsiaTheme="minorHAnsi" w:cstheme="minorBidi"/>
          <w:color w:val="262626" w:themeColor="text1" w:themeTint="D9"/>
          <w:szCs w:val="15"/>
          <w:shd w:val="clear" w:color="auto" w:fill="FFFFFF"/>
        </w:rPr>
        <w:t>Wash L Rev</w:t>
      </w:r>
      <w:r w:rsidRPr="008642D1">
        <w:rPr>
          <w:rFonts w:ascii="Calibri" w:eastAsiaTheme="minorHAnsi" w:hAnsi="Calibri" w:cs="Calibri"/>
          <w:i/>
          <w:iCs/>
          <w:color w:val="262626" w:themeColor="text1" w:themeTint="D9"/>
          <w:szCs w:val="15"/>
          <w:shd w:val="clear" w:color="auto" w:fill="FFFFFF"/>
        </w:rPr>
        <w:t> </w:t>
      </w:r>
      <w:r w:rsidRPr="008642D1">
        <w:rPr>
          <w:rFonts w:eastAsiaTheme="minorHAnsi" w:cstheme="minorBidi"/>
          <w:color w:val="262626" w:themeColor="text1" w:themeTint="D9"/>
          <w:szCs w:val="15"/>
          <w:shd w:val="clear" w:color="auto" w:fill="FFFFFF"/>
        </w:rPr>
        <w:t>1149</w:t>
      </w:r>
      <w:r w:rsidRPr="008642D1">
        <w:rPr>
          <w:rFonts w:ascii="Calibri" w:eastAsiaTheme="minorHAnsi" w:hAnsi="Calibri" w:cs="Calibri"/>
          <w:color w:val="262626" w:themeColor="text1" w:themeTint="D9"/>
          <w:szCs w:val="15"/>
          <w:shd w:val="clear" w:color="auto" w:fill="FFFFFF"/>
        </w:rPr>
        <w:t> </w:t>
      </w:r>
      <w:r w:rsidRPr="008642D1">
        <w:rPr>
          <w:rFonts w:eastAsiaTheme="minorHAnsi" w:cstheme="minorBidi"/>
          <w:color w:val="262626" w:themeColor="text1" w:themeTint="D9"/>
          <w:szCs w:val="15"/>
          <w:shd w:val="clear" w:color="auto" w:fill="FFFFFF"/>
        </w:rPr>
        <w:t xml:space="preserve">at </w:t>
      </w:r>
      <w:r w:rsidRPr="008642D1">
        <w:rPr>
          <w:color w:val="262626" w:themeColor="text1" w:themeTint="D9"/>
        </w:rPr>
        <w:t>1150.</w:t>
      </w:r>
    </w:p>
  </w:footnote>
  <w:footnote w:id="359">
    <w:p w14:paraId="4429BBA4"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rFonts w:eastAsiaTheme="minorHAnsi" w:cstheme="minorBidi"/>
          <w:i/>
          <w:iCs/>
          <w:color w:val="262626" w:themeColor="text1" w:themeTint="D9"/>
          <w:szCs w:val="15"/>
          <w:shd w:val="clear" w:color="auto" w:fill="FFFFFF"/>
        </w:rPr>
        <w:t>B v Waitemata District Health Board</w:t>
      </w:r>
      <w:r w:rsidRPr="008642D1">
        <w:rPr>
          <w:rFonts w:ascii="Calibri" w:eastAsiaTheme="minorHAnsi" w:hAnsi="Calibri" w:cs="Calibri"/>
          <w:color w:val="262626" w:themeColor="text1" w:themeTint="D9"/>
          <w:szCs w:val="15"/>
          <w:shd w:val="clear" w:color="auto" w:fill="FFFFFF"/>
        </w:rPr>
        <w:t> </w:t>
      </w:r>
      <w:r w:rsidRPr="008642D1">
        <w:rPr>
          <w:rFonts w:eastAsiaTheme="minorHAnsi" w:cstheme="minorBidi"/>
          <w:color w:val="262626" w:themeColor="text1" w:themeTint="D9"/>
          <w:szCs w:val="15"/>
          <w:shd w:val="clear" w:color="auto" w:fill="FFFFFF"/>
        </w:rPr>
        <w:t>[2013] NZHC 1702, [2013] NZAR 937 at [64]–[65].</w:t>
      </w:r>
    </w:p>
  </w:footnote>
  <w:footnote w:id="360">
    <w:p w14:paraId="10105D05" w14:textId="3548D195" w:rsidR="00FB34B7" w:rsidRPr="008642D1" w:rsidRDefault="00FB34B7" w:rsidP="00F536E1">
      <w:pPr>
        <w:pStyle w:val="FootnoteText"/>
        <w:rPr>
          <w:rFonts w:eastAsiaTheme="minorHAnsi" w:cstheme="minorBidi"/>
          <w:color w:val="262626" w:themeColor="text1" w:themeTint="D9"/>
          <w:szCs w:val="15"/>
          <w:shd w:val="clear" w:color="auto" w:fill="FFFFFF"/>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w:t>
      </w:r>
      <w:r w:rsidRPr="008642D1">
        <w:rPr>
          <w:rFonts w:eastAsiaTheme="minorHAnsi" w:cstheme="minorBidi"/>
          <w:color w:val="262626" w:themeColor="text1" w:themeTint="D9"/>
          <w:szCs w:val="15"/>
          <w:shd w:val="clear" w:color="auto" w:fill="FFFFFF"/>
        </w:rPr>
        <w:t>Dean Spade</w:t>
      </w:r>
      <w:r w:rsidRPr="008642D1">
        <w:rPr>
          <w:rFonts w:ascii="Calibri" w:eastAsiaTheme="minorHAnsi" w:hAnsi="Calibri" w:cs="Calibri"/>
          <w:color w:val="262626" w:themeColor="text1" w:themeTint="D9"/>
          <w:szCs w:val="15"/>
          <w:shd w:val="clear" w:color="auto" w:fill="FFFFFF"/>
        </w:rPr>
        <w:t> </w:t>
      </w:r>
      <w:r w:rsidRPr="008642D1">
        <w:rPr>
          <w:rFonts w:eastAsiaTheme="minorHAnsi" w:cs="Metropolis Light"/>
          <w:color w:val="262626" w:themeColor="text1" w:themeTint="D9"/>
          <w:szCs w:val="15"/>
          <w:shd w:val="clear" w:color="auto" w:fill="FFFFFF"/>
        </w:rPr>
        <w:t>“</w:t>
      </w:r>
      <w:r w:rsidRPr="008642D1">
        <w:rPr>
          <w:rFonts w:eastAsiaTheme="minorHAnsi" w:cstheme="minorBidi"/>
          <w:color w:val="262626" w:themeColor="text1" w:themeTint="D9"/>
          <w:szCs w:val="15"/>
          <w:shd w:val="clear" w:color="auto" w:fill="FFFFFF"/>
        </w:rPr>
        <w:t>Resisting Medicine, Re/modeling Gender</w:t>
      </w:r>
      <w:r w:rsidRPr="008642D1">
        <w:rPr>
          <w:rFonts w:eastAsiaTheme="minorHAnsi" w:cs="Metropolis Light"/>
          <w:color w:val="262626" w:themeColor="text1" w:themeTint="D9"/>
          <w:szCs w:val="15"/>
          <w:shd w:val="clear" w:color="auto" w:fill="FFFFFF"/>
        </w:rPr>
        <w:t>”</w:t>
      </w:r>
      <w:r w:rsidRPr="008642D1">
        <w:rPr>
          <w:rFonts w:ascii="Calibri" w:eastAsiaTheme="minorHAnsi" w:hAnsi="Calibri" w:cs="Calibri"/>
          <w:color w:val="262626" w:themeColor="text1" w:themeTint="D9"/>
          <w:szCs w:val="15"/>
          <w:shd w:val="clear" w:color="auto" w:fill="FFFFFF"/>
        </w:rPr>
        <w:t> </w:t>
      </w:r>
      <w:r w:rsidRPr="008642D1">
        <w:rPr>
          <w:rFonts w:eastAsiaTheme="minorHAnsi" w:cstheme="minorBidi"/>
          <w:color w:val="262626" w:themeColor="text1" w:themeTint="D9"/>
          <w:szCs w:val="15"/>
          <w:shd w:val="clear" w:color="auto" w:fill="FFFFFF"/>
        </w:rPr>
        <w:t>(2003) 18 Berkeley Women</w:t>
      </w:r>
      <w:r w:rsidR="00DF2988">
        <w:rPr>
          <w:rFonts w:eastAsiaTheme="minorHAnsi" w:cstheme="minorBidi"/>
          <w:color w:val="262626" w:themeColor="text1" w:themeTint="D9"/>
          <w:szCs w:val="15"/>
          <w:shd w:val="clear" w:color="auto" w:fill="FFFFFF"/>
        </w:rPr>
        <w:t>’</w:t>
      </w:r>
      <w:r w:rsidRPr="008642D1">
        <w:rPr>
          <w:rFonts w:eastAsiaTheme="minorHAnsi" w:cstheme="minorBidi"/>
          <w:color w:val="262626" w:themeColor="text1" w:themeTint="D9"/>
          <w:szCs w:val="15"/>
          <w:shd w:val="clear" w:color="auto" w:fill="FFFFFF"/>
        </w:rPr>
        <w:t>s LJ 15 at 35; and Ali Szemanski</w:t>
      </w:r>
      <w:r w:rsidRPr="008642D1">
        <w:rPr>
          <w:rFonts w:ascii="Calibri" w:eastAsiaTheme="minorHAnsi" w:hAnsi="Calibri" w:cs="Calibri"/>
          <w:color w:val="262626" w:themeColor="text1" w:themeTint="D9"/>
          <w:szCs w:val="15"/>
          <w:shd w:val="clear" w:color="auto" w:fill="FFFFFF"/>
        </w:rPr>
        <w:t> </w:t>
      </w:r>
      <w:r w:rsidRPr="008642D1">
        <w:rPr>
          <w:rFonts w:eastAsiaTheme="minorHAnsi" w:cs="Metropolis Light"/>
          <w:color w:val="262626" w:themeColor="text1" w:themeTint="D9"/>
          <w:szCs w:val="15"/>
          <w:shd w:val="clear" w:color="auto" w:fill="FFFFFF"/>
        </w:rPr>
        <w:t>“</w:t>
      </w:r>
      <w:r w:rsidRPr="008642D1">
        <w:rPr>
          <w:rFonts w:eastAsiaTheme="minorHAnsi" w:cstheme="minorBidi"/>
          <w:color w:val="262626" w:themeColor="text1" w:themeTint="D9"/>
          <w:szCs w:val="15"/>
          <w:shd w:val="clear" w:color="auto" w:fill="FFFFFF"/>
        </w:rPr>
        <w:t>When Trans Rights Are Disability Rights: The Promises and Perils of Seeking Gender Dysphoria Coverage under the Americans with Disabilities Act”</w:t>
      </w:r>
      <w:r w:rsidRPr="008642D1">
        <w:rPr>
          <w:rFonts w:ascii="Calibri" w:eastAsiaTheme="minorHAnsi" w:hAnsi="Calibri" w:cs="Calibri"/>
          <w:color w:val="262626" w:themeColor="text1" w:themeTint="D9"/>
          <w:szCs w:val="15"/>
          <w:shd w:val="clear" w:color="auto" w:fill="FFFFFF"/>
        </w:rPr>
        <w:t> </w:t>
      </w:r>
      <w:r w:rsidRPr="008642D1">
        <w:rPr>
          <w:rFonts w:eastAsiaTheme="minorHAnsi" w:cstheme="minorBidi"/>
          <w:color w:val="262626" w:themeColor="text1" w:themeTint="D9"/>
          <w:szCs w:val="15"/>
          <w:shd w:val="clear" w:color="auto" w:fill="FFFFFF"/>
        </w:rPr>
        <w:t>(2020) 43 Harvard Journal of Law and Gender 137 at 160.</w:t>
      </w:r>
    </w:p>
  </w:footnote>
  <w:footnote w:id="361">
    <w:p w14:paraId="5ECD4582"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color w:val="262626" w:themeColor="text1" w:themeTint="D9"/>
          <w:lang w:bidi="th-TH"/>
        </w:rPr>
        <w:t xml:space="preserve">Te Kāhui Tika Tangata | Human Rights Commission </w:t>
      </w:r>
      <w:r w:rsidRPr="008642D1">
        <w:rPr>
          <w:i/>
          <w:iCs/>
          <w:color w:val="262626" w:themeColor="text1" w:themeTint="D9"/>
          <w:lang w:bidi="th-TH"/>
        </w:rPr>
        <w:t>PRISM: Human Rights issues relating to Sexual Orientation, Gender Identity and Expression, and Sex Characteristics (SOGIESC) in Aotearoa New Zealand – A report with recommendations</w:t>
      </w:r>
      <w:r w:rsidRPr="008642D1">
        <w:rPr>
          <w:color w:val="262626" w:themeColor="text1" w:themeTint="D9"/>
          <w:lang w:bidi="th-TH"/>
        </w:rPr>
        <w:t xml:space="preserve"> (June 2020) </w:t>
      </w:r>
      <w:r w:rsidRPr="008642D1">
        <w:rPr>
          <w:color w:val="262626" w:themeColor="text1" w:themeTint="D9"/>
        </w:rPr>
        <w:t>at 14–15.</w:t>
      </w:r>
    </w:p>
  </w:footnote>
  <w:footnote w:id="362">
    <w:p w14:paraId="03F06B04"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Elisabeth McDonald “Discrimination and Trans People: The Abandoned Proposal to Amend the Human Rights Act 1993” (2007) 5 NZJPIL 301 at 314. </w:t>
      </w:r>
    </w:p>
  </w:footnote>
  <w:footnote w:id="363">
    <w:p w14:paraId="39462350"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(29 August 2000) Victoria Legislative Assembly </w:t>
      </w:r>
      <w:r w:rsidRPr="008642D1">
        <w:rPr>
          <w:i/>
          <w:iCs/>
          <w:color w:val="262626" w:themeColor="text1" w:themeTint="D9"/>
        </w:rPr>
        <w:t>Parliamentary Debates</w:t>
      </w:r>
      <w:r w:rsidRPr="008642D1">
        <w:rPr>
          <w:color w:val="262626" w:themeColor="text1" w:themeTint="D9"/>
        </w:rPr>
        <w:t xml:space="preserve"> at 246 (Robert Dean MP); Government of Canada “Gender Identity and Gender Expression: Questions and Answers” (1 September 2021) &lt;</w:t>
      </w:r>
      <w:hyperlink r:id="rId61" w:history="1">
        <w:r w:rsidRPr="008642D1">
          <w:rPr>
            <w:rStyle w:val="Hyperlink"/>
            <w:color w:val="262626" w:themeColor="text1" w:themeTint="D9"/>
          </w:rPr>
          <w:t>www.justice.gc.ca</w:t>
        </w:r>
      </w:hyperlink>
      <w:r w:rsidRPr="008642D1">
        <w:rPr>
          <w:color w:val="262626" w:themeColor="text1" w:themeTint="D9"/>
        </w:rPr>
        <w:t xml:space="preserve">&gt;; </w:t>
      </w:r>
      <w:r w:rsidRPr="008642D1">
        <w:rPr>
          <w:rStyle w:val="normaltextrun"/>
          <w:shd w:val="clear" w:color="auto" w:fill="FFFFFF"/>
        </w:rPr>
        <w:t>and (27 July 1993) 537 NZPD 16951 (Sonja Davies MP).</w:t>
      </w:r>
    </w:p>
  </w:footnote>
  <w:footnote w:id="364">
    <w:p w14:paraId="52C58A01"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Government of Canada “Gender Identity and Gender Expression: Questions and Answers” (1 September 2021) &lt;</w:t>
      </w:r>
      <w:hyperlink r:id="rId62" w:history="1">
        <w:r w:rsidRPr="008642D1">
          <w:rPr>
            <w:rStyle w:val="Hyperlink"/>
            <w:color w:val="262626" w:themeColor="text1" w:themeTint="D9"/>
          </w:rPr>
          <w:t>www.justice.gc.ca</w:t>
        </w:r>
      </w:hyperlink>
      <w:r w:rsidRPr="008642D1">
        <w:rPr>
          <w:color w:val="262626" w:themeColor="text1" w:themeTint="D9"/>
        </w:rPr>
        <w:t>&gt;; and</w:t>
      </w:r>
      <w:r w:rsidRPr="008642D1" w:rsidDel="00C6647D">
        <w:rPr>
          <w:color w:val="262626" w:themeColor="text1" w:themeTint="D9"/>
        </w:rPr>
        <w:t xml:space="preserve"> </w:t>
      </w:r>
      <w:r w:rsidRPr="008642D1">
        <w:rPr>
          <w:color w:val="262626" w:themeColor="text1" w:themeTint="D9"/>
        </w:rPr>
        <w:t xml:space="preserve">Canadian Human Rights Act Review Panel </w:t>
      </w:r>
      <w:r w:rsidRPr="008642D1">
        <w:rPr>
          <w:i/>
          <w:iCs/>
          <w:color w:val="262626" w:themeColor="text1" w:themeTint="D9"/>
        </w:rPr>
        <w:t xml:space="preserve">Promoting Equality: A New Vision </w:t>
      </w:r>
      <w:r w:rsidRPr="008642D1">
        <w:rPr>
          <w:color w:val="262626" w:themeColor="text1" w:themeTint="D9"/>
        </w:rPr>
        <w:t>(2000) at 108.</w:t>
      </w:r>
    </w:p>
  </w:footnote>
  <w:footnote w:id="365">
    <w:p w14:paraId="7F4C2F50" w14:textId="77777777" w:rsidR="00FB34B7" w:rsidRPr="008642D1" w:rsidRDefault="00FB34B7" w:rsidP="00FB34B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Te Kāhui Tika Tangata | Human Rights Commission </w:t>
      </w:r>
      <w:r w:rsidRPr="008642D1">
        <w:rPr>
          <w:i/>
          <w:iCs/>
          <w:color w:val="262626" w:themeColor="text1" w:themeTint="D9"/>
        </w:rPr>
        <w:t xml:space="preserve">PRISM: Human Rights issues relating to Sexual Orientation, Gender Identity and Expression, and Sex Characteristics (SOGIESC) in Aotearoa New Zealand – A report with recommendations </w:t>
      </w:r>
      <w:r w:rsidRPr="008642D1">
        <w:rPr>
          <w:color w:val="262626" w:themeColor="text1" w:themeTint="D9"/>
        </w:rPr>
        <w:t>(June 2020)</w:t>
      </w:r>
      <w:r w:rsidRPr="008642D1">
        <w:rPr>
          <w:i/>
          <w:color w:val="262626" w:themeColor="text1" w:themeTint="D9"/>
        </w:rPr>
        <w:t xml:space="preserve"> </w:t>
      </w:r>
      <w:r w:rsidRPr="008642D1">
        <w:rPr>
          <w:color w:val="262626" w:themeColor="text1" w:themeTint="D9"/>
        </w:rPr>
        <w:t xml:space="preserve">at 14–15 and 20. Government documents have expressed the same view: Te Tāhū o te Ture | Ministry of Justice </w:t>
      </w:r>
      <w:r w:rsidRPr="008642D1">
        <w:rPr>
          <w:i/>
          <w:iCs/>
          <w:color w:val="262626" w:themeColor="text1" w:themeTint="D9"/>
        </w:rPr>
        <w:t>Proposals against incitement of hatred and discrimination</w:t>
      </w:r>
      <w:r w:rsidRPr="008642D1">
        <w:rPr>
          <w:color w:val="262626" w:themeColor="text1" w:themeTint="D9"/>
        </w:rPr>
        <w:t xml:space="preserve"> (2021) at 23.</w:t>
      </w:r>
    </w:p>
  </w:footnote>
  <w:footnote w:id="366">
    <w:p w14:paraId="1F3F6143" w14:textId="3D171CD5"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for example, Bradley A Areheart “The Symmetry Principle” (2017) 58 BC L Rev 1085. </w:t>
      </w:r>
    </w:p>
  </w:footnote>
  <w:footnote w:id="367">
    <w:p w14:paraId="5D830C1F"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21(1)(k).</w:t>
      </w:r>
    </w:p>
  </w:footnote>
  <w:footnote w:id="368">
    <w:p w14:paraId="0774F7BA"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Anti-Discrimination Act 1977 (NSW), pt 3A; Sex Discrimination Act 1984 (Cth), s 5C; and Equal Opportunity Act 1984 (SA), s 29(4).</w:t>
      </w:r>
    </w:p>
  </w:footnote>
  <w:footnote w:id="369">
    <w:p w14:paraId="2D5054B7"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Transgender Health Research Lab </w:t>
      </w:r>
      <w:r w:rsidRPr="008642D1">
        <w:rPr>
          <w:i/>
          <w:iCs/>
          <w:color w:val="262626" w:themeColor="text1" w:themeTint="D9"/>
        </w:rPr>
        <w:t xml:space="preserve">Counting Ourselves: The health and wellbeing of trans and non-binary people in Aotearoa New Zealand </w:t>
      </w:r>
      <w:r w:rsidRPr="008642D1">
        <w:rPr>
          <w:color w:val="262626" w:themeColor="text1" w:themeTint="D9"/>
        </w:rPr>
        <w:t>(Te Whare Wānanga o Waikato | University of Waikato, 2019) at 7.</w:t>
      </w:r>
    </w:p>
  </w:footnote>
  <w:footnote w:id="370">
    <w:p w14:paraId="7DCEC885"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Discrimination Act 1991 (ACT), s 7(1)(v).</w:t>
      </w:r>
    </w:p>
  </w:footnote>
  <w:footnote w:id="371">
    <w:p w14:paraId="00EF8092"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Equality Australia </w:t>
      </w:r>
      <w:r w:rsidRPr="008642D1">
        <w:rPr>
          <w:i/>
          <w:iCs/>
          <w:color w:val="262626" w:themeColor="text1" w:themeTint="D9"/>
        </w:rPr>
        <w:t xml:space="preserve">ACT LGBTIQ+ Legal Audit: Reforms for an Inclusive ACT </w:t>
      </w:r>
      <w:r w:rsidRPr="008642D1">
        <w:rPr>
          <w:color w:val="262626" w:themeColor="text1" w:themeTint="D9"/>
        </w:rPr>
        <w:t>(2019) at 41.</w:t>
      </w:r>
    </w:p>
  </w:footnote>
  <w:footnote w:id="372">
    <w:p w14:paraId="7F240407"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Anti-Discrimination Act 1998 (Tas), s 16(eb).</w:t>
      </w:r>
    </w:p>
  </w:footnote>
  <w:footnote w:id="373">
    <w:p w14:paraId="23BB7A14"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Equality Act 2010 (UK), ss 4 and 7(1).</w:t>
      </w:r>
    </w:p>
  </w:footnote>
  <w:footnote w:id="374">
    <w:p w14:paraId="6A47281B"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Anti-Discrimination Act 1991 (ACT), s 7(1)(r). </w:t>
      </w:r>
    </w:p>
  </w:footnote>
  <w:footnote w:id="375">
    <w:p w14:paraId="46DA81A7"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Equal Opportunity Act 1984 (WA), pt IIAA. The Western Australian Law Reform Commission has recommended this ground be replaced with the ground of gender identity: Law Reform Commission of Western Australia </w:t>
      </w:r>
      <w:r w:rsidRPr="008642D1">
        <w:rPr>
          <w:i/>
          <w:iCs/>
          <w:color w:val="262626" w:themeColor="text1" w:themeTint="D9"/>
        </w:rPr>
        <w:t xml:space="preserve">Review of the Equal Opportunity Act 1984 (WA) </w:t>
      </w:r>
      <w:r w:rsidRPr="008642D1">
        <w:rPr>
          <w:color w:val="262626" w:themeColor="text1" w:themeTint="D9"/>
        </w:rPr>
        <w:t>(Project 111 Final Report, May 2022) at 80–81.</w:t>
      </w:r>
    </w:p>
  </w:footnote>
  <w:footnote w:id="376">
    <w:p w14:paraId="47ACC872"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Equal Opportunity Act 1984 (WA), s 35AA(1).</w:t>
      </w:r>
    </w:p>
  </w:footnote>
  <w:footnote w:id="377">
    <w:p w14:paraId="4A92A304"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Integrity Sport and Recreation Act 2023, </w:t>
      </w:r>
      <w:r w:rsidRPr="008642D1" w:rsidDel="003B2379">
        <w:rPr>
          <w:color w:val="262626" w:themeColor="text1" w:themeTint="D9"/>
        </w:rPr>
        <w:t>s</w:t>
      </w:r>
      <w:r w:rsidRPr="008642D1">
        <w:rPr>
          <w:color w:val="262626" w:themeColor="text1" w:themeTint="D9"/>
        </w:rPr>
        <w:t xml:space="preserve"> 4(1); and Tatauranga Aotearoa | Stats NZ </w:t>
      </w:r>
      <w:r w:rsidRPr="008642D1">
        <w:rPr>
          <w:i/>
          <w:iCs/>
          <w:color w:val="262626" w:themeColor="text1" w:themeTint="D9"/>
        </w:rPr>
        <w:t xml:space="preserve">Data standard for gender, sex, and variations of sex characteristics </w:t>
      </w:r>
      <w:r w:rsidRPr="008642D1">
        <w:rPr>
          <w:color w:val="262626" w:themeColor="text1" w:themeTint="D9"/>
        </w:rPr>
        <w:t>(April 2021).</w:t>
      </w:r>
    </w:p>
  </w:footnote>
  <w:footnote w:id="378">
    <w:p w14:paraId="7684B5FA"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Gender Minorities Aotearoa </w:t>
      </w:r>
      <w:r w:rsidRPr="008642D1">
        <w:rPr>
          <w:i/>
          <w:color w:val="262626" w:themeColor="text1" w:themeTint="D9"/>
        </w:rPr>
        <w:t>Trans 101 Glossary: Transgender terms and how to use them</w:t>
      </w:r>
      <w:r w:rsidRPr="008642D1">
        <w:rPr>
          <w:i/>
          <w:iCs/>
          <w:color w:val="262626" w:themeColor="text1" w:themeTint="D9"/>
        </w:rPr>
        <w:t xml:space="preserve"> </w:t>
      </w:r>
      <w:r w:rsidRPr="008642D1">
        <w:rPr>
          <w:color w:val="262626" w:themeColor="text1" w:themeTint="D9"/>
        </w:rPr>
        <w:t>(Wellington, 2023) at 7.</w:t>
      </w:r>
    </w:p>
  </w:footnote>
  <w:footnote w:id="379">
    <w:p w14:paraId="5C463CBE" w14:textId="385F015E"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an example of a statutory definition (albeit not in an anti-discrimination statute)</w:t>
      </w:r>
      <w:r w:rsidR="0076099B">
        <w:rPr>
          <w:color w:val="262626" w:themeColor="text1" w:themeTint="D9"/>
        </w:rPr>
        <w:t>,</w:t>
      </w:r>
      <w:r w:rsidRPr="008642D1">
        <w:rPr>
          <w:color w:val="262626" w:themeColor="text1" w:themeTint="D9"/>
        </w:rPr>
        <w:t xml:space="preserve"> see Variation in Sex Characteristics (Restricted Medical Treatment) Act 2023 (ACT), s 7(1).  </w:t>
      </w:r>
    </w:p>
  </w:footnote>
  <w:footnote w:id="380">
    <w:p w14:paraId="0D9527DB" w14:textId="066A0D5E"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Martine Cools and others</w:t>
      </w:r>
      <w:r w:rsidRPr="008642D1" w:rsidDel="00BC6FA4">
        <w:rPr>
          <w:color w:val="262626" w:themeColor="text1" w:themeTint="D9"/>
        </w:rPr>
        <w:t xml:space="preserve"> </w:t>
      </w:r>
      <w:r w:rsidRPr="008642D1">
        <w:rPr>
          <w:color w:val="262626" w:themeColor="text1" w:themeTint="D9"/>
        </w:rPr>
        <w:t>“Caring for individuals with a difference of sex development (DSD): a Consensus Statement”</w:t>
      </w:r>
      <w:r w:rsidRPr="008642D1">
        <w:rPr>
          <w:i/>
          <w:iCs/>
          <w:color w:val="262626" w:themeColor="text1" w:themeTint="D9"/>
        </w:rPr>
        <w:t xml:space="preserve"> </w:t>
      </w:r>
      <w:r w:rsidRPr="008642D1">
        <w:rPr>
          <w:color w:val="262626" w:themeColor="text1" w:themeTint="D9"/>
        </w:rPr>
        <w:t>(2018) 14 Nat Rev Endocrinol 415 at 417.</w:t>
      </w:r>
    </w:p>
  </w:footnote>
  <w:footnote w:id="381">
    <w:p w14:paraId="2E26C670"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We note it is possible this would be justified as a “measure to ensure equality”: Human Rights Act 1993, s 73.  </w:t>
      </w:r>
    </w:p>
  </w:footnote>
  <w:footnote w:id="382">
    <w:p w14:paraId="20979446"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Canadian Human Rights Act RSC 1985 c H-6, s 3(1).</w:t>
      </w:r>
    </w:p>
  </w:footnote>
  <w:footnote w:id="383">
    <w:p w14:paraId="7220163F"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Employment Equality Act 1998 (Ireland), s 6(2)(a); and Equal Status Act 2000 (Ireland), s 3(2)(a).</w:t>
      </w:r>
    </w:p>
  </w:footnote>
  <w:footnote w:id="384">
    <w:p w14:paraId="54026067" w14:textId="64FE5359"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rFonts w:eastAsiaTheme="minorHAnsi" w:cstheme="minorBidi"/>
          <w:i/>
          <w:iCs/>
          <w:color w:val="262626" w:themeColor="text1" w:themeTint="D9"/>
          <w:szCs w:val="15"/>
          <w:shd w:val="clear" w:color="auto" w:fill="FFFFFF"/>
        </w:rPr>
        <w:t xml:space="preserve">Hannon v First Direct Logistics Limited </w:t>
      </w:r>
      <w:r w:rsidRPr="008642D1">
        <w:rPr>
          <w:rFonts w:eastAsiaTheme="minorHAnsi" w:cstheme="minorBidi"/>
          <w:color w:val="262626" w:themeColor="text1" w:themeTint="D9"/>
          <w:szCs w:val="15"/>
          <w:shd w:val="clear" w:color="auto" w:fill="FFFFFF"/>
        </w:rPr>
        <w:t xml:space="preserve">Equality Tribunal </w:t>
      </w:r>
      <w:r w:rsidR="00F536E1">
        <w:rPr>
          <w:rFonts w:eastAsiaTheme="minorHAnsi" w:cstheme="minorBidi"/>
          <w:color w:val="262626" w:themeColor="text1" w:themeTint="D9"/>
          <w:szCs w:val="15"/>
          <w:shd w:val="clear" w:color="auto" w:fill="FFFFFF"/>
        </w:rPr>
        <w:t>(</w:t>
      </w:r>
      <w:r w:rsidRPr="008642D1">
        <w:rPr>
          <w:rFonts w:eastAsiaTheme="minorHAnsi" w:cstheme="minorBidi"/>
          <w:color w:val="262626" w:themeColor="text1" w:themeTint="D9"/>
          <w:szCs w:val="15"/>
          <w:shd w:val="clear" w:color="auto" w:fill="FFFFFF"/>
        </w:rPr>
        <w:t>Ireland</w:t>
      </w:r>
      <w:r w:rsidR="00F536E1">
        <w:rPr>
          <w:rFonts w:eastAsiaTheme="minorHAnsi" w:cstheme="minorBidi"/>
          <w:color w:val="262626" w:themeColor="text1" w:themeTint="D9"/>
          <w:szCs w:val="15"/>
          <w:shd w:val="clear" w:color="auto" w:fill="FFFFFF"/>
        </w:rPr>
        <w:t>)</w:t>
      </w:r>
      <w:r w:rsidRPr="008642D1">
        <w:rPr>
          <w:rFonts w:eastAsiaTheme="minorHAnsi" w:cstheme="minorBidi"/>
          <w:color w:val="262626" w:themeColor="text1" w:themeTint="D9"/>
          <w:szCs w:val="15"/>
          <w:shd w:val="clear" w:color="auto" w:fill="FFFFFF"/>
        </w:rPr>
        <w:t xml:space="preserve"> DEC-E2011-066, 29 March 2011 at [4.3] and [4.6]–[4.7]; and </w:t>
      </w:r>
      <w:r w:rsidRPr="008642D1">
        <w:rPr>
          <w:rFonts w:eastAsiaTheme="minorHAnsi" w:cstheme="minorBidi"/>
          <w:i/>
          <w:iCs/>
          <w:color w:val="262626" w:themeColor="text1" w:themeTint="D9"/>
          <w:szCs w:val="15"/>
          <w:shd w:val="clear" w:color="auto" w:fill="FFFFFF"/>
        </w:rPr>
        <w:t xml:space="preserve">McLoughlin v Paula Smith Charlies Barbers </w:t>
      </w:r>
      <w:r w:rsidRPr="008642D1">
        <w:rPr>
          <w:rFonts w:eastAsiaTheme="minorHAnsi" w:cstheme="minorBidi"/>
          <w:color w:val="262626" w:themeColor="text1" w:themeTint="D9"/>
          <w:szCs w:val="15"/>
          <w:shd w:val="clear" w:color="auto" w:fill="FFFFFF"/>
        </w:rPr>
        <w:t>Workplace Relations Commission</w:t>
      </w:r>
      <w:r w:rsidRPr="008642D1">
        <w:rPr>
          <w:rFonts w:ascii="Calibri" w:eastAsiaTheme="minorHAnsi" w:hAnsi="Calibri" w:cs="Calibri"/>
          <w:color w:val="262626" w:themeColor="text1" w:themeTint="D9"/>
          <w:szCs w:val="15"/>
          <w:shd w:val="clear" w:color="auto" w:fill="FFFFFF"/>
        </w:rPr>
        <w:t> </w:t>
      </w:r>
      <w:r w:rsidRPr="008642D1">
        <w:rPr>
          <w:rFonts w:eastAsiaTheme="minorHAnsi" w:cstheme="minorBidi"/>
          <w:color w:val="262626" w:themeColor="text1" w:themeTint="D9"/>
          <w:szCs w:val="15"/>
          <w:shd w:val="clear" w:color="auto" w:fill="FFFFFF"/>
        </w:rPr>
        <w:t>ADJ-00011948, 1 May 2018 at 8.</w:t>
      </w:r>
    </w:p>
  </w:footnote>
  <w:footnote w:id="385">
    <w:p w14:paraId="7A393072"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Department of the Taoiseach </w:t>
      </w:r>
      <w:r w:rsidRPr="008642D1">
        <w:rPr>
          <w:i/>
          <w:iCs/>
          <w:color w:val="262626" w:themeColor="text1" w:themeTint="D9"/>
        </w:rPr>
        <w:t xml:space="preserve">Programme for Government: Our Shared Future </w:t>
      </w:r>
      <w:r w:rsidRPr="008642D1">
        <w:rPr>
          <w:color w:val="262626" w:themeColor="text1" w:themeTint="D9"/>
        </w:rPr>
        <w:t>(June 2020) &lt;</w:t>
      </w:r>
      <w:hyperlink r:id="rId63" w:history="1">
        <w:r w:rsidRPr="008642D1">
          <w:rPr>
            <w:rStyle w:val="Hyperlink"/>
            <w:color w:val="262626" w:themeColor="text1" w:themeTint="D9"/>
          </w:rPr>
          <w:t>www.gov.ie</w:t>
        </w:r>
      </w:hyperlink>
      <w:r w:rsidRPr="008642D1">
        <w:rPr>
          <w:color w:val="262626" w:themeColor="text1" w:themeTint="D9"/>
        </w:rPr>
        <w:t>&gt; at 77.</w:t>
      </w:r>
    </w:p>
  </w:footnote>
  <w:footnote w:id="386">
    <w:p w14:paraId="7F048E3B"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Transgender Health Research Lab </w:t>
      </w:r>
      <w:r w:rsidRPr="008642D1">
        <w:rPr>
          <w:i/>
          <w:iCs/>
          <w:color w:val="262626" w:themeColor="text1" w:themeTint="D9"/>
        </w:rPr>
        <w:t xml:space="preserve">Counting Ourselves: The health and wellbeing of trans and non-binary people in Aotearoa New Zealand </w:t>
      </w:r>
      <w:r w:rsidRPr="008642D1">
        <w:rPr>
          <w:color w:val="262626" w:themeColor="text1" w:themeTint="D9"/>
        </w:rPr>
        <w:t>(Te Whare Wānanga o Waikato |</w:t>
      </w:r>
      <w:r w:rsidRPr="008642D1" w:rsidDel="0027628F">
        <w:rPr>
          <w:color w:val="262626" w:themeColor="text1" w:themeTint="D9"/>
        </w:rPr>
        <w:t xml:space="preserve"> </w:t>
      </w:r>
      <w:r w:rsidRPr="008642D1">
        <w:rPr>
          <w:color w:val="262626" w:themeColor="text1" w:themeTint="D9"/>
        </w:rPr>
        <w:t>University of Waikato, 2019) at 7.</w:t>
      </w:r>
    </w:p>
  </w:footnote>
  <w:footnote w:id="387">
    <w:p w14:paraId="6CD16158"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Maritime Security Act 2004, s 51(6)(b); and Corrections Act 2004, s 11(6). </w:t>
      </w:r>
    </w:p>
  </w:footnote>
  <w:footnote w:id="388">
    <w:p w14:paraId="37906D2C"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The Saskatchewan Human Rights Code SS 2018 c S-24.2, s 2.</w:t>
      </w:r>
    </w:p>
  </w:footnote>
  <w:footnote w:id="389">
    <w:p w14:paraId="3AB902BB"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Fair Work Act 2009 (Cth); Sex Discrimination Act 1984 (Cth); Discrimination Act 1991 (ACT); Anti-Discrimination Act 1992 (NT); Anti-Discrimination Act 1991 (Qld); Equal Opportunity Act 1984 (SA); Anti-Discrimination Act 1998 (Tas); and Equal Opportunity Act 2010 (Vic). </w:t>
      </w:r>
    </w:p>
  </w:footnote>
  <w:footnote w:id="390">
    <w:p w14:paraId="66AAA04A"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Canadian Human Rights Act RSC 1985 c H-6, s 3(1).</w:t>
      </w:r>
    </w:p>
  </w:footnote>
  <w:footnote w:id="391">
    <w:p w14:paraId="3AD4275A"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Gender Minorities Aotearoa </w:t>
      </w:r>
      <w:r w:rsidRPr="008642D1">
        <w:rPr>
          <w:i/>
          <w:color w:val="262626" w:themeColor="text1" w:themeTint="D9"/>
        </w:rPr>
        <w:t xml:space="preserve">Trans 101 Glossary: transgender terms and how to use </w:t>
      </w:r>
      <w:r w:rsidRPr="008642D1">
        <w:rPr>
          <w:color w:val="262626" w:themeColor="text1" w:themeTint="D9"/>
        </w:rPr>
        <w:t>them (Wellington, 2023) at 4.</w:t>
      </w:r>
    </w:p>
  </w:footnote>
  <w:footnote w:id="392">
    <w:p w14:paraId="77F673D2"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Peter Dunne “Framing Equality: Debating Protected Grounds in the Field of Trans and Non-Binary Rights” in Eva Brems, Pieter Cannoot and Toon Moonen (eds) </w:t>
      </w:r>
      <w:r w:rsidRPr="008642D1">
        <w:rPr>
          <w:i/>
          <w:iCs/>
          <w:color w:val="262626" w:themeColor="text1" w:themeTint="D9"/>
        </w:rPr>
        <w:t xml:space="preserve">Protecting Trans Rights in the Age of Gender Self-Determination </w:t>
      </w:r>
      <w:r w:rsidRPr="008642D1">
        <w:rPr>
          <w:color w:val="262626" w:themeColor="text1" w:themeTint="D9"/>
        </w:rPr>
        <w:t>(Intersentia, Cambridge, 2020) at 142 (although the author ultimately concludes that gender identity is the best option for a ground of discrimination to protect transgender and non-binary people).</w:t>
      </w:r>
    </w:p>
  </w:footnote>
  <w:footnote w:id="393">
    <w:p w14:paraId="44C62E1C"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for example, Speak Up for Women “Terminology”</w:t>
      </w:r>
      <w:r w:rsidRPr="008642D1">
        <w:rPr>
          <w:i/>
          <w:iCs/>
          <w:color w:val="262626" w:themeColor="text1" w:themeTint="D9"/>
        </w:rPr>
        <w:t xml:space="preserve"> </w:t>
      </w:r>
      <w:r w:rsidRPr="008642D1">
        <w:rPr>
          <w:color w:val="262626" w:themeColor="text1" w:themeTint="D9"/>
        </w:rPr>
        <w:t>&lt;</w:t>
      </w:r>
      <w:hyperlink r:id="rId64" w:history="1">
        <w:r w:rsidRPr="008642D1">
          <w:rPr>
            <w:rStyle w:val="Hyperlink"/>
            <w:color w:val="262626" w:themeColor="text1" w:themeTint="D9"/>
          </w:rPr>
          <w:t>www.speakupforwomen.nz</w:t>
        </w:r>
      </w:hyperlink>
      <w:r w:rsidRPr="00586A24">
        <w:rPr>
          <w:rStyle w:val="Hyperlink"/>
          <w:color w:val="262626" w:themeColor="text1" w:themeTint="D9"/>
          <w:u w:val="none"/>
        </w:rPr>
        <w:t xml:space="preserve">&gt;. </w:t>
      </w:r>
      <w:r w:rsidRPr="008642D1">
        <w:rPr>
          <w:color w:val="262626" w:themeColor="text1" w:themeTint="D9"/>
        </w:rPr>
        <w:t xml:space="preserve">This website defines gender identity as “[t]he belief or inner feeling that you are a boy or a girl, man or woman, which is independent of both socialisation and biological sex”. </w:t>
      </w:r>
    </w:p>
  </w:footnote>
  <w:footnote w:id="394">
    <w:p w14:paraId="01E3B487" w14:textId="08B92EE9"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All except Saskatchewan and Manitoba.</w:t>
      </w:r>
      <w:r w:rsidR="0053776E">
        <w:rPr>
          <w:color w:val="262626" w:themeColor="text1" w:themeTint="D9"/>
        </w:rPr>
        <w:t xml:space="preserve"> </w:t>
      </w:r>
      <w:r w:rsidRPr="008642D1">
        <w:rPr>
          <w:color w:val="262626" w:themeColor="text1" w:themeTint="D9"/>
        </w:rPr>
        <w:t>In both these provinces, the respective human rights commissions believe the ground of gender identity protects against discrimination based on gender expression: Manitoba Human Rights Commission “Discrimination based on gender identity: A guideline developed under the Human Rights Code</w:t>
      </w:r>
      <w:r w:rsidRPr="008642D1">
        <w:rPr>
          <w:i/>
          <w:iCs/>
          <w:color w:val="262626" w:themeColor="text1" w:themeTint="D9"/>
        </w:rPr>
        <w:t xml:space="preserve">” </w:t>
      </w:r>
      <w:r w:rsidRPr="008642D1">
        <w:rPr>
          <w:color w:val="262626" w:themeColor="text1" w:themeTint="D9"/>
        </w:rPr>
        <w:t>&lt;</w:t>
      </w:r>
      <w:hyperlink r:id="rId65" w:history="1">
        <w:r w:rsidRPr="008642D1">
          <w:rPr>
            <w:rStyle w:val="Hyperlink"/>
            <w:color w:val="262626" w:themeColor="text1" w:themeTint="D9"/>
          </w:rPr>
          <w:t>www.manitobahumanrights.ca</w:t>
        </w:r>
      </w:hyperlink>
      <w:r w:rsidRPr="00586A24">
        <w:rPr>
          <w:rStyle w:val="Hyperlink"/>
          <w:color w:val="262626" w:themeColor="text1" w:themeTint="D9"/>
          <w:u w:val="none"/>
        </w:rPr>
        <w:t>&gt;</w:t>
      </w:r>
      <w:r w:rsidRPr="008642D1">
        <w:rPr>
          <w:color w:val="262626" w:themeColor="text1" w:themeTint="D9"/>
        </w:rPr>
        <w:t xml:space="preserve"> at 3; and Saskatchewan Human Rights Commission “Human Rights of Transgender People” &lt;</w:t>
      </w:r>
      <w:hyperlink r:id="rId66" w:history="1">
        <w:r w:rsidRPr="008642D1">
          <w:rPr>
            <w:rStyle w:val="Hyperlink"/>
            <w:color w:val="262626" w:themeColor="text1" w:themeTint="D9"/>
          </w:rPr>
          <w:t>saskatchewanhumanrights.ca</w:t>
        </w:r>
      </w:hyperlink>
      <w:r w:rsidRPr="00586A24">
        <w:rPr>
          <w:rStyle w:val="Hyperlink"/>
          <w:color w:val="262626" w:themeColor="text1" w:themeTint="D9"/>
          <w:u w:val="none"/>
        </w:rPr>
        <w:t>&gt;</w:t>
      </w:r>
      <w:r w:rsidRPr="00EA6A67">
        <w:rPr>
          <w:color w:val="262626" w:themeColor="text1" w:themeTint="D9"/>
        </w:rPr>
        <w:t xml:space="preserve">. </w:t>
      </w:r>
      <w:r w:rsidRPr="008642D1">
        <w:rPr>
          <w:color w:val="262626" w:themeColor="text1" w:themeTint="D9"/>
        </w:rPr>
        <w:t xml:space="preserve">There is also a Manitoba case where gender identity was interpreted as including gender expression: </w:t>
      </w:r>
      <w:r w:rsidRPr="008642D1">
        <w:rPr>
          <w:i/>
          <w:iCs/>
          <w:color w:val="262626" w:themeColor="text1" w:themeTint="D9"/>
        </w:rPr>
        <w:t xml:space="preserve">TA v Manitoba </w:t>
      </w:r>
      <w:r w:rsidRPr="008642D1">
        <w:rPr>
          <w:color w:val="262626" w:themeColor="text1" w:themeTint="D9"/>
        </w:rPr>
        <w:t>Manitoba Human Rights Adjudication Panel, 4 November 2019</w:t>
      </w:r>
      <w:r w:rsidRPr="008642D1">
        <w:rPr>
          <w:i/>
          <w:iCs/>
          <w:color w:val="262626" w:themeColor="text1" w:themeTint="D9"/>
        </w:rPr>
        <w:t xml:space="preserve"> </w:t>
      </w:r>
      <w:r w:rsidRPr="008642D1">
        <w:rPr>
          <w:color w:val="262626" w:themeColor="text1" w:themeTint="D9"/>
        </w:rPr>
        <w:t>at [32].</w:t>
      </w:r>
    </w:p>
  </w:footnote>
  <w:footnote w:id="395">
    <w:p w14:paraId="1791560B"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Canadian Human Rights Act RSC 1985 c H-6, s 3(1).</w:t>
      </w:r>
    </w:p>
  </w:footnote>
  <w:footnote w:id="396">
    <w:p w14:paraId="3D9EA3EA"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Sex Discrimination Act 1984 (Cth), s 4; Discrimination Act 1991 (ACT), s 2 and dictionary; Anti-Discrimination Act 1991 (Qld), s 4 and sch 1; Anti-Discrimination Act 1992 (NT), s 4; Legislation Act 2021 (SA), s 4; Anti-Discrimination Act 1998 (Tas), s 3; and Equal Opportunity Act 2010 (Vic), s 4.</w:t>
      </w:r>
    </w:p>
  </w:footnote>
  <w:footnote w:id="397">
    <w:p w14:paraId="0A03102B"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color w:val="262626" w:themeColor="text1" w:themeTint="D9"/>
        </w:rPr>
        <w:t>Browne</w:t>
      </w:r>
      <w:r w:rsidRPr="008642D1">
        <w:rPr>
          <w:i/>
          <w:iCs/>
          <w:color w:val="262626" w:themeColor="text1" w:themeTint="D9"/>
        </w:rPr>
        <w:t xml:space="preserve"> v Sudbury Integrated Nickel Operations </w:t>
      </w:r>
      <w:r w:rsidRPr="008642D1">
        <w:rPr>
          <w:color w:val="262626" w:themeColor="text1" w:themeTint="D9"/>
        </w:rPr>
        <w:t>[2016] HRTO 62.</w:t>
      </w:r>
    </w:p>
  </w:footnote>
  <w:footnote w:id="398">
    <w:p w14:paraId="328FF207"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color w:val="262626" w:themeColor="text1" w:themeTint="D9"/>
        </w:rPr>
        <w:t>Barksey</w:t>
      </w:r>
      <w:r w:rsidRPr="008642D1">
        <w:rPr>
          <w:i/>
          <w:iCs/>
          <w:color w:val="262626" w:themeColor="text1" w:themeTint="D9"/>
        </w:rPr>
        <w:t xml:space="preserve"> v Four Corners Medical Walk In Clinic/Northwood Medical Clinics Inc </w:t>
      </w:r>
      <w:r w:rsidRPr="008642D1">
        <w:rPr>
          <w:color w:val="262626" w:themeColor="text1" w:themeTint="D9"/>
        </w:rPr>
        <w:t>[2016] HRTO 1116.</w:t>
      </w:r>
    </w:p>
  </w:footnote>
  <w:footnote w:id="399">
    <w:p w14:paraId="5744B70E"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Discrimination Act 1991 (ACT), s 7(1)(v); Anti-Discrimination Act 1991 (Qld), s 7(o); Anti-Discrimination Act 1992 (NT), s 19(1)(ca); Anti-Discrimination Act 1998 (Tas), s 16(eb); and Equal Opportunity Act 2010 (Vic), s 6(oa).</w:t>
      </w:r>
    </w:p>
  </w:footnote>
  <w:footnote w:id="400">
    <w:p w14:paraId="022F7CFD"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we understand there is some debate as to which innate variations of sex characteristics are considered intersex: see Denise Steers “Gender mender, bender or defender: Understanding decision making in Aotearoa/New Zealand for people born with a variation in sex characteristics” (PhD thesis, Ōtākou Whakaihu Waka | University of Otago, 2019) at 69.</w:t>
      </w:r>
    </w:p>
  </w:footnote>
  <w:footnote w:id="401">
    <w:p w14:paraId="72DAB4C6" w14:textId="06A7049B"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Equality Act HR 15, 118</w:t>
      </w:r>
      <w:r w:rsidRPr="00F944BF">
        <w:rPr>
          <w:color w:val="262626" w:themeColor="text1" w:themeTint="D9"/>
        </w:rPr>
        <w:t>th</w:t>
      </w:r>
      <w:r w:rsidRPr="008642D1">
        <w:rPr>
          <w:color w:val="262626" w:themeColor="text1" w:themeTint="D9"/>
        </w:rPr>
        <w:t xml:space="preserve"> Congress (2023-2024). See, also, </w:t>
      </w:r>
      <w:r w:rsidRPr="008642D1">
        <w:rPr>
          <w:rFonts w:eastAsiaTheme="minorHAnsi" w:cstheme="minorBidi"/>
          <w:color w:val="262626" w:themeColor="text1" w:themeTint="D9"/>
          <w:szCs w:val="15"/>
          <w:shd w:val="clear" w:color="auto" w:fill="FFFFFF"/>
        </w:rPr>
        <w:t>Cal Gov Code</w:t>
      </w:r>
      <w:r w:rsidRPr="008642D1">
        <w:rPr>
          <w:rFonts w:ascii="Calibri" w:eastAsiaTheme="minorHAnsi" w:hAnsi="Calibri" w:cs="Calibri"/>
          <w:color w:val="262626" w:themeColor="text1" w:themeTint="D9"/>
          <w:szCs w:val="15"/>
          <w:shd w:val="clear" w:color="auto" w:fill="FFFFFF"/>
        </w:rPr>
        <w:t> § </w:t>
      </w:r>
      <w:r w:rsidRPr="008642D1">
        <w:rPr>
          <w:rFonts w:eastAsiaTheme="minorHAnsi" w:cstheme="minorBidi"/>
          <w:color w:val="262626" w:themeColor="text1" w:themeTint="D9"/>
          <w:szCs w:val="15"/>
          <w:shd w:val="clear" w:color="auto" w:fill="FFFFFF"/>
        </w:rPr>
        <w:t>12926, which provides that sex includes a person’s gender</w:t>
      </w:r>
      <w:r w:rsidRPr="008642D1" w:rsidDel="0069618A">
        <w:rPr>
          <w:rFonts w:eastAsiaTheme="minorHAnsi" w:cstheme="minorBidi"/>
          <w:color w:val="262626" w:themeColor="text1" w:themeTint="D9"/>
          <w:szCs w:val="15"/>
          <w:shd w:val="clear" w:color="auto" w:fill="FFFFFF"/>
        </w:rPr>
        <w:t>,</w:t>
      </w:r>
      <w:r w:rsidRPr="008642D1">
        <w:rPr>
          <w:rFonts w:eastAsiaTheme="minorHAnsi" w:cstheme="minorBidi"/>
          <w:color w:val="262626" w:themeColor="text1" w:themeTint="D9"/>
          <w:szCs w:val="15"/>
          <w:shd w:val="clear" w:color="auto" w:fill="FFFFFF"/>
        </w:rPr>
        <w:t xml:space="preserve"> and that gender means sex and includes a person’s gender identity and expression.</w:t>
      </w:r>
      <w:r w:rsidRPr="008642D1">
        <w:rPr>
          <w:color w:val="262626" w:themeColor="text1" w:themeTint="D9"/>
        </w:rPr>
        <w:t xml:space="preserve">  </w:t>
      </w:r>
    </w:p>
  </w:footnote>
  <w:footnote w:id="402">
    <w:p w14:paraId="4B55F8FB" w14:textId="3AC07D4A"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Births, Deaths, Marriages, and Relationships Registration Act 2021, s</w:t>
      </w:r>
      <w:r w:rsidR="00856879">
        <w:rPr>
          <w:color w:val="262626" w:themeColor="text1" w:themeTint="D9"/>
        </w:rPr>
        <w:t>s</w:t>
      </w:r>
      <w:r w:rsidRPr="008642D1">
        <w:rPr>
          <w:color w:val="262626" w:themeColor="text1" w:themeTint="D9"/>
        </w:rPr>
        <w:t xml:space="preserve"> 24(1)(a)</w:t>
      </w:r>
      <w:r w:rsidR="006E2184">
        <w:rPr>
          <w:color w:val="262626" w:themeColor="text1" w:themeTint="D9"/>
        </w:rPr>
        <w:t xml:space="preserve"> </w:t>
      </w:r>
      <w:r w:rsidR="006E2184" w:rsidRPr="008642D1">
        <w:rPr>
          <w:color w:val="262626" w:themeColor="text1" w:themeTint="D9"/>
        </w:rPr>
        <w:t>and 25</w:t>
      </w:r>
      <w:r w:rsidRPr="008642D1">
        <w:rPr>
          <w:color w:val="262626" w:themeColor="text1" w:themeTint="D9"/>
        </w:rPr>
        <w:t>(1)(a); and Births, Deaths, Marriages, and Relationships Registration (Registering Nominated Sex) Regulations 2023, reg 5.</w:t>
      </w:r>
    </w:p>
  </w:footnote>
  <w:footnote w:id="403">
    <w:p w14:paraId="3C3D9910"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for example, Prue Hyman “New Zealand Government proposal on ‘hate speech’: It’s a mistake”</w:t>
      </w:r>
      <w:r w:rsidRPr="008642D1">
        <w:rPr>
          <w:i/>
          <w:iCs/>
          <w:color w:val="262626" w:themeColor="text1" w:themeTint="D9"/>
        </w:rPr>
        <w:t xml:space="preserve"> </w:t>
      </w:r>
      <w:r w:rsidRPr="008642D1">
        <w:rPr>
          <w:color w:val="262626" w:themeColor="text1" w:themeTint="D9"/>
        </w:rPr>
        <w:t>(December 2021) Lesbian Action for Visibility in Aotearoa &lt;</w:t>
      </w:r>
      <w:hyperlink r:id="rId67" w:history="1">
        <w:r w:rsidRPr="008642D1">
          <w:rPr>
            <w:rStyle w:val="Hyperlink"/>
            <w:color w:val="262626" w:themeColor="text1" w:themeTint="D9"/>
          </w:rPr>
          <w:t>www.lava.nz</w:t>
        </w:r>
      </w:hyperlink>
      <w:r w:rsidRPr="004E5D24">
        <w:rPr>
          <w:rStyle w:val="Hyperlink"/>
          <w:color w:val="262626" w:themeColor="text1" w:themeTint="D9"/>
          <w:u w:val="none"/>
        </w:rPr>
        <w:t>&gt;;</w:t>
      </w:r>
      <w:r w:rsidRPr="008642D1">
        <w:rPr>
          <w:color w:val="262626" w:themeColor="text1" w:themeTint="D9"/>
        </w:rPr>
        <w:t xml:space="preserve"> and Speak Up for Women </w:t>
      </w:r>
      <w:r w:rsidRPr="008642D1">
        <w:rPr>
          <w:i/>
          <w:iCs/>
          <w:color w:val="262626" w:themeColor="text1" w:themeTint="D9"/>
        </w:rPr>
        <w:t xml:space="preserve">Briefing to the Incoming Minister of Justice &amp; Attorney General </w:t>
      </w:r>
      <w:r w:rsidRPr="008642D1">
        <w:rPr>
          <w:color w:val="262626" w:themeColor="text1" w:themeTint="D9"/>
        </w:rPr>
        <w:t>(13 December 2023) &lt;</w:t>
      </w:r>
      <w:hyperlink r:id="rId68" w:history="1">
        <w:r w:rsidRPr="008642D1">
          <w:rPr>
            <w:rStyle w:val="Hyperlink"/>
            <w:color w:val="262626" w:themeColor="text1" w:themeTint="D9"/>
          </w:rPr>
          <w:t>www.speakupforwomen.nz</w:t>
        </w:r>
      </w:hyperlink>
      <w:r w:rsidRPr="004E5D24">
        <w:rPr>
          <w:rStyle w:val="Hyperlink"/>
          <w:color w:val="262626" w:themeColor="text1" w:themeTint="D9"/>
          <w:u w:val="none"/>
        </w:rPr>
        <w:t>&gt;.</w:t>
      </w:r>
    </w:p>
  </w:footnote>
  <w:footnote w:id="404">
    <w:p w14:paraId="2225D986"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Josh Parry “Tories pledge to tackle ‘confusion’ over legal definition of sex” (3 June 2024) BBC &lt;</w:t>
      </w:r>
      <w:hyperlink r:id="rId69" w:history="1">
        <w:r w:rsidRPr="008642D1">
          <w:rPr>
            <w:rStyle w:val="Hyperlink"/>
            <w:color w:val="262626" w:themeColor="text1" w:themeTint="D9"/>
          </w:rPr>
          <w:t>www.bbc.com</w:t>
        </w:r>
      </w:hyperlink>
      <w:r w:rsidRPr="008642D1">
        <w:rPr>
          <w:color w:val="262626" w:themeColor="text1" w:themeTint="D9"/>
        </w:rPr>
        <w:t>&gt;.</w:t>
      </w:r>
    </w:p>
  </w:footnote>
  <w:footnote w:id="405">
    <w:p w14:paraId="2116B3F0"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Births, Deaths, Marriages, and Relationships Registration Act 2021, s 24(1)(b).</w:t>
      </w:r>
    </w:p>
  </w:footnote>
  <w:footnote w:id="406">
    <w:p w14:paraId="7F01B1E2"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Births, Deaths, Marriages, and Relationships Registration Act 2021, ss 24(1)(a) and 25(1)(a); and Births, Deaths, Marriages, and Relationships Registration (Registering Nominated Sex) Regulations 2023, reg 5.</w:t>
      </w:r>
    </w:p>
  </w:footnote>
  <w:footnote w:id="407">
    <w:p w14:paraId="7F12380A"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Office of the Minister of Internal Affairs “Introducing a self-identification process to recognise gender on birth certificates</w:t>
      </w:r>
      <w:r w:rsidRPr="008642D1">
        <w:rPr>
          <w:rFonts w:cs="Calibri"/>
          <w:color w:val="262626" w:themeColor="text1" w:themeTint="D9"/>
        </w:rPr>
        <w:t>” (19 May 2021)</w:t>
      </w:r>
      <w:r w:rsidRPr="008642D1">
        <w:rPr>
          <w:color w:val="262626" w:themeColor="text1" w:themeTint="D9"/>
        </w:rPr>
        <w:t xml:space="preserve"> </w:t>
      </w:r>
      <w:r w:rsidRPr="008642D1">
        <w:rPr>
          <w:rFonts w:eastAsiaTheme="minorHAnsi" w:cstheme="minorBidi"/>
          <w:color w:val="262626" w:themeColor="text1" w:themeTint="D9"/>
          <w:szCs w:val="15"/>
          <w:shd w:val="clear" w:color="auto" w:fill="FFFFFF"/>
        </w:rPr>
        <w:t>at [13].</w:t>
      </w:r>
      <w:r w:rsidRPr="008642D1">
        <w:rPr>
          <w:rFonts w:ascii="Calibri" w:eastAsiaTheme="minorHAnsi" w:hAnsi="Calibri" w:cs="Calibri"/>
          <w:color w:val="262626" w:themeColor="text1" w:themeTint="D9"/>
          <w:szCs w:val="15"/>
          <w:shd w:val="clear" w:color="auto" w:fill="FFFFFF"/>
        </w:rPr>
        <w:t> </w:t>
      </w:r>
    </w:p>
  </w:footnote>
  <w:footnote w:id="408">
    <w:p w14:paraId="78FCCB18" w14:textId="77777777" w:rsidR="00AE5387" w:rsidRPr="008642D1" w:rsidRDefault="00AE5387" w:rsidP="00AE538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Births, Deaths, Marriages, and Relationships Registration At 2021, s 79(2).</w:t>
      </w:r>
    </w:p>
  </w:footnote>
  <w:footnote w:id="409">
    <w:p w14:paraId="75195E0B" w14:textId="77777777" w:rsidR="006E00A7" w:rsidRPr="008642D1" w:rsidRDefault="006E00A7" w:rsidP="006E00A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Human Rights Act 1993, ss 20J(1) and 21A, drawing on New Zealand Bill of Rights Act 1990, s 3. A person or body might do some things that are government functions and others that are not. </w:t>
      </w:r>
    </w:p>
  </w:footnote>
  <w:footnote w:id="410">
    <w:p w14:paraId="6939B15F" w14:textId="77777777" w:rsidR="006E00A7" w:rsidRPr="008642D1" w:rsidRDefault="006E00A7" w:rsidP="006E00A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There are some exceptions but they are not relevant to this review.</w:t>
      </w:r>
    </w:p>
  </w:footnote>
  <w:footnote w:id="411">
    <w:p w14:paraId="65568092" w14:textId="30AF30A4" w:rsidR="006E00A7" w:rsidRPr="008642D1" w:rsidRDefault="006E00A7" w:rsidP="006E00A7">
      <w:pPr>
        <w:pStyle w:val="FootnoteText"/>
        <w:rPr>
          <w:rFonts w:ascii="Calibri" w:hAnsi="Calibri" w:cs="Calibri"/>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w:t>
      </w:r>
      <w:r w:rsidRPr="008642D1">
        <w:rPr>
          <w:i/>
          <w:iCs/>
          <w:color w:val="262626" w:themeColor="text1" w:themeTint="D9"/>
        </w:rPr>
        <w:t>Air New Zealand Ltd v McAlister</w:t>
      </w:r>
      <w:r w:rsidRPr="008642D1">
        <w:rPr>
          <w:rFonts w:ascii="Calibri" w:hAnsi="Calibri" w:cs="Calibri"/>
          <w:i/>
          <w:iCs/>
          <w:color w:val="262626" w:themeColor="text1" w:themeTint="D9"/>
        </w:rPr>
        <w:t> </w:t>
      </w:r>
      <w:r w:rsidRPr="008642D1">
        <w:rPr>
          <w:color w:val="262626" w:themeColor="text1" w:themeTint="D9"/>
        </w:rPr>
        <w:t>[2009] NZSC</w:t>
      </w:r>
      <w:r w:rsidRPr="008642D1">
        <w:rPr>
          <w:rFonts w:ascii="Calibri" w:hAnsi="Calibri" w:cs="Calibri"/>
          <w:color w:val="262626" w:themeColor="text1" w:themeTint="D9"/>
        </w:rPr>
        <w:t> </w:t>
      </w:r>
      <w:r w:rsidRPr="008642D1">
        <w:rPr>
          <w:color w:val="262626" w:themeColor="text1" w:themeTint="D9"/>
        </w:rPr>
        <w:t>78, [2010] 1 NZLR 153</w:t>
      </w:r>
      <w:r w:rsidRPr="008642D1">
        <w:rPr>
          <w:rFonts w:ascii="Calibri" w:hAnsi="Calibri" w:cs="Calibri"/>
          <w:color w:val="262626" w:themeColor="text1" w:themeTint="D9"/>
        </w:rPr>
        <w:t> </w:t>
      </w:r>
      <w:r w:rsidRPr="008642D1">
        <w:rPr>
          <w:rFonts w:cs="Calibri"/>
          <w:color w:val="262626" w:themeColor="text1" w:themeTint="D9"/>
        </w:rPr>
        <w:t>at</w:t>
      </w:r>
      <w:r w:rsidRPr="008642D1">
        <w:rPr>
          <w:rFonts w:ascii="Calibri" w:hAnsi="Calibri" w:cs="Calibri"/>
          <w:color w:val="262626" w:themeColor="text1" w:themeTint="D9"/>
        </w:rPr>
        <w:t xml:space="preserve"> </w:t>
      </w:r>
      <w:r w:rsidRPr="008642D1">
        <w:rPr>
          <w:color w:val="262626" w:themeColor="text1" w:themeTint="D9"/>
        </w:rPr>
        <w:t>[40] per Elias CJ and Blanchard and Wilson JJ and [48]–[49] per Tipping J.</w:t>
      </w:r>
      <w:r w:rsidRPr="008642D1">
        <w:rPr>
          <w:rFonts w:ascii="Calibri" w:hAnsi="Calibri" w:cs="Calibri"/>
          <w:color w:val="262626" w:themeColor="text1" w:themeTint="D9"/>
        </w:rPr>
        <w:t> </w:t>
      </w:r>
    </w:p>
  </w:footnote>
  <w:footnote w:id="412">
    <w:p w14:paraId="428F52EE" w14:textId="77777777" w:rsidR="006E00A7" w:rsidRPr="008642D1" w:rsidRDefault="006E00A7" w:rsidP="006E00A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w:t>
      </w:r>
      <w:r w:rsidRPr="008642D1">
        <w:rPr>
          <w:i/>
          <w:iCs/>
          <w:color w:val="262626" w:themeColor="text1" w:themeTint="D9"/>
        </w:rPr>
        <w:t xml:space="preserve">Moncrief-Spittle v Regional Facilities Auckland Ltd </w:t>
      </w:r>
      <w:r w:rsidRPr="008642D1">
        <w:rPr>
          <w:color w:val="262626" w:themeColor="text1" w:themeTint="D9"/>
        </w:rPr>
        <w:t>[2022] NZSC 138, [2022] 1 NZLR 459</w:t>
      </w:r>
      <w:r w:rsidRPr="008642D1" w:rsidDel="001114FB">
        <w:rPr>
          <w:color w:val="262626" w:themeColor="text1" w:themeTint="D9"/>
        </w:rPr>
        <w:t xml:space="preserve"> at [51]</w:t>
      </w:r>
      <w:r w:rsidRPr="008642D1" w:rsidDel="001D0A1D">
        <w:rPr>
          <w:color w:val="262626" w:themeColor="text1" w:themeTint="D9"/>
        </w:rPr>
        <w:t xml:space="preserve"> suggesting </w:t>
      </w:r>
      <w:r w:rsidRPr="008642D1">
        <w:rPr>
          <w:color w:val="262626" w:themeColor="text1" w:themeTint="D9"/>
        </w:rPr>
        <w:t>council services that are “intended for the social well-being of the community” are likely to fall under s 3 of the NZ Bill of Rights (and therefore, by implication, Part 1A).</w:t>
      </w:r>
    </w:p>
  </w:footnote>
  <w:footnote w:id="413">
    <w:p w14:paraId="0F6D51E6" w14:textId="77777777" w:rsidR="006E00A7" w:rsidRPr="008642D1" w:rsidRDefault="006E00A7" w:rsidP="006E00A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w:t>
      </w:r>
      <w:r w:rsidRPr="008642D1">
        <w:rPr>
          <w:i/>
          <w:iCs/>
          <w:color w:val="262626" w:themeColor="text1" w:themeTint="D9"/>
        </w:rPr>
        <w:t>Waara v Te Wānanga o Aotearoa</w:t>
      </w:r>
      <w:r w:rsidRPr="008642D1">
        <w:rPr>
          <w:color w:val="262626" w:themeColor="text1" w:themeTint="D9"/>
        </w:rPr>
        <w:t xml:space="preserve"> HC Wellington CIV-2003-485-2481, 30 September 2004 at [11].</w:t>
      </w:r>
    </w:p>
  </w:footnote>
  <w:footnote w:id="414">
    <w:p w14:paraId="6FEBAB6F" w14:textId="77FB4361" w:rsidR="006E00A7" w:rsidRPr="008642D1" w:rsidRDefault="006E00A7" w:rsidP="006E00A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Paul Rishworth </w:t>
      </w:r>
      <w:r w:rsidR="0053776E">
        <w:rPr>
          <w:color w:val="262626" w:themeColor="text1" w:themeTint="D9"/>
        </w:rPr>
        <w:t>“</w:t>
      </w:r>
      <w:r w:rsidRPr="008642D1">
        <w:rPr>
          <w:color w:val="262626" w:themeColor="text1" w:themeTint="D9"/>
        </w:rPr>
        <w:t>Biculturalism, Multiculturalism, the Bill of Rights and the School Curriculum</w:t>
      </w:r>
      <w:r w:rsidR="0053776E">
        <w:rPr>
          <w:color w:val="262626" w:themeColor="text1" w:themeTint="D9"/>
        </w:rPr>
        <w:t>”</w:t>
      </w:r>
      <w:r w:rsidRPr="008642D1">
        <w:rPr>
          <w:color w:val="262626" w:themeColor="text1" w:themeTint="D9"/>
        </w:rPr>
        <w:t xml:space="preserve"> in Legal Research Foundation (ed) </w:t>
      </w:r>
      <w:r w:rsidRPr="008642D1">
        <w:rPr>
          <w:i/>
          <w:iCs/>
          <w:color w:val="262626" w:themeColor="text1" w:themeTint="D9"/>
        </w:rPr>
        <w:t>Education and the Law in New Zealand</w:t>
      </w:r>
      <w:r w:rsidRPr="008642D1">
        <w:rPr>
          <w:color w:val="262626" w:themeColor="text1" w:themeTint="D9"/>
        </w:rPr>
        <w:t xml:space="preserve"> (Auckland, 1993) 12 at 18–20; and Andrew Butler “Is this a Public Law Case?” (2000) 31 VUWLR 747 at 768–769.</w:t>
      </w:r>
    </w:p>
  </w:footnote>
  <w:footnote w:id="415">
    <w:p w14:paraId="3F1CBB15" w14:textId="77777777" w:rsidR="006E00A7" w:rsidRPr="008642D1" w:rsidRDefault="006E00A7" w:rsidP="006E00A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In the United Kingdom, this problem of overlap is confronted directly in the legislation: Equality Act 2010 (UK), s 28.</w:t>
      </w:r>
    </w:p>
  </w:footnote>
  <w:footnote w:id="416">
    <w:p w14:paraId="4C41F4E9" w14:textId="77777777" w:rsidR="006E00A7" w:rsidRPr="008642D1" w:rsidRDefault="006E00A7" w:rsidP="006E00A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40.</w:t>
      </w:r>
    </w:p>
  </w:footnote>
  <w:footnote w:id="417">
    <w:p w14:paraId="195D7825" w14:textId="77777777" w:rsidR="006E00A7" w:rsidRPr="008642D1" w:rsidRDefault="006E00A7" w:rsidP="006E00A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57(2).</w:t>
      </w:r>
    </w:p>
  </w:footnote>
  <w:footnote w:id="418">
    <w:p w14:paraId="31D6F3B1" w14:textId="77777777" w:rsidR="006E00A7" w:rsidRPr="008642D1" w:rsidRDefault="006E00A7" w:rsidP="006E00A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ss 44 and 53.</w:t>
      </w:r>
    </w:p>
  </w:footnote>
  <w:footnote w:id="419">
    <w:p w14:paraId="1E4F9562" w14:textId="77777777" w:rsidR="006E00A7" w:rsidRPr="008642D1" w:rsidRDefault="006E00A7" w:rsidP="006E00A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42(1)(a).</w:t>
      </w:r>
    </w:p>
  </w:footnote>
  <w:footnote w:id="420">
    <w:p w14:paraId="6E22A066" w14:textId="77777777" w:rsidR="006E00A7" w:rsidRPr="008642D1" w:rsidRDefault="006E00A7" w:rsidP="006E00A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44.</w:t>
      </w:r>
    </w:p>
  </w:footnote>
  <w:footnote w:id="421">
    <w:p w14:paraId="4170540D" w14:textId="77777777" w:rsidR="006E00A7" w:rsidRPr="008642D1" w:rsidRDefault="006E00A7" w:rsidP="006E00A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iCs/>
          <w:color w:val="262626" w:themeColor="text1" w:themeTint="D9"/>
        </w:rPr>
        <w:t>Coburn v Human Rights Commission</w:t>
      </w:r>
      <w:r w:rsidRPr="008642D1">
        <w:rPr>
          <w:color w:val="262626" w:themeColor="text1" w:themeTint="D9"/>
        </w:rPr>
        <w:t xml:space="preserve"> [1994] 3 NZLR 323 (HC).</w:t>
      </w:r>
    </w:p>
  </w:footnote>
  <w:footnote w:id="422">
    <w:p w14:paraId="0D555F40" w14:textId="77777777" w:rsidR="006E00A7" w:rsidRPr="008642D1" w:rsidRDefault="006E00A7" w:rsidP="006E00A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31(d).</w:t>
      </w:r>
    </w:p>
  </w:footnote>
  <w:footnote w:id="423">
    <w:p w14:paraId="1F33DCA4" w14:textId="77777777" w:rsidR="006E00A7" w:rsidRPr="008642D1" w:rsidRDefault="006E00A7" w:rsidP="006E00A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27(2).</w:t>
      </w:r>
    </w:p>
  </w:footnote>
  <w:footnote w:id="424">
    <w:p w14:paraId="23A43082" w14:textId="77777777" w:rsidR="006E00A7" w:rsidRPr="008642D1" w:rsidRDefault="006E00A7" w:rsidP="006E00A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27(4).</w:t>
      </w:r>
    </w:p>
  </w:footnote>
  <w:footnote w:id="425">
    <w:p w14:paraId="6CE5B627" w14:textId="77777777" w:rsidR="006E00A7" w:rsidRPr="008642D1" w:rsidRDefault="006E00A7" w:rsidP="006E00A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ss 43(1) and 46.</w:t>
      </w:r>
    </w:p>
  </w:footnote>
  <w:footnote w:id="426">
    <w:p w14:paraId="4389E895" w14:textId="77777777" w:rsidR="006E00A7" w:rsidRPr="008642D1" w:rsidRDefault="006E00A7" w:rsidP="006E00A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49(1).</w:t>
      </w:r>
    </w:p>
  </w:footnote>
  <w:footnote w:id="427">
    <w:p w14:paraId="1CAC840F" w14:textId="77777777" w:rsidR="006E00A7" w:rsidRPr="008642D1" w:rsidRDefault="006E00A7" w:rsidP="006E00A7">
      <w:pPr>
        <w:pStyle w:val="FootnoteText"/>
        <w:rPr>
          <w:color w:val="262626" w:themeColor="text1" w:themeTint="D9"/>
        </w:rPr>
      </w:pPr>
      <w:r w:rsidRPr="008642D1">
        <w:rPr>
          <w:rStyle w:val="FootnoteReference"/>
        </w:rPr>
        <w:footnoteRef/>
      </w:r>
      <w:r w:rsidRPr="008642D1">
        <w:rPr>
          <w:color w:val="262626" w:themeColor="text1" w:themeTint="D9"/>
        </w:rPr>
        <w:tab/>
        <w:t>We do not discuss in this Issues Paper section 73(2), which contains general exceptions relating to age, employment status and family status.</w:t>
      </w:r>
    </w:p>
  </w:footnote>
  <w:footnote w:id="428">
    <w:p w14:paraId="2152E474" w14:textId="77777777" w:rsidR="006E00A7" w:rsidRPr="008642D1" w:rsidRDefault="006E00A7" w:rsidP="006E00A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21B(1).</w:t>
      </w:r>
    </w:p>
  </w:footnote>
  <w:footnote w:id="429">
    <w:p w14:paraId="0413080B" w14:textId="77777777" w:rsidR="006E00A7" w:rsidRPr="008642D1" w:rsidRDefault="006E00A7" w:rsidP="006E00A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65. Indirect discrimination is not, however, unlawful if there was “good reason” for it.</w:t>
      </w:r>
    </w:p>
  </w:footnote>
  <w:footnote w:id="430">
    <w:p w14:paraId="69282F90" w14:textId="77777777" w:rsidR="006E00A7" w:rsidRPr="008642D1" w:rsidRDefault="006E00A7" w:rsidP="006E00A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Human Rights Act 1993, s 67. </w:t>
      </w:r>
    </w:p>
  </w:footnote>
  <w:footnote w:id="431">
    <w:p w14:paraId="45B58F8A" w14:textId="77777777" w:rsidR="006E00A7" w:rsidRPr="008642D1" w:rsidRDefault="006E00A7" w:rsidP="006E00A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68.</w:t>
      </w:r>
    </w:p>
  </w:footnote>
  <w:footnote w:id="432">
    <w:p w14:paraId="61506E02" w14:textId="77777777" w:rsidR="006E00A7" w:rsidRPr="008642D1" w:rsidRDefault="006E00A7" w:rsidP="006E00A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44(4).</w:t>
      </w:r>
    </w:p>
  </w:footnote>
  <w:footnote w:id="433">
    <w:p w14:paraId="65992A80" w14:textId="77777777" w:rsidR="006E00A7" w:rsidRPr="008642D1" w:rsidRDefault="006E00A7" w:rsidP="006E00A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39(3)(a).</w:t>
      </w:r>
    </w:p>
  </w:footnote>
  <w:footnote w:id="434">
    <w:p w14:paraId="4000604B" w14:textId="77777777" w:rsidR="006E00A7" w:rsidRPr="008642D1" w:rsidRDefault="006E00A7" w:rsidP="006E00A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27(1).</w:t>
      </w:r>
    </w:p>
  </w:footnote>
  <w:footnote w:id="435">
    <w:p w14:paraId="697AF762" w14:textId="77777777" w:rsidR="006E00A7" w:rsidRPr="008642D1" w:rsidRDefault="006E00A7" w:rsidP="006E00A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This uncertainty may arise even if a person has changed their birth certificate to reflect their nominated sex. See Births, Deaths, Marriages and Relationships Registration Act 2020, s 79(2).</w:t>
      </w:r>
    </w:p>
  </w:footnote>
  <w:footnote w:id="436">
    <w:p w14:paraId="2D715826" w14:textId="77777777" w:rsidR="006E00A7" w:rsidRPr="008642D1" w:rsidRDefault="006E00A7" w:rsidP="006E00A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ss 45 and 59.</w:t>
      </w:r>
    </w:p>
  </w:footnote>
  <w:footnote w:id="437">
    <w:p w14:paraId="704F72B5" w14:textId="77777777" w:rsidR="006E00A7" w:rsidRPr="008642D1" w:rsidRDefault="006E00A7" w:rsidP="006E00A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47.</w:t>
      </w:r>
    </w:p>
  </w:footnote>
  <w:footnote w:id="438">
    <w:p w14:paraId="32F07FD8" w14:textId="77777777" w:rsidR="006E00A7" w:rsidRPr="008642D1" w:rsidRDefault="006E00A7" w:rsidP="006E00A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s 27(2).</w:t>
      </w:r>
    </w:p>
  </w:footnote>
  <w:footnote w:id="439">
    <w:p w14:paraId="08DDBB0E"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Human Rights Act 1993, s 2(1) (definition of employer); and </w:t>
      </w:r>
      <w:r w:rsidRPr="008642D1">
        <w:rPr>
          <w:i/>
          <w:iCs/>
          <w:color w:val="262626" w:themeColor="text1" w:themeTint="D9"/>
        </w:rPr>
        <w:t xml:space="preserve">DML v Montgomery </w:t>
      </w:r>
      <w:r w:rsidRPr="008642D1">
        <w:rPr>
          <w:color w:val="262626" w:themeColor="text1" w:themeTint="D9"/>
        </w:rPr>
        <w:t>[2014] NZHRRT 6 at [122]–[123].</w:t>
      </w:r>
    </w:p>
  </w:footnote>
  <w:footnote w:id="440">
    <w:p w14:paraId="3D5DC12F"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ss 20J and 21A. For further discussion, see Chapter 8.</w:t>
      </w:r>
    </w:p>
  </w:footnote>
  <w:footnote w:id="441">
    <w:p w14:paraId="50C8EB49" w14:textId="6C947ED8"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Employment Relations Act 2000, ss 67B, 103(1)(a) and 103A. Dismissal includes constructive dismissal, which is where an employer’s action or lack of action makes an employee feel compelled to resign. See </w:t>
      </w:r>
      <w:r w:rsidRPr="008642D1">
        <w:rPr>
          <w:i/>
          <w:iCs/>
          <w:color w:val="262626" w:themeColor="text1" w:themeTint="D9"/>
        </w:rPr>
        <w:t xml:space="preserve">Auckland Shop Employees Union v Woolworths (NZ) Ltd </w:t>
      </w:r>
      <w:r w:rsidRPr="008642D1">
        <w:rPr>
          <w:color w:val="262626" w:themeColor="text1" w:themeTint="D9"/>
        </w:rPr>
        <w:t xml:space="preserve">[1985] 2 NZLR 372 (CA) at 374–375 (outlining three categories of constructive dismissal).  </w:t>
      </w:r>
    </w:p>
  </w:footnote>
  <w:footnote w:id="442">
    <w:p w14:paraId="46F726BC" w14:textId="1E869102"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Employment Relations Act 2000, ss 67B(3) and 103</w:t>
      </w:r>
      <w:r w:rsidR="003A7CE8">
        <w:rPr>
          <w:color w:val="262626" w:themeColor="text1" w:themeTint="D9"/>
        </w:rPr>
        <w:t>(1)</w:t>
      </w:r>
      <w:r w:rsidR="0071225B">
        <w:rPr>
          <w:color w:val="262626" w:themeColor="text1" w:themeTint="D9"/>
        </w:rPr>
        <w:t>(c)</w:t>
      </w:r>
      <w:r w:rsidRPr="008642D1">
        <w:rPr>
          <w:color w:val="262626" w:themeColor="text1" w:themeTint="D9"/>
        </w:rPr>
        <w:t>. We discuss the relationship between discrimination protections in the Employment Relations Act 2000 and the Human Rights Act 1993 later in this chapter.</w:t>
      </w:r>
    </w:p>
  </w:footnote>
  <w:footnote w:id="443">
    <w:p w14:paraId="1295E4A0"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Employment Relations Act 2000, ss 103(1)(b) and 103A.</w:t>
      </w:r>
    </w:p>
  </w:footnote>
  <w:footnote w:id="444">
    <w:p w14:paraId="1B7077F0"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w:t>
      </w:r>
      <w:r w:rsidRPr="008642D1">
        <w:rPr>
          <w:i/>
          <w:iCs/>
          <w:color w:val="262626" w:themeColor="text1" w:themeTint="D9"/>
        </w:rPr>
        <w:t xml:space="preserve">Personal Grievances </w:t>
      </w:r>
      <w:r w:rsidRPr="008642D1">
        <w:rPr>
          <w:color w:val="262626" w:themeColor="text1" w:themeTint="D9"/>
        </w:rPr>
        <w:t>(online looseleaf ed, Thomson Reuters) at [7.2.09].</w:t>
      </w:r>
    </w:p>
  </w:footnote>
  <w:footnote w:id="445">
    <w:p w14:paraId="44B5F34D" w14:textId="7B139040"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Privacy Act 2020, s</w:t>
      </w:r>
      <w:r w:rsidR="008B7BA7">
        <w:rPr>
          <w:color w:val="262626" w:themeColor="text1" w:themeTint="D9"/>
        </w:rPr>
        <w:t>s</w:t>
      </w:r>
      <w:r w:rsidRPr="008642D1">
        <w:rPr>
          <w:color w:val="262626" w:themeColor="text1" w:themeTint="D9"/>
        </w:rPr>
        <w:t xml:space="preserve"> 22</w:t>
      </w:r>
      <w:r w:rsidR="00F51BA6">
        <w:rPr>
          <w:color w:val="262626" w:themeColor="text1" w:themeTint="D9"/>
        </w:rPr>
        <w:t xml:space="preserve"> and 69</w:t>
      </w:r>
      <w:r w:rsidRPr="008642D1">
        <w:rPr>
          <w:color w:val="262626" w:themeColor="text1" w:themeTint="D9"/>
        </w:rPr>
        <w:t xml:space="preserve">. </w:t>
      </w:r>
      <w:r w:rsidR="008E0777">
        <w:rPr>
          <w:color w:val="262626" w:themeColor="text1" w:themeTint="D9"/>
        </w:rPr>
        <w:t>For example</w:t>
      </w:r>
      <w:r w:rsidR="00FE416D">
        <w:rPr>
          <w:color w:val="262626" w:themeColor="text1" w:themeTint="D9"/>
        </w:rPr>
        <w:t>,</w:t>
      </w:r>
      <w:r w:rsidR="008E0777">
        <w:rPr>
          <w:color w:val="262626" w:themeColor="text1" w:themeTint="D9"/>
        </w:rPr>
        <w:t xml:space="preserve"> it could breac</w:t>
      </w:r>
      <w:r w:rsidR="00D56451">
        <w:rPr>
          <w:color w:val="262626" w:themeColor="text1" w:themeTint="D9"/>
        </w:rPr>
        <w:t>h</w:t>
      </w:r>
      <w:r w:rsidRPr="008642D1">
        <w:rPr>
          <w:color w:val="262626" w:themeColor="text1" w:themeTint="D9"/>
        </w:rPr>
        <w:t xml:space="preserve"> Information Privacy Principle 5 (storage and security of personal information) </w:t>
      </w:r>
      <w:r w:rsidR="005A4068">
        <w:rPr>
          <w:color w:val="262626" w:themeColor="text1" w:themeTint="D9"/>
        </w:rPr>
        <w:t>or</w:t>
      </w:r>
      <w:r w:rsidRPr="008642D1">
        <w:rPr>
          <w:color w:val="262626" w:themeColor="text1" w:themeTint="D9"/>
        </w:rPr>
        <w:t xml:space="preserve"> Information Privacy Principle 11 (limits on disclosure of personal information).</w:t>
      </w:r>
    </w:p>
  </w:footnote>
  <w:footnote w:id="446">
    <w:p w14:paraId="1343A4E5"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Health and Safety at Work Act 2015, s 36.</w:t>
      </w:r>
    </w:p>
  </w:footnote>
  <w:footnote w:id="447">
    <w:p w14:paraId="2519A974"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Health and Safety at Work Act 2015, s 16.</w:t>
      </w:r>
    </w:p>
  </w:footnote>
  <w:footnote w:id="448">
    <w:p w14:paraId="64868CD2" w14:textId="4A84D3B1"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Mahi Haumaru Aotearoa | Work</w:t>
      </w:r>
      <w:r w:rsidR="006A4B89">
        <w:rPr>
          <w:color w:val="262626" w:themeColor="text1" w:themeTint="D9"/>
        </w:rPr>
        <w:t>S</w:t>
      </w:r>
      <w:r w:rsidRPr="008642D1">
        <w:rPr>
          <w:color w:val="262626" w:themeColor="text1" w:themeTint="D9"/>
        </w:rPr>
        <w:t xml:space="preserve">afe </w:t>
      </w:r>
      <w:r w:rsidRPr="008642D1">
        <w:rPr>
          <w:i/>
          <w:iCs/>
          <w:color w:val="262626" w:themeColor="text1" w:themeTint="D9"/>
        </w:rPr>
        <w:t xml:space="preserve">Preventing and responding to bullying at work </w:t>
      </w:r>
      <w:r w:rsidRPr="008642D1">
        <w:rPr>
          <w:color w:val="262626" w:themeColor="text1" w:themeTint="D9"/>
        </w:rPr>
        <w:t>(March 2017) at 11.</w:t>
      </w:r>
    </w:p>
  </w:footnote>
  <w:footnote w:id="449">
    <w:p w14:paraId="0D99AF3A" w14:textId="0D9C6F48" w:rsidR="00045635" w:rsidRDefault="00045635">
      <w:pPr>
        <w:pStyle w:val="FootnoteText"/>
      </w:pPr>
      <w:r>
        <w:rPr>
          <w:rStyle w:val="FootnoteReference"/>
        </w:rPr>
        <w:footnoteRef/>
      </w:r>
      <w:r>
        <w:t xml:space="preserve"> </w:t>
      </w:r>
      <w:r w:rsidR="00A30AB4">
        <w:tab/>
        <w:t>Equal Opportunity Act 1984 (SA), s 34(4).</w:t>
      </w:r>
    </w:p>
  </w:footnote>
  <w:footnote w:id="450">
    <w:p w14:paraId="4AA9FC5C"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We discuss vocational training bodies, which are regulated in the same subpart, in Chapter 12.</w:t>
      </w:r>
    </w:p>
  </w:footnote>
  <w:footnote w:id="451">
    <w:p w14:paraId="764331F5"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An employer cannot rely on an exception (for example, to deny someone employment) if the policy objective underlying the exception could be met without unreasonable disruption by transferring some of the person’s duties to another employee: Human Rights Act 1993, s 35. We are not seeking feedback on section 35 as it applies to all of the employment exceptions in Part 2.  </w:t>
      </w:r>
    </w:p>
  </w:footnote>
  <w:footnote w:id="452">
    <w:p w14:paraId="0AE06A5C"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Department of Justice </w:t>
      </w:r>
      <w:r w:rsidRPr="008642D1">
        <w:rPr>
          <w:i/>
          <w:iCs/>
          <w:color w:val="262626" w:themeColor="text1" w:themeTint="D9"/>
        </w:rPr>
        <w:t>Human Rights Bill – Report of the Department of Justice</w:t>
      </w:r>
      <w:r w:rsidRPr="008642D1">
        <w:rPr>
          <w:color w:val="262626" w:themeColor="text1" w:themeTint="D9"/>
        </w:rPr>
        <w:t xml:space="preserve"> (28 May 1993) at 23.</w:t>
      </w:r>
    </w:p>
  </w:footnote>
  <w:footnote w:id="453">
    <w:p w14:paraId="5E5D03B1" w14:textId="304BE35B"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World Bank </w:t>
      </w:r>
      <w:r w:rsidRPr="008642D1">
        <w:rPr>
          <w:i/>
          <w:iCs/>
          <w:color w:val="262626" w:themeColor="text1" w:themeTint="D9"/>
        </w:rPr>
        <w:t xml:space="preserve">Women, Business and the Law </w:t>
      </w:r>
      <w:r w:rsidR="00B3779C">
        <w:rPr>
          <w:i/>
          <w:iCs/>
          <w:color w:val="262626" w:themeColor="text1" w:themeTint="D9"/>
        </w:rPr>
        <w:t>2024</w:t>
      </w:r>
      <w:r w:rsidRPr="008642D1">
        <w:rPr>
          <w:color w:val="262626" w:themeColor="text1" w:themeTint="D9"/>
        </w:rPr>
        <w:t xml:space="preserve"> (202</w:t>
      </w:r>
      <w:r w:rsidR="00B3779C">
        <w:rPr>
          <w:color w:val="262626" w:themeColor="text1" w:themeTint="D9"/>
        </w:rPr>
        <w:t>4</w:t>
      </w:r>
      <w:r w:rsidRPr="008642D1">
        <w:rPr>
          <w:color w:val="262626" w:themeColor="text1" w:themeTint="D9"/>
        </w:rPr>
        <w:t xml:space="preserve">) at </w:t>
      </w:r>
      <w:r w:rsidR="00A96CB5">
        <w:rPr>
          <w:color w:val="262626" w:themeColor="text1" w:themeTint="D9"/>
        </w:rPr>
        <w:t>31</w:t>
      </w:r>
      <w:r w:rsidRPr="008642D1">
        <w:rPr>
          <w:color w:val="262626" w:themeColor="text1" w:themeTint="D9"/>
        </w:rPr>
        <w:t xml:space="preserve">.  </w:t>
      </w:r>
    </w:p>
  </w:footnote>
  <w:footnote w:id="454">
    <w:p w14:paraId="316386F3"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iCs/>
          <w:color w:val="262626" w:themeColor="text1" w:themeTint="D9"/>
        </w:rPr>
        <w:t xml:space="preserve">Air New Zealand Ltd v McAlister </w:t>
      </w:r>
      <w:r w:rsidRPr="008642D1">
        <w:rPr>
          <w:color w:val="262626" w:themeColor="text1" w:themeTint="D9"/>
        </w:rPr>
        <w:t>[2009] NZSC 78, [2010] 1 NZLR 153 at [41] per Elias CJ and Blanchard and Wilson JJ. This case concerned the genuine occupational qualification exception applying to age in section 30 of the Human Rights Act.</w:t>
      </w:r>
    </w:p>
  </w:footnote>
  <w:footnote w:id="455">
    <w:p w14:paraId="523CF676"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Commission Act 1977, s 15(3)(a).</w:t>
      </w:r>
    </w:p>
  </w:footnote>
  <w:footnote w:id="456">
    <w:p w14:paraId="07C7F313"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Department of Justice </w:t>
      </w:r>
      <w:r w:rsidRPr="008642D1">
        <w:rPr>
          <w:i/>
          <w:iCs/>
          <w:color w:val="262626" w:themeColor="text1" w:themeTint="D9"/>
        </w:rPr>
        <w:t xml:space="preserve">Human Rights Bill – Report of the Department of Justice </w:t>
      </w:r>
      <w:r w:rsidRPr="008642D1">
        <w:rPr>
          <w:color w:val="262626" w:themeColor="text1" w:themeTint="D9"/>
        </w:rPr>
        <w:t>(28 May 1993) at 24; and (15 December 1992) 532 NZPD 13213 (Hon Dr Michael Cullen).</w:t>
      </w:r>
    </w:p>
  </w:footnote>
  <w:footnote w:id="457">
    <w:p w14:paraId="1CC4CA17"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iCs/>
          <w:color w:val="262626" w:themeColor="text1" w:themeTint="D9"/>
        </w:rPr>
        <w:t xml:space="preserve">Planet Green (Possum Bikini) </w:t>
      </w:r>
      <w:r w:rsidRPr="008642D1" w:rsidDel="00E513F7">
        <w:rPr>
          <w:color w:val="262626" w:themeColor="text1" w:themeTint="D9"/>
        </w:rPr>
        <w:t xml:space="preserve">NZASA </w:t>
      </w:r>
      <w:r w:rsidRPr="008642D1">
        <w:rPr>
          <w:color w:val="262626" w:themeColor="text1" w:themeTint="D9"/>
        </w:rPr>
        <w:t>99/</w:t>
      </w:r>
      <w:r w:rsidRPr="008642D1" w:rsidDel="00E513F7">
        <w:rPr>
          <w:color w:val="262626" w:themeColor="text1" w:themeTint="D9"/>
        </w:rPr>
        <w:t>310, 28 February 2000</w:t>
      </w:r>
      <w:r w:rsidRPr="008642D1">
        <w:rPr>
          <w:color w:val="262626" w:themeColor="text1" w:themeTint="D9"/>
        </w:rPr>
        <w:t>.</w:t>
      </w:r>
    </w:p>
  </w:footnote>
  <w:footnote w:id="458">
    <w:p w14:paraId="448991F2" w14:textId="0197424D"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clarification could be achieved by defining authenticity, by replacing it with another concept (such as </w:t>
      </w:r>
      <w:r w:rsidRPr="008642D1" w:rsidDel="001644EA">
        <w:rPr>
          <w:color w:val="262626" w:themeColor="text1" w:themeTint="D9"/>
        </w:rPr>
        <w:t>“</w:t>
      </w:r>
      <w:r w:rsidRPr="008642D1">
        <w:rPr>
          <w:color w:val="262626" w:themeColor="text1" w:themeTint="D9"/>
        </w:rPr>
        <w:t>having particular physical characteristics</w:t>
      </w:r>
      <w:r w:rsidRPr="008642D1" w:rsidDel="001644EA">
        <w:rPr>
          <w:color w:val="262626" w:themeColor="text1" w:themeTint="D9"/>
        </w:rPr>
        <w:t>”</w:t>
      </w:r>
      <w:r w:rsidRPr="008642D1">
        <w:rPr>
          <w:color w:val="262626" w:themeColor="text1" w:themeTint="D9"/>
        </w:rPr>
        <w:t xml:space="preserve"> (see Equal Opportunity Act 2010 (Vic), s 26(2)(a)) or by indicating the jobs to which the exception applies (see, for example, Sex Discrimination Act 1984 (Cth), s 30(2)(b)). The section could also be amended to add a further limitation such as requiring the discrimination to be reasonable, proportionate and justifiable in the circumstances (see, for example, Discrimination Act 1991 (ACT), s 33B(1)(b)).</w:t>
      </w:r>
    </w:p>
  </w:footnote>
  <w:footnote w:id="459">
    <w:p w14:paraId="6CB0D697"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Equity “Guidelines for entertainment professionals working with LGBT+ performers” &lt;</w:t>
      </w:r>
      <w:hyperlink r:id="rId70" w:anchor=":~:text=Make%20every%20effort%20to%20safeguard,tolerance%20on%20bullying%2C%20challenge%20discrimination." w:history="1">
        <w:r w:rsidRPr="008642D1">
          <w:rPr>
            <w:rStyle w:val="Hyperlink"/>
            <w:color w:val="262626" w:themeColor="text1" w:themeTint="D9"/>
          </w:rPr>
          <w:t>www.equity.org.uk</w:t>
        </w:r>
      </w:hyperlink>
      <w:r w:rsidRPr="008642D1">
        <w:rPr>
          <w:color w:val="262626" w:themeColor="text1" w:themeTint="D9"/>
        </w:rPr>
        <w:t xml:space="preserve">&gt;. </w:t>
      </w:r>
    </w:p>
  </w:footnote>
  <w:footnote w:id="460">
    <w:p w14:paraId="57254B5A"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Human Rights Commission Act 1977, ss 15(3)(c) and 15A(1)(a). </w:t>
      </w:r>
    </w:p>
  </w:footnote>
  <w:footnote w:id="461">
    <w:p w14:paraId="4CC89622"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Department of Justice </w:t>
      </w:r>
      <w:r w:rsidRPr="008642D1">
        <w:rPr>
          <w:i/>
          <w:iCs/>
          <w:color w:val="262626" w:themeColor="text1" w:themeTint="D9"/>
        </w:rPr>
        <w:t xml:space="preserve">Human Rights Bill – Report of the Department of Justice </w:t>
      </w:r>
      <w:r w:rsidRPr="008642D1">
        <w:rPr>
          <w:color w:val="262626" w:themeColor="text1" w:themeTint="D9"/>
        </w:rPr>
        <w:t>(28 May 1993) at 24.</w:t>
      </w:r>
    </w:p>
  </w:footnote>
  <w:footnote w:id="462">
    <w:p w14:paraId="46347968"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Race, colour, ethnic and national origin, marital status, employment status and family status.</w:t>
      </w:r>
    </w:p>
  </w:footnote>
  <w:footnote w:id="463">
    <w:p w14:paraId="66226990"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Commission Act 1977, s 15(3)(b).</w:t>
      </w:r>
    </w:p>
  </w:footnote>
  <w:footnote w:id="464">
    <w:p w14:paraId="5138B0E6" w14:textId="25149F10"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Current Customs guidelines state that a search must be conducted in the presence of at least two officers of the same gender identity as the person being searched: Te Mana Ārai o Aotearoa | New Zealand Customs Service “Guidelines for Strip Searches”</w:t>
      </w:r>
      <w:r w:rsidRPr="008642D1">
        <w:rPr>
          <w:i/>
          <w:iCs/>
          <w:color w:val="262626" w:themeColor="text1" w:themeTint="D9"/>
        </w:rPr>
        <w:t xml:space="preserve"> </w:t>
      </w:r>
      <w:r w:rsidRPr="008642D1">
        <w:rPr>
          <w:color w:val="262626" w:themeColor="text1" w:themeTint="D9"/>
        </w:rPr>
        <w:t>&lt;</w:t>
      </w:r>
      <w:hyperlink r:id="rId71" w:history="1">
        <w:r w:rsidRPr="008642D1">
          <w:rPr>
            <w:rStyle w:val="Hyperlink"/>
            <w:color w:val="262626" w:themeColor="text1" w:themeTint="D9"/>
          </w:rPr>
          <w:t>www.customs.govt.nz</w:t>
        </w:r>
      </w:hyperlink>
      <w:r w:rsidRPr="008642D1">
        <w:rPr>
          <w:color w:val="262626" w:themeColor="text1" w:themeTint="D9"/>
        </w:rPr>
        <w:t>&gt;.</w:t>
      </w:r>
    </w:p>
  </w:footnote>
  <w:footnote w:id="465">
    <w:p w14:paraId="06E73D80"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Virginia Fallon “Porirua City’s Muslim community float women-only swimming sessions” (22 May 2018) &lt;</w:t>
      </w:r>
      <w:hyperlink r:id="rId72" w:history="1">
        <w:r w:rsidRPr="008642D1">
          <w:rPr>
            <w:rStyle w:val="Hyperlink"/>
            <w:color w:val="262626" w:themeColor="text1" w:themeTint="D9"/>
          </w:rPr>
          <w:t>www.stuff.co.nz</w:t>
        </w:r>
      </w:hyperlink>
      <w:r w:rsidRPr="008642D1">
        <w:rPr>
          <w:color w:val="262626" w:themeColor="text1" w:themeTint="D9"/>
        </w:rPr>
        <w:t xml:space="preserve">&gt;. </w:t>
      </w:r>
      <w:r w:rsidRPr="008642D1" w:rsidDel="00DA10DA">
        <w:rPr>
          <w:color w:val="262626" w:themeColor="text1" w:themeTint="D9"/>
        </w:rPr>
        <w:t xml:space="preserve"> </w:t>
      </w:r>
    </w:p>
  </w:footnote>
  <w:footnote w:id="466">
    <w:p w14:paraId="702F1816" w14:textId="229499C5"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Lawrence Friedman and Joanna Grossman “A Private Underworld: The Naked Body in Law and Society” (2013) 61 Buff L Rev 169; and Danielle Keats Citron “Sexual Privacy” (2019) 128 Yale LJ 1870.</w:t>
      </w:r>
    </w:p>
  </w:footnote>
  <w:footnote w:id="467">
    <w:p w14:paraId="59BBF3DC"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35.</w:t>
      </w:r>
    </w:p>
  </w:footnote>
  <w:footnote w:id="468">
    <w:p w14:paraId="1A87201B"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Pacific Radiology “Pregnancy Ultrasound: What to Expect” &lt;</w:t>
      </w:r>
      <w:hyperlink r:id="rId73" w:history="1">
        <w:r w:rsidRPr="008642D1">
          <w:rPr>
            <w:rStyle w:val="Hyperlink"/>
            <w:color w:val="262626" w:themeColor="text1" w:themeTint="D9"/>
          </w:rPr>
          <w:t>www.pacificradiology.com</w:t>
        </w:r>
      </w:hyperlink>
      <w:r w:rsidRPr="008642D1">
        <w:rPr>
          <w:color w:val="262626" w:themeColor="text1" w:themeTint="D9"/>
        </w:rPr>
        <w:t xml:space="preserve">&gt;. </w:t>
      </w:r>
    </w:p>
  </w:footnote>
  <w:footnote w:id="469">
    <w:p w14:paraId="4CE775D6" w14:textId="3F7741C1"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sidDel="00574807">
        <w:rPr>
          <w:color w:val="262626" w:themeColor="text1" w:themeTint="D9"/>
        </w:rPr>
        <w:t>F</w:t>
      </w:r>
      <w:r w:rsidRPr="008642D1">
        <w:rPr>
          <w:color w:val="262626" w:themeColor="text1" w:themeTint="D9"/>
        </w:rPr>
        <w:t xml:space="preserve">or example, some jurisdictions have exceptions that list the particular jobs to which the exception applies: Sex Discrimination Act 1984 (Cth), </w:t>
      </w:r>
      <w:r w:rsidRPr="008642D1" w:rsidDel="00020080">
        <w:rPr>
          <w:color w:val="262626" w:themeColor="text1" w:themeTint="D9"/>
        </w:rPr>
        <w:t>s</w:t>
      </w:r>
      <w:r w:rsidRPr="008642D1">
        <w:rPr>
          <w:color w:val="262626" w:themeColor="text1" w:themeTint="D9"/>
        </w:rPr>
        <w:t xml:space="preserve"> 30(2)(c)–(e) and (g); and Equal Opportunity Act 2010 (Vic), s 26(2)(b)–(e).</w:t>
      </w:r>
    </w:p>
  </w:footnote>
  <w:footnote w:id="470">
    <w:p w14:paraId="66A07E43"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Danielle Keats Citron “Sexual Privacy” (2019) 128 Yale LJ 1870 at 1880.</w:t>
      </w:r>
    </w:p>
  </w:footnote>
  <w:footnote w:id="471">
    <w:p w14:paraId="3618C348"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Commission Act 1977, ss 15(3)(d) and 15(11).</w:t>
      </w:r>
    </w:p>
  </w:footnote>
  <w:footnote w:id="472">
    <w:p w14:paraId="6F086D0E"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(20 July 1977) 411 NZPD 1475.</w:t>
      </w:r>
    </w:p>
  </w:footnote>
  <w:footnote w:id="473">
    <w:p w14:paraId="314CB25D"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Te Ope Kātua o Aotearoa | New Zealand Defence Force </w:t>
      </w:r>
      <w:r w:rsidRPr="008642D1">
        <w:rPr>
          <w:i/>
          <w:iCs/>
          <w:color w:val="262626" w:themeColor="text1" w:themeTint="D9"/>
        </w:rPr>
        <w:t xml:space="preserve">Gender Transition: A Handbook for Commanders/Managers and Transitioning Personnel </w:t>
      </w:r>
      <w:r w:rsidRPr="008642D1">
        <w:rPr>
          <w:color w:val="262626" w:themeColor="text1" w:themeTint="D9"/>
        </w:rPr>
        <w:t>at 22.</w:t>
      </w:r>
    </w:p>
  </w:footnote>
  <w:footnote w:id="474">
    <w:p w14:paraId="6663726C"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Human Rights Act 1993, s 27(4). </w:t>
      </w:r>
    </w:p>
  </w:footnote>
  <w:footnote w:id="475">
    <w:p w14:paraId="102994DF"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Commission Act 1977, ss 15(6) and 21(2).</w:t>
      </w:r>
    </w:p>
  </w:footnote>
  <w:footnote w:id="476">
    <w:p w14:paraId="2640D740"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New Zealand Bill of Rights Act 1990, ss 13 and 15.</w:t>
      </w:r>
    </w:p>
  </w:footnote>
  <w:footnote w:id="477">
    <w:p w14:paraId="208E7A7C"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iCs/>
          <w:color w:val="262626" w:themeColor="text1" w:themeTint="D9"/>
        </w:rPr>
        <w:t xml:space="preserve">Gay and Lesbian Clergy Anti-Discrimination Society Inc v Bishop of Auckland </w:t>
      </w:r>
      <w:r w:rsidRPr="008642D1">
        <w:rPr>
          <w:color w:val="262626" w:themeColor="text1" w:themeTint="D9"/>
        </w:rPr>
        <w:t>[2013] NZHRRT 36, (2013) 9 HRNZ 612 at [92].</w:t>
      </w:r>
    </w:p>
  </w:footnote>
  <w:footnote w:id="478">
    <w:p w14:paraId="14FD9E6C" w14:textId="35ACCA31"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sidDel="00562FF6">
        <w:rPr>
          <w:i/>
          <w:iCs/>
          <w:color w:val="262626" w:themeColor="text1" w:themeTint="D9"/>
        </w:rPr>
        <w:t xml:space="preserve">Gay and Lesbian Clergy Anti-Discrimination Society Inc v Bishop of Auckland </w:t>
      </w:r>
      <w:r w:rsidRPr="008642D1" w:rsidDel="00562FF6">
        <w:rPr>
          <w:color w:val="262626" w:themeColor="text1" w:themeTint="D9"/>
        </w:rPr>
        <w:t>[2013] NZHRRT 36, (2013) 9 HRNZ 612 a</w:t>
      </w:r>
      <w:r w:rsidRPr="008642D1">
        <w:rPr>
          <w:color w:val="262626" w:themeColor="text1" w:themeTint="D9"/>
        </w:rPr>
        <w:t xml:space="preserve">t [43]. </w:t>
      </w:r>
    </w:p>
  </w:footnote>
  <w:footnote w:id="479">
    <w:p w14:paraId="60B351A0"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Employment Relations Act 2000, ss 104–105.</w:t>
      </w:r>
    </w:p>
  </w:footnote>
  <w:footnote w:id="480">
    <w:p w14:paraId="5A4F5066"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Employment Relations Act 2000, s 105.</w:t>
      </w:r>
    </w:p>
  </w:footnote>
  <w:footnote w:id="481">
    <w:p w14:paraId="2FCC3AC3"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Employment Relations Act 2000, s 106. The exception is Human Rights Act 1993, s 30A, concerning retirement benefits.</w:t>
      </w:r>
    </w:p>
  </w:footnote>
  <w:footnote w:id="482">
    <w:p w14:paraId="48F71F49"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A person must choose one or other: Employment Relations Act 2000, s 112; and Human Rights Act 1993, s 79A. </w:t>
      </w:r>
    </w:p>
  </w:footnote>
  <w:footnote w:id="483">
    <w:p w14:paraId="4B780232" w14:textId="77777777" w:rsidR="00D55D88" w:rsidRPr="008642D1" w:rsidRDefault="00D55D88" w:rsidP="00D55D88">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Equal Pay Act 1972, s 2(3).</w:t>
      </w:r>
    </w:p>
  </w:footnote>
  <w:footnote w:id="484">
    <w:p w14:paraId="38AFE96A" w14:textId="77777777" w:rsidR="00C07E13" w:rsidRPr="008642D1" w:rsidRDefault="00C07E13" w:rsidP="00C07E1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 prosecution under section 134 requires the Attorney-General’s consent:</w:t>
      </w:r>
      <w:r w:rsidRPr="008642D1" w:rsidDel="00DF0655">
        <w:rPr>
          <w:color w:val="262626" w:themeColor="text1" w:themeTint="D9"/>
        </w:rPr>
        <w:t xml:space="preserve"> </w:t>
      </w:r>
      <w:r w:rsidRPr="008642D1">
        <w:rPr>
          <w:color w:val="262626" w:themeColor="text1" w:themeTint="D9"/>
        </w:rPr>
        <w:t>Human Rights Act 1993, s 135.</w:t>
      </w:r>
    </w:p>
  </w:footnote>
  <w:footnote w:id="485">
    <w:p w14:paraId="4F9A6BE9" w14:textId="77777777" w:rsidR="00C07E13" w:rsidRPr="008642D1" w:rsidRDefault="00C07E13" w:rsidP="00C07E1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Race Relations Act 1971, s 24.</w:t>
      </w:r>
    </w:p>
  </w:footnote>
  <w:footnote w:id="486">
    <w:p w14:paraId="722AB2C4" w14:textId="77777777" w:rsidR="00C07E13" w:rsidRPr="008642D1" w:rsidRDefault="00C07E13" w:rsidP="00C07E1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44(2).</w:t>
      </w:r>
    </w:p>
  </w:footnote>
  <w:footnote w:id="487">
    <w:p w14:paraId="6B190355" w14:textId="77777777" w:rsidR="00C07E13" w:rsidRPr="008642D1" w:rsidRDefault="00C07E13" w:rsidP="00C07E1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Human Rights Act 1993, s 44(3). </w:t>
      </w:r>
    </w:p>
  </w:footnote>
  <w:footnote w:id="488">
    <w:p w14:paraId="39A1D714" w14:textId="77777777" w:rsidR="00C07E13" w:rsidRPr="008642D1" w:rsidRDefault="00C07E13" w:rsidP="00C07E1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44(4).</w:t>
      </w:r>
    </w:p>
  </w:footnote>
  <w:footnote w:id="489">
    <w:p w14:paraId="10C4F635" w14:textId="77777777" w:rsidR="00C07E13" w:rsidRPr="008642D1" w:rsidRDefault="00C07E13" w:rsidP="00C07E1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Human Rights Commission Act 1977, s 24(9). See (7 July 1977) 411 NZPD 1246 (John Richard Harrison MP). </w:t>
      </w:r>
    </w:p>
  </w:footnote>
  <w:footnote w:id="490">
    <w:p w14:paraId="6F25FDDB" w14:textId="77777777" w:rsidR="00C07E13" w:rsidRPr="008642D1" w:rsidRDefault="00C07E13" w:rsidP="00C07E1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Letter from Margaret Nixon (Secretary for Justice) to Chief Parliamentary Counsel regarding review of Human Rights Commission Act 1997 and Race Relations Act 1971 (12 February 1990) at 15.</w:t>
      </w:r>
    </w:p>
  </w:footnote>
  <w:footnote w:id="491">
    <w:p w14:paraId="1F88BA04" w14:textId="77777777" w:rsidR="00C07E13" w:rsidRPr="008642D1" w:rsidRDefault="00C07E13" w:rsidP="00C07E1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Health and Disability Commissioner (Code of Health and Disability Services Consumers’ Rights) Regulations 1996, right 4(2); and Te Roopu Kaiwhiriwhiri o Aotearoa | New Zealand Association of Counsellors </w:t>
      </w:r>
      <w:r w:rsidRPr="008642D1">
        <w:rPr>
          <w:i/>
          <w:iCs/>
          <w:color w:val="262626" w:themeColor="text1" w:themeTint="D9"/>
        </w:rPr>
        <w:t>Code of Ethics: A Framework for Ethical Practice 2002</w:t>
      </w:r>
      <w:r w:rsidRPr="008642D1">
        <w:rPr>
          <w:color w:val="262626" w:themeColor="text1" w:themeTint="D9"/>
        </w:rPr>
        <w:t xml:space="preserve">, cls 4.8 and 5.3. </w:t>
      </w:r>
      <w:r w:rsidRPr="008642D1">
        <w:rPr>
          <w:color w:val="262626" w:themeColor="text1" w:themeTint="D9"/>
          <w:szCs w:val="24"/>
          <w:lang w:eastAsia="en-AU"/>
        </w:rPr>
        <w:t xml:space="preserve">The Code of Ethics also states counsellors should avoid discriminating against clients on the basis of characteristics such as gender: cl </w:t>
      </w:r>
      <w:r w:rsidRPr="008642D1">
        <w:rPr>
          <w:color w:val="262626" w:themeColor="text1" w:themeTint="D9"/>
        </w:rPr>
        <w:t>5.2(d).</w:t>
      </w:r>
    </w:p>
  </w:footnote>
  <w:footnote w:id="492">
    <w:p w14:paraId="5B54DDE1" w14:textId="77777777" w:rsidR="00C07E13" w:rsidRPr="008642D1" w:rsidRDefault="00C07E13" w:rsidP="00C07E1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color w:val="262626" w:themeColor="text1" w:themeTint="D9"/>
        </w:rPr>
        <w:t>Jacobsen</w:t>
      </w:r>
      <w:r w:rsidRPr="008642D1">
        <w:rPr>
          <w:i/>
          <w:iCs/>
          <w:color w:val="262626" w:themeColor="text1" w:themeTint="D9"/>
        </w:rPr>
        <w:t xml:space="preserve"> v Zhou </w:t>
      </w:r>
      <w:r w:rsidRPr="008642D1">
        <w:rPr>
          <w:color w:val="262626" w:themeColor="text1" w:themeTint="D9"/>
        </w:rPr>
        <w:t>[2015] NZHRRT 38 at [37]–[43], applying Human Rights Act 1993, s 21B</w:t>
      </w:r>
      <w:r w:rsidRPr="008642D1" w:rsidDel="00AF58CE">
        <w:rPr>
          <w:color w:val="262626" w:themeColor="text1" w:themeTint="D9"/>
        </w:rPr>
        <w:t>.</w:t>
      </w:r>
    </w:p>
  </w:footnote>
  <w:footnote w:id="493">
    <w:p w14:paraId="61D0E3F1" w14:textId="77777777" w:rsidR="00C07E13" w:rsidRPr="008642D1" w:rsidRDefault="00C07E13" w:rsidP="00C07E1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Outline Aotearoa “Our Counsellors” &lt;</w:t>
      </w:r>
      <w:hyperlink r:id="rId74" w:history="1">
        <w:r w:rsidRPr="008642D1">
          <w:rPr>
            <w:rStyle w:val="Hyperlink"/>
            <w:color w:val="262626" w:themeColor="text1" w:themeTint="D9"/>
          </w:rPr>
          <w:t>outline.org.nz</w:t>
        </w:r>
      </w:hyperlink>
      <w:r w:rsidRPr="008642D1">
        <w:rPr>
          <w:color w:val="262626" w:themeColor="text1" w:themeTint="D9"/>
        </w:rPr>
        <w:t>&gt;; and InsideOUT Kōaro “Respectful Relationships Programme” &lt;</w:t>
      </w:r>
      <w:hyperlink r:id="rId75" w:history="1">
        <w:r w:rsidRPr="008642D1">
          <w:rPr>
            <w:rStyle w:val="Hyperlink"/>
            <w:color w:val="262626" w:themeColor="text1" w:themeTint="D9"/>
          </w:rPr>
          <w:t>insideout.org.nz</w:t>
        </w:r>
      </w:hyperlink>
      <w:r w:rsidRPr="008642D1">
        <w:rPr>
          <w:color w:val="262626" w:themeColor="text1" w:themeTint="D9"/>
        </w:rPr>
        <w:t>&gt;</w:t>
      </w:r>
    </w:p>
  </w:footnote>
  <w:footnote w:id="494">
    <w:p w14:paraId="25C58146" w14:textId="77777777" w:rsidR="00C07E13" w:rsidRPr="008642D1" w:rsidRDefault="00C07E13" w:rsidP="00C07E1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Sandra Dickson </w:t>
      </w:r>
      <w:r w:rsidRPr="008642D1">
        <w:rPr>
          <w:i/>
          <w:iCs/>
          <w:color w:val="262626" w:themeColor="text1" w:themeTint="D9"/>
        </w:rPr>
        <w:t xml:space="preserve">Trans and Gender Diverse Responses: Building Rainbow communities free of partner and sexual violence </w:t>
      </w:r>
      <w:r w:rsidRPr="008642D1">
        <w:rPr>
          <w:color w:val="262626" w:themeColor="text1" w:themeTint="D9"/>
        </w:rPr>
        <w:t>(Hohou Te Rongo Kahukura | Outing Violence, 2017) at 23–25.</w:t>
      </w:r>
    </w:p>
  </w:footnote>
  <w:footnote w:id="495">
    <w:p w14:paraId="24FD2369" w14:textId="2DC5208C" w:rsidR="00C07E13" w:rsidRPr="008642D1" w:rsidRDefault="00C07E13" w:rsidP="00C07E1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Commission Act 1977, s 24(5). The section began “Where the nature of a skill such as hairdressing</w:t>
      </w:r>
      <w:r w:rsidR="00C47816">
        <w:rPr>
          <w:color w:val="262626" w:themeColor="text1" w:themeTint="D9"/>
        </w:rPr>
        <w:t xml:space="preserve"> </w:t>
      </w:r>
      <w:r w:rsidRPr="008642D1">
        <w:rPr>
          <w:color w:val="262626" w:themeColor="text1" w:themeTint="D9"/>
        </w:rPr>
        <w:t>…”</w:t>
      </w:r>
      <w:r w:rsidR="00C47816">
        <w:rPr>
          <w:color w:val="262626" w:themeColor="text1" w:themeTint="D9"/>
        </w:rPr>
        <w:t>.</w:t>
      </w:r>
    </w:p>
  </w:footnote>
  <w:footnote w:id="496">
    <w:p w14:paraId="1E4449D7" w14:textId="77777777" w:rsidR="00C07E13" w:rsidRPr="008642D1" w:rsidRDefault="00C07E13" w:rsidP="00C07E1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(9 December 1976) 408 NZPD 4687 (David Thomson MP); and (7 July 1977) 411 NZPD 1246 (John Richard Harrison MP).</w:t>
      </w:r>
    </w:p>
  </w:footnote>
  <w:footnote w:id="497">
    <w:p w14:paraId="3CD176A7" w14:textId="77777777" w:rsidR="00C07E13" w:rsidRPr="008642D1" w:rsidRDefault="00C07E13" w:rsidP="00C07E1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Prostitution Reform Act 2003, s 17(1). This provides that a person has the legal right to refuse to provide, or to continue to provide, a commercial sexual service to any other person.</w:t>
      </w:r>
    </w:p>
  </w:footnote>
  <w:footnote w:id="498">
    <w:p w14:paraId="4AC1AB53" w14:textId="77777777" w:rsidR="00C07E13" w:rsidRPr="008642D1" w:rsidRDefault="00C07E13" w:rsidP="00C07E1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Human Rights Act 1993, s 48(1)(a). </w:t>
      </w:r>
    </w:p>
  </w:footnote>
  <w:footnote w:id="499">
    <w:p w14:paraId="02D67403" w14:textId="77777777" w:rsidR="00C07E13" w:rsidRPr="008642D1" w:rsidRDefault="00C07E13" w:rsidP="00C07E1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Human Rights Act 1993, s 48(1)(b). </w:t>
      </w:r>
    </w:p>
  </w:footnote>
  <w:footnote w:id="500">
    <w:p w14:paraId="782D36EE" w14:textId="269858AB" w:rsidR="00C07E13" w:rsidRPr="008642D1" w:rsidRDefault="00C07E13" w:rsidP="00C07E1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Tatauranga Aotearoa | Stats</w:t>
      </w:r>
      <w:r w:rsidR="00E46F09">
        <w:rPr>
          <w:color w:val="262626" w:themeColor="text1" w:themeTint="D9"/>
        </w:rPr>
        <w:t xml:space="preserve"> </w:t>
      </w:r>
      <w:r w:rsidRPr="008642D1">
        <w:rPr>
          <w:color w:val="262626" w:themeColor="text1" w:themeTint="D9"/>
        </w:rPr>
        <w:t>NZ “Deaths increase by ten percent in 2022”</w:t>
      </w:r>
      <w:r w:rsidRPr="008642D1">
        <w:rPr>
          <w:i/>
          <w:iCs/>
          <w:color w:val="262626" w:themeColor="text1" w:themeTint="D9"/>
        </w:rPr>
        <w:t xml:space="preserve"> </w:t>
      </w:r>
      <w:r w:rsidRPr="008642D1">
        <w:rPr>
          <w:color w:val="262626" w:themeColor="text1" w:themeTint="D9"/>
        </w:rPr>
        <w:t>(20 February 2023)</w:t>
      </w:r>
      <w:r w:rsidRPr="008642D1" w:rsidDel="00DC42C8">
        <w:rPr>
          <w:color w:val="262626" w:themeColor="text1" w:themeTint="D9"/>
        </w:rPr>
        <w:t xml:space="preserve"> </w:t>
      </w:r>
      <w:r w:rsidRPr="008642D1">
        <w:rPr>
          <w:color w:val="262626" w:themeColor="text1" w:themeTint="D9"/>
        </w:rPr>
        <w:t>&lt;</w:t>
      </w:r>
      <w:hyperlink r:id="rId76" w:history="1">
        <w:r w:rsidRPr="008642D1">
          <w:rPr>
            <w:rStyle w:val="Hyperlink"/>
            <w:color w:val="262626" w:themeColor="text1" w:themeTint="D9"/>
          </w:rPr>
          <w:t>www.stats.govt.nz</w:t>
        </w:r>
      </w:hyperlink>
      <w:r w:rsidRPr="008642D1">
        <w:rPr>
          <w:color w:val="262626" w:themeColor="text1" w:themeTint="D9"/>
        </w:rPr>
        <w:t>&gt;</w:t>
      </w:r>
      <w:r w:rsidRPr="00C83C59">
        <w:rPr>
          <w:rStyle w:val="Hyperlink"/>
          <w:color w:val="262626" w:themeColor="text1" w:themeTint="D9"/>
          <w:u w:val="none"/>
        </w:rPr>
        <w:t>;</w:t>
      </w:r>
      <w:r w:rsidRPr="008642D1">
        <w:rPr>
          <w:color w:val="262626" w:themeColor="text1" w:themeTint="D9"/>
        </w:rPr>
        <w:t xml:space="preserve"> and Te Kāhui Inihua o Aotearoa | Insurance Council of New Zealand “Insurance Pricing”</w:t>
      </w:r>
      <w:r w:rsidRPr="008642D1">
        <w:rPr>
          <w:i/>
          <w:iCs/>
          <w:color w:val="262626" w:themeColor="text1" w:themeTint="D9"/>
        </w:rPr>
        <w:t xml:space="preserve"> </w:t>
      </w:r>
      <w:r w:rsidRPr="008642D1">
        <w:rPr>
          <w:color w:val="262626" w:themeColor="text1" w:themeTint="D9"/>
        </w:rPr>
        <w:t>(October 2019)</w:t>
      </w:r>
      <w:r w:rsidRPr="008642D1">
        <w:rPr>
          <w:i/>
          <w:iCs/>
          <w:color w:val="262626" w:themeColor="text1" w:themeTint="D9"/>
        </w:rPr>
        <w:t xml:space="preserve"> </w:t>
      </w:r>
      <w:r w:rsidRPr="008642D1">
        <w:rPr>
          <w:color w:val="262626" w:themeColor="text1" w:themeTint="D9"/>
        </w:rPr>
        <w:t>&lt;</w:t>
      </w:r>
      <w:hyperlink r:id="rId77" w:history="1">
        <w:r w:rsidRPr="008642D1">
          <w:rPr>
            <w:rStyle w:val="Hyperlink"/>
            <w:color w:val="262626" w:themeColor="text1" w:themeTint="D9"/>
          </w:rPr>
          <w:t>www.icnz.org.nz</w:t>
        </w:r>
      </w:hyperlink>
      <w:r w:rsidRPr="008642D1">
        <w:rPr>
          <w:color w:val="262626" w:themeColor="text1" w:themeTint="D9"/>
        </w:rPr>
        <w:t>&gt;</w:t>
      </w:r>
      <w:r w:rsidRPr="00C83C59">
        <w:rPr>
          <w:rStyle w:val="Hyperlink"/>
          <w:color w:val="262626" w:themeColor="text1" w:themeTint="D9"/>
          <w:u w:val="none"/>
        </w:rPr>
        <w:t>.</w:t>
      </w:r>
    </w:p>
  </w:footnote>
  <w:footnote w:id="501">
    <w:p w14:paraId="79A1503B" w14:textId="77777777" w:rsidR="00C07E13" w:rsidRPr="008642D1" w:rsidRDefault="00C07E13" w:rsidP="00C07E1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Department of Justice </w:t>
      </w:r>
      <w:r w:rsidRPr="008642D1">
        <w:rPr>
          <w:i/>
          <w:iCs/>
          <w:color w:val="262626" w:themeColor="text1" w:themeTint="D9"/>
        </w:rPr>
        <w:t xml:space="preserve">Human Rights Bill: Clauses 62, 82–84 – Report of the Department of Justice </w:t>
      </w:r>
      <w:r w:rsidRPr="008642D1">
        <w:rPr>
          <w:color w:val="262626" w:themeColor="text1" w:themeTint="D9"/>
        </w:rPr>
        <w:t>(1993) at 2–3.</w:t>
      </w:r>
    </w:p>
  </w:footnote>
  <w:footnote w:id="502">
    <w:p w14:paraId="3C8FDD72" w14:textId="77777777" w:rsidR="00C07E13" w:rsidRPr="008642D1" w:rsidRDefault="00C07E13" w:rsidP="00C07E1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Commission Act 1977, s 24(6).</w:t>
      </w:r>
    </w:p>
  </w:footnote>
  <w:footnote w:id="503">
    <w:p w14:paraId="762F3B8C" w14:textId="77777777" w:rsidR="00C07E13" w:rsidRPr="008642D1" w:rsidRDefault="00C07E13" w:rsidP="00C07E1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Hansard records that the select committee had a lengthy debate on this issue and the recommendation to retain the exception was not unanimous: (27 July 1993) 536 NZPD 16908 (Lianne Dalziel MP); and (27 July 1993) 536 NZPD 16911 (Graeme Reeves MP). </w:t>
      </w:r>
    </w:p>
  </w:footnote>
  <w:footnote w:id="504">
    <w:p w14:paraId="0D0C6199" w14:textId="77777777" w:rsidR="00C07E13" w:rsidRPr="008642D1" w:rsidRDefault="00C07E13" w:rsidP="00C07E1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Southern Cross Health Insurance “Diversity and Inclusion” &lt;</w:t>
      </w:r>
      <w:hyperlink r:id="rId78" w:history="1">
        <w:r w:rsidRPr="008642D1">
          <w:rPr>
            <w:rStyle w:val="Hyperlink"/>
            <w:color w:val="262626" w:themeColor="text1" w:themeTint="D9"/>
          </w:rPr>
          <w:t>www.southerncross.co.nz</w:t>
        </w:r>
      </w:hyperlink>
      <w:r w:rsidRPr="006D5653">
        <w:rPr>
          <w:rStyle w:val="Hyperlink"/>
          <w:color w:val="262626" w:themeColor="text1" w:themeTint="D9"/>
          <w:u w:val="none"/>
        </w:rPr>
        <w:t xml:space="preserve">&gt;. </w:t>
      </w:r>
    </w:p>
  </w:footnote>
  <w:footnote w:id="505">
    <w:p w14:paraId="2F08E840" w14:textId="77777777" w:rsidR="00C07E13" w:rsidRPr="008642D1" w:rsidRDefault="00C07E13" w:rsidP="00C07E1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Anti-Discrimination Act 1977 (NSW), s 38Q.</w:t>
      </w:r>
    </w:p>
  </w:footnote>
  <w:footnote w:id="506">
    <w:p w14:paraId="03C2A589" w14:textId="77777777" w:rsidR="00C07E13" w:rsidRPr="008642D1" w:rsidRDefault="00C07E13" w:rsidP="00C07E1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Letter from Margaret Nixon (Secretary of Justice) to Minister of Justice regarding Human Rights Commission Act 1977: discrimination in insurance and superannuation (7 August 1990) at 3. </w:t>
      </w:r>
    </w:p>
  </w:footnote>
  <w:footnote w:id="507">
    <w:p w14:paraId="5D553AC8" w14:textId="65C11530" w:rsidR="00C07E13" w:rsidRPr="008642D1" w:rsidRDefault="00C07E13" w:rsidP="00C07E13">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w:t>
      </w:r>
      <w:r w:rsidR="00EB0D51">
        <w:rPr>
          <w:color w:val="262626" w:themeColor="text1" w:themeTint="D9"/>
        </w:rPr>
        <w:t>s</w:t>
      </w:r>
      <w:r w:rsidRPr="008642D1">
        <w:rPr>
          <w:color w:val="262626" w:themeColor="text1" w:themeTint="D9"/>
        </w:rPr>
        <w:t xml:space="preserve"> Act 1993, s 48(1)(a)(ii).</w:t>
      </w:r>
    </w:p>
  </w:footnote>
  <w:footnote w:id="508">
    <w:p w14:paraId="2983B9A6" w14:textId="77777777" w:rsidR="003B3732" w:rsidRPr="008642D1" w:rsidRDefault="003B3732" w:rsidP="003B3732">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w:t>
      </w:r>
      <w:r w:rsidRPr="008642D1">
        <w:rPr>
          <w:rFonts w:eastAsiaTheme="minorHAnsi" w:cstheme="minorBidi"/>
          <w:i/>
          <w:iCs/>
          <w:color w:val="262626" w:themeColor="text1" w:themeTint="D9"/>
          <w:szCs w:val="15"/>
          <w:shd w:val="clear" w:color="auto" w:fill="FFFFFF"/>
        </w:rPr>
        <w:t>Winther</w:t>
      </w:r>
      <w:r w:rsidRPr="008642D1">
        <w:rPr>
          <w:rFonts w:ascii="Calibri" w:eastAsiaTheme="minorHAnsi" w:hAnsi="Calibri" w:cs="Calibri"/>
          <w:i/>
          <w:iCs/>
          <w:color w:val="262626" w:themeColor="text1" w:themeTint="D9"/>
          <w:szCs w:val="15"/>
          <w:shd w:val="clear" w:color="auto" w:fill="FFFFFF"/>
        </w:rPr>
        <w:t> </w:t>
      </w:r>
      <w:r w:rsidRPr="008642D1">
        <w:rPr>
          <w:rFonts w:eastAsiaTheme="minorHAnsi" w:cstheme="minorBidi"/>
          <w:i/>
          <w:iCs/>
          <w:color w:val="262626" w:themeColor="text1" w:themeTint="D9"/>
          <w:szCs w:val="15"/>
          <w:shd w:val="clear" w:color="auto" w:fill="FFFFFF"/>
        </w:rPr>
        <w:t>v Housing New Zealand Corporation</w:t>
      </w:r>
      <w:r w:rsidRPr="008642D1">
        <w:rPr>
          <w:rFonts w:ascii="Calibri" w:eastAsiaTheme="minorHAnsi" w:hAnsi="Calibri" w:cs="Calibri"/>
          <w:i/>
          <w:iCs/>
          <w:color w:val="262626" w:themeColor="text1" w:themeTint="D9"/>
          <w:szCs w:val="15"/>
          <w:shd w:val="clear" w:color="auto" w:fill="FFFFFF"/>
        </w:rPr>
        <w:t> </w:t>
      </w:r>
      <w:r w:rsidRPr="008642D1" w:rsidDel="000F3B33">
        <w:rPr>
          <w:rFonts w:eastAsiaTheme="minorHAnsi" w:cstheme="minorBidi"/>
          <w:color w:val="262626" w:themeColor="text1" w:themeTint="D9"/>
          <w:szCs w:val="15"/>
          <w:shd w:val="clear" w:color="auto" w:fill="FFFFFF"/>
        </w:rPr>
        <w:t>[2010] NZCA 601,</w:t>
      </w:r>
      <w:r w:rsidRPr="008642D1" w:rsidDel="000F3B33">
        <w:rPr>
          <w:rFonts w:ascii="Calibri" w:eastAsiaTheme="minorHAnsi" w:hAnsi="Calibri" w:cs="Calibri"/>
          <w:color w:val="262626" w:themeColor="text1" w:themeTint="D9"/>
          <w:szCs w:val="15"/>
          <w:shd w:val="clear" w:color="auto" w:fill="FFFFFF"/>
        </w:rPr>
        <w:t> </w:t>
      </w:r>
      <w:r w:rsidRPr="008642D1">
        <w:rPr>
          <w:rFonts w:eastAsiaTheme="minorHAnsi" w:cstheme="minorBidi"/>
          <w:color w:val="262626" w:themeColor="text1" w:themeTint="D9"/>
          <w:szCs w:val="15"/>
          <w:shd w:val="clear" w:color="auto" w:fill="FFFFFF"/>
        </w:rPr>
        <w:t>[2011] 1 NZLR 825 at [31].</w:t>
      </w:r>
    </w:p>
  </w:footnote>
  <w:footnote w:id="509">
    <w:p w14:paraId="3D75E135" w14:textId="77777777" w:rsidR="003B3732" w:rsidRPr="008642D1" w:rsidRDefault="003B3732" w:rsidP="003B3732">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rStyle w:val="normaltextrun"/>
          <w:szCs w:val="15"/>
          <w:shd w:val="clear" w:color="auto" w:fill="FFFFFF"/>
        </w:rPr>
        <w:t xml:space="preserve">Department of Justice </w:t>
      </w:r>
      <w:r w:rsidRPr="008642D1">
        <w:rPr>
          <w:rStyle w:val="normaltextrun"/>
          <w:i/>
          <w:iCs/>
          <w:szCs w:val="15"/>
          <w:shd w:val="clear" w:color="auto" w:fill="FFFFFF"/>
        </w:rPr>
        <w:t>Human Rights Bill — Report of the Department of Justice</w:t>
      </w:r>
      <w:r w:rsidRPr="008642D1" w:rsidDel="00993B5C">
        <w:rPr>
          <w:rStyle w:val="normaltextrun"/>
          <w:i/>
          <w:iCs/>
          <w:szCs w:val="15"/>
          <w:shd w:val="clear" w:color="auto" w:fill="FFFFFF"/>
        </w:rPr>
        <w:t xml:space="preserve"> </w:t>
      </w:r>
      <w:r w:rsidRPr="008642D1">
        <w:rPr>
          <w:rStyle w:val="normaltextrun"/>
          <w:szCs w:val="15"/>
          <w:shd w:val="clear" w:color="auto" w:fill="FFFFFF"/>
        </w:rPr>
        <w:t>(28 May 1993) a</w:t>
      </w:r>
      <w:r w:rsidRPr="008642D1">
        <w:rPr>
          <w:color w:val="262626" w:themeColor="text1" w:themeTint="D9"/>
        </w:rPr>
        <w:t>t 40.</w:t>
      </w:r>
    </w:p>
  </w:footnote>
  <w:footnote w:id="510">
    <w:p w14:paraId="6E4D882A" w14:textId="77777777" w:rsidR="003B3732" w:rsidRPr="008642D1" w:rsidRDefault="003B3732" w:rsidP="003B3732">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Equality Act 2010 (UK), </w:t>
      </w:r>
      <w:r w:rsidRPr="008642D1">
        <w:rPr>
          <w:rStyle w:val="normaltextrun"/>
          <w:szCs w:val="15"/>
          <w:bdr w:val="none" w:sz="0" w:space="0" w:color="auto" w:frame="1"/>
        </w:rPr>
        <w:t xml:space="preserve">sch 23, para 3; and </w:t>
      </w:r>
      <w:r w:rsidRPr="008642D1">
        <w:rPr>
          <w:color w:val="262626" w:themeColor="text1" w:themeTint="D9"/>
          <w:szCs w:val="15"/>
          <w:bdr w:val="none" w:sz="0" w:space="0" w:color="auto" w:frame="1"/>
        </w:rPr>
        <w:t>Sex Discrimination Act 1984 (Cth), ss 23(3) and 34(2).</w:t>
      </w:r>
    </w:p>
  </w:footnote>
  <w:footnote w:id="511">
    <w:p w14:paraId="2F6DB243" w14:textId="77777777" w:rsidR="003B3732" w:rsidRPr="008642D1" w:rsidRDefault="003B3732" w:rsidP="003B3732">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Phoebe Ellen McHardy Moir “Transforming Women-Only Spaces: Law, Policies and Realities of Trans Inclusion in Women-Only Safe Houses in Aotearoa New Zealand” (2022) 6 NZWLJ 43 at 66–68.</w:t>
      </w:r>
    </w:p>
  </w:footnote>
  <w:footnote w:id="512">
    <w:p w14:paraId="1E5C89B0" w14:textId="77777777" w:rsidR="003B3732" w:rsidRPr="008642D1" w:rsidRDefault="003B3732" w:rsidP="003B3732">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We discussed the different options for amending section 21 in Chapter 7.</w:t>
      </w:r>
    </w:p>
  </w:footnote>
  <w:footnote w:id="513">
    <w:p w14:paraId="5F1AD424" w14:textId="77777777" w:rsidR="003B3732" w:rsidRPr="008642D1" w:rsidRDefault="003B3732" w:rsidP="003B3732">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 person is not entitled to invoke both procedures: Residential Tenancies Act 1986, s 12A. We discuss the Human Rights Act complaints procedures in Chapter 18.</w:t>
      </w:r>
    </w:p>
  </w:footnote>
  <w:footnote w:id="514">
    <w:p w14:paraId="72250A61" w14:textId="77777777" w:rsidR="007F0439" w:rsidRPr="008642D1" w:rsidRDefault="007F0439" w:rsidP="007F0439">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57(1)(d).</w:t>
      </w:r>
    </w:p>
  </w:footnote>
  <w:footnote w:id="515">
    <w:p w14:paraId="120C12B8" w14:textId="77777777" w:rsidR="007F0439" w:rsidRPr="008642D1" w:rsidRDefault="007F0439" w:rsidP="007F0439">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Education and Training Act 2020, s 485; Matatū Aotearoa | Education Council New Zealand </w:t>
      </w:r>
      <w:r w:rsidRPr="008642D1">
        <w:rPr>
          <w:i/>
          <w:iCs/>
          <w:color w:val="262626" w:themeColor="text1" w:themeTint="D9"/>
        </w:rPr>
        <w:t xml:space="preserve">Our Code Our Standards: Code of Professional Responsibility and Standards for the Teaching Profession </w:t>
      </w:r>
      <w:r w:rsidRPr="008642D1">
        <w:rPr>
          <w:color w:val="262626" w:themeColor="text1" w:themeTint="D9"/>
        </w:rPr>
        <w:t xml:space="preserve">I </w:t>
      </w:r>
      <w:r w:rsidRPr="008642D1">
        <w:rPr>
          <w:i/>
          <w:iCs/>
          <w:color w:val="262626" w:themeColor="text1" w:themeTint="D9"/>
        </w:rPr>
        <w:t xml:space="preserve">Ngā Tikanga Matatika Ngā Paerewa Ngā Tikanga Matatika mō te Haepapa Ngaiotanga me ngā Paerewa mō te Umanga Whakaakoranga </w:t>
      </w:r>
      <w:r w:rsidRPr="008642D1">
        <w:rPr>
          <w:color w:val="262626" w:themeColor="text1" w:themeTint="D9"/>
        </w:rPr>
        <w:t>(June 2017)</w:t>
      </w:r>
      <w:r w:rsidRPr="008642D1">
        <w:rPr>
          <w:i/>
          <w:iCs/>
          <w:color w:val="262626" w:themeColor="text1" w:themeTint="D9"/>
        </w:rPr>
        <w:t>.</w:t>
      </w:r>
      <w:r w:rsidRPr="008642D1">
        <w:rPr>
          <w:color w:val="262626" w:themeColor="text1" w:themeTint="D9"/>
        </w:rPr>
        <w:t xml:space="preserve"> </w:t>
      </w:r>
    </w:p>
  </w:footnote>
  <w:footnote w:id="516">
    <w:p w14:paraId="7436CA79" w14:textId="77777777" w:rsidR="007F0439" w:rsidRPr="008642D1" w:rsidRDefault="007F0439" w:rsidP="007F0439">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Serious misconduct is defined in </w:t>
      </w:r>
      <w:r w:rsidRPr="008642D1">
        <w:rPr>
          <w:color w:val="262626" w:themeColor="text1" w:themeTint="D9"/>
          <w:lang w:eastAsia="en-AU"/>
        </w:rPr>
        <w:t xml:space="preserve">s 10(1)(a) of the Education and Training Act 2020. </w:t>
      </w:r>
    </w:p>
  </w:footnote>
  <w:footnote w:id="517">
    <w:p w14:paraId="7502758C" w14:textId="77777777" w:rsidR="007F0439" w:rsidRPr="008642D1" w:rsidRDefault="007F0439" w:rsidP="007F0439">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Education and Training Act 2020, s 597(3)(b).</w:t>
      </w:r>
    </w:p>
  </w:footnote>
  <w:footnote w:id="518">
    <w:p w14:paraId="7A6463C8" w14:textId="77777777" w:rsidR="007F0439" w:rsidRPr="008642D1" w:rsidRDefault="007F0439" w:rsidP="007F0439">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Education and Training Act 2020, s 127(1).</w:t>
      </w:r>
    </w:p>
  </w:footnote>
  <w:footnote w:id="519">
    <w:p w14:paraId="7854ED75" w14:textId="77777777" w:rsidR="007F0439" w:rsidRPr="008642D1" w:rsidRDefault="007F0439" w:rsidP="007F0439">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Education and Training Act 2020, sch 7, cl 2(a) and (h). </w:t>
      </w:r>
    </w:p>
  </w:footnote>
  <w:footnote w:id="520">
    <w:p w14:paraId="6D26A0CE" w14:textId="77777777" w:rsidR="007F0439" w:rsidRPr="008642D1" w:rsidRDefault="007F0439" w:rsidP="007F0439">
      <w:pPr>
        <w:pStyle w:val="FootnoteText"/>
        <w:rPr>
          <w:i/>
          <w:iCs/>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for example, Te Tāhuhu o te Mātauranga | Ministry of Education </w:t>
      </w:r>
      <w:r w:rsidRPr="008642D1">
        <w:rPr>
          <w:i/>
          <w:iCs/>
          <w:color w:val="262626" w:themeColor="text1" w:themeTint="D9"/>
        </w:rPr>
        <w:t>Health and Safety at Work Act 2015: A practical guide for boards of trustees and school leaders</w:t>
      </w:r>
      <w:r w:rsidRPr="008642D1">
        <w:rPr>
          <w:color w:val="262626" w:themeColor="text1" w:themeTint="D9"/>
        </w:rPr>
        <w:t xml:space="preserve"> (August 2017) at 50.</w:t>
      </w:r>
    </w:p>
  </w:footnote>
  <w:footnote w:id="521">
    <w:p w14:paraId="7DF3F00D" w14:textId="77777777" w:rsidR="007F0439" w:rsidRPr="008642D1" w:rsidRDefault="007F0439" w:rsidP="007F0439">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Harmful Digital Communications Act 2015, s 11(1)(c).</w:t>
      </w:r>
    </w:p>
  </w:footnote>
  <w:footnote w:id="522">
    <w:p w14:paraId="124D0E3F" w14:textId="77777777" w:rsidR="007F0439" w:rsidRPr="008642D1" w:rsidRDefault="007F0439" w:rsidP="007F0439">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Equal Opportunity Act 2010 (Vic), s 42. In the case of schools, the educational authority must take into account the views of the school community in setting the standard for what is reasonable.</w:t>
      </w:r>
    </w:p>
  </w:footnote>
  <w:footnote w:id="523">
    <w:p w14:paraId="3128538A" w14:textId="77777777" w:rsidR="007F0439" w:rsidRPr="008642D1" w:rsidRDefault="007F0439" w:rsidP="007F0439">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We are aware of some tertiary institutions and institutes that limit certain courses to only males or females. We think these would likely be governed by Part 1A. </w:t>
      </w:r>
    </w:p>
  </w:footnote>
  <w:footnote w:id="524">
    <w:p w14:paraId="7319A800" w14:textId="77777777" w:rsidR="007F0439" w:rsidRPr="008642D1" w:rsidRDefault="007F0439" w:rsidP="007F0439">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Commission Act 1977, s 26(2).</w:t>
      </w:r>
    </w:p>
  </w:footnote>
  <w:footnote w:id="525">
    <w:p w14:paraId="3A4F0428" w14:textId="77777777" w:rsidR="007F0439" w:rsidRPr="008642D1" w:rsidRDefault="007F0439" w:rsidP="007F0439">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Te Tari Taiwhenua | Department of Internal Affairs</w:t>
      </w:r>
      <w:r w:rsidRPr="008642D1">
        <w:rPr>
          <w:i/>
          <w:iCs/>
          <w:color w:val="262626" w:themeColor="text1" w:themeTint="D9"/>
        </w:rPr>
        <w:t xml:space="preserve"> Final Report of the Working Group for reducing barriers to changing registered sex: Recommendations to the Minister of Internal Affairs </w:t>
      </w:r>
      <w:r w:rsidRPr="008642D1">
        <w:rPr>
          <w:color w:val="262626" w:themeColor="text1" w:themeTint="D9"/>
        </w:rPr>
        <w:t>(2020) at [63].</w:t>
      </w:r>
    </w:p>
  </w:footnote>
  <w:footnote w:id="526">
    <w:p w14:paraId="045F4BA0" w14:textId="77777777" w:rsidR="007F0439" w:rsidRPr="008642D1" w:rsidRDefault="007F0439" w:rsidP="007F0439">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Education Counts “New Zealand Schools: Schools Directory Builder” &lt;</w:t>
      </w:r>
      <w:hyperlink r:id="rId79" w:history="1">
        <w:r w:rsidRPr="008642D1">
          <w:rPr>
            <w:rStyle w:val="Hyperlink"/>
            <w:color w:val="262626" w:themeColor="text1" w:themeTint="D9"/>
          </w:rPr>
          <w:t>www.educationcounts.govt.nz</w:t>
        </w:r>
      </w:hyperlink>
      <w:r w:rsidRPr="008642D1">
        <w:rPr>
          <w:color w:val="262626" w:themeColor="text1" w:themeTint="D9"/>
        </w:rPr>
        <w:t xml:space="preserve">&gt;. One of these schools is co-educational for primary-aged students. </w:t>
      </w:r>
    </w:p>
  </w:footnote>
  <w:footnote w:id="527">
    <w:p w14:paraId="56E4EB7A" w14:textId="77777777" w:rsidR="007F0439" w:rsidRPr="008642D1" w:rsidRDefault="007F0439" w:rsidP="007F0439">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Te Tāhuhu o te Mātauranga | Ministry of Education </w:t>
      </w:r>
      <w:r w:rsidRPr="008642D1">
        <w:rPr>
          <w:i/>
          <w:iCs/>
          <w:color w:val="262626" w:themeColor="text1" w:themeTint="D9"/>
        </w:rPr>
        <w:t>Briefing Note: Access to co-education for gender-diverse students</w:t>
      </w:r>
      <w:r w:rsidRPr="008642D1">
        <w:rPr>
          <w:color w:val="262626" w:themeColor="text1" w:themeTint="D9"/>
        </w:rPr>
        <w:t xml:space="preserve"> (22 December 2021). According to that note, there are currently four areas in Aotearoa New Zealand where students are restricted to single-sex schooling options. </w:t>
      </w:r>
    </w:p>
  </w:footnote>
  <w:footnote w:id="528">
    <w:p w14:paraId="272A838F" w14:textId="77777777" w:rsidR="007F0439" w:rsidRPr="008642D1" w:rsidRDefault="007F0439" w:rsidP="007F0439">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Discrimination Act 1991 (ACT), s 36; Anti-Discrimination Act 1977 (NSW), s 31A; Anti-Discrimination Act 1992 (NT), s 30; Anti-Discrimination Act 1991 (Qld), s 41; Equal Opportunity Act 1984 (SA), s 37; and Equal Opportunity Act 2010 (Vic), s 39. </w:t>
      </w:r>
    </w:p>
  </w:footnote>
  <w:footnote w:id="529">
    <w:p w14:paraId="2505CF6E" w14:textId="77777777" w:rsidR="007F0439" w:rsidRPr="008642D1" w:rsidRDefault="007F0439" w:rsidP="007F0439">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Births, Deaths, Marriages, and Relationships Registration Act 2021, ss 23 and 24; and Births, Deaths, Marriages, and Relationships Registration (Registering Nominated Sex) Regulations 2023, reg 6. This could be a counsellor, medical practitioner, nurse or nurse practitioner, psychologist, psychotherapist or social worker.</w:t>
      </w:r>
    </w:p>
  </w:footnote>
  <w:footnote w:id="530">
    <w:p w14:paraId="6AF37790" w14:textId="77777777" w:rsidR="007F0439" w:rsidRPr="008642D1" w:rsidRDefault="007F0439" w:rsidP="007F0439">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Births, Deaths, Marriages, and Relationships Registration Act 2021, ss 24(1)(a) and 25(1)(a); and Births, Deaths, Marriages, and Relationships Registration (Registering Nominated Sex) Regulations 2023, reg 5.</w:t>
      </w:r>
    </w:p>
  </w:footnote>
  <w:footnote w:id="531">
    <w:p w14:paraId="193ECFE4" w14:textId="3BAB6E9C" w:rsidR="007F0439" w:rsidRPr="008642D1" w:rsidRDefault="007F0439" w:rsidP="007F0439">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Births, Deaths, Marriages, and Relationships Registration A</w:t>
      </w:r>
      <w:r w:rsidR="00A35492">
        <w:rPr>
          <w:color w:val="262626" w:themeColor="text1" w:themeTint="D9"/>
        </w:rPr>
        <w:t>c</w:t>
      </w:r>
      <w:r w:rsidRPr="008642D1">
        <w:rPr>
          <w:color w:val="262626" w:themeColor="text1" w:themeTint="D9"/>
        </w:rPr>
        <w:t>t 2021, s 79(2).</w:t>
      </w:r>
    </w:p>
  </w:footnote>
  <w:footnote w:id="532">
    <w:p w14:paraId="19BA2BFB" w14:textId="77777777" w:rsidR="007F0439" w:rsidRPr="008642D1" w:rsidRDefault="007F0439" w:rsidP="007F0439">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Education and Training Act 2020, s 127(1)(b)(ii).</w:t>
      </w:r>
    </w:p>
  </w:footnote>
  <w:footnote w:id="533">
    <w:p w14:paraId="163600F8" w14:textId="77777777" w:rsidR="007F0439" w:rsidRPr="008642D1" w:rsidRDefault="007F0439" w:rsidP="007F0439">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Education and Training Act 2020, s 217(e).</w:t>
      </w:r>
    </w:p>
  </w:footnote>
  <w:footnote w:id="534">
    <w:p w14:paraId="30CFFA31" w14:textId="77777777" w:rsidR="007F0439" w:rsidRPr="008642D1" w:rsidRDefault="007F0439" w:rsidP="007F0439">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Education and Training Act 2020, s 644. A briefing to Minister of Education in November 2022 said that the Ministry expected the panels could be operational in 2025: Te Tāhuhu o te Mātauranga | Ministry of Education </w:t>
      </w:r>
      <w:r w:rsidRPr="008642D1">
        <w:rPr>
          <w:i/>
          <w:iCs/>
          <w:color w:val="262626" w:themeColor="text1" w:themeTint="D9"/>
        </w:rPr>
        <w:t xml:space="preserve">Briefing Note: Update on Dispute Resolution Panels </w:t>
      </w:r>
      <w:r w:rsidRPr="008642D1">
        <w:rPr>
          <w:color w:val="262626" w:themeColor="text1" w:themeTint="D9"/>
        </w:rPr>
        <w:t xml:space="preserve">(3 November 2022) at 1. </w:t>
      </w:r>
    </w:p>
  </w:footnote>
  <w:footnote w:id="535">
    <w:p w14:paraId="35BE0A4F" w14:textId="77777777" w:rsidR="007F0439" w:rsidRPr="008642D1" w:rsidRDefault="007F0439" w:rsidP="007F0439">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Education and Training Act 2020, s 127(1).</w:t>
      </w:r>
    </w:p>
  </w:footnote>
  <w:footnote w:id="536">
    <w:p w14:paraId="569E50BD" w14:textId="77777777" w:rsidR="007F0439" w:rsidRPr="008642D1" w:rsidRDefault="007F0439" w:rsidP="007F0439">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Education and Training Act 2020, s 127(2)(a). </w:t>
      </w:r>
    </w:p>
  </w:footnote>
  <w:footnote w:id="537">
    <w:p w14:paraId="128C4CE9" w14:textId="77777777" w:rsidR="007F0439" w:rsidRPr="008642D1" w:rsidRDefault="007F0439" w:rsidP="007F0439">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Te Tāhuhu o te Mātauranga | Ministry of Education </w:t>
      </w:r>
      <w:r w:rsidRPr="008642D1">
        <w:rPr>
          <w:i/>
          <w:iCs/>
          <w:color w:val="262626" w:themeColor="text1" w:themeTint="D9"/>
        </w:rPr>
        <w:t xml:space="preserve">The Statement of National Education and Learning Priorities (NELP) &amp; Tertiary Education Strategy (TES) </w:t>
      </w:r>
      <w:r w:rsidRPr="008642D1">
        <w:rPr>
          <w:color w:val="262626" w:themeColor="text1" w:themeTint="D9"/>
        </w:rPr>
        <w:t xml:space="preserve">(2020) at 4. </w:t>
      </w:r>
    </w:p>
  </w:footnote>
  <w:footnote w:id="538">
    <w:p w14:paraId="545783F6" w14:textId="5A8F21BF"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We use ‘single-sex’ and ‘unisex’ in this chapter as they are the most commonly used terms to describe the different approaches to these kinds of facilities. We acknowledge there are different views about the best terminology to use.</w:t>
      </w:r>
    </w:p>
  </w:footnote>
  <w:footnote w:id="539">
    <w:p w14:paraId="3C6E61FD" w14:textId="01834EC6"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Although section 46 mentions “services” as well as “facilities”, in this chapter we tend to refer solely to facilities as we think this is now the primary application of the exception.</w:t>
      </w:r>
    </w:p>
  </w:footnote>
  <w:footnote w:id="540">
    <w:p w14:paraId="71B1F6C8" w14:textId="77777777"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This exception may, in any event, have limited application to schools because, as also explained in Chapter 8, some functions exercised by public schools (and possibly also private schools) are government functions regulated by Part 1A.</w:t>
      </w:r>
    </w:p>
  </w:footnote>
  <w:footnote w:id="541">
    <w:p w14:paraId="5355489F" w14:textId="77777777"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Danielle Keats Citron “Sexual Privacy” (2019) 128 Yale LJ 1870. This dimension of the right to privacy is itself grounded in ideas of autonomy and dignity that we also explore in Chapter 4.</w:t>
      </w:r>
    </w:p>
  </w:footnote>
  <w:footnote w:id="542">
    <w:p w14:paraId="09CFE03F" w14:textId="77777777"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(7 July 1977) 411 NZPD 1246 (Richard Harrison MP). </w:t>
      </w:r>
    </w:p>
  </w:footnote>
  <w:footnote w:id="543">
    <w:p w14:paraId="06DA7442" w14:textId="77777777"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Te Kāhui Tika Tangata | Human Rights Commission </w:t>
      </w:r>
      <w:r w:rsidRPr="008642D1">
        <w:rPr>
          <w:i/>
          <w:iCs/>
          <w:color w:val="262626" w:themeColor="text1" w:themeTint="D9"/>
        </w:rPr>
        <w:t xml:space="preserve">To Be Who I Am: Report of the Inquiry into Discrimination Experienced by Transgender People </w:t>
      </w:r>
      <w:r w:rsidRPr="008642D1">
        <w:rPr>
          <w:color w:val="262626" w:themeColor="text1" w:themeTint="D9"/>
        </w:rPr>
        <w:t>|</w:t>
      </w:r>
      <w:r w:rsidRPr="008642D1">
        <w:rPr>
          <w:i/>
          <w:iCs/>
          <w:color w:val="262626" w:themeColor="text1" w:themeTint="D9"/>
        </w:rPr>
        <w:t xml:space="preserve"> Kia noho au ki tōku anō ao: He Pūrongo mō te Uiuitanga mō Aukatitanga e Pāngia ana e ngā Tāngata Whakawhitiira </w:t>
      </w:r>
      <w:r w:rsidRPr="008642D1">
        <w:rPr>
          <w:color w:val="262626" w:themeColor="text1" w:themeTint="D9"/>
        </w:rPr>
        <w:t>(2008) at [4.25].</w:t>
      </w:r>
    </w:p>
  </w:footnote>
  <w:footnote w:id="544">
    <w:p w14:paraId="05AAB144" w14:textId="77777777"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Transgender Health Research Lab</w:t>
      </w:r>
      <w:r w:rsidRPr="008642D1" w:rsidDel="00BC5DA9">
        <w:rPr>
          <w:color w:val="262626" w:themeColor="text1" w:themeTint="D9"/>
        </w:rPr>
        <w:t xml:space="preserve"> </w:t>
      </w:r>
      <w:r w:rsidRPr="008642D1" w:rsidDel="009B2242">
        <w:rPr>
          <w:i/>
          <w:iCs/>
          <w:color w:val="262626" w:themeColor="text1" w:themeTint="D9"/>
        </w:rPr>
        <w:t xml:space="preserve">Counting Ourselves: The health and wellbeing of trans and non-binary people in Aotearoa New Zealand </w:t>
      </w:r>
      <w:r w:rsidRPr="008642D1" w:rsidDel="009B2242">
        <w:rPr>
          <w:color w:val="262626" w:themeColor="text1" w:themeTint="D9"/>
        </w:rPr>
        <w:t>(</w:t>
      </w:r>
      <w:r w:rsidRPr="008642D1">
        <w:rPr>
          <w:color w:val="262626" w:themeColor="text1" w:themeTint="D9"/>
        </w:rPr>
        <w:t>Te Whare Wānanga o Waikato |</w:t>
      </w:r>
      <w:r w:rsidRPr="008642D1" w:rsidDel="009B2242">
        <w:rPr>
          <w:color w:val="262626" w:themeColor="text1" w:themeTint="D9"/>
        </w:rPr>
        <w:t xml:space="preserve"> University of Waikato, 2019) at </w:t>
      </w:r>
      <w:r w:rsidRPr="008642D1">
        <w:rPr>
          <w:color w:val="262626" w:themeColor="text1" w:themeTint="D9"/>
        </w:rPr>
        <w:t>75</w:t>
      </w:r>
      <w:r w:rsidRPr="008642D1" w:rsidDel="009B2242">
        <w:rPr>
          <w:color w:val="262626" w:themeColor="text1" w:themeTint="D9"/>
        </w:rPr>
        <w:t>.</w:t>
      </w:r>
    </w:p>
  </w:footnote>
  <w:footnote w:id="545">
    <w:p w14:paraId="005F3468" w14:textId="77777777"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John Fenaughty and others </w:t>
      </w:r>
      <w:r w:rsidRPr="008642D1">
        <w:rPr>
          <w:i/>
          <w:iCs/>
          <w:color w:val="262626" w:themeColor="text1" w:themeTint="D9"/>
        </w:rPr>
        <w:t xml:space="preserve">Identify Survey: Community and Advocacy Report </w:t>
      </w:r>
      <w:r w:rsidRPr="008642D1">
        <w:rPr>
          <w:color w:val="262626" w:themeColor="text1" w:themeTint="D9"/>
        </w:rPr>
        <w:t>(2022) at 41.</w:t>
      </w:r>
    </w:p>
  </w:footnote>
  <w:footnote w:id="546">
    <w:p w14:paraId="5F6A1DD2" w14:textId="77777777"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rStyle w:val="normaltextrun"/>
          <w:szCs w:val="15"/>
          <w:shd w:val="clear" w:color="auto" w:fill="FFFFFF"/>
        </w:rPr>
        <w:t>Tiffany</w:t>
      </w:r>
      <w:r w:rsidRPr="008642D1">
        <w:rPr>
          <w:rStyle w:val="normaltextrun"/>
          <w:rFonts w:ascii="Calibri" w:hAnsi="Calibri" w:cs="Calibri"/>
          <w:szCs w:val="15"/>
          <w:shd w:val="clear" w:color="auto" w:fill="FFFFFF"/>
        </w:rPr>
        <w:t> </w:t>
      </w:r>
      <w:r w:rsidRPr="008642D1">
        <w:rPr>
          <w:rStyle w:val="findhit"/>
          <w:color w:val="262626" w:themeColor="text1" w:themeTint="D9"/>
          <w:szCs w:val="15"/>
          <w:shd w:val="clear" w:color="auto" w:fill="FFFFFF"/>
        </w:rPr>
        <w:t>Jones</w:t>
      </w:r>
      <w:r w:rsidRPr="008642D1">
        <w:rPr>
          <w:rStyle w:val="normaltextrun"/>
          <w:rFonts w:ascii="Calibri" w:hAnsi="Calibri" w:cs="Calibri"/>
          <w:szCs w:val="15"/>
          <w:shd w:val="clear" w:color="auto" w:fill="FFFFFF"/>
        </w:rPr>
        <w:t> </w:t>
      </w:r>
      <w:r w:rsidRPr="008642D1">
        <w:rPr>
          <w:rStyle w:val="normaltextrun"/>
          <w:szCs w:val="15"/>
          <w:shd w:val="clear" w:color="auto" w:fill="FFFFFF"/>
        </w:rPr>
        <w:t>and others</w:t>
      </w:r>
      <w:r w:rsidRPr="008642D1">
        <w:rPr>
          <w:rStyle w:val="normaltextrun"/>
          <w:rFonts w:ascii="Calibri" w:hAnsi="Calibri" w:cs="Calibri"/>
          <w:szCs w:val="15"/>
          <w:shd w:val="clear" w:color="auto" w:fill="FFFFFF"/>
        </w:rPr>
        <w:t> </w:t>
      </w:r>
      <w:r w:rsidRPr="008642D1">
        <w:rPr>
          <w:rStyle w:val="normaltextrun"/>
          <w:i/>
          <w:iCs/>
          <w:szCs w:val="15"/>
          <w:shd w:val="clear" w:color="auto" w:fill="FFFFFF"/>
        </w:rPr>
        <w:t>Intersex: Stories and</w:t>
      </w:r>
      <w:r w:rsidRPr="008642D1">
        <w:rPr>
          <w:rStyle w:val="normaltextrun"/>
          <w:rFonts w:ascii="Calibri" w:hAnsi="Calibri" w:cs="Calibri"/>
          <w:i/>
          <w:iCs/>
          <w:szCs w:val="15"/>
          <w:shd w:val="clear" w:color="auto" w:fill="FFFFFF"/>
        </w:rPr>
        <w:t> </w:t>
      </w:r>
      <w:r w:rsidRPr="008642D1">
        <w:rPr>
          <w:rStyle w:val="normaltextrun"/>
          <w:i/>
          <w:iCs/>
          <w:szCs w:val="15"/>
          <w:shd w:val="clear" w:color="auto" w:fill="FFFFFF"/>
        </w:rPr>
        <w:t>Statistics from Australia</w:t>
      </w:r>
      <w:r w:rsidRPr="008642D1">
        <w:rPr>
          <w:rStyle w:val="normaltextrun"/>
          <w:rFonts w:ascii="Calibri" w:hAnsi="Calibri" w:cs="Calibri"/>
          <w:i/>
          <w:iCs/>
          <w:szCs w:val="15"/>
          <w:shd w:val="clear" w:color="auto" w:fill="FFFFFF"/>
        </w:rPr>
        <w:t> </w:t>
      </w:r>
      <w:r w:rsidRPr="008642D1">
        <w:rPr>
          <w:rStyle w:val="normaltextrun"/>
          <w:szCs w:val="15"/>
          <w:shd w:val="clear" w:color="auto" w:fill="FFFFFF"/>
        </w:rPr>
        <w:t>(Open Book</w:t>
      </w:r>
      <w:r w:rsidRPr="008642D1">
        <w:rPr>
          <w:rStyle w:val="normaltextrun"/>
          <w:rFonts w:ascii="Calibri" w:hAnsi="Calibri" w:cs="Calibri"/>
          <w:szCs w:val="15"/>
          <w:shd w:val="clear" w:color="auto" w:fill="FFFFFF"/>
        </w:rPr>
        <w:t> </w:t>
      </w:r>
      <w:r w:rsidRPr="008642D1">
        <w:rPr>
          <w:rStyle w:val="normaltextrun"/>
          <w:szCs w:val="15"/>
          <w:shd w:val="clear" w:color="auto" w:fill="FFFFFF"/>
        </w:rPr>
        <w:t>Publishers, Cambridge, 2016)</w:t>
      </w:r>
      <w:r w:rsidRPr="008642D1">
        <w:rPr>
          <w:rStyle w:val="normaltextrun"/>
          <w:rFonts w:ascii="Calibri" w:hAnsi="Calibri" w:cs="Calibri"/>
          <w:szCs w:val="15"/>
          <w:shd w:val="clear" w:color="auto" w:fill="FFFFFF"/>
        </w:rPr>
        <w:t> </w:t>
      </w:r>
      <w:r w:rsidRPr="008642D1">
        <w:rPr>
          <w:rStyle w:val="normaltextrun"/>
          <w:rFonts w:cs="Calibri"/>
          <w:szCs w:val="15"/>
          <w:shd w:val="clear" w:color="auto" w:fill="FFFFFF"/>
        </w:rPr>
        <w:t>a</w:t>
      </w:r>
      <w:r w:rsidRPr="008642D1">
        <w:rPr>
          <w:color w:val="262626" w:themeColor="text1" w:themeTint="D9"/>
        </w:rPr>
        <w:t>t 164.</w:t>
      </w:r>
    </w:p>
  </w:footnote>
  <w:footnote w:id="547">
    <w:p w14:paraId="0506E94B" w14:textId="77777777"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Te Tāhuhu o te Mātauranga | Ministry of Education </w:t>
      </w:r>
      <w:r w:rsidRPr="008642D1">
        <w:rPr>
          <w:i/>
          <w:iCs/>
          <w:color w:val="262626" w:themeColor="text1" w:themeTint="D9"/>
        </w:rPr>
        <w:t xml:space="preserve">National Education &amp; Learning Priorities: Treat kids like they’re gold </w:t>
      </w:r>
      <w:r w:rsidRPr="008642D1">
        <w:rPr>
          <w:color w:val="262626" w:themeColor="text1" w:themeTint="D9"/>
        </w:rPr>
        <w:t>(August 2019) at 49 and 70.</w:t>
      </w:r>
    </w:p>
  </w:footnote>
  <w:footnote w:id="548">
    <w:p w14:paraId="7530A89A" w14:textId="77777777"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for example, Tanya Unkovich MP </w:t>
      </w:r>
      <w:r w:rsidRPr="008642D1">
        <w:rPr>
          <w:i/>
          <w:iCs/>
          <w:color w:val="262626" w:themeColor="text1" w:themeTint="D9"/>
        </w:rPr>
        <w:t xml:space="preserve">Fair Access to Bathrooms Bill </w:t>
      </w:r>
      <w:r w:rsidRPr="008642D1">
        <w:rPr>
          <w:color w:val="262626" w:themeColor="text1" w:themeTint="D9"/>
        </w:rPr>
        <w:t>(10 May 2024) &lt;</w:t>
      </w:r>
      <w:hyperlink r:id="rId80" w:history="1">
        <w:r w:rsidRPr="008642D1">
          <w:rPr>
            <w:rStyle w:val="Hyperlink"/>
            <w:color w:val="262626" w:themeColor="text1" w:themeTint="D9"/>
          </w:rPr>
          <w:t>www.bills.parliament.nz</w:t>
        </w:r>
      </w:hyperlink>
      <w:r w:rsidRPr="008642D1">
        <w:rPr>
          <w:color w:val="262626" w:themeColor="text1" w:themeTint="D9"/>
        </w:rPr>
        <w:t>&gt; at 1.</w:t>
      </w:r>
    </w:p>
  </w:footnote>
  <w:footnote w:id="549">
    <w:p w14:paraId="66C10B49" w14:textId="77777777" w:rsidR="004B4C4A" w:rsidRPr="008642D1" w:rsidRDefault="004B4C4A" w:rsidP="004B4C4A">
      <w:pPr>
        <w:pStyle w:val="FootnoteText"/>
        <w:rPr>
          <w:i/>
          <w:iCs/>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Helen Toyce </w:t>
      </w:r>
      <w:r w:rsidRPr="008642D1">
        <w:rPr>
          <w:i/>
          <w:iCs/>
          <w:color w:val="262626" w:themeColor="text1" w:themeTint="D9"/>
        </w:rPr>
        <w:t xml:space="preserve">Trans </w:t>
      </w:r>
      <w:r w:rsidRPr="008642D1">
        <w:rPr>
          <w:color w:val="262626" w:themeColor="text1" w:themeTint="D9"/>
        </w:rPr>
        <w:t xml:space="preserve">(Oneworld Publications, London, 2021) at 153–159; Speak Up for Women “Response to media questions” (7 May 2023) </w:t>
      </w:r>
      <w:hyperlink r:id="rId81">
        <w:r w:rsidRPr="00872ED5">
          <w:rPr>
            <w:rStyle w:val="Hyperlink"/>
            <w:color w:val="262626" w:themeColor="text1" w:themeTint="D9"/>
            <w:u w:val="none"/>
          </w:rPr>
          <w:t>&lt;</w:t>
        </w:r>
        <w:r w:rsidRPr="008642D1">
          <w:rPr>
            <w:rStyle w:val="Hyperlink"/>
            <w:color w:val="262626" w:themeColor="text1" w:themeTint="D9"/>
          </w:rPr>
          <w:t>www.speakupforwomen.nz</w:t>
        </w:r>
        <w:r w:rsidRPr="00872ED5">
          <w:rPr>
            <w:rStyle w:val="Hyperlink"/>
            <w:color w:val="262626" w:themeColor="text1" w:themeTint="D9"/>
            <w:u w:val="none"/>
          </w:rPr>
          <w:t>&gt;</w:t>
        </w:r>
      </w:hyperlink>
      <w:r w:rsidRPr="008642D1">
        <w:rPr>
          <w:color w:val="262626" w:themeColor="text1" w:themeTint="D9"/>
        </w:rPr>
        <w:t>; and Holly Lawford-Smith “Women-only spaces and the right to exclude” (January 2021) &lt;</w:t>
      </w:r>
      <w:hyperlink r:id="rId82" w:history="1">
        <w:r w:rsidRPr="008642D1">
          <w:rPr>
            <w:rStyle w:val="Hyperlink"/>
            <w:color w:val="262626" w:themeColor="text1" w:themeTint="D9"/>
          </w:rPr>
          <w:t>www.philpapers.org</w:t>
        </w:r>
      </w:hyperlink>
      <w:r w:rsidRPr="008642D1">
        <w:rPr>
          <w:color w:val="262626" w:themeColor="text1" w:themeTint="D9"/>
        </w:rPr>
        <w:t xml:space="preserve">&gt; at 5–6. </w:t>
      </w:r>
    </w:p>
  </w:footnote>
  <w:footnote w:id="550">
    <w:p w14:paraId="16DAECBA" w14:textId="77777777"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w:t>
      </w:r>
      <w:bookmarkStart w:id="143" w:name="_Hlk165992121"/>
      <w:r w:rsidRPr="008642D1">
        <w:rPr>
          <w:color w:val="262626" w:themeColor="text1" w:themeTint="D9"/>
        </w:rPr>
        <w:t xml:space="preserve">Ipsos </w:t>
      </w:r>
      <w:r w:rsidRPr="008642D1">
        <w:rPr>
          <w:i/>
          <w:iCs/>
          <w:color w:val="262626" w:themeColor="text1" w:themeTint="D9"/>
        </w:rPr>
        <w:t xml:space="preserve">LGBT+ Pride 2023: A 30-Country Ipsos Global Advisor Survey </w:t>
      </w:r>
      <w:r w:rsidRPr="008642D1">
        <w:rPr>
          <w:color w:val="262626" w:themeColor="text1" w:themeTint="D9"/>
        </w:rPr>
        <w:t xml:space="preserve">(2023); </w:t>
      </w:r>
      <w:bookmarkEnd w:id="143"/>
      <w:r w:rsidRPr="008642D1">
        <w:rPr>
          <w:color w:val="262626" w:themeColor="text1" w:themeTint="D9"/>
        </w:rPr>
        <w:t>and Marc Daalder “Race relations among most divisive issues in election – poll” (3 November 2023) Newsroom &lt;</w:t>
      </w:r>
      <w:hyperlink r:id="rId83" w:history="1">
        <w:r w:rsidRPr="008642D1">
          <w:rPr>
            <w:rStyle w:val="Hyperlink"/>
            <w:color w:val="262626" w:themeColor="text1" w:themeTint="D9"/>
          </w:rPr>
          <w:t>newsroom.co.nz</w:t>
        </w:r>
      </w:hyperlink>
      <w:r w:rsidRPr="008642D1">
        <w:rPr>
          <w:color w:val="262626" w:themeColor="text1" w:themeTint="D9"/>
        </w:rPr>
        <w:t>&gt;.</w:t>
      </w:r>
    </w:p>
  </w:footnote>
  <w:footnote w:id="551">
    <w:p w14:paraId="67B8630D" w14:textId="77777777"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Te Tari Kaupapa Whare | Department of Building and Housing </w:t>
      </w:r>
      <w:r w:rsidRPr="008642D1">
        <w:rPr>
          <w:i/>
          <w:iCs/>
          <w:color w:val="262626" w:themeColor="text1" w:themeTint="D9"/>
        </w:rPr>
        <w:t xml:space="preserve">Compliance Document for New Zealand Building Code Clause G1: Personal Hygiene – Second Edition </w:t>
      </w:r>
      <w:r w:rsidRPr="008642D1">
        <w:rPr>
          <w:color w:val="262626" w:themeColor="text1" w:themeTint="D9"/>
        </w:rPr>
        <w:t xml:space="preserve">(2011) at [1.1.8]; and Te Mana Tautikanga o Aotearoa | Standards New Zealand </w:t>
      </w:r>
      <w:r w:rsidRPr="008642D1">
        <w:rPr>
          <w:i/>
          <w:iCs/>
          <w:color w:val="262626" w:themeColor="text1" w:themeTint="D9"/>
        </w:rPr>
        <w:t>NZS 4241:1999 Public toilets</w:t>
      </w:r>
      <w:r w:rsidRPr="008642D1">
        <w:rPr>
          <w:color w:val="262626" w:themeColor="text1" w:themeTint="D9"/>
        </w:rPr>
        <w:t xml:space="preserve"> (1999).</w:t>
      </w:r>
    </w:p>
  </w:footnote>
  <w:footnote w:id="552">
    <w:p w14:paraId="27BCCE81" w14:textId="77777777"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Te Kāhui Whaihanga | New Zealand Institute of Architects </w:t>
      </w:r>
      <w:r w:rsidRPr="008642D1">
        <w:rPr>
          <w:i/>
          <w:iCs/>
          <w:color w:val="262626" w:themeColor="text1" w:themeTint="D9"/>
        </w:rPr>
        <w:t xml:space="preserve">Practice Note: Beyond the Binary Bathroom: A Guide for All-Gender Bathroom Facilities </w:t>
      </w:r>
      <w:r w:rsidRPr="008642D1">
        <w:rPr>
          <w:color w:val="262626" w:themeColor="text1" w:themeTint="D9"/>
        </w:rPr>
        <w:t xml:space="preserve">(PN 5.203, May 2024) at 5–6; and Te Kaunihera aa Takiwaa o Waikato | Waikato District Council </w:t>
      </w:r>
      <w:r w:rsidRPr="008642D1">
        <w:rPr>
          <w:i/>
          <w:iCs/>
          <w:color w:val="262626" w:themeColor="text1" w:themeTint="D9"/>
        </w:rPr>
        <w:t xml:space="preserve">Public Toilet Strategy </w:t>
      </w:r>
      <w:r w:rsidRPr="008642D1">
        <w:rPr>
          <w:color w:val="262626" w:themeColor="text1" w:themeTint="D9"/>
        </w:rPr>
        <w:t>(13 July 2015) at [4.1.2].</w:t>
      </w:r>
    </w:p>
  </w:footnote>
  <w:footnote w:id="553">
    <w:p w14:paraId="114AEA1B" w14:textId="77777777"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Building Regulations 1992, sch 1; and Te Tari Kaupapa Whare | Department of Building and Housing </w:t>
      </w:r>
      <w:r w:rsidRPr="008642D1">
        <w:rPr>
          <w:i/>
          <w:color w:val="262626" w:themeColor="text1" w:themeTint="D9"/>
        </w:rPr>
        <w:t>Compliance Document for New Zealand Building Code</w:t>
      </w:r>
      <w:r w:rsidRPr="008642D1">
        <w:rPr>
          <w:i/>
          <w:iCs/>
          <w:color w:val="262626" w:themeColor="text1" w:themeTint="D9"/>
        </w:rPr>
        <w:t xml:space="preserve"> Clause G1: Personal Hygiene – Second Edition</w:t>
      </w:r>
      <w:r w:rsidRPr="008642D1">
        <w:rPr>
          <w:color w:val="262626" w:themeColor="text1" w:themeTint="D9"/>
        </w:rPr>
        <w:t xml:space="preserve"> (2011).</w:t>
      </w:r>
    </w:p>
  </w:footnote>
  <w:footnote w:id="554">
    <w:p w14:paraId="0203CCFA" w14:textId="77777777"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Sheila Jeffreys “The politics of the toilet: A feminist response to the campaign to ‘degender’ a women’s space” (2014) 45 Women’s Studies International Forum 42; and Kemi Badenoch “Building Regulations: Statement made on 4 July 2022” &lt;</w:t>
      </w:r>
      <w:hyperlink r:id="rId84" w:history="1">
        <w:r w:rsidRPr="008642D1">
          <w:rPr>
            <w:rStyle w:val="Hyperlink"/>
            <w:color w:val="262626" w:themeColor="text1" w:themeTint="D9"/>
          </w:rPr>
          <w:t>www.questions-statements.parliament.uk</w:t>
        </w:r>
      </w:hyperlink>
      <w:r w:rsidRPr="008642D1">
        <w:rPr>
          <w:color w:val="262626" w:themeColor="text1" w:themeTint="D9"/>
        </w:rPr>
        <w:t>&gt;.</w:t>
      </w:r>
    </w:p>
  </w:footnote>
  <w:footnote w:id="555">
    <w:p w14:paraId="66DB4B04" w14:textId="77777777"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Te Tari Kaupapa Whare | Department of Building and Housing </w:t>
      </w:r>
      <w:r w:rsidRPr="008642D1">
        <w:rPr>
          <w:i/>
          <w:iCs/>
          <w:color w:val="262626" w:themeColor="text1" w:themeTint="D9"/>
        </w:rPr>
        <w:t>Compliance Document for New Zealand Building Code Clause G1: Personal Hygiene – Second Edition</w:t>
      </w:r>
      <w:r w:rsidRPr="008642D1">
        <w:rPr>
          <w:color w:val="262626" w:themeColor="text1" w:themeTint="D9"/>
        </w:rPr>
        <w:t xml:space="preserve"> (2011) at [1.1.8]; and Te Mana Tautikanga o Aotearoa | Standards New Zealand </w:t>
      </w:r>
      <w:r w:rsidRPr="008642D1">
        <w:rPr>
          <w:i/>
          <w:iCs/>
          <w:color w:val="262626" w:themeColor="text1" w:themeTint="D9"/>
        </w:rPr>
        <w:t>NZS 4241:1999</w:t>
      </w:r>
      <w:r w:rsidRPr="008642D1">
        <w:rPr>
          <w:color w:val="262626" w:themeColor="text1" w:themeTint="D9"/>
        </w:rPr>
        <w:t xml:space="preserve"> </w:t>
      </w:r>
      <w:r w:rsidRPr="008642D1">
        <w:rPr>
          <w:i/>
          <w:iCs/>
          <w:color w:val="262626" w:themeColor="text1" w:themeTint="D9"/>
        </w:rPr>
        <w:t>Public toilets</w:t>
      </w:r>
      <w:r w:rsidRPr="008642D1">
        <w:rPr>
          <w:color w:val="262626" w:themeColor="text1" w:themeTint="D9"/>
        </w:rPr>
        <w:t xml:space="preserve"> (1999). </w:t>
      </w:r>
    </w:p>
  </w:footnote>
  <w:footnote w:id="556">
    <w:p w14:paraId="05D9BB24" w14:textId="77777777"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Department for Levelling Up, Housing and Communities </w:t>
      </w:r>
      <w:r w:rsidRPr="008642D1">
        <w:rPr>
          <w:i/>
          <w:iCs/>
          <w:color w:val="262626" w:themeColor="text1" w:themeTint="D9"/>
        </w:rPr>
        <w:t>The Building Regulations: Approved Document T, Requirement T1: Toilet accommodation</w:t>
      </w:r>
      <w:r w:rsidRPr="008642D1">
        <w:rPr>
          <w:color w:val="262626" w:themeColor="text1" w:themeTint="D9"/>
        </w:rPr>
        <w:t xml:space="preserve"> (2024) &lt;</w:t>
      </w:r>
      <w:hyperlink r:id="rId85" w:history="1">
        <w:r w:rsidRPr="008642D1">
          <w:rPr>
            <w:rStyle w:val="Hyperlink"/>
            <w:color w:val="262626" w:themeColor="text1" w:themeTint="D9"/>
          </w:rPr>
          <w:t>www.assets.publishing.service.govt.uk</w:t>
        </w:r>
      </w:hyperlink>
      <w:r w:rsidRPr="008642D1">
        <w:rPr>
          <w:color w:val="262626" w:themeColor="text1" w:themeTint="D9"/>
        </w:rPr>
        <w:t xml:space="preserve">&gt;; and Tanya Unkovich MP </w:t>
      </w:r>
      <w:r w:rsidRPr="008642D1">
        <w:rPr>
          <w:i/>
          <w:iCs/>
          <w:color w:val="262626" w:themeColor="text1" w:themeTint="D9"/>
        </w:rPr>
        <w:t xml:space="preserve">Fair Access to Bathrooms Bill </w:t>
      </w:r>
      <w:r w:rsidRPr="008642D1">
        <w:rPr>
          <w:color w:val="262626" w:themeColor="text1" w:themeTint="D9"/>
        </w:rPr>
        <w:t>(10 May 2024) &lt;</w:t>
      </w:r>
      <w:hyperlink r:id="rId86" w:history="1">
        <w:r w:rsidRPr="008642D1">
          <w:rPr>
            <w:rStyle w:val="Hyperlink"/>
            <w:color w:val="262626" w:themeColor="text1" w:themeTint="D9"/>
          </w:rPr>
          <w:t>www.bills.parliament.nz</w:t>
        </w:r>
      </w:hyperlink>
      <w:r w:rsidRPr="008642D1">
        <w:rPr>
          <w:color w:val="262626" w:themeColor="text1" w:themeTint="D9"/>
        </w:rPr>
        <w:t>&gt;.</w:t>
      </w:r>
    </w:p>
  </w:footnote>
  <w:footnote w:id="557">
    <w:p w14:paraId="0CED00AA" w14:textId="77777777"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ss 29, 36, 37, 39, 41, 43, 52, 56 and 60.</w:t>
      </w:r>
    </w:p>
  </w:footnote>
  <w:footnote w:id="558">
    <w:p w14:paraId="7B3F3027" w14:textId="77777777"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ss 27(3) and (5) and 28(3).</w:t>
      </w:r>
    </w:p>
  </w:footnote>
  <w:footnote w:id="559">
    <w:p w14:paraId="4227436D" w14:textId="77777777"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ss 43 and 52.</w:t>
      </w:r>
    </w:p>
  </w:footnote>
  <w:footnote w:id="560">
    <w:p w14:paraId="77527ECA" w14:textId="77777777"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also, Human Rights Act, s 43(3).</w:t>
      </w:r>
    </w:p>
  </w:footnote>
  <w:footnote w:id="561">
    <w:p w14:paraId="32D7158D" w14:textId="77777777"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We are not sure a requirement of this kind would be well suited to other single-sex facilities such as saunas.</w:t>
      </w:r>
    </w:p>
  </w:footnote>
  <w:footnote w:id="562">
    <w:p w14:paraId="006299F8" w14:textId="77777777"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Code RSBC 1996 c 210, s 8(2)(a); The Saskatchewan Human Rights Code S 2018 c S-24.2, s 12(2); Human Rights Code RSO 1990 c H</w:t>
      </w:r>
      <w:r w:rsidRPr="008642D1">
        <w:rPr>
          <w:rFonts w:ascii="Calibri" w:hAnsi="Calibri" w:cs="Calibri"/>
          <w:color w:val="262626" w:themeColor="text1" w:themeTint="D9"/>
        </w:rPr>
        <w:t> </w:t>
      </w:r>
      <w:r w:rsidRPr="008642D1">
        <w:rPr>
          <w:color w:val="262626" w:themeColor="text1" w:themeTint="D9"/>
        </w:rPr>
        <w:t>19, s</w:t>
      </w:r>
      <w:r w:rsidRPr="008642D1">
        <w:rPr>
          <w:rFonts w:ascii="Calibri" w:hAnsi="Calibri" w:cs="Calibri"/>
          <w:color w:val="262626" w:themeColor="text1" w:themeTint="D9"/>
        </w:rPr>
        <w:t> </w:t>
      </w:r>
      <w:r w:rsidRPr="008642D1">
        <w:rPr>
          <w:color w:val="262626" w:themeColor="text1" w:themeTint="D9"/>
        </w:rPr>
        <w:t>20(1); and Human Rights Act NL 2010 c H-13.1, s</w:t>
      </w:r>
      <w:r w:rsidRPr="008642D1">
        <w:rPr>
          <w:rFonts w:ascii="Calibri" w:hAnsi="Calibri" w:cs="Calibri"/>
          <w:color w:val="262626" w:themeColor="text1" w:themeTint="D9"/>
        </w:rPr>
        <w:t> </w:t>
      </w:r>
      <w:r w:rsidRPr="008642D1">
        <w:rPr>
          <w:color w:val="262626" w:themeColor="text1" w:themeTint="D9"/>
        </w:rPr>
        <w:t>11(3)(b).</w:t>
      </w:r>
    </w:p>
  </w:footnote>
  <w:footnote w:id="563">
    <w:p w14:paraId="61B9671B" w14:textId="77777777"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Equal Status Act 2000 (Ireland), s 5(2)(g).</w:t>
      </w:r>
    </w:p>
  </w:footnote>
  <w:footnote w:id="564">
    <w:p w14:paraId="20B55080" w14:textId="77777777"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Equality Act 2010 (UK), sch 3 para 28.</w:t>
      </w:r>
    </w:p>
  </w:footnote>
  <w:footnote w:id="565">
    <w:p w14:paraId="66DE109F" w14:textId="77777777"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also </w:t>
      </w:r>
      <w:r w:rsidRPr="008642D1">
        <w:rPr>
          <w:i/>
          <w:iCs/>
          <w:color w:val="262626" w:themeColor="text1" w:themeTint="D9"/>
        </w:rPr>
        <w:t>Whitaker v Kenosha Unified School District No 1 Board of Education</w:t>
      </w:r>
      <w:r w:rsidRPr="008642D1">
        <w:rPr>
          <w:rFonts w:ascii="Calibri" w:hAnsi="Calibri" w:cs="Calibri"/>
          <w:color w:val="262626" w:themeColor="text1" w:themeTint="D9"/>
        </w:rPr>
        <w:t> </w:t>
      </w:r>
      <w:r w:rsidRPr="008642D1">
        <w:rPr>
          <w:color w:val="262626" w:themeColor="text1" w:themeTint="D9"/>
        </w:rPr>
        <w:t>858 F 3d 1034</w:t>
      </w:r>
      <w:r w:rsidRPr="008642D1">
        <w:rPr>
          <w:rFonts w:ascii="Calibri" w:hAnsi="Calibri" w:cs="Calibri"/>
          <w:color w:val="262626" w:themeColor="text1" w:themeTint="D9"/>
        </w:rPr>
        <w:t> </w:t>
      </w:r>
      <w:r w:rsidRPr="008642D1">
        <w:rPr>
          <w:color w:val="262626" w:themeColor="text1" w:themeTint="D9"/>
        </w:rPr>
        <w:t>(7th Cir 2017) at 1040–1041.</w:t>
      </w:r>
    </w:p>
  </w:footnote>
  <w:footnote w:id="566">
    <w:p w14:paraId="70308098" w14:textId="59B5D016"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Megan Nicolaysen </w:t>
      </w:r>
      <w:r w:rsidR="0053776E">
        <w:rPr>
          <w:color w:val="262626" w:themeColor="text1" w:themeTint="D9"/>
        </w:rPr>
        <w:t>“</w:t>
      </w:r>
      <w:r w:rsidRPr="008642D1">
        <w:rPr>
          <w:color w:val="262626" w:themeColor="text1" w:themeTint="D9"/>
        </w:rPr>
        <w:t>The Bathroom Stall: How Legal Indecision Regarding Transgender Bathroom Access Has Led To Discrimination" (2022) 61 U Louisville L Rev 175 at 187.</w:t>
      </w:r>
    </w:p>
  </w:footnote>
  <w:footnote w:id="567">
    <w:p w14:paraId="0FC24973" w14:textId="77777777"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This language is slightly different from the language in sections 42 and 44.</w:t>
      </w:r>
    </w:p>
  </w:footnote>
  <w:footnote w:id="568">
    <w:p w14:paraId="2B886891" w14:textId="40E6065D"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iCs/>
          <w:color w:val="262626" w:themeColor="text1" w:themeTint="D9"/>
        </w:rPr>
        <w:t xml:space="preserve">Sheridan v Sanctuary Investments Ltd </w:t>
      </w:r>
      <w:r w:rsidRPr="008642D1">
        <w:rPr>
          <w:color w:val="262626" w:themeColor="text1" w:themeTint="D9"/>
        </w:rPr>
        <w:t xml:space="preserve">1999 BCHRT 4, 33 CHRR D/467; </w:t>
      </w:r>
      <w:r w:rsidRPr="008642D1">
        <w:rPr>
          <w:i/>
          <w:iCs/>
          <w:color w:val="262626" w:themeColor="text1" w:themeTint="D9"/>
        </w:rPr>
        <w:t xml:space="preserve">Lewis v Sugar Daddys Nightclub </w:t>
      </w:r>
      <w:r w:rsidRPr="008642D1">
        <w:rPr>
          <w:color w:val="262626" w:themeColor="text1" w:themeTint="D9"/>
        </w:rPr>
        <w:t xml:space="preserve">2016 HRTO 347, 83 CHRR D/111; </w:t>
      </w:r>
      <w:r w:rsidRPr="008642D1">
        <w:rPr>
          <w:i/>
          <w:iCs/>
          <w:color w:val="262626" w:themeColor="text1" w:themeTint="D9"/>
        </w:rPr>
        <w:t>Brook v Tasker</w:t>
      </w:r>
      <w:r w:rsidRPr="008642D1">
        <w:rPr>
          <w:color w:val="262626" w:themeColor="text1" w:themeTint="D9"/>
        </w:rPr>
        <w:t xml:space="preserve"> County Court Halifax, 7 March 2014; and </w:t>
      </w:r>
      <w:r w:rsidRPr="008642D1">
        <w:rPr>
          <w:i/>
          <w:iCs/>
          <w:color w:val="262626" w:themeColor="text1" w:themeTint="D9"/>
        </w:rPr>
        <w:t xml:space="preserve">Taylor v Jaguar Land Rover Ltd </w:t>
      </w:r>
      <w:r w:rsidRPr="008642D1">
        <w:rPr>
          <w:color w:val="262626" w:themeColor="text1" w:themeTint="D9"/>
        </w:rPr>
        <w:t>UK</w:t>
      </w:r>
      <w:r w:rsidRPr="008642D1">
        <w:rPr>
          <w:rFonts w:ascii="Calibri" w:hAnsi="Calibri" w:cs="Calibri"/>
          <w:color w:val="262626" w:themeColor="text1" w:themeTint="D9"/>
        </w:rPr>
        <w:t> </w:t>
      </w:r>
      <w:r w:rsidRPr="008642D1">
        <w:rPr>
          <w:color w:val="262626" w:themeColor="text1" w:themeTint="D9"/>
        </w:rPr>
        <w:t>Employment Tribunal 1304471/2018, 26 November 2020 at [182]–[186] and [212].</w:t>
      </w:r>
      <w:r w:rsidR="0053776E">
        <w:rPr>
          <w:color w:val="262626" w:themeColor="text1" w:themeTint="D9"/>
        </w:rPr>
        <w:t xml:space="preserve"> </w:t>
      </w:r>
      <w:r w:rsidRPr="008642D1">
        <w:rPr>
          <w:color w:val="262626" w:themeColor="text1" w:themeTint="D9"/>
        </w:rPr>
        <w:t xml:space="preserve">We have only been able to access a summary of the </w:t>
      </w:r>
      <w:r w:rsidRPr="008642D1">
        <w:rPr>
          <w:i/>
          <w:iCs/>
          <w:color w:val="262626" w:themeColor="text1" w:themeTint="D9"/>
        </w:rPr>
        <w:t xml:space="preserve">Brook </w:t>
      </w:r>
      <w:r w:rsidRPr="008642D1">
        <w:rPr>
          <w:color w:val="262626" w:themeColor="text1" w:themeTint="D9"/>
        </w:rPr>
        <w:t>decision and not the full decision.</w:t>
      </w:r>
    </w:p>
  </w:footnote>
  <w:footnote w:id="569">
    <w:p w14:paraId="2B204776" w14:textId="77777777"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iCs/>
          <w:color w:val="262626" w:themeColor="text1" w:themeTint="D9"/>
        </w:rPr>
        <w:t>AC</w:t>
      </w:r>
      <w:r w:rsidRPr="008642D1">
        <w:rPr>
          <w:rFonts w:ascii="Calibri" w:hAnsi="Calibri" w:cs="Calibri"/>
          <w:i/>
          <w:iCs/>
          <w:color w:val="262626" w:themeColor="text1" w:themeTint="D9"/>
        </w:rPr>
        <w:t> </w:t>
      </w:r>
      <w:r w:rsidRPr="008642D1">
        <w:rPr>
          <w:i/>
          <w:iCs/>
          <w:color w:val="262626" w:themeColor="text1" w:themeTint="D9"/>
        </w:rPr>
        <w:t>v Metropolitan School District of Martinsville</w:t>
      </w:r>
      <w:r w:rsidRPr="008642D1">
        <w:rPr>
          <w:rFonts w:ascii="Calibri" w:hAnsi="Calibri" w:cs="Calibri"/>
          <w:color w:val="262626" w:themeColor="text1" w:themeTint="D9"/>
        </w:rPr>
        <w:t> </w:t>
      </w:r>
      <w:r w:rsidRPr="008642D1">
        <w:rPr>
          <w:color w:val="262626" w:themeColor="text1" w:themeTint="D9"/>
        </w:rPr>
        <w:t>75 F 4th 760</w:t>
      </w:r>
      <w:r w:rsidRPr="008642D1">
        <w:rPr>
          <w:rFonts w:ascii="Calibri" w:hAnsi="Calibri" w:cs="Calibri"/>
          <w:color w:val="262626" w:themeColor="text1" w:themeTint="D9"/>
        </w:rPr>
        <w:t> </w:t>
      </w:r>
      <w:r w:rsidRPr="008642D1">
        <w:rPr>
          <w:color w:val="262626" w:themeColor="text1" w:themeTint="D9"/>
        </w:rPr>
        <w:t xml:space="preserve">(7th Cir 2023); </w:t>
      </w:r>
      <w:r w:rsidRPr="008642D1">
        <w:rPr>
          <w:i/>
          <w:iCs/>
          <w:color w:val="262626" w:themeColor="text1" w:themeTint="D9"/>
        </w:rPr>
        <w:t>Grimm v Gloucester County School Board</w:t>
      </w:r>
      <w:r w:rsidRPr="008642D1">
        <w:rPr>
          <w:color w:val="262626" w:themeColor="text1" w:themeTint="D9"/>
        </w:rPr>
        <w:t xml:space="preserve"> 972 F 3d 586 (4th Cir 2020); and </w:t>
      </w:r>
      <w:r w:rsidRPr="008642D1">
        <w:rPr>
          <w:i/>
          <w:iCs/>
          <w:color w:val="262626" w:themeColor="text1" w:themeTint="D9"/>
        </w:rPr>
        <w:t>Whitaker v Kenosha Unified School District No 1 Board of Education</w:t>
      </w:r>
      <w:r w:rsidRPr="008642D1">
        <w:rPr>
          <w:rFonts w:ascii="Calibri" w:hAnsi="Calibri" w:cs="Calibri"/>
          <w:color w:val="262626" w:themeColor="text1" w:themeTint="D9"/>
        </w:rPr>
        <w:t> </w:t>
      </w:r>
      <w:r w:rsidRPr="008642D1">
        <w:rPr>
          <w:color w:val="262626" w:themeColor="text1" w:themeTint="D9"/>
        </w:rPr>
        <w:t>858 F 3d 1034</w:t>
      </w:r>
      <w:r w:rsidRPr="008642D1">
        <w:rPr>
          <w:rFonts w:ascii="Calibri" w:hAnsi="Calibri" w:cs="Calibri"/>
          <w:color w:val="262626" w:themeColor="text1" w:themeTint="D9"/>
        </w:rPr>
        <w:t> </w:t>
      </w:r>
      <w:r w:rsidRPr="008642D1">
        <w:rPr>
          <w:color w:val="262626" w:themeColor="text1" w:themeTint="D9"/>
        </w:rPr>
        <w:t xml:space="preserve">(7th Cir 2017). But contrast </w:t>
      </w:r>
      <w:r w:rsidRPr="008642D1">
        <w:rPr>
          <w:i/>
          <w:iCs/>
          <w:color w:val="262626" w:themeColor="text1" w:themeTint="D9"/>
        </w:rPr>
        <w:t xml:space="preserve">Adams v School Board of St Johns County </w:t>
      </w:r>
      <w:r w:rsidRPr="008642D1">
        <w:rPr>
          <w:color w:val="262626" w:themeColor="text1" w:themeTint="D9"/>
        </w:rPr>
        <w:t>57 F 4th 791 (11th Cir 2022).</w:t>
      </w:r>
    </w:p>
  </w:footnote>
  <w:footnote w:id="570">
    <w:p w14:paraId="106249F8" w14:textId="77777777"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We note, however, that the specific question would be whether the provision of bathrooms and changing rooms by educational establishments is a government function. We are reluctant to speculate on the answer to this question.</w:t>
      </w:r>
    </w:p>
  </w:footnote>
  <w:footnote w:id="571">
    <w:p w14:paraId="25BC693D" w14:textId="77777777"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iCs/>
          <w:color w:val="262626" w:themeColor="text1" w:themeTint="D9"/>
        </w:rPr>
        <w:t xml:space="preserve">Taylor v Jaguar Land Rover Ltd </w:t>
      </w:r>
      <w:r w:rsidRPr="008642D1">
        <w:rPr>
          <w:color w:val="262626" w:themeColor="text1" w:themeTint="D9"/>
        </w:rPr>
        <w:t>UK</w:t>
      </w:r>
      <w:r w:rsidRPr="008642D1">
        <w:rPr>
          <w:rFonts w:ascii="Calibri" w:hAnsi="Calibri" w:cs="Calibri"/>
          <w:color w:val="262626" w:themeColor="text1" w:themeTint="D9"/>
        </w:rPr>
        <w:t> </w:t>
      </w:r>
      <w:r w:rsidRPr="008642D1">
        <w:rPr>
          <w:color w:val="262626" w:themeColor="text1" w:themeTint="D9"/>
        </w:rPr>
        <w:t>Employment Tribunal 1304471/2018, 26 November 2020 at [212].</w:t>
      </w:r>
    </w:p>
  </w:footnote>
  <w:footnote w:id="572">
    <w:p w14:paraId="481E2133" w14:textId="77777777" w:rsidR="004B4C4A" w:rsidRPr="008642D1" w:rsidRDefault="004B4C4A" w:rsidP="004B4C4A">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iCs/>
          <w:color w:val="262626" w:themeColor="text1" w:themeTint="D9"/>
        </w:rPr>
        <w:t xml:space="preserve">Hobby Lobby Stores Inc v Sommerville </w:t>
      </w:r>
      <w:r w:rsidRPr="008642D1">
        <w:rPr>
          <w:color w:val="262626" w:themeColor="text1" w:themeTint="D9"/>
        </w:rPr>
        <w:t xml:space="preserve">(2021) IL App (2d) 190362 at [33]–[34]; and </w:t>
      </w:r>
      <w:r w:rsidRPr="008642D1">
        <w:rPr>
          <w:i/>
          <w:iCs/>
          <w:color w:val="262626" w:themeColor="text1" w:themeTint="D9"/>
        </w:rPr>
        <w:t xml:space="preserve">Roberts v Clark County School District </w:t>
      </w:r>
      <w:r w:rsidRPr="008642D1">
        <w:rPr>
          <w:color w:val="262626" w:themeColor="text1" w:themeTint="D9"/>
        </w:rPr>
        <w:t>215 F Supp 3d 1001 (D Nevada 2016) at 1015–1016.</w:t>
      </w:r>
    </w:p>
  </w:footnote>
  <w:footnote w:id="573">
    <w:p w14:paraId="467764D4"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Ihi Aotearoa | Sport New Zealand </w:t>
      </w:r>
      <w:r w:rsidRPr="008642D1">
        <w:rPr>
          <w:i/>
          <w:color w:val="262626" w:themeColor="text1" w:themeTint="D9"/>
        </w:rPr>
        <w:t xml:space="preserve">Active NZ: Changes in Participation </w:t>
      </w:r>
      <w:r w:rsidRPr="008642D1">
        <w:rPr>
          <w:i/>
          <w:iCs/>
          <w:color w:val="262626" w:themeColor="text1" w:themeTint="D9"/>
        </w:rPr>
        <w:t>–</w:t>
      </w:r>
      <w:r w:rsidRPr="008642D1">
        <w:rPr>
          <w:i/>
          <w:color w:val="262626" w:themeColor="text1" w:themeTint="D9"/>
        </w:rPr>
        <w:t xml:space="preserve"> The New Zealand Participation Survey 2021</w:t>
      </w:r>
      <w:r w:rsidRPr="008642D1">
        <w:rPr>
          <w:color w:val="262626" w:themeColor="text1" w:themeTint="D9"/>
        </w:rPr>
        <w:t xml:space="preserve"> (June 2022) at 4.</w:t>
      </w:r>
    </w:p>
  </w:footnote>
  <w:footnote w:id="574">
    <w:p w14:paraId="6D63F720"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49(2)(a)–(c).</w:t>
      </w:r>
    </w:p>
  </w:footnote>
  <w:footnote w:id="575">
    <w:p w14:paraId="2F0C65DC"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49(2)(d).</w:t>
      </w:r>
    </w:p>
  </w:footnote>
  <w:footnote w:id="576">
    <w:p w14:paraId="09AC7DAB" w14:textId="031AEBEF"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especially, Chapters 8 and 16. For an example of a sporting body exercising a government function</w:t>
      </w:r>
      <w:r w:rsidR="00A45848">
        <w:rPr>
          <w:color w:val="262626" w:themeColor="text1" w:themeTint="D9"/>
        </w:rPr>
        <w:t>,</w:t>
      </w:r>
      <w:r w:rsidRPr="008642D1">
        <w:rPr>
          <w:color w:val="262626" w:themeColor="text1" w:themeTint="D9"/>
        </w:rPr>
        <w:t xml:space="preserve"> see </w:t>
      </w:r>
      <w:r w:rsidRPr="008642D1">
        <w:rPr>
          <w:i/>
          <w:color w:val="262626" w:themeColor="text1" w:themeTint="D9"/>
        </w:rPr>
        <w:t>Cropp</w:t>
      </w:r>
      <w:r w:rsidRPr="008642D1">
        <w:rPr>
          <w:i/>
          <w:iCs/>
          <w:color w:val="262626" w:themeColor="text1" w:themeTint="D9"/>
        </w:rPr>
        <w:t xml:space="preserve"> v Judicial Committee </w:t>
      </w:r>
      <w:r w:rsidRPr="008642D1">
        <w:rPr>
          <w:color w:val="262626" w:themeColor="text1" w:themeTint="D9"/>
        </w:rPr>
        <w:t>[2008] NZSC 46, [2008] 3 NZLR 774 at [5].</w:t>
      </w:r>
    </w:p>
  </w:footnote>
  <w:footnote w:id="577">
    <w:p w14:paraId="395DCD4E"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as we explained in Chapter 8, it is unclear whether students at a school would count as the public or a section of the public in relation to a good or service offered by that school.</w:t>
      </w:r>
    </w:p>
  </w:footnote>
  <w:footnote w:id="578">
    <w:p w14:paraId="5E9A0E6A"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most Olympic events are split into men’s and women’s categories: International Olympic Committee “Factsheet: Women in the Olympic Movement”</w:t>
      </w:r>
      <w:r w:rsidRPr="008642D1">
        <w:rPr>
          <w:i/>
          <w:iCs/>
          <w:color w:val="262626" w:themeColor="text1" w:themeTint="D9"/>
        </w:rPr>
        <w:t xml:space="preserve"> </w:t>
      </w:r>
      <w:r w:rsidRPr="008642D1">
        <w:rPr>
          <w:color w:val="262626" w:themeColor="text1" w:themeTint="D9"/>
        </w:rPr>
        <w:t>(18 April 2024) &lt;</w:t>
      </w:r>
      <w:hyperlink r:id="rId87" w:anchor="_ga=2.196242796.1387851327.1545035637-2118090758.1543323217" w:history="1">
        <w:r w:rsidRPr="008642D1">
          <w:rPr>
            <w:rStyle w:val="Hyperlink"/>
            <w:color w:val="262626" w:themeColor="text1" w:themeTint="D9"/>
          </w:rPr>
          <w:t>olympics.com</w:t>
        </w:r>
      </w:hyperlink>
      <w:r w:rsidRPr="008642D1">
        <w:rPr>
          <w:color w:val="262626" w:themeColor="text1" w:themeTint="D9"/>
        </w:rPr>
        <w:t xml:space="preserve">&gt; at 6. </w:t>
      </w:r>
    </w:p>
  </w:footnote>
  <w:footnote w:id="579">
    <w:p w14:paraId="5727D39F"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Commission Act 1977, s 24(7).</w:t>
      </w:r>
    </w:p>
  </w:footnote>
  <w:footnote w:id="580">
    <w:p w14:paraId="2DEE4FCF"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(17 August 1977) 412 NZPD 2294 (Allan Martyn Finlay MP); (7 July 1977) 411 NZPD 1246 (Richard Harrison MP); and (20 July 1977) 411 NZPD 1475 (David Thomson MP).</w:t>
      </w:r>
    </w:p>
  </w:footnote>
  <w:footnote w:id="581">
    <w:p w14:paraId="2A7871E5"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Letter from Margaret Nixon (Secretary for Justice) to Chief Parliamentary Counsel regarding review of Human Rights Commission Act 1997 and Race Relations Act 1971 (12 February 1990) at 15; House of Representatives Standing Committee on Legal and Constitutional Affairs </w:t>
      </w:r>
      <w:r w:rsidRPr="008642D1">
        <w:rPr>
          <w:i/>
          <w:iCs/>
          <w:color w:val="262626" w:themeColor="text1" w:themeTint="D9"/>
        </w:rPr>
        <w:t xml:space="preserve">Half Way to Equal: Report of the Inquiry into Equal Opportunity and Equal Status for Women in Australia </w:t>
      </w:r>
      <w:r w:rsidRPr="008642D1">
        <w:rPr>
          <w:color w:val="262626" w:themeColor="text1" w:themeTint="D9"/>
        </w:rPr>
        <w:t>(Australian Government Publishing Service, Canberra, April 1992) at [6.7.17].</w:t>
      </w:r>
    </w:p>
  </w:footnote>
  <w:footnote w:id="582">
    <w:p w14:paraId="69B632C9"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The departmental report indicates this was the sole submission that commented on the exception: Department of Justice </w:t>
      </w:r>
      <w:r w:rsidRPr="008642D1">
        <w:rPr>
          <w:i/>
          <w:iCs/>
          <w:color w:val="262626" w:themeColor="text1" w:themeTint="D9"/>
        </w:rPr>
        <w:t xml:space="preserve">Human Rights Bill – Report of the Department of Justice </w:t>
      </w:r>
      <w:r w:rsidRPr="008642D1">
        <w:rPr>
          <w:color w:val="262626" w:themeColor="text1" w:themeTint="D9"/>
        </w:rPr>
        <w:t>(28 May 1993) at 38.</w:t>
      </w:r>
    </w:p>
  </w:footnote>
  <w:footnote w:id="583">
    <w:p w14:paraId="0DC725A2"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The New Zealand Assembly for Sport “Submission to the Justice and Law Reform Committee on the Human Rights Bill 1993”.</w:t>
      </w:r>
    </w:p>
  </w:footnote>
  <w:footnote w:id="584">
    <w:p w14:paraId="2BFB7ECF"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Jaime Schultz “A Brief History of Women’s Sport” in Jaime Schultz (ed) </w:t>
      </w:r>
      <w:r w:rsidRPr="008642D1">
        <w:rPr>
          <w:i/>
          <w:iCs/>
          <w:color w:val="262626" w:themeColor="text1" w:themeTint="D9"/>
        </w:rPr>
        <w:t>Women’s Sports: What Everyone Needs to Know</w:t>
      </w:r>
      <w:r w:rsidRPr="008642D1">
        <w:rPr>
          <w:color w:val="262626" w:themeColor="text1" w:themeTint="D9"/>
        </w:rPr>
        <w:t xml:space="preserve"> (Oxford University Press, Oxford, 2018) 10 at 14.</w:t>
      </w:r>
    </w:p>
  </w:footnote>
  <w:footnote w:id="585">
    <w:p w14:paraId="6A3CA58F" w14:textId="00956405"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Jaime Schultz “A Brief History of Women’s Sport” in Jaime Schultz (ed) </w:t>
      </w:r>
      <w:r w:rsidRPr="008642D1">
        <w:rPr>
          <w:i/>
          <w:iCs/>
          <w:color w:val="262626" w:themeColor="text1" w:themeTint="D9"/>
        </w:rPr>
        <w:t>Women’s Sports: What Everyone Needs to Know</w:t>
      </w:r>
      <w:r w:rsidRPr="008642D1">
        <w:rPr>
          <w:color w:val="262626" w:themeColor="text1" w:themeTint="D9"/>
        </w:rPr>
        <w:t xml:space="preserve"> (Oxford University Press, Oxford, 2018) 10 at 16–20. </w:t>
      </w:r>
    </w:p>
  </w:footnote>
  <w:footnote w:id="586">
    <w:p w14:paraId="33A86167" w14:textId="77777777" w:rsidR="00F80BAC" w:rsidRPr="008642D1" w:rsidRDefault="00F80BAC" w:rsidP="00F80BAC">
      <w:pPr>
        <w:pStyle w:val="FootnoteText"/>
        <w:rPr>
          <w:color w:val="262626" w:themeColor="text1" w:themeTint="D9"/>
        </w:rPr>
      </w:pPr>
      <w:r w:rsidRPr="008642D1" w:rsidDel="00F70676">
        <w:rPr>
          <w:rStyle w:val="FootnoteReference"/>
        </w:rPr>
        <w:footnoteRef/>
      </w:r>
      <w:r w:rsidRPr="008642D1">
        <w:rPr>
          <w:color w:val="262626" w:themeColor="text1" w:themeTint="D9"/>
        </w:rPr>
        <w:t xml:space="preserve"> </w:t>
      </w:r>
      <w:r w:rsidRPr="008642D1">
        <w:rPr>
          <w:color w:val="262626" w:themeColor="text1" w:themeTint="D9"/>
        </w:rPr>
        <w:tab/>
        <w:t>Irena Martinkova and others “Sex and gender in sport categorization: aiming for terminological clarity” (2022) 49 Journal of the Philosophy of Sport 134 at 138.</w:t>
      </w:r>
    </w:p>
  </w:footnote>
  <w:footnote w:id="587">
    <w:p w14:paraId="5DAD68F5" w14:textId="7E2AB84E"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Irena Martinkova and others “Sex and gender in sport categorization: aiming for terminological clarity” (2022) 49 Journal of the Philosophy of Sport 134 at 139.</w:t>
      </w:r>
    </w:p>
  </w:footnote>
  <w:footnote w:id="588">
    <w:p w14:paraId="60A07637" w14:textId="7CA109CA"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In 2003, it recommended that transgender athletes must have completed “surgical anatomical changes”, have legal recognition of their sex and have undergone hormone therapy: International Olympic Committee </w:t>
      </w:r>
      <w:r w:rsidRPr="008642D1">
        <w:rPr>
          <w:i/>
          <w:iCs/>
          <w:color w:val="262626" w:themeColor="text1" w:themeTint="D9"/>
        </w:rPr>
        <w:t xml:space="preserve">Statement of the Stockholm consensus on sex reassignment in sports </w:t>
      </w:r>
      <w:r w:rsidRPr="008642D1">
        <w:rPr>
          <w:color w:val="262626" w:themeColor="text1" w:themeTint="D9"/>
        </w:rPr>
        <w:t xml:space="preserve">(2003). In 2015, it said transgender women should demonstrate their testosterone level </w:t>
      </w:r>
      <w:r w:rsidR="00E776B7">
        <w:rPr>
          <w:color w:val="262626" w:themeColor="text1" w:themeTint="D9"/>
        </w:rPr>
        <w:t>ha</w:t>
      </w:r>
      <w:r w:rsidR="009F7A35">
        <w:rPr>
          <w:color w:val="262626" w:themeColor="text1" w:themeTint="D9"/>
        </w:rPr>
        <w:t>s</w:t>
      </w:r>
      <w:r w:rsidR="00E776B7">
        <w:rPr>
          <w:color w:val="262626" w:themeColor="text1" w:themeTint="D9"/>
        </w:rPr>
        <w:t xml:space="preserve"> been</w:t>
      </w:r>
      <w:r w:rsidRPr="008642D1">
        <w:rPr>
          <w:color w:val="262626" w:themeColor="text1" w:themeTint="D9"/>
        </w:rPr>
        <w:t xml:space="preserve"> below a certain level </w:t>
      </w:r>
      <w:r w:rsidR="00E776B7">
        <w:rPr>
          <w:color w:val="262626" w:themeColor="text1" w:themeTint="D9"/>
        </w:rPr>
        <w:t>for at least</w:t>
      </w:r>
      <w:r w:rsidR="00D35038">
        <w:rPr>
          <w:color w:val="262626" w:themeColor="text1" w:themeTint="D9"/>
        </w:rPr>
        <w:t xml:space="preserve"> 12 months</w:t>
      </w:r>
      <w:r w:rsidRPr="008642D1">
        <w:rPr>
          <w:color w:val="262626" w:themeColor="text1" w:themeTint="D9"/>
        </w:rPr>
        <w:t xml:space="preserve"> to be eligible to compete in the women’s category:</w:t>
      </w:r>
      <w:r w:rsidRPr="008642D1" w:rsidDel="00E73574">
        <w:rPr>
          <w:color w:val="262626" w:themeColor="text1" w:themeTint="D9"/>
        </w:rPr>
        <w:t xml:space="preserve"> </w:t>
      </w:r>
      <w:r w:rsidRPr="008642D1">
        <w:rPr>
          <w:color w:val="262626" w:themeColor="text1" w:themeTint="D9"/>
        </w:rPr>
        <w:t xml:space="preserve">International Olympic Committee </w:t>
      </w:r>
      <w:r w:rsidRPr="008642D1">
        <w:rPr>
          <w:i/>
          <w:iCs/>
          <w:color w:val="262626" w:themeColor="text1" w:themeTint="D9"/>
        </w:rPr>
        <w:t xml:space="preserve">IOC Consensus Meeting on Sex Reassignment and Hyperandrogenism </w:t>
      </w:r>
      <w:r w:rsidRPr="008642D1">
        <w:rPr>
          <w:color w:val="262626" w:themeColor="text1" w:themeTint="D9"/>
        </w:rPr>
        <w:t>(November 2015) at [2.2].</w:t>
      </w:r>
    </w:p>
  </w:footnote>
  <w:footnote w:id="589">
    <w:p w14:paraId="06E3F573"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International Olympic Committee </w:t>
      </w:r>
      <w:r w:rsidRPr="008642D1">
        <w:rPr>
          <w:i/>
          <w:iCs/>
          <w:color w:val="262626" w:themeColor="text1" w:themeTint="D9"/>
        </w:rPr>
        <w:t xml:space="preserve">IOC Framework on Fairness, Inclusion and Non-Discrimination on the Basis of Gender Identity and Sex Variations </w:t>
      </w:r>
      <w:r w:rsidRPr="008642D1">
        <w:rPr>
          <w:color w:val="262626" w:themeColor="text1" w:themeTint="D9"/>
        </w:rPr>
        <w:t>(2021) at 2–6.</w:t>
      </w:r>
    </w:p>
  </w:footnote>
  <w:footnote w:id="590">
    <w:p w14:paraId="724BEB9B"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Union Cycliste Internationale “The UCI adapts its rules on the participation of transgender athletes in international competitions”</w:t>
      </w:r>
      <w:r w:rsidRPr="008642D1">
        <w:rPr>
          <w:i/>
          <w:iCs/>
          <w:color w:val="262626" w:themeColor="text1" w:themeTint="D9"/>
        </w:rPr>
        <w:t xml:space="preserve"> </w:t>
      </w:r>
      <w:r w:rsidRPr="008642D1">
        <w:rPr>
          <w:color w:val="262626" w:themeColor="text1" w:themeTint="D9"/>
        </w:rPr>
        <w:t>(14 July 2023) &lt;</w:t>
      </w:r>
      <w:hyperlink r:id="rId88" w:history="1">
        <w:r w:rsidRPr="008642D1">
          <w:rPr>
            <w:rStyle w:val="Hyperlink"/>
            <w:color w:val="262626" w:themeColor="text1" w:themeTint="D9"/>
          </w:rPr>
          <w:t>www.uci.org</w:t>
        </w:r>
      </w:hyperlink>
      <w:r w:rsidRPr="008642D1">
        <w:rPr>
          <w:color w:val="262626" w:themeColor="text1" w:themeTint="D9"/>
        </w:rPr>
        <w:t>&gt;.</w:t>
      </w:r>
    </w:p>
  </w:footnote>
  <w:footnote w:id="591">
    <w:p w14:paraId="1B682EB2" w14:textId="5D1B9E75" w:rsidR="00C25464" w:rsidRPr="00C31422" w:rsidRDefault="00C25464" w:rsidP="00C31422">
      <w:pPr>
        <w:pStyle w:val="FootnoteText"/>
        <w:rPr>
          <w:color w:val="262626" w:themeColor="text1" w:themeTint="D9"/>
        </w:rPr>
      </w:pPr>
      <w:r>
        <w:rPr>
          <w:rStyle w:val="FootnoteReference"/>
        </w:rPr>
        <w:footnoteRef/>
      </w:r>
      <w:r>
        <w:t xml:space="preserve"> </w:t>
      </w:r>
      <w:r>
        <w:tab/>
      </w:r>
      <w:r w:rsidR="002F78AC">
        <w:t xml:space="preserve">According to </w:t>
      </w:r>
      <w:r w:rsidR="007C57A3">
        <w:t xml:space="preserve">one report, 18 </w:t>
      </w:r>
      <w:r w:rsidR="00EA570C">
        <w:t xml:space="preserve">sporting </w:t>
      </w:r>
      <w:r w:rsidR="007C57A3">
        <w:t>codes currently have a transgender inclusion policy</w:t>
      </w:r>
      <w:r w:rsidR="006B6626">
        <w:t xml:space="preserve"> in place, while 45 codes do not</w:t>
      </w:r>
      <w:r w:rsidR="00EA570C">
        <w:t xml:space="preserve">. Of those 45 sporting codes, 21 are currently </w:t>
      </w:r>
      <w:r w:rsidR="003A2126">
        <w:t xml:space="preserve">developing a policy: Liam Napier “New Zealand Government revises status on transgender athletes in community sport” </w:t>
      </w:r>
      <w:r w:rsidR="00EB0837">
        <w:t>(18 June 2024)</w:t>
      </w:r>
      <w:r w:rsidR="00D8095E">
        <w:t xml:space="preserve"> </w:t>
      </w:r>
      <w:r w:rsidR="00D8095E" w:rsidRPr="008642D1">
        <w:rPr>
          <w:color w:val="262626" w:themeColor="text1" w:themeTint="D9"/>
        </w:rPr>
        <w:t>The New Zealand Herald &lt;</w:t>
      </w:r>
      <w:hyperlink r:id="rId89" w:history="1">
        <w:r w:rsidR="00D8095E" w:rsidRPr="008642D1">
          <w:rPr>
            <w:rStyle w:val="Hyperlink"/>
            <w:color w:val="262626" w:themeColor="text1" w:themeTint="D9"/>
          </w:rPr>
          <w:t>www.nzherald.co.nz</w:t>
        </w:r>
      </w:hyperlink>
      <w:r w:rsidR="00D8095E" w:rsidRPr="008642D1">
        <w:rPr>
          <w:color w:val="262626" w:themeColor="text1" w:themeTint="D9"/>
        </w:rPr>
        <w:t>&gt;.</w:t>
      </w:r>
    </w:p>
  </w:footnote>
  <w:footnote w:id="592">
    <w:p w14:paraId="659A874D"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Ihi Aotearoa | Sport New Zealand </w:t>
      </w:r>
      <w:r w:rsidRPr="008642D1">
        <w:rPr>
          <w:i/>
          <w:iCs/>
          <w:color w:val="262626" w:themeColor="text1" w:themeTint="D9"/>
        </w:rPr>
        <w:t xml:space="preserve">Guiding Principles for the Inclusion of Transgender People in Community Sport </w:t>
      </w:r>
      <w:r w:rsidRPr="008642D1">
        <w:rPr>
          <w:color w:val="262626" w:themeColor="text1" w:themeTint="D9"/>
        </w:rPr>
        <w:t>(December 2022) at 8.</w:t>
      </w:r>
    </w:p>
  </w:footnote>
  <w:footnote w:id="593">
    <w:p w14:paraId="744587AF"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At 8.</w:t>
      </w:r>
    </w:p>
  </w:footnote>
  <w:footnote w:id="594">
    <w:p w14:paraId="2A73484D" w14:textId="40F0E3F9"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New Zealand Cricket does not currently have a published policy on transgender participation but has said that it prioritises inclusivity and that it accommodates trans</w:t>
      </w:r>
      <w:r w:rsidR="009F414C">
        <w:rPr>
          <w:color w:val="262626" w:themeColor="text1" w:themeTint="D9"/>
        </w:rPr>
        <w:t>gender</w:t>
      </w:r>
      <w:r w:rsidRPr="008642D1">
        <w:rPr>
          <w:color w:val="262626" w:themeColor="text1" w:themeTint="D9"/>
        </w:rPr>
        <w:t xml:space="preserve"> women in women’s cricket at the community, amateur and social levels: Liam Napier “Transgender athletes could be banned from publicly funded women’s sport under new Government policy” (21 December 2023) The New Zealand Herald &lt;</w:t>
      </w:r>
      <w:hyperlink r:id="rId90" w:anchor=":~:text=Trans%20women%20who%20participate%20in,them%20to%20form%20alternative%20competitions." w:history="1">
        <w:r w:rsidRPr="008642D1">
          <w:rPr>
            <w:rStyle w:val="Hyperlink"/>
            <w:color w:val="262626" w:themeColor="text1" w:themeTint="D9"/>
          </w:rPr>
          <w:t>www.nzherald.co.nz</w:t>
        </w:r>
      </w:hyperlink>
      <w:r w:rsidRPr="008642D1">
        <w:rPr>
          <w:color w:val="262626" w:themeColor="text1" w:themeTint="D9"/>
        </w:rPr>
        <w:t>&gt;.</w:t>
      </w:r>
    </w:p>
  </w:footnote>
  <w:footnote w:id="595">
    <w:p w14:paraId="23A9720A"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Ihi Aotearoa | Sport New Zealand </w:t>
      </w:r>
      <w:r w:rsidRPr="008642D1">
        <w:rPr>
          <w:i/>
          <w:iCs/>
          <w:color w:val="262626" w:themeColor="text1" w:themeTint="D9"/>
        </w:rPr>
        <w:t xml:space="preserve">Guiding Principles for the Inclusion of Transgender People in Community Sport </w:t>
      </w:r>
      <w:r w:rsidRPr="008642D1">
        <w:rPr>
          <w:color w:val="262626" w:themeColor="text1" w:themeTint="D9"/>
        </w:rPr>
        <w:t>(December 2022) at 9.</w:t>
      </w:r>
    </w:p>
  </w:footnote>
  <w:footnote w:id="596">
    <w:p w14:paraId="3688A8B9" w14:textId="0B0CDA71"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Ihi Aotearoa | Sport New Zealand </w:t>
      </w:r>
      <w:r w:rsidRPr="008642D1">
        <w:rPr>
          <w:i/>
          <w:iCs/>
          <w:color w:val="262626" w:themeColor="text1" w:themeTint="D9"/>
        </w:rPr>
        <w:t xml:space="preserve">Guiding Principles for the Inclusion of Transgender People in Community Sport </w:t>
      </w:r>
      <w:r w:rsidRPr="008642D1">
        <w:rPr>
          <w:color w:val="262626" w:themeColor="text1" w:themeTint="D9"/>
        </w:rPr>
        <w:t>(December 2022) at 4 and 22.</w:t>
      </w:r>
    </w:p>
  </w:footnote>
  <w:footnote w:id="597">
    <w:p w14:paraId="33BD98CD" w14:textId="1E1C03DB"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World Athletics </w:t>
      </w:r>
      <w:r w:rsidRPr="008642D1">
        <w:rPr>
          <w:i/>
          <w:iCs/>
          <w:color w:val="262626" w:themeColor="text1" w:themeTint="D9"/>
        </w:rPr>
        <w:t xml:space="preserve">Eligibility Regulations For the Female Classification (Athletes with differences of sex development) </w:t>
      </w:r>
      <w:r w:rsidRPr="008642D1">
        <w:rPr>
          <w:color w:val="262626" w:themeColor="text1" w:themeTint="D9"/>
        </w:rPr>
        <w:t xml:space="preserve">(23 March 2023); and World Aquatics </w:t>
      </w:r>
      <w:r w:rsidRPr="008642D1">
        <w:rPr>
          <w:i/>
          <w:color w:val="262626" w:themeColor="text1" w:themeTint="D9"/>
        </w:rPr>
        <w:t>Policy on Eligibility for the Men’s and Women’s Competition Categorie</w:t>
      </w:r>
      <w:r w:rsidRPr="008642D1">
        <w:rPr>
          <w:color w:val="262626" w:themeColor="text1" w:themeTint="D9"/>
        </w:rPr>
        <w:t>s (19 June 2022).</w:t>
      </w:r>
    </w:p>
  </w:footnote>
  <w:footnote w:id="598">
    <w:p w14:paraId="0B9BB0EA"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for example, Human Rights Watch </w:t>
      </w:r>
      <w:r w:rsidRPr="008642D1">
        <w:rPr>
          <w:i/>
          <w:iCs/>
          <w:color w:val="262626" w:themeColor="text1" w:themeTint="D9"/>
        </w:rPr>
        <w:t xml:space="preserve">“They’re Chasing Us Away from Sport”: Human Rights Violations in Sex Testing of Elite Women Athletes </w:t>
      </w:r>
      <w:r w:rsidRPr="008642D1">
        <w:rPr>
          <w:color w:val="262626" w:themeColor="text1" w:themeTint="D9"/>
        </w:rPr>
        <w:t>(December 2020).</w:t>
      </w:r>
    </w:p>
  </w:footnote>
  <w:footnote w:id="599">
    <w:p w14:paraId="6EDEBC93" w14:textId="160019BF"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w:t>
      </w:r>
      <w:r w:rsidR="00B36E25">
        <w:rPr>
          <w:color w:val="262626" w:themeColor="text1" w:themeTint="D9"/>
        </w:rPr>
        <w:t xml:space="preserve"> </w:t>
      </w:r>
      <w:r w:rsidR="00B36E25" w:rsidRPr="00B36E25">
        <w:rPr>
          <w:color w:val="262626" w:themeColor="text1" w:themeTint="D9"/>
        </w:rPr>
        <w:t>Rebecca M Jordan-Young, Peter H Sönksen and Katrina Karkazis “Sex, health, and athletes” (2014) 348 BMJ g2926</w:t>
      </w:r>
      <w:r w:rsidR="00B36E25">
        <w:rPr>
          <w:color w:val="262626" w:themeColor="text1" w:themeTint="D9"/>
        </w:rPr>
        <w:t xml:space="preserve"> at </w:t>
      </w:r>
      <w:r w:rsidR="00761E6D">
        <w:rPr>
          <w:color w:val="262626" w:themeColor="text1" w:themeTint="D9"/>
        </w:rPr>
        <w:t>2.</w:t>
      </w:r>
    </w:p>
  </w:footnote>
  <w:footnote w:id="600">
    <w:p w14:paraId="71F53CC0" w14:textId="206EBE0B"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Katrina Karkazis and Morgan Carpenter “Impossible ‘Choices’: The Inherent Harms of Regulating Women's Testosterone in Sport” (2018) 15 J Bioethical Inq 579 at 583. </w:t>
      </w:r>
    </w:p>
  </w:footnote>
  <w:footnote w:id="601">
    <w:p w14:paraId="68287A93"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Owen Hargie, David Mitchell and Ian Somerville “‘People have a knack of making you feel excluded if they catch on to your difference’: Transgender experiences of exclusion in sport” (2017) 52 International Review for the Sociology of Sport 223 at 232; and Transgender Health Research Lab </w:t>
      </w:r>
      <w:r w:rsidRPr="008642D1">
        <w:rPr>
          <w:i/>
          <w:iCs/>
          <w:color w:val="262626" w:themeColor="text1" w:themeTint="D9"/>
        </w:rPr>
        <w:t xml:space="preserve">Counting Ourselves: The health and wellbeing of trans and non-binary people in Aotearoa New Zealand </w:t>
      </w:r>
      <w:r w:rsidRPr="008642D1">
        <w:rPr>
          <w:color w:val="262626" w:themeColor="text1" w:themeTint="D9"/>
        </w:rPr>
        <w:t>(Te Whare Wānanga o Waikato | University of Waikato, 2019) at 66.</w:t>
      </w:r>
    </w:p>
  </w:footnote>
  <w:footnote w:id="602">
    <w:p w14:paraId="73F337BC"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Liam Napier “Transgender athletes could be banned from publicly funded women’s sport under new Government policy” (21 December 2023) The New Zealand Herald &lt;</w:t>
      </w:r>
      <w:hyperlink r:id="rId91" w:anchor=":~:text=Trans%20women%20who%20participate%20in,them%20to%20form%20alternative%20competitions." w:history="1">
        <w:r w:rsidRPr="008642D1">
          <w:rPr>
            <w:rStyle w:val="Hyperlink"/>
            <w:color w:val="262626" w:themeColor="text1" w:themeTint="D9"/>
          </w:rPr>
          <w:t>www.nzherald.co.nz</w:t>
        </w:r>
      </w:hyperlink>
      <w:r w:rsidRPr="008642D1">
        <w:rPr>
          <w:color w:val="262626" w:themeColor="text1" w:themeTint="D9"/>
        </w:rPr>
        <w:t>&gt;.</w:t>
      </w:r>
    </w:p>
  </w:footnote>
  <w:footnote w:id="603">
    <w:p w14:paraId="365F6025" w14:textId="5992F8A6"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00ED3FC3">
        <w:rPr>
          <w:color w:val="262626" w:themeColor="text1" w:themeTint="D9"/>
        </w:rPr>
        <w:t xml:space="preserve">See </w:t>
      </w:r>
      <w:r w:rsidRPr="008642D1">
        <w:rPr>
          <w:color w:val="262626" w:themeColor="text1" w:themeTint="D9"/>
        </w:rPr>
        <w:t>Sean Ingle “Swimming World Cup category for transgender athletes cancelled after no entries received” (3 October 2023) The Guardian &lt;</w:t>
      </w:r>
      <w:hyperlink r:id="rId92" w:history="1">
        <w:r w:rsidRPr="008642D1">
          <w:rPr>
            <w:rStyle w:val="Hyperlink"/>
            <w:color w:val="262626" w:themeColor="text1" w:themeTint="D9"/>
          </w:rPr>
          <w:t>www.theguardian.com</w:t>
        </w:r>
      </w:hyperlink>
      <w:r w:rsidRPr="008642D1">
        <w:rPr>
          <w:color w:val="262626" w:themeColor="text1" w:themeTint="D9"/>
        </w:rPr>
        <w:t>&gt;.</w:t>
      </w:r>
    </w:p>
  </w:footnote>
  <w:footnote w:id="604">
    <w:p w14:paraId="03F837B9" w14:textId="787D02CB"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Alison Heather “Transwoman Elite Athletes: Their Extra Percentage Relative to Female Physiology” (2022) 19 Int J Environ Res Public Health 9103</w:t>
      </w:r>
      <w:r w:rsidR="00001EB1">
        <w:rPr>
          <w:color w:val="262626" w:themeColor="text1" w:themeTint="D9"/>
        </w:rPr>
        <w:t xml:space="preserve"> at 9110.</w:t>
      </w:r>
    </w:p>
  </w:footnote>
  <w:footnote w:id="605">
    <w:p w14:paraId="647E643C"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Taryn Knox, Lynley Anderson and Alison Heather “Transwomen in elite sport: scientific and ethical considerations” (2019) 45 J Med Ethics 395 at 400.</w:t>
      </w:r>
    </w:p>
  </w:footnote>
  <w:footnote w:id="606">
    <w:p w14:paraId="5FD83C32"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Save Women’s Sport Australasia “Submission to Sport NZ </w:t>
      </w:r>
      <w:r w:rsidRPr="008642D1">
        <w:rPr>
          <w:iCs/>
          <w:color w:val="262626" w:themeColor="text1" w:themeTint="D9"/>
        </w:rPr>
        <w:t>on</w:t>
      </w:r>
      <w:r w:rsidRPr="008642D1">
        <w:rPr>
          <w:color w:val="262626" w:themeColor="text1" w:themeTint="D9"/>
        </w:rPr>
        <w:t xml:space="preserve"> Draft Guiding Principles for Transgender Participation</w:t>
      </w:r>
      <w:r w:rsidRPr="008642D1">
        <w:rPr>
          <w:iCs/>
          <w:color w:val="262626" w:themeColor="text1" w:themeTint="D9"/>
        </w:rPr>
        <w:t>”</w:t>
      </w:r>
      <w:r w:rsidRPr="008642D1">
        <w:rPr>
          <w:color w:val="262626" w:themeColor="text1" w:themeTint="D9"/>
        </w:rPr>
        <w:t xml:space="preserve"> (June 2021) at 2.</w:t>
      </w:r>
    </w:p>
  </w:footnote>
  <w:footnote w:id="607">
    <w:p w14:paraId="058A214F"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Boxing New Zealand “Boxing New Zealand announces support for the establishment of an open category in Olympic style boxing” (press release, 29 August 2022) &lt;</w:t>
      </w:r>
      <w:hyperlink r:id="rId93" w:history="1">
        <w:r w:rsidRPr="008642D1">
          <w:rPr>
            <w:rStyle w:val="Hyperlink"/>
            <w:color w:val="262626" w:themeColor="text1" w:themeTint="D9"/>
          </w:rPr>
          <w:t>www.boxingnz.org.nz</w:t>
        </w:r>
      </w:hyperlink>
      <w:r w:rsidRPr="008642D1">
        <w:rPr>
          <w:color w:val="262626" w:themeColor="text1" w:themeTint="D9"/>
        </w:rPr>
        <w:t xml:space="preserve">&gt;; and Ihi Aotearoa | Sport New Zealand </w:t>
      </w:r>
      <w:r w:rsidRPr="008642D1">
        <w:rPr>
          <w:i/>
          <w:iCs/>
          <w:color w:val="262626" w:themeColor="text1" w:themeTint="D9"/>
        </w:rPr>
        <w:t xml:space="preserve">Summary of Feedback received through the final phase of external consultation on the Guiding Principles for the Inclusion of Transgender People in Community Sport </w:t>
      </w:r>
      <w:r w:rsidRPr="008642D1">
        <w:rPr>
          <w:color w:val="262626" w:themeColor="text1" w:themeTint="D9"/>
        </w:rPr>
        <w:t>at 2.</w:t>
      </w:r>
    </w:p>
  </w:footnote>
  <w:footnote w:id="608">
    <w:p w14:paraId="1F2C90B1"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Compare, for example, Te Kaunihera Wahine o Aotearoa | National Council of Women of New Zealand </w:t>
      </w:r>
      <w:r w:rsidRPr="008642D1">
        <w:rPr>
          <w:i/>
          <w:iCs/>
          <w:color w:val="262626" w:themeColor="text1" w:themeTint="D9"/>
        </w:rPr>
        <w:t xml:space="preserve">Aotearoa New Zealand Gender Attitudes Survey 2023 </w:t>
      </w:r>
      <w:r w:rsidRPr="008642D1">
        <w:rPr>
          <w:color w:val="262626" w:themeColor="text1" w:themeTint="D9"/>
        </w:rPr>
        <w:t>(July 2023) at 77; and Marc Daalder “Race relations among most divisive issues in election – poll” (3 November 2023) Newsroom &lt;</w:t>
      </w:r>
      <w:hyperlink r:id="rId94" w:history="1">
        <w:r w:rsidRPr="008642D1">
          <w:rPr>
            <w:rStyle w:val="Hyperlink"/>
            <w:color w:val="262626" w:themeColor="text1" w:themeTint="D9"/>
          </w:rPr>
          <w:t>newsroom.co.nz</w:t>
        </w:r>
      </w:hyperlink>
      <w:r w:rsidRPr="008642D1">
        <w:rPr>
          <w:color w:val="262626" w:themeColor="text1" w:themeTint="D9"/>
        </w:rPr>
        <w:t>&gt;.</w:t>
      </w:r>
    </w:p>
  </w:footnote>
  <w:footnote w:id="609">
    <w:p w14:paraId="0BB7AA99" w14:textId="30FCBBED"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00FB4A35">
        <w:rPr>
          <w:color w:val="262626" w:themeColor="text1" w:themeTint="D9"/>
        </w:rPr>
        <w:t>See, f</w:t>
      </w:r>
      <w:r w:rsidRPr="008642D1">
        <w:rPr>
          <w:color w:val="262626" w:themeColor="text1" w:themeTint="D9"/>
        </w:rPr>
        <w:t>or example, Sandra K Hunter and others “The Biological Basis of Sex Differences in Athletic Performance: Consensus Statement for the American College of Sports Medicine” (2023) 55 Med Sci Sports Exerc 2328 at 2349.</w:t>
      </w:r>
    </w:p>
  </w:footnote>
  <w:footnote w:id="610">
    <w:p w14:paraId="20187053" w14:textId="0A111E7B" w:rsidR="00F80BAC" w:rsidRPr="008642D1" w:rsidRDefault="00F80BAC" w:rsidP="00F80BAC">
      <w:pPr>
        <w:pStyle w:val="FootnoteText"/>
        <w:rPr>
          <w:color w:val="262626" w:themeColor="text1" w:themeTint="D9"/>
        </w:rPr>
      </w:pPr>
      <w:r w:rsidRPr="008642D1">
        <w:rPr>
          <w:rStyle w:val="FootnoteReference"/>
          <w:rFonts w:eastAsiaTheme="majorEastAsia"/>
        </w:rPr>
        <w:footnoteRef/>
      </w:r>
      <w:r w:rsidRPr="008642D1">
        <w:rPr>
          <w:color w:val="262626" w:themeColor="text1" w:themeTint="D9"/>
        </w:rPr>
        <w:t xml:space="preserve"> </w:t>
      </w:r>
      <w:r w:rsidRPr="008642D1">
        <w:rPr>
          <w:color w:val="262626" w:themeColor="text1" w:themeTint="D9"/>
        </w:rPr>
        <w:tab/>
        <w:t>See, for example, Sandra K Hunter and others “The Biological Basis of Sex Differences in Athletic Performance: Consensus Statement for the American College of Sports Medicine” (2023) 55 Med Sci Sports Exerc 2328 at 2349.</w:t>
      </w:r>
    </w:p>
  </w:footnote>
  <w:footnote w:id="611">
    <w:p w14:paraId="6499D13A" w14:textId="285134E5" w:rsidR="00F80BAC" w:rsidRPr="008642D1" w:rsidRDefault="00F80BAC" w:rsidP="00F80BAC">
      <w:pPr>
        <w:pStyle w:val="FootnoteText"/>
        <w:rPr>
          <w:color w:val="262626" w:themeColor="text1" w:themeTint="D9"/>
        </w:rPr>
      </w:pPr>
      <w:r w:rsidRPr="008642D1">
        <w:rPr>
          <w:rStyle w:val="FootnoteReference"/>
          <w:rFonts w:eastAsiaTheme="majorEastAsia"/>
        </w:rPr>
        <w:footnoteRef/>
      </w:r>
      <w:r w:rsidRPr="008642D1">
        <w:rPr>
          <w:color w:val="262626" w:themeColor="text1" w:themeTint="D9"/>
        </w:rPr>
        <w:t xml:space="preserve"> </w:t>
      </w:r>
      <w:r w:rsidRPr="008642D1">
        <w:rPr>
          <w:color w:val="262626" w:themeColor="text1" w:themeTint="D9"/>
        </w:rPr>
        <w:tab/>
        <w:t>For example, David Handelsman “Sex differences in athletic performance emerge coinciding with the onset of male puberty” (2017) 87 Clinical Endocrinology 68</w:t>
      </w:r>
      <w:r w:rsidR="006E207D">
        <w:rPr>
          <w:color w:val="262626" w:themeColor="text1" w:themeTint="D9"/>
        </w:rPr>
        <w:t xml:space="preserve"> at 70</w:t>
      </w:r>
      <w:r w:rsidR="00F74341">
        <w:rPr>
          <w:color w:val="262626" w:themeColor="text1" w:themeTint="D9"/>
        </w:rPr>
        <w:t>–</w:t>
      </w:r>
      <w:r w:rsidR="003D757C">
        <w:rPr>
          <w:color w:val="262626" w:themeColor="text1" w:themeTint="D9"/>
        </w:rPr>
        <w:t>72</w:t>
      </w:r>
      <w:r w:rsidRPr="008642D1">
        <w:rPr>
          <w:color w:val="262626" w:themeColor="text1" w:themeTint="D9"/>
        </w:rPr>
        <w:t>; and Espen Tønnessen and others “Performance Development in Adolescent Track and Field Athletes According to Age, Sex and Sport Discipline” (2015) 10(6) PLOS ONE e0129014</w:t>
      </w:r>
      <w:r w:rsidR="00FB4A35">
        <w:rPr>
          <w:color w:val="262626" w:themeColor="text1" w:themeTint="D9"/>
        </w:rPr>
        <w:t xml:space="preserve"> at 7</w:t>
      </w:r>
      <w:r w:rsidRPr="008642D1">
        <w:rPr>
          <w:color w:val="262626" w:themeColor="text1" w:themeTint="D9"/>
        </w:rPr>
        <w:t>.</w:t>
      </w:r>
    </w:p>
  </w:footnote>
  <w:footnote w:id="612">
    <w:p w14:paraId="7BFC9D4C"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Konstantinos Tambalis and others “Physical fitness normative values for 6–18-year-old Greek boys and girls, using the empirical distribution and the lambda, mu, and sigma statistical method” (2016) 16 Eur J Sport Sci 736 at 739.</w:t>
      </w:r>
    </w:p>
  </w:footnote>
  <w:footnote w:id="613">
    <w:p w14:paraId="252B56C9"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Espen Tønnessen and others “Performance Development in Adolescent Track and Field Athletes According to Age, Sex and Sport Discipline” (2015) 10(6) PLOS ONE e0129014 at 7. </w:t>
      </w:r>
    </w:p>
  </w:footnote>
  <w:footnote w:id="614">
    <w:p w14:paraId="0AAD1F56" w14:textId="77777777" w:rsidR="00F80BAC" w:rsidRPr="008642D1" w:rsidRDefault="00F80BAC" w:rsidP="00F80BAC">
      <w:pPr>
        <w:pStyle w:val="FootnoteText"/>
        <w:rPr>
          <w:color w:val="262626" w:themeColor="text1" w:themeTint="D9"/>
        </w:rPr>
      </w:pPr>
      <w:r w:rsidRPr="008642D1">
        <w:rPr>
          <w:rStyle w:val="FootnoteReference"/>
          <w:rFonts w:eastAsiaTheme="majorEastAsia"/>
        </w:rPr>
        <w:footnoteRef/>
      </w:r>
      <w:r w:rsidRPr="008642D1">
        <w:rPr>
          <w:color w:val="262626" w:themeColor="text1" w:themeTint="D9"/>
        </w:rPr>
        <w:t xml:space="preserve"> </w:t>
      </w:r>
      <w:r w:rsidRPr="008642D1">
        <w:rPr>
          <w:color w:val="262626" w:themeColor="text1" w:themeTint="D9"/>
        </w:rPr>
        <w:tab/>
        <w:t>Valérie Thibault and others “Women and men in sport performance: The gender gap has not evolved since 1983” (2010) 9 Journal of Sports Science and Medicine 214 at 222.</w:t>
      </w:r>
    </w:p>
  </w:footnote>
  <w:footnote w:id="615">
    <w:p w14:paraId="2E97D034"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Jonathon Senefeld and Sandra Hunter “Hormonal Basis of Biological Sex Differences in Human Athletic Performance” (2024) 165 Endocrinology bqae036 at 2.</w:t>
      </w:r>
    </w:p>
  </w:footnote>
  <w:footnote w:id="616">
    <w:p w14:paraId="111B29F1" w14:textId="46BD3E3F" w:rsidR="00F80BAC" w:rsidRPr="008642D1" w:rsidRDefault="00F80BAC" w:rsidP="00F80BAC">
      <w:pPr>
        <w:pStyle w:val="FootnoteText"/>
        <w:rPr>
          <w:color w:val="262626" w:themeColor="text1" w:themeTint="D9"/>
        </w:rPr>
      </w:pPr>
      <w:r w:rsidRPr="008642D1">
        <w:rPr>
          <w:rStyle w:val="FootnoteReference"/>
          <w:rFonts w:eastAsiaTheme="majorEastAsia"/>
        </w:rPr>
        <w:footnoteRef/>
      </w:r>
      <w:r w:rsidRPr="008642D1">
        <w:rPr>
          <w:color w:val="262626" w:themeColor="text1" w:themeTint="D9"/>
        </w:rPr>
        <w:t xml:space="preserve"> </w:t>
      </w:r>
      <w:r w:rsidRPr="008642D1">
        <w:rPr>
          <w:color w:val="262626" w:themeColor="text1" w:themeTint="D9"/>
        </w:rPr>
        <w:tab/>
        <w:t>Tim Whitaker, Alison Hargreaves and Inga Wolframm “Differences in elite showjumping performance between male and female riders” (2012) 12 International Journal of Performance Analysis in Sport 425.</w:t>
      </w:r>
    </w:p>
  </w:footnote>
  <w:footnote w:id="617">
    <w:p w14:paraId="5A24CE3A" w14:textId="27A91D3D"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w:t>
      </w:r>
      <w:r w:rsidRPr="008642D1" w:rsidDel="00697735">
        <w:rPr>
          <w:color w:val="262626" w:themeColor="text1" w:themeTint="D9"/>
        </w:rPr>
        <w:t>,</w:t>
      </w:r>
      <w:r w:rsidRPr="008642D1">
        <w:rPr>
          <w:color w:val="262626" w:themeColor="text1" w:themeTint="D9"/>
        </w:rPr>
        <w:t xml:space="preserve"> </w:t>
      </w:r>
      <w:r w:rsidR="0018354F">
        <w:rPr>
          <w:color w:val="262626" w:themeColor="text1" w:themeTint="D9"/>
        </w:rPr>
        <w:t xml:space="preserve">some sporting bodies </w:t>
      </w:r>
      <w:r w:rsidR="00671D47">
        <w:rPr>
          <w:color w:val="262626" w:themeColor="text1" w:themeTint="D9"/>
        </w:rPr>
        <w:t>do</w:t>
      </w:r>
      <w:r w:rsidR="00E82812">
        <w:rPr>
          <w:color w:val="262626" w:themeColor="text1" w:themeTint="D9"/>
        </w:rPr>
        <w:t xml:space="preserve"> not allow </w:t>
      </w:r>
      <w:r w:rsidR="0018354F">
        <w:rPr>
          <w:color w:val="262626" w:themeColor="text1" w:themeTint="D9"/>
        </w:rPr>
        <w:t xml:space="preserve">transgender women who have experienced male puberty </w:t>
      </w:r>
      <w:r w:rsidR="00E82812">
        <w:rPr>
          <w:color w:val="262626" w:themeColor="text1" w:themeTint="D9"/>
        </w:rPr>
        <w:t xml:space="preserve">to participate in women’s categories but will allow transgender women who have not experienced male puberty to participate if they comply with conditions such as undergoing hormone therapy. </w:t>
      </w:r>
      <w:r w:rsidRPr="008642D1">
        <w:rPr>
          <w:color w:val="262626" w:themeColor="text1" w:themeTint="D9"/>
        </w:rPr>
        <w:t xml:space="preserve">For example, World Athletics </w:t>
      </w:r>
      <w:r w:rsidRPr="008642D1">
        <w:rPr>
          <w:i/>
          <w:iCs/>
          <w:color w:val="262626" w:themeColor="text1" w:themeTint="D9"/>
        </w:rPr>
        <w:t xml:space="preserve">Eligibility Regulations for Transgender Athletes </w:t>
      </w:r>
      <w:r w:rsidRPr="008642D1">
        <w:rPr>
          <w:color w:val="262626" w:themeColor="text1" w:themeTint="D9"/>
        </w:rPr>
        <w:t xml:space="preserve">(version 2, 23 March 2023) at [3.2.2]; and World Aquatics </w:t>
      </w:r>
      <w:r w:rsidR="003303AA" w:rsidRPr="008642D1">
        <w:rPr>
          <w:i/>
          <w:color w:val="262626" w:themeColor="text1" w:themeTint="D9"/>
        </w:rPr>
        <w:t>Policy</w:t>
      </w:r>
      <w:r w:rsidRPr="008642D1">
        <w:rPr>
          <w:i/>
          <w:color w:val="262626" w:themeColor="text1" w:themeTint="D9"/>
        </w:rPr>
        <w:t xml:space="preserve"> on </w:t>
      </w:r>
      <w:r w:rsidR="003303AA" w:rsidRPr="008642D1">
        <w:rPr>
          <w:i/>
          <w:color w:val="262626" w:themeColor="text1" w:themeTint="D9"/>
        </w:rPr>
        <w:t xml:space="preserve">Eligibility for </w:t>
      </w:r>
      <w:r w:rsidRPr="008642D1">
        <w:rPr>
          <w:i/>
          <w:color w:val="262626" w:themeColor="text1" w:themeTint="D9"/>
        </w:rPr>
        <w:t xml:space="preserve">the </w:t>
      </w:r>
      <w:r w:rsidR="003303AA" w:rsidRPr="008642D1">
        <w:rPr>
          <w:i/>
          <w:color w:val="262626" w:themeColor="text1" w:themeTint="D9"/>
        </w:rPr>
        <w:t>Men’s and Women’s Competition Categorie</w:t>
      </w:r>
      <w:r w:rsidR="003303AA" w:rsidRPr="008642D1">
        <w:rPr>
          <w:color w:val="262626" w:themeColor="text1" w:themeTint="D9"/>
        </w:rPr>
        <w:t>s (19 June 2022)</w:t>
      </w:r>
      <w:r w:rsidRPr="008642D1">
        <w:rPr>
          <w:color w:val="262626" w:themeColor="text1" w:themeTint="D9"/>
        </w:rPr>
        <w:t xml:space="preserve"> at</w:t>
      </w:r>
      <w:r w:rsidR="00AD70E4">
        <w:rPr>
          <w:color w:val="262626" w:themeColor="text1" w:themeTint="D9"/>
        </w:rPr>
        <w:t xml:space="preserve"> 8</w:t>
      </w:r>
      <w:r w:rsidRPr="008642D1" w:rsidDel="009310F4">
        <w:rPr>
          <w:color w:val="262626" w:themeColor="text1" w:themeTint="D9"/>
        </w:rPr>
        <w:t>.</w:t>
      </w:r>
    </w:p>
  </w:footnote>
  <w:footnote w:id="618">
    <w:p w14:paraId="51087271"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We acknowledge, however, that there is some research suggesting there are physical differences (on a population basis) between transgender women who have not undergone hormone replacement therapy and cisgender men: for example, Joanna Harper “Transgender Athletes and International Sports Policy” (2022) 85(1) Law and Contemporary Problems 151 at 159–160.</w:t>
      </w:r>
    </w:p>
  </w:footnote>
  <w:footnote w:id="619">
    <w:p w14:paraId="4C1B3E0E"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Joanna Harper and others “How does hormone transition in transgender women change body composition, muscle strength and haemoglobin? Systematic review with a focus on the implications for sports participation” (2021) 55 Br J Sports Med 865.</w:t>
      </w:r>
    </w:p>
  </w:footnote>
  <w:footnote w:id="620">
    <w:p w14:paraId="4C28733B"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Timothy Roberts, Joshua Smalley and Dale Ahrendt “Effect of gender affirming hormones on athletic performance in transwomen and transmen: implications for sporting organisations and legislators” (2021) 55 Br J Sports Med 577; Leonardo Azevedo Mobilia Alvares and others “Cardiopulmonary capacity and muscle strength in transgender women on long-term gender-affirming hormone therapy: a cross-sectional study” (2023) 56 Br J Sports Med 1292; Ada Cheung and others “The Impact of Gender-Affirming Hormone Therapy on Physical Performance” (2024) 109 J Clin Endocrinol Metab e455; and Blair Hamilton and others “Strength, power and aerobic capacity of transgender athletes: a cross-sectional study” (2024) </w:t>
      </w:r>
      <w:bookmarkStart w:id="158" w:name="_Hlk167712730"/>
      <w:r w:rsidRPr="008642D1">
        <w:rPr>
          <w:color w:val="262626" w:themeColor="text1" w:themeTint="D9"/>
        </w:rPr>
        <w:t xml:space="preserve">58 Br J Sports Med 586. </w:t>
      </w:r>
    </w:p>
    <w:bookmarkEnd w:id="158"/>
  </w:footnote>
  <w:footnote w:id="621">
    <w:p w14:paraId="46D97799"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World Rugby </w:t>
      </w:r>
      <w:r w:rsidRPr="008642D1">
        <w:rPr>
          <w:i/>
          <w:iCs/>
          <w:color w:val="262626" w:themeColor="text1" w:themeTint="D9"/>
        </w:rPr>
        <w:t xml:space="preserve">Summary of Transgender Biology and Performance Research </w:t>
      </w:r>
      <w:r w:rsidRPr="008642D1">
        <w:rPr>
          <w:color w:val="262626" w:themeColor="text1" w:themeTint="D9"/>
        </w:rPr>
        <w:t>(2020).</w:t>
      </w:r>
    </w:p>
  </w:footnote>
  <w:footnote w:id="622">
    <w:p w14:paraId="1330F98B" w14:textId="55DA6EDA" w:rsidR="003A7102" w:rsidRDefault="003A7102">
      <w:pPr>
        <w:pStyle w:val="FootnoteText"/>
      </w:pPr>
      <w:r>
        <w:rPr>
          <w:rStyle w:val="FootnoteReference"/>
        </w:rPr>
        <w:footnoteRef/>
      </w:r>
      <w:r>
        <w:t xml:space="preserve"> </w:t>
      </w:r>
      <w:r>
        <w:tab/>
      </w:r>
      <w:r w:rsidRPr="008642D1">
        <w:rPr>
          <w:color w:val="262626" w:themeColor="text1" w:themeTint="D9"/>
        </w:rPr>
        <w:t>Blair Hamilton and others “Strength, power and aerobic capacity of transgender athletes: a cross-sectional study” (2024) 58 Br J Sports Med 586</w:t>
      </w:r>
      <w:r>
        <w:rPr>
          <w:color w:val="262626" w:themeColor="text1" w:themeTint="D9"/>
        </w:rPr>
        <w:t xml:space="preserve"> at 5</w:t>
      </w:r>
      <w:r w:rsidR="00070774">
        <w:rPr>
          <w:color w:val="262626" w:themeColor="text1" w:themeTint="D9"/>
        </w:rPr>
        <w:t>91</w:t>
      </w:r>
      <w:r w:rsidRPr="008642D1">
        <w:rPr>
          <w:color w:val="262626" w:themeColor="text1" w:themeTint="D9"/>
        </w:rPr>
        <w:t>.</w:t>
      </w:r>
    </w:p>
  </w:footnote>
  <w:footnote w:id="623">
    <w:p w14:paraId="1FCE0845" w14:textId="416F96C6"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003A7102">
        <w:rPr>
          <w:color w:val="262626" w:themeColor="text1" w:themeTint="D9"/>
        </w:rPr>
        <w:t>At 5</w:t>
      </w:r>
      <w:r w:rsidR="00070774">
        <w:rPr>
          <w:color w:val="262626" w:themeColor="text1" w:themeTint="D9"/>
        </w:rPr>
        <w:t>88 and 591</w:t>
      </w:r>
      <w:r w:rsidR="00C81DE2">
        <w:rPr>
          <w:color w:val="262626" w:themeColor="text1" w:themeTint="D9"/>
        </w:rPr>
        <w:t>–</w:t>
      </w:r>
      <w:r w:rsidR="00FB6E0A">
        <w:rPr>
          <w:color w:val="262626" w:themeColor="text1" w:themeTint="D9"/>
        </w:rPr>
        <w:t>592</w:t>
      </w:r>
      <w:r w:rsidR="003A7102">
        <w:rPr>
          <w:color w:val="262626" w:themeColor="text1" w:themeTint="D9"/>
        </w:rPr>
        <w:t>.</w:t>
      </w:r>
    </w:p>
  </w:footnote>
  <w:footnote w:id="624">
    <w:p w14:paraId="3E1FF0D2"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Cleveland Clinic “Hyperandrogenism” &lt;</w:t>
      </w:r>
      <w:hyperlink r:id="rId95" w:history="1">
        <w:r w:rsidRPr="008642D1">
          <w:rPr>
            <w:rStyle w:val="Hyperlink"/>
            <w:color w:val="262626" w:themeColor="text1" w:themeTint="D9"/>
          </w:rPr>
          <w:t>www.clevelandclinic.org</w:t>
        </w:r>
      </w:hyperlink>
      <w:r w:rsidRPr="008642D1">
        <w:rPr>
          <w:color w:val="262626" w:themeColor="text1" w:themeTint="D9"/>
        </w:rPr>
        <w:t xml:space="preserve">&gt;. </w:t>
      </w:r>
    </w:p>
  </w:footnote>
  <w:footnote w:id="625">
    <w:p w14:paraId="6A667324"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Robert L Rosenfield, Randall B Barnes and David A Ehrmann “Hyperandrogenism, Hirsutism, and Polycystic Ovary Syndrome” in J Larry Jameson and others (eds) </w:t>
      </w:r>
      <w:r w:rsidRPr="008642D1">
        <w:rPr>
          <w:i/>
          <w:iCs/>
          <w:color w:val="262626" w:themeColor="text1" w:themeTint="D9"/>
        </w:rPr>
        <w:t>Endocrinology: Adult and Pediatric</w:t>
      </w:r>
      <w:r w:rsidRPr="008642D1">
        <w:rPr>
          <w:rFonts w:ascii="Calibri" w:hAnsi="Calibri" w:cs="Calibri"/>
          <w:i/>
          <w:iCs/>
          <w:color w:val="262626" w:themeColor="text1" w:themeTint="D9"/>
        </w:rPr>
        <w:t> </w:t>
      </w:r>
      <w:r w:rsidRPr="008642D1">
        <w:rPr>
          <w:color w:val="262626" w:themeColor="text1" w:themeTint="D9"/>
        </w:rPr>
        <w:t>(7th ed, Elsevier Saunders, Philadelphia, 2016) vol 2 at</w:t>
      </w:r>
      <w:r w:rsidRPr="008642D1">
        <w:rPr>
          <w:rFonts w:ascii="Calibri" w:hAnsi="Calibri" w:cs="Calibri"/>
          <w:i/>
          <w:iCs/>
          <w:color w:val="262626" w:themeColor="text1" w:themeTint="D9"/>
        </w:rPr>
        <w:t> </w:t>
      </w:r>
      <w:r w:rsidRPr="008642D1">
        <w:rPr>
          <w:color w:val="262626" w:themeColor="text1" w:themeTint="D9"/>
        </w:rPr>
        <w:t>2280–2281.</w:t>
      </w:r>
    </w:p>
  </w:footnote>
  <w:footnote w:id="626">
    <w:p w14:paraId="775C1786"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Stéphane Bermon and Pierre-Yves Garnier “Serum androgen levels and their relation to performance in track and field: mass spectrometry results from 2127 observations in male and female elite athletes” (2017) 51 Br J Sports Med 1309 at </w:t>
      </w:r>
      <w:r w:rsidRPr="008642D1" w:rsidDel="007425C6">
        <w:rPr>
          <w:color w:val="262626" w:themeColor="text1" w:themeTint="D9"/>
        </w:rPr>
        <w:t>1309, 1312 and 1314</w:t>
      </w:r>
      <w:r w:rsidRPr="008642D1">
        <w:rPr>
          <w:color w:val="262626" w:themeColor="text1" w:themeTint="D9"/>
        </w:rPr>
        <w:t xml:space="preserve"> and “Correction: </w:t>
      </w:r>
      <w:r w:rsidRPr="008642D1">
        <w:rPr>
          <w:i/>
          <w:iCs/>
          <w:color w:val="262626" w:themeColor="text1" w:themeTint="D9"/>
        </w:rPr>
        <w:t>Serum androgen levels and their relation to performance in track and field: mass spectrometry results from 2127 observations in male and female elite athletes”</w:t>
      </w:r>
      <w:r w:rsidRPr="008642D1">
        <w:rPr>
          <w:color w:val="262626" w:themeColor="text1" w:themeTint="D9"/>
        </w:rPr>
        <w:t xml:space="preserve"> (2021) 55 Br J Sports Med e7. </w:t>
      </w:r>
    </w:p>
  </w:footnote>
  <w:footnote w:id="627">
    <w:p w14:paraId="22FF5BA7"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Anette Rickenlund and others “Hyperandrogenicity is an alternative mechanism underlying oligomenorrhea or amenorrhea in female athletes and may improve physical performance” (2003) 79 Fertil Steril 947 at 947 and 952–954.</w:t>
      </w:r>
    </w:p>
  </w:footnote>
  <w:footnote w:id="628">
    <w:p w14:paraId="396BE5C4"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w:t>
      </w:r>
      <w:r w:rsidRPr="008642D1">
        <w:rPr>
          <w:i/>
          <w:iCs/>
          <w:color w:val="262626" w:themeColor="text1" w:themeTint="D9"/>
        </w:rPr>
        <w:t xml:space="preserve">Robertson v Australian Ice Hockey Federation </w:t>
      </w:r>
      <w:r w:rsidRPr="008642D1">
        <w:rPr>
          <w:color w:val="262626" w:themeColor="text1" w:themeTint="D9"/>
        </w:rPr>
        <w:t>[1998] VADT 112 (Anti-Discrimination Tribunal) at 10.</w:t>
      </w:r>
    </w:p>
  </w:footnote>
  <w:footnote w:id="629">
    <w:p w14:paraId="7B5A70B5"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Ihi Aotearoa | Sport New Zealand </w:t>
      </w:r>
      <w:r w:rsidRPr="008642D1">
        <w:rPr>
          <w:i/>
          <w:iCs/>
          <w:color w:val="262626" w:themeColor="text1" w:themeTint="D9"/>
        </w:rPr>
        <w:t xml:space="preserve">Guiding Principles for the Inclusion of Transgender People in Community Sport </w:t>
      </w:r>
      <w:r w:rsidRPr="008642D1">
        <w:rPr>
          <w:color w:val="262626" w:themeColor="text1" w:themeTint="D9"/>
        </w:rPr>
        <w:t>(December 2022) at 10.</w:t>
      </w:r>
    </w:p>
  </w:footnote>
  <w:footnote w:id="630">
    <w:p w14:paraId="57A2CE28" w14:textId="5477D44A"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Ihi Aotearoa | Sport New Zealand </w:t>
      </w:r>
      <w:r w:rsidRPr="008642D1">
        <w:rPr>
          <w:i/>
          <w:iCs/>
          <w:color w:val="262626" w:themeColor="text1" w:themeTint="D9"/>
        </w:rPr>
        <w:t xml:space="preserve">Guiding Principles for the Inclusion of Transgender People in Community Sport </w:t>
      </w:r>
      <w:r w:rsidRPr="008642D1">
        <w:rPr>
          <w:color w:val="262626" w:themeColor="text1" w:themeTint="D9"/>
        </w:rPr>
        <w:t>(December 2022) at 13.</w:t>
      </w:r>
    </w:p>
  </w:footnote>
  <w:footnote w:id="631">
    <w:p w14:paraId="1BCBBEDB"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Sex Discrimination Act 1984 (Cth), s 42(1). See also s 42(2), which is in similar terms to s 49(2) Human Rights Act 1993. </w:t>
      </w:r>
    </w:p>
  </w:footnote>
  <w:footnote w:id="632">
    <w:p w14:paraId="7265A7BB"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Anti-Discrimination Act 1977 (NSW), s 38P(1).</w:t>
      </w:r>
    </w:p>
  </w:footnote>
  <w:footnote w:id="633">
    <w:p w14:paraId="40E09869" w14:textId="64D98F7B"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Equality Legislation Amendment (LGBTIQA+) Bill 2023 (NSW), sch 1, cl 12.  </w:t>
      </w:r>
    </w:p>
  </w:footnote>
  <w:footnote w:id="634">
    <w:p w14:paraId="0343C825"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Equal Opportunity Act 1984 (WA), s 35AP(2).</w:t>
      </w:r>
    </w:p>
  </w:footnote>
  <w:footnote w:id="635">
    <w:p w14:paraId="5A61D84E"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Equality Act 2010, s 195.</w:t>
      </w:r>
    </w:p>
  </w:footnote>
  <w:footnote w:id="636">
    <w:p w14:paraId="76B41043" w14:textId="77777777" w:rsidR="00F80BAC" w:rsidRPr="008642D1" w:rsidRDefault="00F80BAC" w:rsidP="00F80BAC">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Equality Legislation Amendment (LGBTIQA+) Bill 2023 (NSW), sch 1, cl 12.</w:t>
      </w:r>
    </w:p>
  </w:footnote>
  <w:footnote w:id="637">
    <w:p w14:paraId="49117EEE"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Human Rights Act 1993, s 68. See, also, Human Rights Act 1993, ss 65 (indirect discrimination) and 67 (advertisements). </w:t>
      </w:r>
    </w:p>
  </w:footnote>
  <w:footnote w:id="638">
    <w:p w14:paraId="3F3F59A9"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68(3) (“he and she”).</w:t>
      </w:r>
    </w:p>
  </w:footnote>
  <w:footnote w:id="639">
    <w:p w14:paraId="7C5F8321"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Human Rights Act 1993, s 63 (concerning racial harassment).</w:t>
      </w:r>
    </w:p>
  </w:footnote>
  <w:footnote w:id="640">
    <w:p w14:paraId="773687EA"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Human Rights Act 1993, s 62 (concerning sexual harassment).</w:t>
      </w:r>
    </w:p>
  </w:footnote>
  <w:footnote w:id="641">
    <w:p w14:paraId="020910D3"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Human Rights Act 1993, s 62 (concerning sexual harassment).</w:t>
      </w:r>
    </w:p>
  </w:footnote>
  <w:footnote w:id="642">
    <w:p w14:paraId="30D72906"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Human Rights Act 1993, s 63A (concerning conversion practices).</w:t>
      </w:r>
    </w:p>
  </w:footnote>
  <w:footnote w:id="643">
    <w:p w14:paraId="494D91C4"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Human Rights Act 1993, s 63A (concerning conversion practices). </w:t>
      </w:r>
    </w:p>
  </w:footnote>
  <w:footnote w:id="644">
    <w:p w14:paraId="3FDDDABA"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ss 61 (racial disharmony) and 63A (conversion practices). A third provision (not in Part 2) is also out of scope: Human Rights Act 1993, s 131 (also concerning incitement of racial disharmony).</w:t>
      </w:r>
    </w:p>
  </w:footnote>
  <w:footnote w:id="645">
    <w:p w14:paraId="3D1CF932"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Human Rights Act 1993, ss 62A (adverse treatment in employment of people affected by family violence), 63 (racial harassment) and 66 (victimisation of whistleblowers or complainants). </w:t>
      </w:r>
    </w:p>
  </w:footnote>
  <w:footnote w:id="646">
    <w:p w14:paraId="1B90D506"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There is a corresponding provision in the Employment Relations Act 2000, s 108. </w:t>
      </w:r>
    </w:p>
  </w:footnote>
  <w:footnote w:id="647">
    <w:p w14:paraId="1E490333" w14:textId="7BC5BDB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62(3).</w:t>
      </w:r>
      <w:r w:rsidRPr="008642D1">
        <w:rPr>
          <w:color w:val="262626" w:themeColor="text1" w:themeTint="D9"/>
          <w:lang w:val="mi-NZ"/>
        </w:rPr>
        <w:t xml:space="preserve"> Unlike many provisions in Part 2, the prohibition on sexual harassment applies to government agencies as well as private </w:t>
      </w:r>
      <w:r w:rsidR="0071619E">
        <w:rPr>
          <w:color w:val="262626" w:themeColor="text1" w:themeTint="D9"/>
          <w:lang w:val="mi-NZ"/>
        </w:rPr>
        <w:t>individuals</w:t>
      </w:r>
      <w:r w:rsidR="0071619E" w:rsidRPr="008642D1">
        <w:rPr>
          <w:color w:val="262626" w:themeColor="text1" w:themeTint="D9"/>
          <w:lang w:val="mi-NZ"/>
        </w:rPr>
        <w:t xml:space="preserve"> </w:t>
      </w:r>
      <w:r w:rsidRPr="008642D1">
        <w:rPr>
          <w:color w:val="262626" w:themeColor="text1" w:themeTint="D9"/>
          <w:lang w:val="mi-NZ"/>
        </w:rPr>
        <w:t xml:space="preserve">and organisations: </w:t>
      </w:r>
      <w:r w:rsidRPr="008642D1">
        <w:rPr>
          <w:color w:val="262626" w:themeColor="text1" w:themeTint="D9"/>
        </w:rPr>
        <w:t>Human Rights Act 1993, ss 20J(2) and 21A.</w:t>
      </w:r>
    </w:p>
  </w:footnote>
  <w:footnote w:id="648">
    <w:p w14:paraId="720C81F5" w14:textId="534BCC76"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Australian Human Rights Commission </w:t>
      </w:r>
      <w:r w:rsidRPr="008642D1">
        <w:rPr>
          <w:i/>
          <w:iCs/>
          <w:color w:val="262626" w:themeColor="text1" w:themeTint="D9"/>
        </w:rPr>
        <w:t xml:space="preserve">Time for respect: Fifth national survey on sexual harassment in Australian workplaces </w:t>
      </w:r>
      <w:r w:rsidRPr="008642D1">
        <w:rPr>
          <w:color w:val="262626" w:themeColor="text1" w:themeTint="D9"/>
        </w:rPr>
        <w:t xml:space="preserve">(November 2022) at 48 and 53. The sample sizes are small so the results should be approached with caution. However, in the most recent survey, 67 per cent of non-binary respondents and 70 per cent of participants with an intersex variation (the term used in the survey) reported being sexually harassed at work in the last five years. This compared </w:t>
      </w:r>
      <w:r w:rsidR="00087A9E">
        <w:rPr>
          <w:color w:val="262626" w:themeColor="text1" w:themeTint="D9"/>
        </w:rPr>
        <w:t>to</w:t>
      </w:r>
      <w:r w:rsidR="00087A9E" w:rsidRPr="008642D1">
        <w:rPr>
          <w:color w:val="262626" w:themeColor="text1" w:themeTint="D9"/>
        </w:rPr>
        <w:t xml:space="preserve"> </w:t>
      </w:r>
      <w:r w:rsidRPr="008642D1">
        <w:rPr>
          <w:color w:val="262626" w:themeColor="text1" w:themeTint="D9"/>
        </w:rPr>
        <w:t xml:space="preserve">41 per cent of all women, 26 per cent of all men and 33 per cent of all respondents who did not have an intersex variation. </w:t>
      </w:r>
    </w:p>
  </w:footnote>
  <w:footnote w:id="649">
    <w:p w14:paraId="64E28A50" w14:textId="77777777" w:rsidR="001961AE" w:rsidRPr="008642D1" w:rsidRDefault="001961AE" w:rsidP="001961AE">
      <w:pPr>
        <w:pStyle w:val="FootnoteText"/>
        <w:rPr>
          <w:color w:val="262626" w:themeColor="text1" w:themeTint="D9"/>
          <w:lang w:val="mi-NZ"/>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color w:val="262626" w:themeColor="text1" w:themeTint="D9"/>
          <w:lang w:val="mi-NZ"/>
        </w:rPr>
        <w:t>There is a corresponding provision in the Employment Relations Act 2000, s 109.</w:t>
      </w:r>
    </w:p>
  </w:footnote>
  <w:footnote w:id="650">
    <w:p w14:paraId="61E11812" w14:textId="58B00AC1"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L</w:t>
      </w:r>
      <w:r w:rsidRPr="008642D1">
        <w:rPr>
          <w:color w:val="262626" w:themeColor="text1" w:themeTint="D9"/>
          <w:lang w:val="mi-NZ"/>
        </w:rPr>
        <w:t xml:space="preserve">ike sexual harassment, racial harassment applies to government agencies as well as private </w:t>
      </w:r>
      <w:r w:rsidR="0071619E">
        <w:rPr>
          <w:color w:val="262626" w:themeColor="text1" w:themeTint="D9"/>
          <w:lang w:val="mi-NZ"/>
        </w:rPr>
        <w:t>individuals</w:t>
      </w:r>
      <w:r w:rsidR="0071619E" w:rsidRPr="008642D1">
        <w:rPr>
          <w:color w:val="262626" w:themeColor="text1" w:themeTint="D9"/>
          <w:lang w:val="mi-NZ"/>
        </w:rPr>
        <w:t xml:space="preserve"> </w:t>
      </w:r>
      <w:r w:rsidRPr="008642D1">
        <w:rPr>
          <w:color w:val="262626" w:themeColor="text1" w:themeTint="D9"/>
          <w:lang w:val="mi-NZ"/>
        </w:rPr>
        <w:t>and organisations:</w:t>
      </w:r>
      <w:r w:rsidRPr="008642D1">
        <w:rPr>
          <w:color w:val="262626" w:themeColor="text1" w:themeTint="D9"/>
        </w:rPr>
        <w:t xml:space="preserve"> Human Rights Act 1993, ss 20J(2) and 21A.</w:t>
      </w:r>
    </w:p>
  </w:footnote>
  <w:footnote w:id="651">
    <w:p w14:paraId="136551CB"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color w:val="262626" w:themeColor="text1" w:themeTint="D9"/>
          <w:lang w:val="mi-NZ"/>
        </w:rPr>
        <w:t>Like sexual harassment, racial harassment is unlawful in all the areas of life regulated by Part 2 as well as when participating “in fora for the exchange of ideas and information”:</w:t>
      </w:r>
      <w:r w:rsidRPr="008642D1">
        <w:rPr>
          <w:color w:val="262626" w:themeColor="text1" w:themeTint="D9"/>
        </w:rPr>
        <w:t xml:space="preserve"> Human Rights Act 1993, s 62(3).</w:t>
      </w:r>
    </w:p>
  </w:footnote>
  <w:footnote w:id="652">
    <w:p w14:paraId="30FF97C3"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This is the case in the United Kingdom, Ireland, eight of Canada’s 13 provinces and territories and Canada’s federal Canadian Human Rights Act RSC 1985 c H-6. </w:t>
      </w:r>
    </w:p>
  </w:footnote>
  <w:footnote w:id="653">
    <w:p w14:paraId="586DE476" w14:textId="149D6940"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eight Canadian jurisdictions prohibit harassment on the basis of gender identity</w:t>
      </w:r>
      <w:r w:rsidR="00E024DC">
        <w:rPr>
          <w:color w:val="262626" w:themeColor="text1" w:themeTint="D9"/>
        </w:rPr>
        <w:t>,</w:t>
      </w:r>
      <w:r w:rsidRPr="008642D1">
        <w:rPr>
          <w:color w:val="262626" w:themeColor="text1" w:themeTint="D9"/>
        </w:rPr>
        <w:t xml:space="preserve"> and seven of those prohibit harassment on the basis of gender expression. The United Kingdom protects against harassment on the ground of “gender reassignment”.</w:t>
      </w:r>
    </w:p>
  </w:footnote>
  <w:footnote w:id="654">
    <w:p w14:paraId="0AE26DCB"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Anti-Discrimination Act 1992 (NT), s 19(1). </w:t>
      </w:r>
    </w:p>
  </w:footnote>
  <w:footnote w:id="655">
    <w:p w14:paraId="2B9ABFF1"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United Nations Committee on Economic, Social and Cultural Rights</w:t>
      </w:r>
      <w:r w:rsidRPr="008642D1">
        <w:rPr>
          <w:i/>
          <w:iCs/>
          <w:color w:val="262626" w:themeColor="text1" w:themeTint="D9"/>
        </w:rPr>
        <w:t xml:space="preserve"> General Comment No 36: on the right to just and favourable conditions of work (article 7 of the International Covenant on Economic, Social and Cultural Rights)</w:t>
      </w:r>
      <w:r w:rsidRPr="008642D1">
        <w:rPr>
          <w:color w:val="262626" w:themeColor="text1" w:themeTint="D9"/>
        </w:rPr>
        <w:t xml:space="preserve"> (27 April 2016) at [48].</w:t>
      </w:r>
    </w:p>
  </w:footnote>
  <w:footnote w:id="656">
    <w:p w14:paraId="6AC2470E"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Adam O Hill and others </w:t>
      </w:r>
      <w:r w:rsidRPr="008642D1">
        <w:rPr>
          <w:i/>
          <w:iCs/>
          <w:color w:val="262626" w:themeColor="text1" w:themeTint="D9"/>
        </w:rPr>
        <w:t xml:space="preserve">Private Lives 3: The health and wellbeing of LGBTIQ people in Australia </w:t>
      </w:r>
      <w:r w:rsidRPr="008642D1">
        <w:rPr>
          <w:color w:val="262626" w:themeColor="text1" w:themeTint="D9"/>
        </w:rPr>
        <w:t>(Australian Research Centre in Sex, Health &amp; Society, La Trobe University, 2020) at 41.</w:t>
      </w:r>
    </w:p>
  </w:footnote>
  <w:footnote w:id="657">
    <w:p w14:paraId="3A2CE15E"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Transgender Health Research Lab </w:t>
      </w:r>
      <w:r w:rsidRPr="008642D1">
        <w:rPr>
          <w:i/>
          <w:iCs/>
          <w:color w:val="262626" w:themeColor="text1" w:themeTint="D9"/>
        </w:rPr>
        <w:t xml:space="preserve">Counting Ourselves: The health and wellbeing of trans and non-binary people in Aotearoa New Zealand </w:t>
      </w:r>
      <w:r w:rsidRPr="008642D1">
        <w:rPr>
          <w:color w:val="262626" w:themeColor="text1" w:themeTint="D9"/>
        </w:rPr>
        <w:t>(Te Whare Wānanga o Waikato | University of Waikato, 2019) at 71 and 74.</w:t>
      </w:r>
    </w:p>
  </w:footnote>
  <w:footnote w:id="658">
    <w:p w14:paraId="66CEA199" w14:textId="2AF0366D"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a transgender man in the </w:t>
      </w:r>
      <w:r w:rsidRPr="008642D1">
        <w:rPr>
          <w:i/>
          <w:iCs/>
          <w:color w:val="262626" w:themeColor="text1" w:themeTint="D9"/>
        </w:rPr>
        <w:t xml:space="preserve">Counting Ourselves </w:t>
      </w:r>
      <w:r w:rsidRPr="008642D1">
        <w:rPr>
          <w:color w:val="262626" w:themeColor="text1" w:themeTint="D9"/>
        </w:rPr>
        <w:t>survey explained he was grateful that</w:t>
      </w:r>
      <w:r w:rsidR="00E024DC">
        <w:rPr>
          <w:color w:val="262626" w:themeColor="text1" w:themeTint="D9"/>
        </w:rPr>
        <w:t>,</w:t>
      </w:r>
      <w:r w:rsidRPr="008642D1">
        <w:rPr>
          <w:color w:val="262626" w:themeColor="text1" w:themeTint="D9"/>
        </w:rPr>
        <w:t xml:space="preserve"> with hormone treatment</w:t>
      </w:r>
      <w:r w:rsidR="00E024DC">
        <w:rPr>
          <w:color w:val="262626" w:themeColor="text1" w:themeTint="D9"/>
        </w:rPr>
        <w:t>,</w:t>
      </w:r>
      <w:r w:rsidRPr="008642D1">
        <w:rPr>
          <w:color w:val="262626" w:themeColor="text1" w:themeTint="D9"/>
        </w:rPr>
        <w:t xml:space="preserve"> he now ‘passed’ as a man and did not risk being abused or harassed because of his gender: Transgender Health Research Lab </w:t>
      </w:r>
      <w:r w:rsidRPr="008642D1">
        <w:rPr>
          <w:i/>
          <w:iCs/>
          <w:color w:val="262626" w:themeColor="text1" w:themeTint="D9"/>
        </w:rPr>
        <w:t xml:space="preserve">Counting Ourselves: The health and wellbeing of trans and non-binary people in Aotearoa New Zealand </w:t>
      </w:r>
      <w:r w:rsidRPr="008642D1">
        <w:rPr>
          <w:color w:val="262626" w:themeColor="text1" w:themeTint="D9"/>
        </w:rPr>
        <w:t>(Te Whare Wānanga o Waikato | University of Waikato, 2019) at 75.</w:t>
      </w:r>
    </w:p>
  </w:footnote>
  <w:footnote w:id="659">
    <w:p w14:paraId="201A4B3E"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22(1)(c).</w:t>
      </w:r>
    </w:p>
  </w:footnote>
  <w:footnote w:id="660">
    <w:p w14:paraId="2BC54924"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Chapter 9 for discussion.  </w:t>
      </w:r>
    </w:p>
  </w:footnote>
  <w:footnote w:id="661">
    <w:p w14:paraId="4A93A5B9" w14:textId="77777777" w:rsidR="001961AE" w:rsidRPr="008642D1" w:rsidDel="00BC72F7" w:rsidRDefault="001961AE" w:rsidP="001961AE">
      <w:pPr>
        <w:pStyle w:val="FootnoteText"/>
        <w:rPr>
          <w:color w:val="262626" w:themeColor="text1" w:themeTint="D9"/>
        </w:rPr>
      </w:pPr>
      <w:r w:rsidRPr="008642D1" w:rsidDel="00BC72F7">
        <w:rPr>
          <w:rStyle w:val="FootnoteReference"/>
        </w:rPr>
        <w:footnoteRef/>
      </w:r>
      <w:r w:rsidRPr="008642D1" w:rsidDel="00BC72F7">
        <w:rPr>
          <w:color w:val="262626" w:themeColor="text1" w:themeTint="D9"/>
        </w:rPr>
        <w:t xml:space="preserve"> </w:t>
      </w:r>
      <w:r w:rsidRPr="008642D1" w:rsidDel="00BC72F7">
        <w:rPr>
          <w:color w:val="262626" w:themeColor="text1" w:themeTint="D9"/>
        </w:rPr>
        <w:tab/>
        <w:t>Human Rights Act 1993, s 63(1)(c).</w:t>
      </w:r>
    </w:p>
  </w:footnote>
  <w:footnote w:id="662">
    <w:p w14:paraId="1D49742A"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Claire Breen and Katrina Roen “The Rights of Intersex Children in Aotearoa New Zealand: What Surgery is being Consented to, and Why?” (2023) 31 The International Journal of Children’s Rights 533.</w:t>
      </w:r>
    </w:p>
  </w:footnote>
  <w:footnote w:id="663">
    <w:p w14:paraId="25FA2D73"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in submissions on the Crimes (Definition of Female Genital Mutilation) Amendment Bill 2019 (194-1) and the Conversion Practices Prohibition Legislation Bill 2021 (56-1).</w:t>
      </w:r>
    </w:p>
  </w:footnote>
  <w:footnote w:id="664">
    <w:p w14:paraId="09AE657B"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Intersex Aotearoa </w:t>
      </w:r>
      <w:r w:rsidRPr="008642D1">
        <w:rPr>
          <w:i/>
          <w:iCs/>
          <w:color w:val="262626" w:themeColor="text1" w:themeTint="D9"/>
        </w:rPr>
        <w:t>Thematic Report to the United Nations Committee on the Rights of the Child</w:t>
      </w:r>
      <w:r w:rsidRPr="008642D1">
        <w:rPr>
          <w:color w:val="262626" w:themeColor="text1" w:themeTint="D9"/>
        </w:rPr>
        <w:t xml:space="preserve"> (August 2022).</w:t>
      </w:r>
    </w:p>
  </w:footnote>
  <w:footnote w:id="665">
    <w:p w14:paraId="0277C4DA"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Human Rights Act 1993, s 63A (concerning conversion practices). </w:t>
      </w:r>
    </w:p>
  </w:footnote>
  <w:footnote w:id="666">
    <w:p w14:paraId="47C79644"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63A.</w:t>
      </w:r>
    </w:p>
  </w:footnote>
  <w:footnote w:id="667">
    <w:p w14:paraId="4EDC9BF3"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Conversion Practices Prohibition Legislation Bill (56-2) (select committee report) at 6. See also Tāhū o te Ture | Ministry of Justice </w:t>
      </w:r>
      <w:r w:rsidRPr="008642D1">
        <w:rPr>
          <w:i/>
          <w:iCs/>
          <w:color w:val="262626" w:themeColor="text1" w:themeTint="D9"/>
        </w:rPr>
        <w:t>Regulatory Impact Statement: Prohibiting Conversion Practices</w:t>
      </w:r>
      <w:r w:rsidRPr="008642D1">
        <w:rPr>
          <w:color w:val="262626" w:themeColor="text1" w:themeTint="D9"/>
        </w:rPr>
        <w:t xml:space="preserve"> (15 April 2021) at 4.</w:t>
      </w:r>
    </w:p>
  </w:footnote>
  <w:footnote w:id="668">
    <w:p w14:paraId="0057A3AE"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There is also a separate Act relating to conversion practices: Conversion Practices Prohibition Legislation Act 2022.</w:t>
      </w:r>
    </w:p>
  </w:footnote>
  <w:footnote w:id="669">
    <w:p w14:paraId="3D2EFAFD"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Variation in Sex Characteristics (Restricted Medical Treatment) Act 2023 (ACT).</w:t>
      </w:r>
    </w:p>
  </w:footnote>
  <w:footnote w:id="670">
    <w:p w14:paraId="4E5F9F44"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Conversion Practices Prohibition Legislation Bill (56-2) (select committee report) at 6.</w:t>
      </w:r>
    </w:p>
  </w:footnote>
  <w:footnote w:id="671">
    <w:p w14:paraId="456DD662"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Hon Ayesha Verrall MP “Rainbow health gets funding boost” (press release, 5 June 2022) &lt;</w:t>
      </w:r>
      <w:hyperlink r:id="rId96" w:history="1">
        <w:r w:rsidRPr="008642D1">
          <w:rPr>
            <w:rStyle w:val="Hyperlink"/>
            <w:color w:val="262626" w:themeColor="text1" w:themeTint="D9"/>
          </w:rPr>
          <w:t>www.beehive.govt.nz</w:t>
        </w:r>
      </w:hyperlink>
      <w:r w:rsidRPr="008642D1">
        <w:rPr>
          <w:color w:val="262626" w:themeColor="text1" w:themeTint="D9"/>
        </w:rPr>
        <w:t>&gt;.</w:t>
      </w:r>
    </w:p>
  </w:footnote>
  <w:footnote w:id="672">
    <w:p w14:paraId="21C64FE9"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definition of superannuation scheme in Human Rights Act 1993, s 2(1).</w:t>
      </w:r>
    </w:p>
  </w:footnote>
  <w:footnote w:id="673">
    <w:p w14:paraId="4FF45D1C"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This scheme has been closed to new members since 1992.</w:t>
      </w:r>
    </w:p>
  </w:footnote>
  <w:footnote w:id="674">
    <w:p w14:paraId="6CA4CF3D" w14:textId="1A221695"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Human Rights Act 1993, s 70(1), (4) and (5), which relate to age and disability. </w:t>
      </w:r>
    </w:p>
  </w:footnote>
  <w:footnote w:id="675">
    <w:p w14:paraId="09AF4FB9"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Department of Justice </w:t>
      </w:r>
      <w:r w:rsidRPr="008642D1">
        <w:rPr>
          <w:i/>
          <w:iCs/>
          <w:color w:val="262626" w:themeColor="text1" w:themeTint="D9"/>
        </w:rPr>
        <w:t xml:space="preserve">Human Rights Bill: Clauses 62, 82–84 – Report of the Department of Justice </w:t>
      </w:r>
      <w:r w:rsidRPr="008642D1">
        <w:rPr>
          <w:color w:val="262626" w:themeColor="text1" w:themeTint="D9"/>
        </w:rPr>
        <w:t>(1993)</w:t>
      </w:r>
      <w:r w:rsidRPr="008642D1">
        <w:rPr>
          <w:i/>
          <w:iCs/>
          <w:color w:val="262626" w:themeColor="text1" w:themeTint="D9"/>
        </w:rPr>
        <w:t xml:space="preserve"> </w:t>
      </w:r>
      <w:r w:rsidRPr="008642D1">
        <w:rPr>
          <w:color w:val="262626" w:themeColor="text1" w:themeTint="D9"/>
        </w:rPr>
        <w:t>at</w:t>
      </w:r>
      <w:r w:rsidRPr="008642D1">
        <w:rPr>
          <w:i/>
          <w:iCs/>
          <w:color w:val="262626" w:themeColor="text1" w:themeTint="D9"/>
        </w:rPr>
        <w:t xml:space="preserve"> </w:t>
      </w:r>
      <w:r w:rsidRPr="008642D1">
        <w:rPr>
          <w:color w:val="262626" w:themeColor="text1" w:themeTint="D9"/>
        </w:rPr>
        <w:t xml:space="preserve">9–10; and (27 July 1993) 537 NZPD 16908–16909 (Hon Lianne Dalziel MP).   </w:t>
      </w:r>
    </w:p>
  </w:footnote>
  <w:footnote w:id="676">
    <w:p w14:paraId="259229BA"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(27 July 1993) 537 NZPD 16905 (Rt Hon Douglas Graham MP).</w:t>
      </w:r>
    </w:p>
  </w:footnote>
  <w:footnote w:id="677">
    <w:p w14:paraId="73577CEA"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for example, Government Superannuation Fund </w:t>
      </w:r>
      <w:r w:rsidRPr="008642D1">
        <w:rPr>
          <w:i/>
          <w:iCs/>
          <w:color w:val="262626" w:themeColor="text1" w:themeTint="D9"/>
        </w:rPr>
        <w:t xml:space="preserve">Police Sub-Scheme </w:t>
      </w:r>
      <w:r w:rsidRPr="008642D1">
        <w:rPr>
          <w:color w:val="262626" w:themeColor="text1" w:themeTint="D9"/>
        </w:rPr>
        <w:t xml:space="preserve">(February 2020) at 4.  </w:t>
      </w:r>
    </w:p>
  </w:footnote>
  <w:footnote w:id="678">
    <w:p w14:paraId="7E600D9F"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the Government Superannuation Fund is established by statute and the Authority that manages and administers the fund is a Crown entity: see Government Superannuation Fund Act 1956, s 15A.</w:t>
      </w:r>
    </w:p>
  </w:footnote>
  <w:footnote w:id="679">
    <w:p w14:paraId="45F78D44"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it may be desirable in such a review to consider discrepancies between the wording of section 73(1) and the equivalent provision in the New Zealand Bill of Rights Act 1990, which applies to discrimination under Part 1A of the Human Rights Act.</w:t>
      </w:r>
    </w:p>
  </w:footnote>
  <w:footnote w:id="680">
    <w:p w14:paraId="44F330F6" w14:textId="77777777" w:rsidR="001961AE" w:rsidRPr="008642D1" w:rsidRDefault="001961AE" w:rsidP="001961AE">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discussion of this provision in the draft bill, see Department of Justice </w:t>
      </w:r>
      <w:r w:rsidRPr="008642D1">
        <w:rPr>
          <w:i/>
          <w:iCs/>
          <w:color w:val="262626" w:themeColor="text1" w:themeTint="D9"/>
        </w:rPr>
        <w:t>Human Rights Bill – Report of the Department of Justice</w:t>
      </w:r>
      <w:r w:rsidRPr="008642D1">
        <w:rPr>
          <w:color w:val="262626" w:themeColor="text1" w:themeTint="D9"/>
        </w:rPr>
        <w:t xml:space="preserve"> (28 May 1993) at 49.</w:t>
      </w:r>
    </w:p>
  </w:footnote>
  <w:footnote w:id="681">
    <w:p w14:paraId="40AA1D3E" w14:textId="7306311C" w:rsidR="001961AE" w:rsidRPr="008642D1" w:rsidRDefault="001961AE" w:rsidP="001961AE">
      <w:pPr>
        <w:pStyle w:val="FootnoteText"/>
        <w:rPr>
          <w:i/>
          <w:iCs/>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George Parker and others </w:t>
      </w:r>
      <w:r w:rsidRPr="008642D1">
        <w:rPr>
          <w:i/>
          <w:iCs/>
          <w:color w:val="262626" w:themeColor="text1" w:themeTint="D9"/>
        </w:rPr>
        <w:t xml:space="preserve">Warming the Whare for trans people and whānau in perinatal care </w:t>
      </w:r>
      <w:r w:rsidRPr="008642D1">
        <w:rPr>
          <w:color w:val="262626" w:themeColor="text1" w:themeTint="D9"/>
        </w:rPr>
        <w:t>(Trans Pregnancy Care Project, Otago Polytech</w:t>
      </w:r>
      <w:r w:rsidR="00C36E7F">
        <w:rPr>
          <w:color w:val="262626" w:themeColor="text1" w:themeTint="D9"/>
        </w:rPr>
        <w:t>nic</w:t>
      </w:r>
      <w:r w:rsidRPr="008642D1">
        <w:rPr>
          <w:color w:val="262626" w:themeColor="text1" w:themeTint="D9"/>
        </w:rPr>
        <w:t xml:space="preserve"> Press, 2023).</w:t>
      </w:r>
      <w:r w:rsidRPr="008642D1">
        <w:rPr>
          <w:i/>
          <w:iCs/>
          <w:color w:val="262626" w:themeColor="text1" w:themeTint="D9"/>
        </w:rPr>
        <w:t xml:space="preserve"> </w:t>
      </w:r>
    </w:p>
  </w:footnote>
  <w:footnote w:id="682">
    <w:p w14:paraId="26C9035B" w14:textId="650D1F61"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New Zealand Bill of Rights Act 1990, s 3. This refers to acts done by the legislative, executive or judicial branches of government as well as by “a</w:t>
      </w:r>
      <w:r w:rsidR="00532281">
        <w:rPr>
          <w:color w:val="262626" w:themeColor="text1" w:themeTint="D9"/>
        </w:rPr>
        <w:t>ny</w:t>
      </w:r>
      <w:r w:rsidRPr="008642D1">
        <w:rPr>
          <w:color w:val="262626" w:themeColor="text1" w:themeTint="D9"/>
        </w:rPr>
        <w:t xml:space="preserve"> person or body in the performance of any public function, power, or duty conferred or imposed on that person or body by or pursuant to law”. For simplicity and to avoid confusion with the public-facing activities that are regulated under Part 2, in this Issues Paper</w:t>
      </w:r>
      <w:r w:rsidR="00721DF7">
        <w:rPr>
          <w:color w:val="262626" w:themeColor="text1" w:themeTint="D9"/>
        </w:rPr>
        <w:t>,</w:t>
      </w:r>
      <w:r w:rsidRPr="008642D1">
        <w:rPr>
          <w:color w:val="262626" w:themeColor="text1" w:themeTint="D9"/>
        </w:rPr>
        <w:t xml:space="preserve"> we use the terms government and government functions. </w:t>
      </w:r>
    </w:p>
  </w:footnote>
  <w:footnote w:id="683">
    <w:p w14:paraId="089277E1" w14:textId="77777777"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Section 19 also provides that measures taken in good faith to assist or advance people who are disadvantaged by discrimination do not amount to discrimination: New Zealand Bill of Rights Act 1990, s 19(2).</w:t>
      </w:r>
    </w:p>
  </w:footnote>
  <w:footnote w:id="684">
    <w:p w14:paraId="760DA097" w14:textId="77777777"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w:t>
      </w:r>
      <w:r w:rsidRPr="008642D1">
        <w:rPr>
          <w:i/>
          <w:iCs/>
          <w:color w:val="262626" w:themeColor="text1" w:themeTint="D9"/>
        </w:rPr>
        <w:t xml:space="preserve">Ministry of Health v Atkinson </w:t>
      </w:r>
      <w:r w:rsidRPr="008642D1">
        <w:rPr>
          <w:color w:val="262626" w:themeColor="text1" w:themeTint="D9"/>
        </w:rPr>
        <w:t xml:space="preserve">[2012] NZCA 184, [2012] NZLR 456 at [55] and [109]; and </w:t>
      </w:r>
      <w:r w:rsidRPr="008642D1">
        <w:rPr>
          <w:i/>
          <w:iCs/>
          <w:color w:val="262626" w:themeColor="text1" w:themeTint="D9"/>
        </w:rPr>
        <w:t xml:space="preserve">Child Poverty Action Group v Attorney-General </w:t>
      </w:r>
      <w:r w:rsidRPr="008642D1">
        <w:rPr>
          <w:color w:val="262626" w:themeColor="text1" w:themeTint="D9"/>
        </w:rPr>
        <w:t>[2013] NZCA 402, [2013] 3 NZLR 729 at [43].</w:t>
      </w:r>
    </w:p>
  </w:footnote>
  <w:footnote w:id="685">
    <w:p w14:paraId="03D6C75B" w14:textId="77777777"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color w:val="262626" w:themeColor="text1" w:themeTint="D9"/>
        </w:rPr>
        <w:t>Ngaronoa</w:t>
      </w:r>
      <w:r w:rsidRPr="008642D1">
        <w:rPr>
          <w:i/>
          <w:iCs/>
          <w:color w:val="262626" w:themeColor="text1" w:themeTint="D9"/>
        </w:rPr>
        <w:t xml:space="preserve"> v Attorney-General of New Zealand </w:t>
      </w:r>
      <w:r w:rsidRPr="008642D1">
        <w:rPr>
          <w:color w:val="262626" w:themeColor="text1" w:themeTint="D9"/>
        </w:rPr>
        <w:t>[2017] NZCA 351, [2017] NZLR 643 at [121].</w:t>
      </w:r>
      <w:r w:rsidRPr="008642D1">
        <w:rPr>
          <w:i/>
          <w:iCs/>
          <w:color w:val="262626" w:themeColor="text1" w:themeTint="D9"/>
        </w:rPr>
        <w:t xml:space="preserve"> </w:t>
      </w:r>
      <w:r w:rsidRPr="008642D1">
        <w:rPr>
          <w:color w:val="262626" w:themeColor="text1" w:themeTint="D9"/>
        </w:rPr>
        <w:t>See also</w:t>
      </w:r>
      <w:r w:rsidRPr="008642D1">
        <w:rPr>
          <w:i/>
          <w:iCs/>
          <w:color w:val="262626" w:themeColor="text1" w:themeTint="D9"/>
        </w:rPr>
        <w:t xml:space="preserve"> Child Poverty Action Group v Attorney-General </w:t>
      </w:r>
      <w:r w:rsidRPr="008642D1">
        <w:rPr>
          <w:color w:val="262626" w:themeColor="text1" w:themeTint="D9"/>
        </w:rPr>
        <w:t>[2013] NZCA 402, [2013] 3 NZLR 729 at [51].</w:t>
      </w:r>
    </w:p>
  </w:footnote>
  <w:footnote w:id="686">
    <w:p w14:paraId="61AAA355" w14:textId="77777777"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for example, </w:t>
      </w:r>
      <w:r w:rsidRPr="008642D1">
        <w:rPr>
          <w:i/>
          <w:iCs/>
          <w:color w:val="262626" w:themeColor="text1" w:themeTint="D9"/>
        </w:rPr>
        <w:t xml:space="preserve">R v Oakes </w:t>
      </w:r>
      <w:r w:rsidRPr="008642D1">
        <w:rPr>
          <w:color w:val="262626" w:themeColor="text1" w:themeTint="D9"/>
        </w:rPr>
        <w:t xml:space="preserve">[1986] 1 SCR 103 at [69]–[70]; and </w:t>
      </w:r>
      <w:r w:rsidRPr="008642D1">
        <w:rPr>
          <w:i/>
          <w:iCs/>
          <w:color w:val="262626" w:themeColor="text1" w:themeTint="D9"/>
        </w:rPr>
        <w:t xml:space="preserve">R v Hansen </w:t>
      </w:r>
      <w:r w:rsidRPr="008642D1">
        <w:rPr>
          <w:color w:val="262626" w:themeColor="text1" w:themeTint="D9"/>
        </w:rPr>
        <w:t>[2007] NZSC 7, [2007] 3 NZLR 1 at [104] per Tipping J.</w:t>
      </w:r>
    </w:p>
  </w:footnote>
  <w:footnote w:id="687">
    <w:p w14:paraId="6A48D356" w14:textId="77777777"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w:t>
      </w:r>
      <w:r w:rsidRPr="008642D1">
        <w:rPr>
          <w:i/>
          <w:iCs/>
          <w:color w:val="262626" w:themeColor="text1" w:themeTint="D9"/>
        </w:rPr>
        <w:t xml:space="preserve">Attorney-General v Taylor </w:t>
      </w:r>
      <w:r w:rsidRPr="008642D1">
        <w:rPr>
          <w:color w:val="262626" w:themeColor="text1" w:themeTint="D9"/>
        </w:rPr>
        <w:t>[2018] NZSC 104, [2019] 1 NZLR 213.</w:t>
      </w:r>
    </w:p>
  </w:footnote>
  <w:footnote w:id="688">
    <w:p w14:paraId="06E073D2" w14:textId="77777777"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ss 20J and 21A. There are a handful of situations in which government and people exercising government functions fall under Part 2. These relate to employment discrimination, sexual harassment, racial harassment, racial disharmony and victimisation: Human Rights Act 1993, ss 20J(2) and 21A(1).</w:t>
      </w:r>
    </w:p>
  </w:footnote>
  <w:footnote w:id="689">
    <w:p w14:paraId="6BC7F024" w14:textId="77777777"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20L.</w:t>
      </w:r>
    </w:p>
  </w:footnote>
  <w:footnote w:id="690">
    <w:p w14:paraId="70547F66" w14:textId="77777777"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ss 92I–92Q.</w:t>
      </w:r>
    </w:p>
  </w:footnote>
  <w:footnote w:id="691">
    <w:p w14:paraId="74A862AA" w14:textId="271BE563"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92J.</w:t>
      </w:r>
    </w:p>
  </w:footnote>
  <w:footnote w:id="692">
    <w:p w14:paraId="7ADE0246" w14:textId="32DC34CD"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Te Tari o te Pirimia me te Komiti Matua | Department of the Prime Minister and Cabinet “CabGuide: Human Rights implications in bills and Cabinet papers”</w:t>
      </w:r>
      <w:r w:rsidRPr="008642D1">
        <w:rPr>
          <w:i/>
          <w:iCs/>
          <w:color w:val="262626" w:themeColor="text1" w:themeTint="D9"/>
        </w:rPr>
        <w:t xml:space="preserve"> </w:t>
      </w:r>
      <w:r w:rsidRPr="008642D1">
        <w:rPr>
          <w:color w:val="262626" w:themeColor="text1" w:themeTint="D9"/>
        </w:rPr>
        <w:t>(16 July 2019) &lt;</w:t>
      </w:r>
      <w:hyperlink r:id="rId97" w:history="1">
        <w:r w:rsidRPr="008642D1">
          <w:rPr>
            <w:rStyle w:val="Hyperlink"/>
            <w:color w:val="262626" w:themeColor="text1" w:themeTint="D9"/>
          </w:rPr>
          <w:t>www.dpmc.govt.nz</w:t>
        </w:r>
      </w:hyperlink>
      <w:r w:rsidRPr="008642D1">
        <w:rPr>
          <w:color w:val="262626" w:themeColor="text1" w:themeTint="D9"/>
        </w:rPr>
        <w:t xml:space="preserve">&gt;; Legislation Design and Advisory Committee </w:t>
      </w:r>
      <w:r w:rsidRPr="008642D1">
        <w:rPr>
          <w:i/>
          <w:iCs/>
          <w:color w:val="262626" w:themeColor="text1" w:themeTint="D9"/>
        </w:rPr>
        <w:t xml:space="preserve">Legislation Guidelines </w:t>
      </w:r>
      <w:r w:rsidRPr="008642D1">
        <w:rPr>
          <w:color w:val="262626" w:themeColor="text1" w:themeTint="D9"/>
        </w:rPr>
        <w:t>(2021)</w:t>
      </w:r>
      <w:r w:rsidR="00C13706">
        <w:rPr>
          <w:color w:val="262626" w:themeColor="text1" w:themeTint="D9"/>
        </w:rPr>
        <w:t xml:space="preserve"> at</w:t>
      </w:r>
      <w:r w:rsidRPr="008642D1">
        <w:rPr>
          <w:color w:val="262626" w:themeColor="text1" w:themeTint="D9"/>
        </w:rPr>
        <w:t xml:space="preserve"> </w:t>
      </w:r>
      <w:r w:rsidR="00C13706">
        <w:rPr>
          <w:color w:val="262626" w:themeColor="text1" w:themeTint="D9"/>
        </w:rPr>
        <w:t>C</w:t>
      </w:r>
      <w:r w:rsidRPr="008642D1">
        <w:rPr>
          <w:color w:val="262626" w:themeColor="text1" w:themeTint="D9"/>
        </w:rPr>
        <w:t>h 6</w:t>
      </w:r>
      <w:r w:rsidR="0091300F" w:rsidRPr="008642D1">
        <w:rPr>
          <w:color w:val="262626" w:themeColor="text1" w:themeTint="D9"/>
        </w:rPr>
        <w:t>–</w:t>
      </w:r>
      <w:r w:rsidR="0091300F">
        <w:rPr>
          <w:color w:val="262626" w:themeColor="text1" w:themeTint="D9"/>
        </w:rPr>
        <w:t>7</w:t>
      </w:r>
      <w:r w:rsidR="00F80EEF">
        <w:rPr>
          <w:color w:val="262626" w:themeColor="text1" w:themeTint="D9"/>
        </w:rPr>
        <w:softHyphen/>
      </w:r>
      <w:r w:rsidRPr="008642D1">
        <w:rPr>
          <w:color w:val="262626" w:themeColor="text1" w:themeTint="D9"/>
        </w:rPr>
        <w:t xml:space="preserve">; and Cabinet Office </w:t>
      </w:r>
      <w:r w:rsidRPr="008642D1">
        <w:rPr>
          <w:i/>
          <w:iCs/>
          <w:color w:val="262626" w:themeColor="text1" w:themeTint="D9"/>
        </w:rPr>
        <w:t>Cabinet Manual</w:t>
      </w:r>
      <w:r w:rsidRPr="008642D1">
        <w:rPr>
          <w:color w:val="262626" w:themeColor="text1" w:themeTint="D9"/>
        </w:rPr>
        <w:t xml:space="preserve"> </w:t>
      </w:r>
      <w:r w:rsidRPr="008642D1">
        <w:rPr>
          <w:i/>
          <w:iCs/>
          <w:color w:val="262626" w:themeColor="text1" w:themeTint="D9"/>
        </w:rPr>
        <w:t>2023</w:t>
      </w:r>
      <w:r w:rsidRPr="008642D1">
        <w:rPr>
          <w:color w:val="262626" w:themeColor="text1" w:themeTint="D9"/>
        </w:rPr>
        <w:t xml:space="preserve"> at [7.68]–[7.70].</w:t>
      </w:r>
    </w:p>
  </w:footnote>
  <w:footnote w:id="693">
    <w:p w14:paraId="320A34A3" w14:textId="77777777"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New Zealand Bill of Rights Act 1990, s 7.</w:t>
      </w:r>
    </w:p>
  </w:footnote>
  <w:footnote w:id="694">
    <w:p w14:paraId="1BCD2951" w14:textId="0881D034"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for example, Te Tāhū o te Ture | Ministry of Justice </w:t>
      </w:r>
      <w:r w:rsidRPr="008642D1">
        <w:rPr>
          <w:i/>
          <w:iCs/>
          <w:color w:val="262626" w:themeColor="text1" w:themeTint="D9"/>
        </w:rPr>
        <w:t xml:space="preserve">Legal Advice </w:t>
      </w:r>
      <w:r w:rsidRPr="008642D1">
        <w:rPr>
          <w:color w:val="262626" w:themeColor="text1" w:themeTint="D9"/>
        </w:rPr>
        <w:t xml:space="preserve">– </w:t>
      </w:r>
      <w:r w:rsidRPr="008642D1">
        <w:rPr>
          <w:i/>
          <w:iCs/>
          <w:color w:val="262626" w:themeColor="text1" w:themeTint="D9"/>
        </w:rPr>
        <w:t xml:space="preserve">Consistency with the New Zealand Bill of Rights Act 1990: Births, Deaths, Marriages, and Relationships Registration Bill </w:t>
      </w:r>
      <w:r w:rsidRPr="008642D1">
        <w:rPr>
          <w:color w:val="262626" w:themeColor="text1" w:themeTint="D9"/>
        </w:rPr>
        <w:t>(26 July 2017) at [27</w:t>
      </w:r>
      <w:r w:rsidRPr="008642D1" w:rsidDel="00694523">
        <w:rPr>
          <w:color w:val="262626" w:themeColor="text1" w:themeTint="D9"/>
        </w:rPr>
        <w:t>]</w:t>
      </w:r>
      <w:r w:rsidRPr="008642D1">
        <w:rPr>
          <w:color w:val="262626" w:themeColor="text1" w:themeTint="D9"/>
        </w:rPr>
        <w:t xml:space="preserve">; and Te Tāhū o te Ture | Ministry of Justice </w:t>
      </w:r>
      <w:r w:rsidRPr="008642D1">
        <w:rPr>
          <w:i/>
          <w:iCs/>
          <w:color w:val="262626" w:themeColor="text1" w:themeTint="D9"/>
        </w:rPr>
        <w:t xml:space="preserve">Legal Advice </w:t>
      </w:r>
      <w:r w:rsidRPr="008642D1">
        <w:rPr>
          <w:color w:val="262626" w:themeColor="text1" w:themeTint="D9"/>
        </w:rPr>
        <w:t xml:space="preserve">– </w:t>
      </w:r>
      <w:r w:rsidRPr="008642D1">
        <w:rPr>
          <w:i/>
          <w:iCs/>
          <w:color w:val="262626" w:themeColor="text1" w:themeTint="D9"/>
        </w:rPr>
        <w:t xml:space="preserve">Consistency with the New Zealand Bill of Rights Act 1990: Pae Ora (Healthy Futures) (Provision of Breast Cancer Screening Services) Amendment Bill </w:t>
      </w:r>
      <w:r w:rsidRPr="008642D1">
        <w:rPr>
          <w:color w:val="262626" w:themeColor="text1" w:themeTint="D9"/>
        </w:rPr>
        <w:t xml:space="preserve">(14 August 2023) at [16]. </w:t>
      </w:r>
    </w:p>
  </w:footnote>
  <w:footnote w:id="695">
    <w:p w14:paraId="28B6C38C" w14:textId="77777777"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Te Kāhui Tika Tangata | Human Rights Commission </w:t>
      </w:r>
      <w:r w:rsidRPr="008642D1">
        <w:rPr>
          <w:i/>
          <w:iCs/>
          <w:color w:val="262626" w:themeColor="text1" w:themeTint="D9"/>
        </w:rPr>
        <w:t xml:space="preserve">PRISM: Human Rights issues relating to Sexual Orientation, Gender Identity and Expression, and Sex Characteristics (SOCIESC) in Aotearoa New Zealand — A report with recommendations </w:t>
      </w:r>
      <w:r w:rsidRPr="008642D1">
        <w:rPr>
          <w:color w:val="262626" w:themeColor="text1" w:themeTint="D9"/>
        </w:rPr>
        <w:t>(June 2020) at 14.</w:t>
      </w:r>
    </w:p>
  </w:footnote>
  <w:footnote w:id="696">
    <w:p w14:paraId="06789167" w14:textId="77777777"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Letter from Te </w:t>
      </w:r>
      <w:r w:rsidRPr="008642D1">
        <w:rPr>
          <w:color w:val="262626" w:themeColor="text1" w:themeTint="D9"/>
          <w:lang w:bidi="th-TH"/>
        </w:rPr>
        <w:t>Kāhui Tika Tangata | Human Rights Commission to Te Aka Matua o te Ture | Law Commission (1 March 2024).</w:t>
      </w:r>
      <w:r w:rsidRPr="008642D1">
        <w:rPr>
          <w:color w:val="262626" w:themeColor="text1" w:themeTint="D9"/>
        </w:rPr>
        <w:t xml:space="preserve"> </w:t>
      </w:r>
    </w:p>
  </w:footnote>
  <w:footnote w:id="697">
    <w:p w14:paraId="5A6ED117" w14:textId="753E8E11"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according to the Human Rights Commission</w:t>
      </w:r>
      <w:r w:rsidR="00EB0D51">
        <w:rPr>
          <w:color w:val="262626" w:themeColor="text1" w:themeTint="D9"/>
        </w:rPr>
        <w:t>,</w:t>
      </w:r>
      <w:r w:rsidRPr="008642D1">
        <w:rPr>
          <w:color w:val="262626" w:themeColor="text1" w:themeTint="D9"/>
        </w:rPr>
        <w:t xml:space="preserve"> a complaint from a transgender person resulted in Manatū </w:t>
      </w:r>
      <w:r w:rsidR="004A542E">
        <w:rPr>
          <w:color w:val="262626" w:themeColor="text1" w:themeTint="D9"/>
        </w:rPr>
        <w:t>Hauora</w:t>
      </w:r>
      <w:r w:rsidR="004A542E" w:rsidRPr="008642D1">
        <w:rPr>
          <w:color w:val="262626" w:themeColor="text1" w:themeTint="D9"/>
        </w:rPr>
        <w:t xml:space="preserve"> </w:t>
      </w:r>
      <w:r w:rsidRPr="008642D1">
        <w:rPr>
          <w:color w:val="262626" w:themeColor="text1" w:themeTint="D9"/>
        </w:rPr>
        <w:t xml:space="preserve">| Ministry of Health changing its </w:t>
      </w:r>
      <w:r w:rsidR="006063E5">
        <w:rPr>
          <w:color w:val="262626" w:themeColor="text1" w:themeTint="D9"/>
        </w:rPr>
        <w:t xml:space="preserve">guidelines on the availability of </w:t>
      </w:r>
      <w:r w:rsidRPr="008642D1">
        <w:rPr>
          <w:color w:val="262626" w:themeColor="text1" w:themeTint="D9"/>
        </w:rPr>
        <w:t>gender</w:t>
      </w:r>
      <w:r w:rsidR="004A542E">
        <w:rPr>
          <w:color w:val="262626" w:themeColor="text1" w:themeTint="D9"/>
        </w:rPr>
        <w:t>-</w:t>
      </w:r>
      <w:r w:rsidRPr="008642D1">
        <w:rPr>
          <w:color w:val="262626" w:themeColor="text1" w:themeTint="D9"/>
        </w:rPr>
        <w:t>affirmation surgery: Te Kāhui Tika Tangata | Human Rights Commission</w:t>
      </w:r>
      <w:r w:rsidRPr="008642D1">
        <w:rPr>
          <w:i/>
          <w:iCs/>
          <w:color w:val="262626" w:themeColor="text1" w:themeTint="D9"/>
        </w:rPr>
        <w:t xml:space="preserve"> Human Rights in New Zealand Today </w:t>
      </w:r>
      <w:r w:rsidRPr="008642D1">
        <w:rPr>
          <w:color w:val="262626" w:themeColor="text1" w:themeTint="D9"/>
        </w:rPr>
        <w:t xml:space="preserve">| </w:t>
      </w:r>
      <w:r w:rsidRPr="008642D1">
        <w:rPr>
          <w:i/>
          <w:iCs/>
          <w:color w:val="262626" w:themeColor="text1" w:themeTint="D9"/>
        </w:rPr>
        <w:t>Ngā Tika Tangata O Te Motu</w:t>
      </w:r>
      <w:r w:rsidRPr="008642D1">
        <w:rPr>
          <w:color w:val="262626" w:themeColor="text1" w:themeTint="D9"/>
        </w:rPr>
        <w:t xml:space="preserve"> (September 2004) at 360.</w:t>
      </w:r>
    </w:p>
  </w:footnote>
  <w:footnote w:id="698">
    <w:p w14:paraId="685853CB" w14:textId="12ED452E"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Human Rights Act 1993, s 2(1) (definition of act).</w:t>
      </w:r>
    </w:p>
  </w:footnote>
  <w:footnote w:id="699">
    <w:p w14:paraId="1F9376ED" w14:textId="77777777"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w:t>
      </w:r>
      <w:r w:rsidRPr="008642D1">
        <w:rPr>
          <w:i/>
          <w:iCs/>
          <w:color w:val="262626" w:themeColor="text1" w:themeTint="D9"/>
        </w:rPr>
        <w:t xml:space="preserve">Attorney-General v Chapman </w:t>
      </w:r>
      <w:r w:rsidRPr="008642D1">
        <w:rPr>
          <w:color w:val="262626" w:themeColor="text1" w:themeTint="D9"/>
        </w:rPr>
        <w:t>[2011] NZSC 110, [2012] 1 NZLR 462.</w:t>
      </w:r>
    </w:p>
  </w:footnote>
  <w:footnote w:id="700">
    <w:p w14:paraId="77463650" w14:textId="637A1D11"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color w:val="262626" w:themeColor="text1" w:themeTint="D9"/>
        </w:rPr>
        <w:t>Waters</w:t>
      </w:r>
      <w:r w:rsidRPr="008642D1">
        <w:rPr>
          <w:i/>
          <w:iCs/>
          <w:color w:val="262626" w:themeColor="text1" w:themeTint="D9"/>
        </w:rPr>
        <w:t xml:space="preserve"> v British Columbia (Ministry of Health Services)</w:t>
      </w:r>
      <w:r w:rsidRPr="008642D1">
        <w:rPr>
          <w:color w:val="262626" w:themeColor="text1" w:themeTint="D9"/>
        </w:rPr>
        <w:t xml:space="preserve"> 2003 BCHRT 13, 46 CHRR 139 at [164]</w:t>
      </w:r>
      <w:r w:rsidRPr="008642D1">
        <w:rPr>
          <w:color w:val="262626" w:themeColor="text1" w:themeTint="D9"/>
        </w:rPr>
        <w:softHyphen/>
        <w:t xml:space="preserve">–[165] and [186]. The procedure was only partially funded because it had to be performed outside of the province (as no one in British Columbia was performing the procedure), but the </w:t>
      </w:r>
      <w:r w:rsidR="00572F5C">
        <w:rPr>
          <w:color w:val="262626" w:themeColor="text1" w:themeTint="D9"/>
        </w:rPr>
        <w:t>g</w:t>
      </w:r>
      <w:r w:rsidRPr="008642D1">
        <w:rPr>
          <w:color w:val="262626" w:themeColor="text1" w:themeTint="D9"/>
        </w:rPr>
        <w:t>overnment would only pay for doctors’ fees at the rate that would have been paid if the procedure was performed in British Columbia.</w:t>
      </w:r>
    </w:p>
  </w:footnote>
  <w:footnote w:id="701">
    <w:p w14:paraId="5B9EA18F" w14:textId="77777777"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color w:val="262626" w:themeColor="text1" w:themeTint="D9"/>
        </w:rPr>
        <w:t>Kadel</w:t>
      </w:r>
      <w:r w:rsidRPr="008642D1">
        <w:rPr>
          <w:i/>
          <w:iCs/>
          <w:color w:val="262626" w:themeColor="text1" w:themeTint="D9"/>
        </w:rPr>
        <w:t xml:space="preserve"> v Folwell </w:t>
      </w:r>
      <w:r w:rsidRPr="008642D1">
        <w:rPr>
          <w:color w:val="262626" w:themeColor="text1" w:themeTint="D9"/>
        </w:rPr>
        <w:t>100 F 122 (4th Cir 2024) at 133–134, 149 and 152.</w:t>
      </w:r>
    </w:p>
  </w:footnote>
  <w:footnote w:id="702">
    <w:p w14:paraId="6FA8C695" w14:textId="200ACB7C"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color w:val="262626" w:themeColor="text1" w:themeTint="D9"/>
        </w:rPr>
        <w:t>Brodeur</w:t>
      </w:r>
      <w:r w:rsidRPr="008642D1">
        <w:rPr>
          <w:i/>
          <w:iCs/>
          <w:color w:val="262626" w:themeColor="text1" w:themeTint="D9"/>
        </w:rPr>
        <w:t xml:space="preserve"> v Ontario (Health and Long-Term Care</w:t>
      </w:r>
      <w:r w:rsidRPr="008642D1">
        <w:rPr>
          <w:color w:val="262626" w:themeColor="text1" w:themeTint="D9"/>
        </w:rPr>
        <w:t>) 2013 HRTO 1229 at [23], [28]–[32], [35] and</w:t>
      </w:r>
      <w:r w:rsidR="00586C98">
        <w:rPr>
          <w:color w:val="262626" w:themeColor="text1" w:themeTint="D9"/>
        </w:rPr>
        <w:t xml:space="preserve"> [37]</w:t>
      </w:r>
      <w:r w:rsidR="00586C98" w:rsidRPr="008642D1">
        <w:rPr>
          <w:color w:val="262626" w:themeColor="text1" w:themeTint="D9"/>
        </w:rPr>
        <w:t>–</w:t>
      </w:r>
      <w:r w:rsidRPr="008642D1">
        <w:rPr>
          <w:color w:val="262626" w:themeColor="text1" w:themeTint="D9"/>
        </w:rPr>
        <w:t>[38].</w:t>
      </w:r>
    </w:p>
  </w:footnote>
  <w:footnote w:id="703">
    <w:p w14:paraId="38D747F4" w14:textId="77777777" w:rsidR="00913866" w:rsidRPr="008642D1" w:rsidRDefault="00913866" w:rsidP="00913866">
      <w:pPr>
        <w:pStyle w:val="FootnoteText"/>
        <w:rPr>
          <w:color w:val="262626" w:themeColor="text1" w:themeTint="D9"/>
        </w:rPr>
      </w:pPr>
      <w:r w:rsidRPr="008642D1">
        <w:rPr>
          <w:rStyle w:val="FootnoteReference"/>
          <w:rFonts w:eastAsiaTheme="majorEastAsia"/>
        </w:rPr>
        <w:footnoteRef/>
      </w:r>
      <w:r w:rsidRPr="008642D1">
        <w:rPr>
          <w:color w:val="262626" w:themeColor="text1" w:themeTint="D9"/>
        </w:rPr>
        <w:t xml:space="preserve"> </w:t>
      </w:r>
      <w:r w:rsidRPr="008642D1">
        <w:rPr>
          <w:color w:val="262626" w:themeColor="text1" w:themeTint="D9"/>
        </w:rPr>
        <w:tab/>
      </w:r>
      <w:r w:rsidRPr="008642D1">
        <w:rPr>
          <w:i/>
          <w:color w:val="262626" w:themeColor="text1" w:themeTint="D9"/>
        </w:rPr>
        <w:t>R</w:t>
      </w:r>
      <w:r w:rsidRPr="008642D1">
        <w:rPr>
          <w:i/>
          <w:iCs/>
          <w:color w:val="262626" w:themeColor="text1" w:themeTint="D9"/>
        </w:rPr>
        <w:t xml:space="preserve"> (on the application of AA (A Child)) v National Health Service Commissioning Board (NHS England) </w:t>
      </w:r>
      <w:r w:rsidRPr="008642D1">
        <w:rPr>
          <w:color w:val="262626" w:themeColor="text1" w:themeTint="D9"/>
        </w:rPr>
        <w:t>[2023] EWHC 43 (Admin) at [140] and [145]–[148]</w:t>
      </w:r>
      <w:r w:rsidRPr="008642D1">
        <w:rPr>
          <w:i/>
          <w:iCs/>
          <w:color w:val="262626" w:themeColor="text1" w:themeTint="D9"/>
        </w:rPr>
        <w:t xml:space="preserve">. </w:t>
      </w:r>
      <w:r w:rsidRPr="008642D1">
        <w:rPr>
          <w:color w:val="262626" w:themeColor="text1" w:themeTint="D9"/>
        </w:rPr>
        <w:t xml:space="preserve">An indirect discrimination claim also failed because the policies and practices that were being challenged only applied to patients with gender dysphoria: at [151].   </w:t>
      </w:r>
    </w:p>
  </w:footnote>
  <w:footnote w:id="704">
    <w:p w14:paraId="35F01F01" w14:textId="77777777"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color w:val="262626" w:themeColor="text1" w:themeTint="D9"/>
        </w:rPr>
        <w:t>R</w:t>
      </w:r>
      <w:r w:rsidRPr="008642D1">
        <w:rPr>
          <w:i/>
          <w:iCs/>
          <w:color w:val="262626" w:themeColor="text1" w:themeTint="D9"/>
        </w:rPr>
        <w:t xml:space="preserve"> (on the application of Green) v Secretary of State for Justice</w:t>
      </w:r>
      <w:r w:rsidRPr="008642D1">
        <w:rPr>
          <w:color w:val="262626" w:themeColor="text1" w:themeTint="D9"/>
        </w:rPr>
        <w:t xml:space="preserve"> [2013] EWHC 3491 (Admin) at [68]–[70].</w:t>
      </w:r>
    </w:p>
  </w:footnote>
  <w:footnote w:id="705">
    <w:p w14:paraId="57E22827" w14:textId="77777777"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color w:val="262626" w:themeColor="text1" w:themeTint="D9"/>
        </w:rPr>
        <w:t>Hogan</w:t>
      </w:r>
      <w:r w:rsidRPr="008642D1">
        <w:rPr>
          <w:i/>
          <w:iCs/>
          <w:color w:val="262626" w:themeColor="text1" w:themeTint="D9"/>
        </w:rPr>
        <w:t xml:space="preserve"> v Ontario (Minister of Health &amp; Long-Term Care) </w:t>
      </w:r>
      <w:r w:rsidRPr="008642D1">
        <w:rPr>
          <w:color w:val="262626" w:themeColor="text1" w:themeTint="D9"/>
        </w:rPr>
        <w:t>2006 HRTO 32, [2006] OHRTD No 34 at [118], [120], [128], [130] and [139]–[140].</w:t>
      </w:r>
    </w:p>
  </w:footnote>
  <w:footnote w:id="706">
    <w:p w14:paraId="1A2B4240" w14:textId="77777777"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w:t>
      </w:r>
      <w:r w:rsidRPr="008642D1">
        <w:rPr>
          <w:i/>
          <w:iCs/>
          <w:color w:val="262626" w:themeColor="text1" w:themeTint="D9"/>
        </w:rPr>
        <w:t>Make It 16 Inc v Attorney-General</w:t>
      </w:r>
      <w:r w:rsidRPr="008642D1">
        <w:rPr>
          <w:color w:val="262626" w:themeColor="text1" w:themeTint="D9"/>
        </w:rPr>
        <w:t xml:space="preserve"> [2022] NZSC 134, [2022] 1 NZLR 683 at [45].</w:t>
      </w:r>
    </w:p>
  </w:footnote>
  <w:footnote w:id="707">
    <w:p w14:paraId="0899622D" w14:textId="77777777"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color w:val="262626" w:themeColor="text1" w:themeTint="D9"/>
        </w:rPr>
        <w:t>Re</w:t>
      </w:r>
      <w:r w:rsidRPr="008642D1">
        <w:rPr>
          <w:i/>
          <w:iCs/>
          <w:color w:val="262626" w:themeColor="text1" w:themeTint="D9"/>
        </w:rPr>
        <w:t xml:space="preserve"> TA and Manitoba</w:t>
      </w:r>
      <w:r w:rsidRPr="008642D1">
        <w:rPr>
          <w:color w:val="262626" w:themeColor="text1" w:themeTint="D9"/>
        </w:rPr>
        <w:t xml:space="preserve"> Manitoba Human Rights Adjudication Panel, 4 November 2019 at [63].</w:t>
      </w:r>
    </w:p>
  </w:footnote>
  <w:footnote w:id="708">
    <w:p w14:paraId="7F58126A" w14:textId="77777777"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color w:val="262626" w:themeColor="text1" w:themeTint="D9"/>
        </w:rPr>
        <w:t>New</w:t>
      </w:r>
      <w:r w:rsidRPr="008642D1">
        <w:rPr>
          <w:i/>
          <w:iCs/>
          <w:color w:val="262626" w:themeColor="text1" w:themeTint="D9"/>
        </w:rPr>
        <w:t xml:space="preserve"> Health v South Taranaki District Council </w:t>
      </w:r>
      <w:r w:rsidRPr="008642D1">
        <w:rPr>
          <w:color w:val="262626" w:themeColor="text1" w:themeTint="D9"/>
        </w:rPr>
        <w:t>[2018] NZSC 59, [2018] 1 NZLR 948 at [121].</w:t>
      </w:r>
    </w:p>
  </w:footnote>
  <w:footnote w:id="709">
    <w:p w14:paraId="70C763F1" w14:textId="77777777"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At [122].</w:t>
      </w:r>
    </w:p>
  </w:footnote>
  <w:footnote w:id="710">
    <w:p w14:paraId="2C520312" w14:textId="77777777"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At [122].</w:t>
      </w:r>
    </w:p>
  </w:footnote>
  <w:footnote w:id="711">
    <w:p w14:paraId="614CA061" w14:textId="77777777"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color w:val="262626" w:themeColor="text1" w:themeTint="D9"/>
        </w:rPr>
        <w:t>R</w:t>
      </w:r>
      <w:r w:rsidRPr="008642D1">
        <w:rPr>
          <w:i/>
          <w:iCs/>
          <w:color w:val="262626" w:themeColor="text1" w:themeTint="D9"/>
        </w:rPr>
        <w:t xml:space="preserve"> (on the application of C) v Secretary of State for Work and Pensions </w:t>
      </w:r>
      <w:r w:rsidRPr="008642D1">
        <w:rPr>
          <w:color w:val="262626" w:themeColor="text1" w:themeTint="D9"/>
        </w:rPr>
        <w:t>[2017] UKSC 72, [2017] WLR 4127 at [32]–[34], [37]–[38] and [44].</w:t>
      </w:r>
    </w:p>
  </w:footnote>
  <w:footnote w:id="712">
    <w:p w14:paraId="53B19715" w14:textId="77777777"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color w:val="262626" w:themeColor="text1" w:themeTint="D9"/>
        </w:rPr>
        <w:t>R</w:t>
      </w:r>
      <w:r w:rsidRPr="008642D1">
        <w:rPr>
          <w:i/>
          <w:iCs/>
          <w:color w:val="262626" w:themeColor="text1" w:themeTint="D9"/>
        </w:rPr>
        <w:t xml:space="preserve"> (on the application of Castellucci) v Gender Recognition Panel </w:t>
      </w:r>
      <w:r w:rsidRPr="008642D1">
        <w:rPr>
          <w:color w:val="262626" w:themeColor="text1" w:themeTint="D9"/>
        </w:rPr>
        <w:t>[2024] EWHC 54 (Admin), [2024] WLR(D) 20 at [130].</w:t>
      </w:r>
    </w:p>
  </w:footnote>
  <w:footnote w:id="713">
    <w:p w14:paraId="5EFDE568" w14:textId="7056A402" w:rsidR="00913866" w:rsidRPr="008642D1" w:rsidRDefault="00913866" w:rsidP="00913866">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color w:val="262626" w:themeColor="text1" w:themeTint="D9"/>
        </w:rPr>
        <w:t>Kavanagh</w:t>
      </w:r>
      <w:r w:rsidRPr="008642D1">
        <w:rPr>
          <w:i/>
          <w:iCs/>
          <w:color w:val="262626" w:themeColor="text1" w:themeTint="D9"/>
        </w:rPr>
        <w:t xml:space="preserve"> v Canada (Attorney General) </w:t>
      </w:r>
      <w:r w:rsidRPr="008642D1">
        <w:rPr>
          <w:color w:val="262626" w:themeColor="text1" w:themeTint="D9"/>
        </w:rPr>
        <w:t>[2001] 41 CHRR D/119</w:t>
      </w:r>
      <w:r w:rsidRPr="008642D1">
        <w:rPr>
          <w:i/>
          <w:iCs/>
          <w:color w:val="262626" w:themeColor="text1" w:themeTint="D9"/>
        </w:rPr>
        <w:t xml:space="preserve"> </w:t>
      </w:r>
      <w:r w:rsidRPr="008642D1">
        <w:rPr>
          <w:color w:val="262626" w:themeColor="text1" w:themeTint="D9"/>
        </w:rPr>
        <w:t xml:space="preserve">(Canada Human Rights Tribunal) at [155]–[160], confirmed in </w:t>
      </w:r>
      <w:r w:rsidRPr="008642D1">
        <w:rPr>
          <w:i/>
          <w:iCs/>
          <w:color w:val="262626" w:themeColor="text1" w:themeTint="D9"/>
        </w:rPr>
        <w:t xml:space="preserve">Canada (Attorney General) v Canada (Human Rights Commission) </w:t>
      </w:r>
      <w:r w:rsidRPr="008642D1">
        <w:rPr>
          <w:color w:val="262626" w:themeColor="text1" w:themeTint="D9"/>
        </w:rPr>
        <w:t xml:space="preserve">2003 FCT 89, 228 FTR 231. The claimant also brought claims relating to access to gender-affirming care and treatment in prison, which were successful. </w:t>
      </w:r>
    </w:p>
  </w:footnote>
  <w:footnote w:id="714">
    <w:p w14:paraId="4D56AC62" w14:textId="77777777" w:rsidR="00913866" w:rsidRPr="008642D1" w:rsidDel="0004527F" w:rsidRDefault="00913866" w:rsidP="00913866">
      <w:pPr>
        <w:pStyle w:val="FootnoteText"/>
        <w:rPr>
          <w:color w:val="262626" w:themeColor="text1" w:themeTint="D9"/>
        </w:rPr>
      </w:pPr>
      <w:r w:rsidRPr="008642D1" w:rsidDel="0004527F">
        <w:rPr>
          <w:rStyle w:val="FootnoteReference"/>
        </w:rPr>
        <w:footnoteRef/>
      </w:r>
      <w:r w:rsidRPr="008642D1">
        <w:rPr>
          <w:color w:val="262626" w:themeColor="text1" w:themeTint="D9"/>
        </w:rPr>
        <w:t xml:space="preserve"> </w:t>
      </w:r>
      <w:r w:rsidRPr="008642D1">
        <w:rPr>
          <w:color w:val="262626" w:themeColor="text1" w:themeTint="D9"/>
        </w:rPr>
        <w:tab/>
      </w:r>
      <w:r w:rsidRPr="008642D1">
        <w:rPr>
          <w:i/>
          <w:color w:val="262626" w:themeColor="text1" w:themeTint="D9"/>
        </w:rPr>
        <w:t>Fields</w:t>
      </w:r>
      <w:r w:rsidRPr="008642D1">
        <w:rPr>
          <w:i/>
          <w:iCs/>
          <w:color w:val="262626" w:themeColor="text1" w:themeTint="D9"/>
        </w:rPr>
        <w:t xml:space="preserve"> v Smith </w:t>
      </w:r>
      <w:r w:rsidRPr="008642D1">
        <w:rPr>
          <w:color w:val="262626" w:themeColor="text1" w:themeTint="D9"/>
        </w:rPr>
        <w:t>712 F Supp 2d 830 (ED Wis 2010) at 868.</w:t>
      </w:r>
    </w:p>
  </w:footnote>
  <w:footnote w:id="715">
    <w:p w14:paraId="7A35629D"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color w:val="262626" w:themeColor="text1" w:themeTint="D9"/>
        </w:rPr>
        <w:t>Bullock</w:t>
      </w:r>
      <w:r w:rsidRPr="008642D1">
        <w:rPr>
          <w:i/>
          <w:iCs/>
          <w:color w:val="262626" w:themeColor="text1" w:themeTint="D9"/>
        </w:rPr>
        <w:t xml:space="preserve"> v Department of Corrections</w:t>
      </w:r>
      <w:r w:rsidRPr="008642D1">
        <w:rPr>
          <w:color w:val="262626" w:themeColor="text1" w:themeTint="D9"/>
        </w:rPr>
        <w:t xml:space="preserve"> [2008] NZHRRT 4. The poroporoaki was the graduation ceremony for a course for Māori offenders.</w:t>
      </w:r>
    </w:p>
  </w:footnote>
  <w:footnote w:id="716">
    <w:p w14:paraId="6D152CA0"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22(1)(c). For discussion of this provision, see Chapter 9.</w:t>
      </w:r>
    </w:p>
  </w:footnote>
  <w:footnote w:id="717">
    <w:p w14:paraId="605DDF3F" w14:textId="4853E888"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We rely on Sir Hugh Kawharu’s English translation of the Treaty as set out in the Cabinet Manuel: Cabinet Office</w:t>
      </w:r>
      <w:r w:rsidRPr="008642D1">
        <w:rPr>
          <w:i/>
          <w:iCs/>
          <w:color w:val="262626" w:themeColor="text1" w:themeTint="D9"/>
        </w:rPr>
        <w:t xml:space="preserve"> Cabinet Manual 2023</w:t>
      </w:r>
      <w:r w:rsidRPr="008642D1">
        <w:rPr>
          <w:color w:val="262626" w:themeColor="text1" w:themeTint="D9"/>
        </w:rPr>
        <w:t xml:space="preserve"> at 158–159. Te Rōpū Whakamana i te Tiriti o Waitangi | Waitangi Tribunal has explained that taonga or treasures “encompasses all those things which Māori consider important to their way of life”: </w:t>
      </w:r>
      <w:r w:rsidRPr="008642D1">
        <w:rPr>
          <w:i/>
          <w:iCs/>
          <w:color w:val="262626" w:themeColor="text1" w:themeTint="D9"/>
        </w:rPr>
        <w:t>Te Whanau o Waipareira Report</w:t>
      </w:r>
      <w:r w:rsidRPr="008642D1">
        <w:rPr>
          <w:color w:val="262626" w:themeColor="text1" w:themeTint="D9"/>
        </w:rPr>
        <w:t xml:space="preserve"> (Wai 414, 1998) at 26.</w:t>
      </w:r>
    </w:p>
  </w:footnote>
  <w:footnote w:id="718">
    <w:p w14:paraId="0C4A6E19"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IH Kawharu “Translation of Maori text” in IH Kawharu (ed) </w:t>
      </w:r>
      <w:r w:rsidRPr="008642D1">
        <w:rPr>
          <w:i/>
          <w:iCs/>
          <w:color w:val="262626" w:themeColor="text1" w:themeTint="D9"/>
        </w:rPr>
        <w:t xml:space="preserve">Waitangi: Māori and Pākehā Perspectives of the Treaty of Waitangi </w:t>
      </w:r>
      <w:r w:rsidRPr="008642D1">
        <w:rPr>
          <w:color w:val="262626" w:themeColor="text1" w:themeTint="D9"/>
        </w:rPr>
        <w:t xml:space="preserve">(Oxford University Press, Auckland, 1989) 319 at 319. </w:t>
      </w:r>
    </w:p>
  </w:footnote>
  <w:footnote w:id="719">
    <w:p w14:paraId="1E6E7260"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Te Rōpū Whakamana i te Tiriti o Waitangi | Waitangi Tribunal </w:t>
      </w:r>
      <w:r w:rsidRPr="008642D1">
        <w:rPr>
          <w:i/>
          <w:iCs/>
          <w:color w:val="262626" w:themeColor="text1" w:themeTint="D9"/>
        </w:rPr>
        <w:t>Te Whanau o Waipareira Report</w:t>
      </w:r>
      <w:r w:rsidRPr="008642D1">
        <w:rPr>
          <w:color w:val="262626" w:themeColor="text1" w:themeTint="D9"/>
        </w:rPr>
        <w:t xml:space="preserve"> (Wai 414, 1998) at 26.</w:t>
      </w:r>
    </w:p>
  </w:footnote>
  <w:footnote w:id="720">
    <w:p w14:paraId="0E2696AF"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Te Rōpū Whakamana i te Tiriti o Waitangi | Waitangi Tribunal </w:t>
      </w:r>
      <w:r w:rsidRPr="008642D1">
        <w:rPr>
          <w:i/>
          <w:iCs/>
          <w:color w:val="262626" w:themeColor="text1" w:themeTint="D9"/>
        </w:rPr>
        <w:t xml:space="preserve">Hauora: Report on Stage One of the Health Services and Outcomes Kaupapa Inquiry </w:t>
      </w:r>
      <w:r w:rsidRPr="008642D1">
        <w:rPr>
          <w:color w:val="262626" w:themeColor="text1" w:themeTint="D9"/>
        </w:rPr>
        <w:t>(Wai 2575, 2023) at 28.</w:t>
      </w:r>
    </w:p>
  </w:footnote>
  <w:footnote w:id="721">
    <w:p w14:paraId="796F67D3"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We gave examples of some common sex-differentiated tikanga activities in Chapter 5. This section should be read alongside that chapter.</w:t>
      </w:r>
    </w:p>
  </w:footnote>
  <w:footnote w:id="722">
    <w:p w14:paraId="41EF08F5"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w:t>
      </w:r>
      <w:r w:rsidRPr="008642D1">
        <w:rPr>
          <w:i/>
          <w:color w:val="262626" w:themeColor="text1" w:themeTint="D9"/>
        </w:rPr>
        <w:t>Takamore</w:t>
      </w:r>
      <w:r w:rsidRPr="008642D1">
        <w:rPr>
          <w:i/>
          <w:iCs/>
          <w:color w:val="262626" w:themeColor="text1" w:themeTint="D9"/>
        </w:rPr>
        <w:t xml:space="preserve"> v Clarke </w:t>
      </w:r>
      <w:r w:rsidRPr="008642D1">
        <w:rPr>
          <w:color w:val="262626" w:themeColor="text1" w:themeTint="D9"/>
        </w:rPr>
        <w:t>[2012] NZSC 116, [2013] 2 NZLR 733; and</w:t>
      </w:r>
      <w:r w:rsidRPr="008642D1">
        <w:rPr>
          <w:i/>
          <w:iCs/>
          <w:color w:val="262626" w:themeColor="text1" w:themeTint="D9"/>
        </w:rPr>
        <w:t xml:space="preserve"> </w:t>
      </w:r>
      <w:r w:rsidRPr="008642D1">
        <w:rPr>
          <w:i/>
          <w:color w:val="262626" w:themeColor="text1" w:themeTint="D9"/>
        </w:rPr>
        <w:t>Ellis</w:t>
      </w:r>
      <w:r w:rsidRPr="008642D1">
        <w:rPr>
          <w:i/>
          <w:iCs/>
          <w:color w:val="262626" w:themeColor="text1" w:themeTint="D9"/>
        </w:rPr>
        <w:t xml:space="preserve"> v R (Continuance) </w:t>
      </w:r>
      <w:r w:rsidRPr="008642D1">
        <w:rPr>
          <w:color w:val="262626" w:themeColor="text1" w:themeTint="D9"/>
        </w:rPr>
        <w:t>[2022] NZSC 114, [2022] 1 NZLR 239.</w:t>
      </w:r>
    </w:p>
  </w:footnote>
  <w:footnote w:id="723">
    <w:p w14:paraId="0A3769DC" w14:textId="1A1658B1"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We discuss the idea of “detriment” more fully later in the chapter. </w:t>
      </w:r>
    </w:p>
  </w:footnote>
  <w:footnote w:id="724">
    <w:p w14:paraId="0AE4E202"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ss 57(1)(d) (relating to education) and 44(1)(b) (relating to provision of goods and services).</w:t>
      </w:r>
    </w:p>
  </w:footnote>
  <w:footnote w:id="725">
    <w:p w14:paraId="09BF2C57"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Human Rights Act 1993, s 97(2)(b). </w:t>
      </w:r>
    </w:p>
  </w:footnote>
  <w:footnote w:id="726">
    <w:p w14:paraId="0614AF45"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We explored these tests in Chapter 16.</w:t>
      </w:r>
    </w:p>
  </w:footnote>
  <w:footnote w:id="727">
    <w:p w14:paraId="62949D3E"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Kawa refers to the application of tikanga on marae. It has been defined as “practice wrapped up in tapu”: Wiremu Doherty, Hirini Moko Mead and Pou Temara “Appendix 1: Tikanga” in Te Aka Matua o te Ture | Law Commission </w:t>
      </w:r>
      <w:r w:rsidRPr="008642D1">
        <w:rPr>
          <w:i/>
          <w:iCs/>
          <w:color w:val="262626" w:themeColor="text1" w:themeTint="D9"/>
        </w:rPr>
        <w:t xml:space="preserve">He Poutama </w:t>
      </w:r>
      <w:r w:rsidRPr="008642D1">
        <w:rPr>
          <w:color w:val="262626" w:themeColor="text1" w:themeTint="D9"/>
        </w:rPr>
        <w:t>(</w:t>
      </w:r>
      <w:r w:rsidRPr="008642D1">
        <w:rPr>
          <w:color w:val="262626" w:themeColor="text1" w:themeTint="D9"/>
          <w:lang w:val="mi-NZ"/>
        </w:rPr>
        <w:t xml:space="preserve">NZLC SP24, </w:t>
      </w:r>
      <w:r w:rsidRPr="008642D1">
        <w:rPr>
          <w:color w:val="262626" w:themeColor="text1" w:themeTint="D9"/>
        </w:rPr>
        <w:t>2023) at [2.34].</w:t>
      </w:r>
    </w:p>
  </w:footnote>
  <w:footnote w:id="728">
    <w:p w14:paraId="7A612FAF"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Te Aka Matua o te Ture | Law Commission </w:t>
      </w:r>
      <w:r w:rsidRPr="008642D1">
        <w:rPr>
          <w:i/>
          <w:iCs/>
          <w:color w:val="262626" w:themeColor="text1" w:themeTint="D9"/>
        </w:rPr>
        <w:t xml:space="preserve">He Poutama </w:t>
      </w:r>
      <w:r w:rsidRPr="008642D1">
        <w:rPr>
          <w:color w:val="262626" w:themeColor="text1" w:themeTint="D9"/>
        </w:rPr>
        <w:t>(</w:t>
      </w:r>
      <w:r w:rsidRPr="008642D1">
        <w:rPr>
          <w:color w:val="262626" w:themeColor="text1" w:themeTint="D9"/>
          <w:lang w:val="mi-NZ"/>
        </w:rPr>
        <w:t xml:space="preserve">NZLC SP24, </w:t>
      </w:r>
      <w:r w:rsidRPr="008642D1">
        <w:rPr>
          <w:color w:val="262626" w:themeColor="text1" w:themeTint="D9"/>
        </w:rPr>
        <w:t>2023) at [3.1].</w:t>
      </w:r>
    </w:p>
  </w:footnote>
  <w:footnote w:id="729">
    <w:p w14:paraId="7D6F3672"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ss 98 (specifying the membership of the Tribunal when hearing particular complaints) and</w:t>
      </w:r>
      <w:r w:rsidRPr="008642D1">
        <w:rPr>
          <w:rFonts w:ascii="Calibri" w:hAnsi="Calibri" w:cs="Calibri"/>
          <w:color w:val="262626" w:themeColor="text1" w:themeTint="D9"/>
        </w:rPr>
        <w:t> </w:t>
      </w:r>
      <w:r w:rsidRPr="008642D1">
        <w:rPr>
          <w:color w:val="262626" w:themeColor="text1" w:themeTint="D9"/>
        </w:rPr>
        <w:t>101(2) (specifying the qualities to which the Minister must have regard when appointing a panel from which membership of the Tribunal is to be drawn).</w:t>
      </w:r>
    </w:p>
  </w:footnote>
  <w:footnote w:id="730">
    <w:p w14:paraId="2E88A695"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Human Rights Act 1993, s 104(5) (specifying that a Tribunal may regulate its procedure as it sees fit, subject to the Act, any regulations made under the Act and any practice notes issued by the Tribunal Chairperson).</w:t>
      </w:r>
    </w:p>
  </w:footnote>
  <w:footnote w:id="731">
    <w:p w14:paraId="4B6B5CA6"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for example, </w:t>
      </w:r>
      <w:r w:rsidRPr="008642D1">
        <w:rPr>
          <w:i/>
          <w:color w:val="262626" w:themeColor="text1" w:themeTint="D9"/>
        </w:rPr>
        <w:t>Complaints</w:t>
      </w:r>
      <w:r w:rsidRPr="008642D1">
        <w:rPr>
          <w:i/>
          <w:iCs/>
          <w:color w:val="262626" w:themeColor="text1" w:themeTint="D9"/>
        </w:rPr>
        <w:t xml:space="preserve"> Assessment Committee v Respondent</w:t>
      </w:r>
      <w:r w:rsidRPr="008642D1">
        <w:rPr>
          <w:color w:val="262626" w:themeColor="text1" w:themeTint="D9"/>
        </w:rPr>
        <w:t xml:space="preserve"> [2023] NZTDT 24; Transgender Health Research Lab</w:t>
      </w:r>
      <w:r w:rsidRPr="008642D1" w:rsidDel="00B02A2C">
        <w:rPr>
          <w:color w:val="262626" w:themeColor="text1" w:themeTint="D9"/>
        </w:rPr>
        <w:t xml:space="preserve"> </w:t>
      </w:r>
      <w:r w:rsidRPr="008642D1">
        <w:rPr>
          <w:i/>
          <w:iCs/>
          <w:color w:val="262626" w:themeColor="text1" w:themeTint="D9"/>
        </w:rPr>
        <w:t>Counting Ourselves: The health and wellbeing of trans and non-binary people in Aotearoa New Zealand</w:t>
      </w:r>
      <w:r w:rsidRPr="008642D1">
        <w:rPr>
          <w:color w:val="262626" w:themeColor="text1" w:themeTint="D9"/>
        </w:rPr>
        <w:t xml:space="preserve"> (Te Whare Wānanga o Waikato |</w:t>
      </w:r>
      <w:r w:rsidRPr="008642D1" w:rsidDel="00B6554F">
        <w:rPr>
          <w:color w:val="262626" w:themeColor="text1" w:themeTint="D9"/>
        </w:rPr>
        <w:t xml:space="preserve"> </w:t>
      </w:r>
      <w:r w:rsidRPr="008642D1">
        <w:rPr>
          <w:color w:val="262626" w:themeColor="text1" w:themeTint="D9"/>
        </w:rPr>
        <w:t>University of Waikato, 2019) at 79; and Tari o te Kaitiaki Mana Tangata | Office of the Ombudsman</w:t>
      </w:r>
      <w:r w:rsidRPr="008642D1">
        <w:rPr>
          <w:i/>
          <w:iCs/>
          <w:color w:val="262626" w:themeColor="text1" w:themeTint="D9"/>
        </w:rPr>
        <w:t xml:space="preserve"> OPCAT Report: </w:t>
      </w:r>
      <w:r w:rsidRPr="008642D1">
        <w:rPr>
          <w:i/>
          <w:color w:val="262626" w:themeColor="text1" w:themeTint="D9"/>
        </w:rPr>
        <w:t>Report on an announced follow up inspection of Whanganui Prison under the Crimes of Torture Act 1989</w:t>
      </w:r>
      <w:r w:rsidRPr="008642D1">
        <w:rPr>
          <w:color w:val="262626" w:themeColor="text1" w:themeTint="D9"/>
        </w:rPr>
        <w:t xml:space="preserve"> (June 2021) at 16.</w:t>
      </w:r>
    </w:p>
  </w:footnote>
  <w:footnote w:id="732">
    <w:p w14:paraId="70CE20D2"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color w:val="262626" w:themeColor="text1" w:themeTint="D9"/>
        </w:rPr>
        <w:t>Moonen</w:t>
      </w:r>
      <w:r w:rsidRPr="008642D1">
        <w:rPr>
          <w:i/>
          <w:iCs/>
          <w:color w:val="262626" w:themeColor="text1" w:themeTint="D9"/>
        </w:rPr>
        <w:t xml:space="preserve"> v Film and Literature Board of Review </w:t>
      </w:r>
      <w:r w:rsidRPr="008642D1">
        <w:rPr>
          <w:color w:val="262626" w:themeColor="text1" w:themeTint="D9"/>
        </w:rPr>
        <w:t xml:space="preserve">[2000] 2 NZLR 9 (CA) at [15]. </w:t>
      </w:r>
    </w:p>
  </w:footnote>
  <w:footnote w:id="733">
    <w:p w14:paraId="2ECE144C"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New Zealand Bill of Rights Act 1990, ss 15 and 19; and Human Rights Act 1993, s 21(1)(j). </w:t>
      </w:r>
    </w:p>
  </w:footnote>
  <w:footnote w:id="734">
    <w:p w14:paraId="32ED72C3"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New Zealand Bill of Rights Act 1990, s 5.</w:t>
      </w:r>
    </w:p>
  </w:footnote>
  <w:footnote w:id="735">
    <w:p w14:paraId="5A5883CC"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color w:val="262626" w:themeColor="text1" w:themeTint="D9"/>
        </w:rPr>
        <w:t>September</w:t>
      </w:r>
      <w:r w:rsidRPr="008642D1">
        <w:rPr>
          <w:i/>
          <w:iCs/>
          <w:color w:val="262626" w:themeColor="text1" w:themeTint="D9"/>
        </w:rPr>
        <w:t xml:space="preserve"> v Subramoney</w:t>
      </w:r>
      <w:r w:rsidRPr="008642D1">
        <w:rPr>
          <w:color w:val="262626" w:themeColor="text1" w:themeTint="D9"/>
        </w:rPr>
        <w:t xml:space="preserve"> Equality Court of South Africa EC10/2016, 23 September 2019; </w:t>
      </w:r>
      <w:r w:rsidRPr="008642D1">
        <w:rPr>
          <w:i/>
          <w:color w:val="262626" w:themeColor="text1" w:themeTint="D9"/>
        </w:rPr>
        <w:t>Tay</w:t>
      </w:r>
      <w:r w:rsidRPr="008642D1">
        <w:rPr>
          <w:i/>
          <w:iCs/>
          <w:color w:val="262626" w:themeColor="text1" w:themeTint="D9"/>
        </w:rPr>
        <w:t xml:space="preserve"> v Dennison</w:t>
      </w:r>
      <w:r w:rsidRPr="008642D1">
        <w:rPr>
          <w:color w:val="262626" w:themeColor="text1" w:themeTint="D9"/>
        </w:rPr>
        <w:t xml:space="preserve"> 457 F Supp 3d 657</w:t>
      </w:r>
      <w:r w:rsidRPr="008642D1" w:rsidDel="00A437F4">
        <w:rPr>
          <w:color w:val="262626" w:themeColor="text1" w:themeTint="D9"/>
        </w:rPr>
        <w:t xml:space="preserve"> </w:t>
      </w:r>
      <w:r w:rsidRPr="008642D1">
        <w:rPr>
          <w:color w:val="262626" w:themeColor="text1" w:themeTint="D9"/>
        </w:rPr>
        <w:t xml:space="preserve">(SD Ill 2020); and </w:t>
      </w:r>
      <w:r w:rsidRPr="008642D1">
        <w:rPr>
          <w:i/>
          <w:color w:val="262626" w:themeColor="text1" w:themeTint="D9"/>
        </w:rPr>
        <w:t>Dawson</w:t>
      </w:r>
      <w:r w:rsidRPr="008642D1">
        <w:rPr>
          <w:i/>
          <w:iCs/>
          <w:color w:val="262626" w:themeColor="text1" w:themeTint="D9"/>
        </w:rPr>
        <w:t xml:space="preserve"> v Vancouver Police Board </w:t>
      </w:r>
      <w:r w:rsidRPr="008642D1">
        <w:rPr>
          <w:color w:val="262626" w:themeColor="text1" w:themeTint="D9"/>
        </w:rPr>
        <w:t>2015 BCHRT 54.</w:t>
      </w:r>
    </w:p>
  </w:footnote>
  <w:footnote w:id="736">
    <w:p w14:paraId="10C5049A"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color w:val="262626" w:themeColor="text1" w:themeTint="D9"/>
        </w:rPr>
        <w:t xml:space="preserve">Bell </w:t>
      </w:r>
      <w:r w:rsidRPr="008642D1">
        <w:rPr>
          <w:i/>
          <w:iCs/>
          <w:color w:val="262626" w:themeColor="text1" w:themeTint="D9"/>
        </w:rPr>
        <w:t>and Radio New Zealand Ltd</w:t>
      </w:r>
      <w:r w:rsidRPr="008642D1">
        <w:rPr>
          <w:color w:val="262626" w:themeColor="text1" w:themeTint="D9"/>
        </w:rPr>
        <w:t xml:space="preserve"> BSA 2023-016, 30 May 2023 at [18].</w:t>
      </w:r>
    </w:p>
  </w:footnote>
  <w:footnote w:id="737">
    <w:p w14:paraId="714E331A" w14:textId="32A943D4"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00A47F6A" w:rsidRPr="00A47F6A">
        <w:rPr>
          <w:iCs/>
          <w:color w:val="262626" w:themeColor="text1" w:themeTint="D9"/>
        </w:rPr>
        <w:t>A</w:t>
      </w:r>
      <w:r w:rsidRPr="008642D1">
        <w:rPr>
          <w:color w:val="262626" w:themeColor="text1" w:themeTint="D9"/>
        </w:rPr>
        <w:t xml:space="preserve">t [18]. Examples of laws, policies and practices to protect against deadnaming and misgendering being held incompatible with free speech in the United States include </w:t>
      </w:r>
      <w:r w:rsidRPr="008642D1">
        <w:rPr>
          <w:i/>
          <w:color w:val="262626" w:themeColor="text1" w:themeTint="D9"/>
        </w:rPr>
        <w:t>Meriweather</w:t>
      </w:r>
      <w:r w:rsidRPr="008642D1">
        <w:rPr>
          <w:i/>
          <w:iCs/>
          <w:color w:val="262626" w:themeColor="text1" w:themeTint="D9"/>
        </w:rPr>
        <w:t xml:space="preserve"> v Hartop</w:t>
      </w:r>
      <w:r w:rsidRPr="008642D1">
        <w:rPr>
          <w:color w:val="262626" w:themeColor="text1" w:themeTint="D9"/>
        </w:rPr>
        <w:t xml:space="preserve"> 992 F 3d 492 (6th Cir 2021); and </w:t>
      </w:r>
      <w:r w:rsidRPr="008642D1">
        <w:rPr>
          <w:i/>
          <w:color w:val="262626" w:themeColor="text1" w:themeTint="D9"/>
        </w:rPr>
        <w:t>Taking</w:t>
      </w:r>
      <w:r w:rsidRPr="008642D1">
        <w:rPr>
          <w:i/>
          <w:iCs/>
          <w:color w:val="262626" w:themeColor="text1" w:themeTint="D9"/>
        </w:rPr>
        <w:t xml:space="preserve"> Offense v State of California</w:t>
      </w:r>
      <w:r w:rsidRPr="008642D1">
        <w:rPr>
          <w:color w:val="262626" w:themeColor="text1" w:themeTint="D9"/>
        </w:rPr>
        <w:t xml:space="preserve"> 498 P 3d 90 (Cal 2021). We acknowledge United States courts take a more absolutist approach to free speech than is usual in Aotearoa New Zealand.</w:t>
      </w:r>
    </w:p>
  </w:footnote>
  <w:footnote w:id="738">
    <w:p w14:paraId="600B5E42"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ss 22(1)(c), 36(2)(b) and 57(1)(d).</w:t>
      </w:r>
    </w:p>
  </w:footnote>
  <w:footnote w:id="739">
    <w:p w14:paraId="2F2C06E2"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Employment Relations Act 2000, s 104(2).</w:t>
      </w:r>
    </w:p>
  </w:footnote>
  <w:footnote w:id="740">
    <w:p w14:paraId="4710DE13" w14:textId="6F8D969F"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Human Rights Act 1993, s 44(1)(b). There are other provisions in the Act about “less favourable” terms or conditions </w:t>
      </w:r>
      <w:r w:rsidR="00A47F6A">
        <w:rPr>
          <w:color w:val="262626" w:themeColor="text1" w:themeTint="D9"/>
        </w:rPr>
        <w:t>that</w:t>
      </w:r>
      <w:r w:rsidR="00A47F6A" w:rsidRPr="008642D1">
        <w:rPr>
          <w:color w:val="262626" w:themeColor="text1" w:themeTint="D9"/>
        </w:rPr>
        <w:t xml:space="preserve"> </w:t>
      </w:r>
      <w:r w:rsidRPr="008642D1">
        <w:rPr>
          <w:color w:val="262626" w:themeColor="text1" w:themeTint="D9"/>
        </w:rPr>
        <w:t>we think are less relevant.</w:t>
      </w:r>
    </w:p>
  </w:footnote>
  <w:footnote w:id="741">
    <w:p w14:paraId="6D244DCD" w14:textId="1713F302"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i/>
          <w:iCs/>
          <w:color w:val="262626" w:themeColor="text1" w:themeTint="D9"/>
        </w:rPr>
        <w:tab/>
      </w:r>
      <w:r w:rsidRPr="008642D1">
        <w:rPr>
          <w:rFonts w:eastAsia="Metropolis Light"/>
          <w:color w:val="262626" w:themeColor="text1" w:themeTint="D9"/>
        </w:rPr>
        <w:t xml:space="preserve">We are aware of one decision from </w:t>
      </w:r>
      <w:r w:rsidR="004413DA" w:rsidRPr="008642D1">
        <w:t>Te Ratonga Ahumana Taimahi</w:t>
      </w:r>
      <w:r w:rsidR="004413DA" w:rsidRPr="008642D1" w:rsidDel="004413DA">
        <w:rPr>
          <w:rFonts w:eastAsia="Metropolis Light"/>
          <w:color w:val="262626" w:themeColor="text1" w:themeTint="D9"/>
        </w:rPr>
        <w:t xml:space="preserve"> </w:t>
      </w:r>
      <w:r w:rsidR="004413DA">
        <w:rPr>
          <w:rFonts w:eastAsia="Metropolis Light"/>
          <w:color w:val="262626" w:themeColor="text1" w:themeTint="D9"/>
        </w:rPr>
        <w:t xml:space="preserve">| </w:t>
      </w:r>
      <w:r w:rsidRPr="008642D1">
        <w:rPr>
          <w:rFonts w:eastAsia="Metropolis Light"/>
          <w:color w:val="262626" w:themeColor="text1" w:themeTint="D9"/>
        </w:rPr>
        <w:t xml:space="preserve">Employment Relations Authority that held that disparaging speech relating to sexual orientation amounted to a detriment: </w:t>
      </w:r>
      <w:r w:rsidRPr="008642D1">
        <w:rPr>
          <w:i/>
          <w:color w:val="262626" w:themeColor="text1" w:themeTint="D9"/>
        </w:rPr>
        <w:t>Matthews</w:t>
      </w:r>
      <w:r w:rsidRPr="008642D1">
        <w:rPr>
          <w:i/>
          <w:iCs/>
          <w:color w:val="262626" w:themeColor="text1" w:themeTint="D9"/>
        </w:rPr>
        <w:t xml:space="preserve"> v Newberrys Funeral Home Ltd</w:t>
      </w:r>
      <w:r w:rsidRPr="008642D1">
        <w:rPr>
          <w:color w:val="262626" w:themeColor="text1" w:themeTint="D9"/>
        </w:rPr>
        <w:t xml:space="preserve"> [2022] NZERA 345 at [77]. There are also Human Rights Review Tribunal decisions about racial harassment that find that racist slurs have had a “detrimental effect” on the respective complainants. We do not discuss these because racial harassment is a somewhat different legal concept.</w:t>
      </w:r>
    </w:p>
  </w:footnote>
  <w:footnote w:id="742">
    <w:p w14:paraId="24C99594" w14:textId="4FA38CDD"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color w:val="262626" w:themeColor="text1" w:themeTint="D9"/>
        </w:rPr>
        <w:t>Nelson v Goodberry</w:t>
      </w:r>
      <w:r w:rsidRPr="008642D1">
        <w:rPr>
          <w:i/>
          <w:iCs/>
          <w:color w:val="262626" w:themeColor="text1" w:themeTint="D9"/>
        </w:rPr>
        <w:t xml:space="preserve"> Restaurant Group Ltd</w:t>
      </w:r>
      <w:r w:rsidRPr="008642D1">
        <w:rPr>
          <w:color w:val="262626" w:themeColor="text1" w:themeTint="D9"/>
        </w:rPr>
        <w:t xml:space="preserve"> 2021 BCHRT 137; </w:t>
      </w:r>
      <w:r w:rsidRPr="008642D1">
        <w:rPr>
          <w:i/>
          <w:color w:val="262626" w:themeColor="text1" w:themeTint="D9"/>
        </w:rPr>
        <w:t>EN</w:t>
      </w:r>
      <w:r w:rsidRPr="008642D1">
        <w:rPr>
          <w:i/>
          <w:iCs/>
          <w:color w:val="262626" w:themeColor="text1" w:themeTint="D9"/>
        </w:rPr>
        <w:t xml:space="preserve"> v Gallag</w:t>
      </w:r>
      <w:r w:rsidR="00C9215A">
        <w:rPr>
          <w:i/>
          <w:iCs/>
          <w:color w:val="262626" w:themeColor="text1" w:themeTint="D9"/>
        </w:rPr>
        <w:t>h</w:t>
      </w:r>
      <w:r w:rsidRPr="008642D1">
        <w:rPr>
          <w:i/>
          <w:iCs/>
          <w:color w:val="262626" w:themeColor="text1" w:themeTint="D9"/>
        </w:rPr>
        <w:t xml:space="preserve">er’s Bar and Lounge </w:t>
      </w:r>
      <w:r w:rsidRPr="008642D1">
        <w:rPr>
          <w:color w:val="262626" w:themeColor="text1" w:themeTint="D9"/>
        </w:rPr>
        <w:t>2021 HRTO 240;</w:t>
      </w:r>
      <w:r w:rsidRPr="008642D1">
        <w:rPr>
          <w:i/>
          <w:iCs/>
          <w:color w:val="262626" w:themeColor="text1" w:themeTint="D9"/>
        </w:rPr>
        <w:t xml:space="preserve"> Bilac</w:t>
      </w:r>
      <w:r w:rsidRPr="008642D1">
        <w:rPr>
          <w:i/>
          <w:color w:val="262626" w:themeColor="text1" w:themeTint="D9"/>
        </w:rPr>
        <w:t xml:space="preserve"> v </w:t>
      </w:r>
      <w:r w:rsidRPr="008642D1">
        <w:rPr>
          <w:i/>
          <w:iCs/>
          <w:color w:val="262626" w:themeColor="text1" w:themeTint="D9"/>
        </w:rPr>
        <w:t xml:space="preserve">Abbey </w:t>
      </w:r>
      <w:r w:rsidRPr="008642D1">
        <w:rPr>
          <w:color w:val="262626" w:themeColor="text1" w:themeTint="D9"/>
        </w:rPr>
        <w:t>2023 CHRT 43;</w:t>
      </w:r>
      <w:r w:rsidRPr="008642D1">
        <w:rPr>
          <w:i/>
          <w:iCs/>
          <w:color w:val="262626" w:themeColor="text1" w:themeTint="D9"/>
        </w:rPr>
        <w:t xml:space="preserve"> </w:t>
      </w:r>
      <w:r w:rsidRPr="008642D1">
        <w:rPr>
          <w:i/>
          <w:color w:val="262626" w:themeColor="text1" w:themeTint="D9"/>
        </w:rPr>
        <w:t>Miss</w:t>
      </w:r>
      <w:r w:rsidRPr="008642D1">
        <w:rPr>
          <w:i/>
          <w:iCs/>
          <w:color w:val="262626" w:themeColor="text1" w:themeTint="D9"/>
        </w:rPr>
        <w:t xml:space="preserve"> AB v Royal Borough of Kingston upon Thames </w:t>
      </w:r>
      <w:r w:rsidRPr="008642D1">
        <w:rPr>
          <w:color w:val="262626" w:themeColor="text1" w:themeTint="D9"/>
        </w:rPr>
        <w:t xml:space="preserve">UK Employment Tribunal 2303616/2021, 11 September 2023; and </w:t>
      </w:r>
      <w:r w:rsidRPr="008642D1">
        <w:rPr>
          <w:i/>
          <w:color w:val="262626" w:themeColor="text1" w:themeTint="D9"/>
        </w:rPr>
        <w:t>Miss</w:t>
      </w:r>
      <w:r w:rsidRPr="008642D1">
        <w:rPr>
          <w:i/>
          <w:iCs/>
          <w:color w:val="262626" w:themeColor="text1" w:themeTint="D9"/>
        </w:rPr>
        <w:t xml:space="preserve"> A de Souza E Souza v Primark Stores Ltd </w:t>
      </w:r>
      <w:r w:rsidRPr="008642D1">
        <w:rPr>
          <w:color w:val="262626" w:themeColor="text1" w:themeTint="D9"/>
        </w:rPr>
        <w:t>UK Employment Tribunal 206063/2017, 22 December 2017.</w:t>
      </w:r>
    </w:p>
  </w:footnote>
  <w:footnote w:id="743">
    <w:p w14:paraId="647C1C04" w14:textId="54918113"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w:t>
      </w:r>
      <w:r w:rsidRPr="008642D1">
        <w:rPr>
          <w:i/>
          <w:color w:val="262626" w:themeColor="text1" w:themeTint="D9"/>
        </w:rPr>
        <w:t>Doe</w:t>
      </w:r>
      <w:r w:rsidRPr="008642D1">
        <w:rPr>
          <w:i/>
          <w:iCs/>
          <w:color w:val="262626" w:themeColor="text1" w:themeTint="D9"/>
        </w:rPr>
        <w:t xml:space="preserve"> v Triangle Doughnuts LLC</w:t>
      </w:r>
      <w:r w:rsidRPr="008642D1">
        <w:rPr>
          <w:color w:val="262626" w:themeColor="text1" w:themeTint="D9"/>
        </w:rPr>
        <w:t xml:space="preserve"> 472 F Supp 3d 115</w:t>
      </w:r>
      <w:r w:rsidRPr="008642D1" w:rsidDel="00FA3032">
        <w:rPr>
          <w:color w:val="262626" w:themeColor="text1" w:themeTint="D9"/>
        </w:rPr>
        <w:t xml:space="preserve"> </w:t>
      </w:r>
      <w:r w:rsidRPr="008642D1">
        <w:rPr>
          <w:color w:val="262626" w:themeColor="text1" w:themeTint="D9"/>
        </w:rPr>
        <w:t xml:space="preserve">(ED Pa 2020); </w:t>
      </w:r>
      <w:r w:rsidRPr="008642D1">
        <w:rPr>
          <w:i/>
          <w:color w:val="262626" w:themeColor="text1" w:themeTint="D9"/>
        </w:rPr>
        <w:t>Eller</w:t>
      </w:r>
      <w:r w:rsidRPr="008642D1">
        <w:rPr>
          <w:i/>
          <w:iCs/>
          <w:color w:val="262626" w:themeColor="text1" w:themeTint="D9"/>
        </w:rPr>
        <w:t xml:space="preserve"> v Prince George’s County Public Schools </w:t>
      </w:r>
      <w:r w:rsidRPr="008642D1">
        <w:rPr>
          <w:color w:val="262626" w:themeColor="text1" w:themeTint="D9"/>
        </w:rPr>
        <w:t xml:space="preserve">580 F Supp 3d 154 (D Md 2022); and </w:t>
      </w:r>
      <w:r w:rsidRPr="008642D1">
        <w:rPr>
          <w:i/>
          <w:color w:val="262626" w:themeColor="text1" w:themeTint="D9"/>
        </w:rPr>
        <w:t>Doe</w:t>
      </w:r>
      <w:r w:rsidRPr="008642D1">
        <w:rPr>
          <w:i/>
          <w:iCs/>
          <w:color w:val="262626" w:themeColor="text1" w:themeTint="D9"/>
        </w:rPr>
        <w:t xml:space="preserve"> v Progressive Casualty Insurance Company </w:t>
      </w:r>
      <w:r w:rsidRPr="008642D1">
        <w:rPr>
          <w:color w:val="262626" w:themeColor="text1" w:themeTint="D9"/>
        </w:rPr>
        <w:t>United States District Court, ND Cal No 21-CV-02602-BLF, 18 September 2023</w:t>
      </w:r>
      <w:r w:rsidRPr="008642D1">
        <w:rPr>
          <w:i/>
          <w:iCs/>
          <w:color w:val="262626" w:themeColor="text1" w:themeTint="D9"/>
        </w:rPr>
        <w:t xml:space="preserve"> </w:t>
      </w:r>
      <w:r w:rsidRPr="008642D1">
        <w:rPr>
          <w:color w:val="262626" w:themeColor="text1" w:themeTint="D9"/>
        </w:rPr>
        <w:t>at 5.</w:t>
      </w:r>
    </w:p>
  </w:footnote>
  <w:footnote w:id="744">
    <w:p w14:paraId="084BA9B6" w14:textId="2C88309F"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w:t>
      </w:r>
      <w:r w:rsidRPr="008642D1">
        <w:rPr>
          <w:i/>
          <w:color w:val="262626" w:themeColor="text1" w:themeTint="D9"/>
        </w:rPr>
        <w:t>Wall</w:t>
      </w:r>
      <w:r w:rsidRPr="008642D1">
        <w:rPr>
          <w:i/>
          <w:iCs/>
          <w:color w:val="262626" w:themeColor="text1" w:themeTint="D9"/>
        </w:rPr>
        <w:t xml:space="preserve"> v Fairfax New Zealand Ltd</w:t>
      </w:r>
      <w:r w:rsidRPr="008642D1">
        <w:rPr>
          <w:color w:val="262626" w:themeColor="text1" w:themeTint="D9"/>
        </w:rPr>
        <w:t xml:space="preserve"> [2018] NZHC 104, [2018] 2 NZLR 471 in which </w:t>
      </w:r>
      <w:r w:rsidR="00C9215A" w:rsidRPr="008642D1">
        <w:t xml:space="preserve">Te Kōti Matua | </w:t>
      </w:r>
      <w:r w:rsidRPr="008642D1">
        <w:rPr>
          <w:color w:val="262626" w:themeColor="text1" w:themeTint="D9"/>
        </w:rPr>
        <w:t xml:space="preserve">High Court reached a similar conclusion about malleable language in section 61 of the Human Rights Act 1993, regulating incitement of racial disharmony. </w:t>
      </w:r>
    </w:p>
  </w:footnote>
  <w:footnote w:id="745">
    <w:p w14:paraId="59BA5FF1"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iCs/>
          <w:color w:val="262626" w:themeColor="text1" w:themeTint="D9"/>
        </w:rPr>
        <w:t>A Patient v A Hospital</w:t>
      </w:r>
      <w:r w:rsidRPr="008642D1">
        <w:rPr>
          <w:color w:val="262626" w:themeColor="text1" w:themeTint="D9"/>
        </w:rPr>
        <w:t xml:space="preserve"> Equality Tribunal (Ireland) DEC-S2014-020, 24 November 2014.</w:t>
      </w:r>
    </w:p>
  </w:footnote>
  <w:footnote w:id="746">
    <w:p w14:paraId="5DFF7C90"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color w:val="262626" w:themeColor="text1" w:themeTint="D9"/>
        </w:rPr>
        <w:t>VVR</w:t>
      </w:r>
      <w:r w:rsidRPr="008642D1">
        <w:rPr>
          <w:i/>
          <w:iCs/>
          <w:color w:val="262626" w:themeColor="text1" w:themeTint="D9"/>
        </w:rPr>
        <w:t xml:space="preserve"> v Trustee for Ironfish Property Management Melbourne Unit Trust 73299113275</w:t>
      </w:r>
      <w:r w:rsidRPr="008642D1">
        <w:rPr>
          <w:color w:val="262626" w:themeColor="text1" w:themeTint="D9"/>
        </w:rPr>
        <w:t xml:space="preserve"> [2024] VCAT 222.</w:t>
      </w:r>
    </w:p>
  </w:footnote>
  <w:footnote w:id="747">
    <w:p w14:paraId="2D5A7C40"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color w:val="262626" w:themeColor="text1" w:themeTint="D9"/>
        </w:rPr>
        <w:t>Complaints</w:t>
      </w:r>
      <w:r w:rsidRPr="008642D1">
        <w:rPr>
          <w:i/>
          <w:iCs/>
          <w:color w:val="262626" w:themeColor="text1" w:themeTint="D9"/>
        </w:rPr>
        <w:t xml:space="preserve"> Assessment Committee v Respondent</w:t>
      </w:r>
      <w:r w:rsidRPr="008642D1">
        <w:rPr>
          <w:color w:val="262626" w:themeColor="text1" w:themeTint="D9"/>
        </w:rPr>
        <w:t xml:space="preserve"> [2023] NZTDT 24.</w:t>
      </w:r>
    </w:p>
  </w:footnote>
  <w:footnote w:id="748">
    <w:p w14:paraId="035D7839"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For example, </w:t>
      </w:r>
      <w:r w:rsidRPr="008642D1">
        <w:rPr>
          <w:i/>
          <w:color w:val="262626" w:themeColor="text1" w:themeTint="D9"/>
        </w:rPr>
        <w:t>Ontario</w:t>
      </w:r>
      <w:r w:rsidRPr="008642D1">
        <w:rPr>
          <w:i/>
          <w:iCs/>
          <w:color w:val="262626" w:themeColor="text1" w:themeTint="D9"/>
        </w:rPr>
        <w:t xml:space="preserve"> College of Teachers v Teal</w:t>
      </w:r>
      <w:r w:rsidRPr="008642D1">
        <w:rPr>
          <w:color w:val="262626" w:themeColor="text1" w:themeTint="D9"/>
        </w:rPr>
        <w:t xml:space="preserve"> 2022 ONOCT 33; and Teaching Regulation Agency </w:t>
      </w:r>
      <w:r w:rsidRPr="008642D1">
        <w:rPr>
          <w:i/>
          <w:iCs/>
          <w:color w:val="262626" w:themeColor="text1" w:themeTint="D9"/>
        </w:rPr>
        <w:t>Mr Joshua Sutcliffe: Professional conduct panel outcome: Panel decision and reasons on behalf of the Secretary of State for Education</w:t>
      </w:r>
      <w:r w:rsidRPr="008642D1">
        <w:rPr>
          <w:color w:val="262626" w:themeColor="text1" w:themeTint="D9"/>
        </w:rPr>
        <w:t xml:space="preserve"> (0017091, 5 May 2023).</w:t>
      </w:r>
    </w:p>
  </w:footnote>
  <w:footnote w:id="749">
    <w:p w14:paraId="33D9D56F" w14:textId="77777777" w:rsidR="001E69E7" w:rsidRPr="008642D1" w:rsidRDefault="001E69E7" w:rsidP="001E69E7">
      <w:pPr>
        <w:pStyle w:val="FootnoteText"/>
        <w:rPr>
          <w:rStyle w:val="FootnoteReference"/>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i/>
          <w:color w:val="262626" w:themeColor="text1" w:themeTint="D9"/>
        </w:rPr>
        <w:t>Lister</w:t>
      </w:r>
      <w:r w:rsidRPr="008642D1">
        <w:rPr>
          <w:i/>
          <w:iCs/>
          <w:color w:val="262626" w:themeColor="text1" w:themeTint="D9"/>
        </w:rPr>
        <w:t xml:space="preserve"> v New College Swindon</w:t>
      </w:r>
      <w:r w:rsidRPr="008642D1">
        <w:rPr>
          <w:color w:val="262626" w:themeColor="text1" w:themeTint="D9"/>
        </w:rPr>
        <w:t xml:space="preserve"> UK Employment Tribunal 1404223/2022, 27 March 2024. See also </w:t>
      </w:r>
      <w:r w:rsidRPr="008642D1">
        <w:rPr>
          <w:i/>
          <w:color w:val="262626" w:themeColor="text1" w:themeTint="D9"/>
        </w:rPr>
        <w:t>Mackereth v Department for Work and Pensions</w:t>
      </w:r>
      <w:r w:rsidRPr="008642D1">
        <w:rPr>
          <w:color w:val="262626" w:themeColor="text1" w:themeTint="D9"/>
        </w:rPr>
        <w:t xml:space="preserve"> [2022] EAT 99.</w:t>
      </w:r>
    </w:p>
  </w:footnote>
  <w:footnote w:id="750">
    <w:p w14:paraId="46DDDC0A"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for example, </w:t>
      </w:r>
      <w:r w:rsidRPr="008642D1">
        <w:rPr>
          <w:i/>
          <w:color w:val="262626" w:themeColor="text1" w:themeTint="D9"/>
        </w:rPr>
        <w:t>Goel v Barron</w:t>
      </w:r>
      <w:r w:rsidRPr="008642D1">
        <w:rPr>
          <w:color w:val="262626" w:themeColor="text1" w:themeTint="D9"/>
        </w:rPr>
        <w:t xml:space="preserve"> [2022] NZHRRT 28, in which belittling speech was relevant to establishing that the person had been refused employment based on discrimination.</w:t>
      </w:r>
    </w:p>
  </w:footnote>
  <w:footnote w:id="751">
    <w:p w14:paraId="484F47DF"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w:t>
      </w:r>
      <w:r w:rsidRPr="008642D1">
        <w:rPr>
          <w:i/>
          <w:color w:val="262626" w:themeColor="text1" w:themeTint="D9"/>
        </w:rPr>
        <w:t>Mackereth v Department for Work and Pensions</w:t>
      </w:r>
      <w:r w:rsidRPr="008642D1">
        <w:rPr>
          <w:color w:val="262626" w:themeColor="text1" w:themeTint="D9"/>
        </w:rPr>
        <w:t xml:space="preserve"> [2022] EAT 99 at [116].</w:t>
      </w:r>
    </w:p>
  </w:footnote>
  <w:footnote w:id="752">
    <w:p w14:paraId="2485007E"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Human Rights Act 1993, ss 15(g), 16(1)(d), 18(2)(a), 18(3), 20(2), 37(1)(c), 57(1)(d), 91(1), 91(2)(b), 91(3), 100(3) and 140(1). </w:t>
      </w:r>
    </w:p>
  </w:footnote>
  <w:footnote w:id="753">
    <w:p w14:paraId="1D70AA62"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ss 4(4)(b), 9(2)(b)(i), 9(3)(b), 16(2), 20(1), (2), (3) and (4), 20A(3)(a) and (b), 20B(1) and (2), 20C(1) and (2), 20F(c), 25(1)(a), 29(3)(a), 53(1) and (2), 77(2)(c)(i), 80(4)(c), 86(1)(b), 92N(2), 101(3)(d), 103(1) and (2), 108(3), 110(1)(a) and (b), 119(1)(b), 124(2), 126(6)(b), 130(2) and (2B), 140(4), 143(a) and (c), sch 1AA cls 1(3) and 1(4)(b), cl 2(1) and sch 1 cls 1(1)(a), (b) and (d).</w:t>
      </w:r>
    </w:p>
  </w:footnote>
  <w:footnote w:id="754">
    <w:p w14:paraId="06452575"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ss 8(3), 9(2)(b)(ii), 9(3)(d), 20F</w:t>
      </w:r>
      <w:r w:rsidRPr="008642D1">
        <w:rPr>
          <w:rFonts w:ascii="Calibri" w:hAnsi="Calibri" w:cs="Calibri"/>
          <w:color w:val="262626" w:themeColor="text1" w:themeTint="D9"/>
        </w:rPr>
        <w:t>(C)</w:t>
      </w:r>
      <w:r w:rsidRPr="008642D1">
        <w:rPr>
          <w:color w:val="262626" w:themeColor="text1" w:themeTint="D9"/>
        </w:rPr>
        <w:t>, 20G(b) and (c), 36(3)(b), 39(2A)(a), 68(3), 80(1), 84(1), 92G(3), 92I(5), 95(1), 100(6), 102(1) and (2), 103(2), 103B(2), 108(1), 110(1)(a), 121A(1), 130(2), 148D, 148G(2), 148I(1), sch 1AA cl 1(3), sch 1 cl 1(1)(d) and sch 2 cls 2(1) and 5.</w:t>
      </w:r>
    </w:p>
  </w:footnote>
  <w:footnote w:id="755">
    <w:p w14:paraId="25BAA14B"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ss 25(1)(a), 29(3)(a), 36(3)(b), 37(1)(c), 39(2A)(a), 53(1) and (2), 57(1)(d) and 68(3).</w:t>
      </w:r>
    </w:p>
  </w:footnote>
  <w:footnote w:id="756">
    <w:p w14:paraId="03CA7F09"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ss 77(2)(c)(i), 80(1), 80(4)(c), 86(1)(b), 92I(5), 92N(2), 108(1) and (3), 110(1)(a) and (b) and 124(2).</w:t>
      </w:r>
    </w:p>
  </w:footnote>
  <w:footnote w:id="757">
    <w:p w14:paraId="0A782602"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Emphasis added.</w:t>
      </w:r>
    </w:p>
  </w:footnote>
  <w:footnote w:id="758">
    <w:p w14:paraId="3E56D4DF"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Legislation Act 2019, s 16(1).</w:t>
      </w:r>
    </w:p>
  </w:footnote>
  <w:footnote w:id="759">
    <w:p w14:paraId="2431470E"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Te Tari Tohutohu Pāremata | Parliamentary Counsel Office “Plain Language Standard: 8.2 Gender-neutral language” &lt;</w:t>
      </w:r>
      <w:hyperlink r:id="rId98" w:history="1">
        <w:r w:rsidRPr="008642D1">
          <w:rPr>
            <w:rStyle w:val="Hyperlink"/>
            <w:color w:val="262626" w:themeColor="text1" w:themeTint="D9"/>
          </w:rPr>
          <w:t>www.pco.govt.nz</w:t>
        </w:r>
      </w:hyperlink>
      <w:r w:rsidRPr="008642D1">
        <w:rPr>
          <w:color w:val="262626" w:themeColor="text1" w:themeTint="D9"/>
        </w:rPr>
        <w:t xml:space="preserve">&gt;. </w:t>
      </w:r>
    </w:p>
  </w:footnote>
  <w:footnote w:id="760">
    <w:p w14:paraId="46496751"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5.</w:t>
      </w:r>
    </w:p>
  </w:footnote>
  <w:footnote w:id="761">
    <w:p w14:paraId="090D78E7"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color w:val="262626" w:themeColor="text1" w:themeTint="D9"/>
          <w:lang w:eastAsia="en-AU"/>
        </w:rPr>
        <w:t xml:space="preserve">Te Kāhui Tika Tangata | Human Rights Commission </w:t>
      </w:r>
      <w:r w:rsidRPr="008642D1">
        <w:rPr>
          <w:i/>
          <w:iCs/>
          <w:color w:val="262626" w:themeColor="text1" w:themeTint="D9"/>
          <w:lang w:eastAsia="en-AU"/>
        </w:rPr>
        <w:t>To Be Who I Am: Report of the Inquiry into Discrimination Experienced by Transgender People</w:t>
      </w:r>
      <w:r w:rsidRPr="008642D1">
        <w:rPr>
          <w:color w:val="262626" w:themeColor="text1" w:themeTint="D9"/>
          <w:lang w:eastAsia="en-AU"/>
        </w:rPr>
        <w:t xml:space="preserve"> |</w:t>
      </w:r>
      <w:r w:rsidRPr="008642D1">
        <w:rPr>
          <w:i/>
          <w:iCs/>
          <w:color w:val="262626" w:themeColor="text1" w:themeTint="D9"/>
          <w:lang w:eastAsia="en-AU"/>
        </w:rPr>
        <w:t xml:space="preserve"> Kia noho au ki tōku anō ao: He Pūrongo mō te Uiuitanga mō Aukatitanga e Pāngia ana e ngā Tāngata Whakawhitiira</w:t>
      </w:r>
      <w:r w:rsidRPr="008642D1">
        <w:rPr>
          <w:color w:val="262626" w:themeColor="text1" w:themeTint="D9"/>
          <w:lang w:eastAsia="en-AU"/>
        </w:rPr>
        <w:t xml:space="preserve"> (2008).</w:t>
      </w:r>
    </w:p>
  </w:footnote>
  <w:footnote w:id="762">
    <w:p w14:paraId="64E3EDAA"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Disability, equal employment opportunities and race relations: Human Rights Act 1993, s 8(1A). </w:t>
      </w:r>
    </w:p>
  </w:footnote>
  <w:footnote w:id="763">
    <w:p w14:paraId="172171FF"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 76(1)(b).</w:t>
      </w:r>
    </w:p>
  </w:footnote>
  <w:footnote w:id="764">
    <w:p w14:paraId="791EF1F0" w14:textId="5A3C2A2E"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Human Rights Act 1993, ss 76(2)(c) and 77.</w:t>
      </w:r>
    </w:p>
  </w:footnote>
  <w:footnote w:id="765">
    <w:p w14:paraId="33348E22"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Assistance is sometimes available from the Director of Human Rights Proceedings.</w:t>
      </w:r>
    </w:p>
  </w:footnote>
  <w:footnote w:id="766">
    <w:p w14:paraId="023D7144"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for example, Te </w:t>
      </w:r>
      <w:r w:rsidRPr="008642D1">
        <w:rPr>
          <w:color w:val="262626" w:themeColor="text1" w:themeTint="D9"/>
          <w:lang w:bidi="th-TH"/>
        </w:rPr>
        <w:t xml:space="preserve">Kāhui Tika Tangata | Human Rights Commission </w:t>
      </w:r>
      <w:r w:rsidRPr="008642D1">
        <w:rPr>
          <w:i/>
          <w:iCs/>
          <w:color w:val="262626" w:themeColor="text1" w:themeTint="D9"/>
          <w:lang w:eastAsia="en-AU"/>
        </w:rPr>
        <w:t xml:space="preserve">Pūrongo ā-tau </w:t>
      </w:r>
      <w:r w:rsidRPr="008642D1">
        <w:rPr>
          <w:color w:val="262626" w:themeColor="text1" w:themeTint="D9"/>
          <w:lang w:eastAsia="en-AU"/>
        </w:rPr>
        <w:t>|</w:t>
      </w:r>
      <w:r w:rsidRPr="008642D1">
        <w:rPr>
          <w:i/>
          <w:iCs/>
          <w:color w:val="262626" w:themeColor="text1" w:themeTint="D9"/>
          <w:lang w:eastAsia="en-AU"/>
        </w:rPr>
        <w:t xml:space="preserve"> Annual Report: For the year ended 30 June 2023 </w:t>
      </w:r>
      <w:r w:rsidRPr="008642D1">
        <w:rPr>
          <w:color w:val="262626" w:themeColor="text1" w:themeTint="D9"/>
          <w:lang w:eastAsia="en-AU"/>
        </w:rPr>
        <w:t xml:space="preserve">(2023) </w:t>
      </w:r>
      <w:r w:rsidRPr="008642D1">
        <w:rPr>
          <w:color w:val="262626" w:themeColor="text1" w:themeTint="D9"/>
          <w:lang w:bidi="th-TH"/>
        </w:rPr>
        <w:t xml:space="preserve">at 29; and </w:t>
      </w:r>
      <w:r w:rsidRPr="008642D1">
        <w:rPr>
          <w:color w:val="262626" w:themeColor="text1" w:themeTint="D9"/>
        </w:rPr>
        <w:t xml:space="preserve">Te </w:t>
      </w:r>
      <w:r w:rsidRPr="008642D1">
        <w:rPr>
          <w:color w:val="262626" w:themeColor="text1" w:themeTint="D9"/>
          <w:lang w:bidi="th-TH"/>
        </w:rPr>
        <w:t xml:space="preserve">Kāhui Tika Tangata | Human Rights Commission </w:t>
      </w:r>
      <w:r w:rsidRPr="008642D1">
        <w:rPr>
          <w:i/>
          <w:iCs/>
          <w:color w:val="262626" w:themeColor="text1" w:themeTint="D9"/>
          <w:lang w:bidi="th-TH"/>
        </w:rPr>
        <w:t xml:space="preserve">Pūrongo ā-tau </w:t>
      </w:r>
      <w:r w:rsidRPr="008642D1">
        <w:rPr>
          <w:color w:val="262626" w:themeColor="text1" w:themeTint="D9"/>
          <w:lang w:bidi="th-TH"/>
        </w:rPr>
        <w:t xml:space="preserve">| </w:t>
      </w:r>
      <w:r w:rsidRPr="008642D1">
        <w:rPr>
          <w:i/>
          <w:iCs/>
          <w:color w:val="262626" w:themeColor="text1" w:themeTint="D9"/>
          <w:lang w:bidi="th-TH"/>
        </w:rPr>
        <w:t xml:space="preserve">Annual Report: For the year ended 30 June 2021 </w:t>
      </w:r>
      <w:r w:rsidRPr="008642D1">
        <w:rPr>
          <w:color w:val="262626" w:themeColor="text1" w:themeTint="D9"/>
          <w:lang w:bidi="th-TH"/>
        </w:rPr>
        <w:t>(2021) at 19.</w:t>
      </w:r>
    </w:p>
  </w:footnote>
  <w:footnote w:id="767">
    <w:p w14:paraId="0A2EF90D"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Letter from Te </w:t>
      </w:r>
      <w:r w:rsidRPr="008642D1">
        <w:rPr>
          <w:color w:val="262626" w:themeColor="text1" w:themeTint="D9"/>
          <w:lang w:bidi="th-TH"/>
        </w:rPr>
        <w:t>Kāhui Tika Tangata | Human Rights Commission to Te Aka Matua o te Ture | Law Commission (1 March 2024).</w:t>
      </w:r>
    </w:p>
  </w:footnote>
  <w:footnote w:id="768">
    <w:p w14:paraId="471515CE"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Films, Videos, and Publications Classification Act 1993, s 3(3)(e).</w:t>
      </w:r>
    </w:p>
  </w:footnote>
  <w:footnote w:id="769">
    <w:p w14:paraId="0EF26582"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Films, Videos, and Publications Classification Act 1993, s 46F(1)(d)(ii); Films, Videos, and Publications Classification Regulations 1994, reg 10(2)(d)(ii).</w:t>
      </w:r>
    </w:p>
  </w:footnote>
  <w:footnote w:id="770">
    <w:p w14:paraId="042CE314"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Terrorism Suppression (Control Orders) Act 2019, s 33(5)(a).</w:t>
      </w:r>
    </w:p>
  </w:footnote>
  <w:footnote w:id="771">
    <w:p w14:paraId="4910283E"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Corrections Act 2004, s 108(1)(d)(viii).</w:t>
      </w:r>
    </w:p>
  </w:footnote>
  <w:footnote w:id="772">
    <w:p w14:paraId="0BE4B249" w14:textId="48D6C54A"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Health and Disability Commissioner (Code of Health and Disability Services Consumers’ Rights) Regulations 1996, sch 1 cls 2 (right 2) and 4 (definition of discrimination).</w:t>
      </w:r>
    </w:p>
  </w:footnote>
  <w:footnote w:id="773">
    <w:p w14:paraId="5F98533D"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For example, Health and Disability Commissioner (Code of Health and Disability Services Consumers’ Rights) Regulations 1996, sch 1 cls 2 (rights 1, 2, 3 and 4(2)).</w:t>
      </w:r>
    </w:p>
  </w:footnote>
  <w:footnote w:id="774">
    <w:p w14:paraId="71BE3841" w14:textId="0605A803"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Lawyers and Conveyancers Act (Lawyers: Conduct and Client Care) Rules 2008, rr 1.2 (definition of discrimination), 3.1, 4.1.1 and 10.3. The Rules also convey an entitlement: to refuse to complete legal services for which a lawyer has been retained if they face discrimination from the client: r 4.2.1.</w:t>
      </w:r>
    </w:p>
  </w:footnote>
  <w:footnote w:id="775">
    <w:p w14:paraId="29810170" w14:textId="206A30E4"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Lawyers who practi</w:t>
      </w:r>
      <w:r w:rsidR="003621FE">
        <w:rPr>
          <w:color w:val="262626" w:themeColor="text1" w:themeTint="D9"/>
        </w:rPr>
        <w:t>s</w:t>
      </w:r>
      <w:r w:rsidRPr="008642D1">
        <w:rPr>
          <w:color w:val="262626" w:themeColor="text1" w:themeTint="D9"/>
        </w:rPr>
        <w:t xml:space="preserve">e on their own account must have effective policies and practices to protect people in their workplaces from discrimination: Lawyers and Conveyancers Act (Lawyers: Conduct and Client Care) Rules 2008, r 11.2. The practice must notify the Law Society if disciplinary action is taken against an employee on grounds of discrimination: r 11.4. </w:t>
      </w:r>
    </w:p>
  </w:footnote>
  <w:footnote w:id="776">
    <w:p w14:paraId="5520E7D9"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Lawyers and Conveyancers Act (Lawyers: Conduct and Client Care) Rules 2008, rr 3.1, 4.1(a), 4.1.1(b), 5.2 and 10.3.</w:t>
      </w:r>
    </w:p>
  </w:footnote>
  <w:footnote w:id="777">
    <w:p w14:paraId="6A6B5894" w14:textId="4CF9895D"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Children’s Commissioner Act 2003, ss 19 and 23; Contraception, Sterilisation, and Abortion Act 1977, s 15; Defence Act 1990, s 33A; Financial Markets Conduct Act 2013, s 183; and Public and Community Housing Management Act 1992, ss 81, 95 and 129.</w:t>
      </w:r>
    </w:p>
  </w:footnote>
  <w:footnote w:id="778">
    <w:p w14:paraId="3332236C"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Those of which we are aware are Broadcasting Act 1989, s 21(e)(iv); Extradition Act 1999, s 7(c); Harmful Digital Communications Act 2015, s 6(1); Sentencing Act 2002, s 9(1)(h); Misuse of Drugs Act 1975, s 35DDE(2)(a); and Mutual Assistance in Criminal Matters Act 1992, s 27. We have not listed statutes that directly implement an international treaty and incorporate a list of grounds directly from that treaty.</w:t>
      </w:r>
    </w:p>
  </w:footnote>
  <w:footnote w:id="779">
    <w:p w14:paraId="2585B12A" w14:textId="77777777" w:rsidR="001E69E7" w:rsidRPr="008642D1" w:rsidRDefault="001E69E7" w:rsidP="001E69E7">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Broadcasting Act 1989, s 21(e)(iv).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BB939" w14:textId="77777777" w:rsidR="00E81695" w:rsidRPr="001A7CE5" w:rsidRDefault="00E81695" w:rsidP="001A7CE5">
    <w:pPr>
      <w:pStyle w:val="Header"/>
      <w:tabs>
        <w:tab w:val="left" w:pos="709"/>
      </w:tabs>
      <w:rPr>
        <w:szCs w:val="20"/>
      </w:rPr>
    </w:pPr>
    <w:r>
      <w:rPr>
        <w:noProof/>
        <w:lang w:eastAsia="en-NZ"/>
      </w:rPr>
      <mc:AlternateContent>
        <mc:Choice Requires="wps">
          <w:drawing>
            <wp:anchor distT="0" distB="0" distL="114300" distR="114300" simplePos="0" relativeHeight="251654144" behindDoc="1" locked="0" layoutInCell="1" allowOverlap="1" wp14:anchorId="2A4FEF17" wp14:editId="57940B1D">
              <wp:simplePos x="0" y="0"/>
              <wp:positionH relativeFrom="column">
                <wp:posOffset>-1082040</wp:posOffset>
              </wp:positionH>
              <wp:positionV relativeFrom="paragraph">
                <wp:posOffset>-347060</wp:posOffset>
              </wp:positionV>
              <wp:extent cx="7560310" cy="10692130"/>
              <wp:effectExtent l="0" t="0" r="2540" b="0"/>
              <wp:wrapNone/>
              <wp:docPr id="35"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245FE07D" id="Freeform: Shape 3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v-text-anchor:top" points="-85.2pt,814.55pt,510.1pt,814.55pt,510.1pt,-27.35pt,-85.2pt,-27.35pt,-85.2pt,814.55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" fillcolor="#edf2ea" stroked="f">
              <v:path arrowok="t" o:connecttype="custom" o:connectlocs="0,10692130;7560310,10692130;7560310,0;0,0;0,10692130" o:connectangles="0,0,0,0,0"/>
            </v:polyline>
          </w:pict>
        </mc:Fallback>
      </mc:AlternateContent>
    </w:r>
    <w:sdt>
      <w:sdtPr>
        <w:id w:val="1454837497"/>
        <w:docPartObj>
          <w:docPartGallery w:val="Page Numbers (Top of Page)"/>
          <w:docPartUnique/>
        </w:docPartObj>
      </w:sdtPr>
      <w:sdtEndPr/>
      <w:sdtContent>
        <w:r>
          <w:t>v</w:t>
        </w:r>
        <w:r w:rsidRPr="00FF65F4">
          <w:rPr>
            <w:szCs w:val="13"/>
            <w:lang w:val="fr-FR"/>
          </w:rPr>
          <w:t xml:space="preserve">     </w:t>
        </w:r>
        <w:r>
          <w:rPr>
            <w:szCs w:val="13"/>
            <w:lang w:val="fr-FR"/>
          </w:rPr>
          <w:tab/>
          <w:t>ACKNOWLEDGEMENTS</w:t>
        </w:r>
      </w:sdtContent>
    </w:sdt>
    <w:r>
      <w:tab/>
      <w:t xml:space="preserve"> </w:t>
    </w:r>
    <w:r w:rsidRPr="0074159A">
      <w:rPr>
        <w:szCs w:val="13"/>
      </w:rPr>
      <w:tab/>
    </w:r>
    <w:r w:rsidRPr="001007E8">
      <w:rPr>
        <w:szCs w:val="13"/>
      </w:rPr>
      <w:t>TE AKA MATUA O TE TURE | LAW COMMISSION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9355764"/>
      <w:docPartObj>
        <w:docPartGallery w:val="Page Numbers (Top of Page)"/>
        <w:docPartUnique/>
      </w:docPartObj>
    </w:sdtPr>
    <w:sdtEndPr/>
    <w:sdtContent>
      <w:p w14:paraId="4D038F52" w14:textId="0A351A73" w:rsidR="00EB70BA" w:rsidRPr="0096089E" w:rsidRDefault="00F437C5" w:rsidP="0096089E">
        <w:pPr>
          <w:pStyle w:val="Header"/>
          <w:tabs>
            <w:tab w:val="left" w:pos="709"/>
          </w:tabs>
          <w:rPr>
            <w:szCs w:val="20"/>
          </w:rPr>
        </w:pPr>
        <w:sdt>
          <w:sdtPr>
            <w:id w:val="-1246569793"/>
            <w:docPartObj>
              <w:docPartGallery w:val="Page Numbers (Top of Page)"/>
              <w:docPartUnique/>
            </w:docPartObj>
          </w:sdtPr>
          <w:sdtEndPr/>
          <w:sdtContent>
            <w:r w:rsidR="00A168E3">
              <w:rPr>
                <w:szCs w:val="13"/>
                <w:lang w:val="fr-FR"/>
              </w:rPr>
              <w:t>CHAPTER 2</w:t>
            </w:r>
            <w:r w:rsidR="009A23A7">
              <w:rPr>
                <w:rFonts w:ascii="Calibri" w:hAnsi="Calibri" w:cs="Calibri"/>
                <w:szCs w:val="13"/>
                <w:lang w:val="fr-FR"/>
              </w:rPr>
              <w:t>:</w:t>
            </w:r>
            <w:r w:rsidR="009A23A7">
              <w:rPr>
                <w:szCs w:val="13"/>
                <w:lang w:val="fr-FR"/>
              </w:rPr>
              <w:t xml:space="preserve"> </w:t>
            </w:r>
            <w:r w:rsidR="009A23A7" w:rsidRPr="00856DA2">
              <w:rPr>
                <w:rFonts w:eastAsia="Metropolis Black"/>
              </w:rPr>
              <w:t>SEX, GENDER AND SEX CHARACTERISTICS</w:t>
            </w:r>
            <w:r w:rsidR="00A168E3">
              <w:rPr>
                <w:rFonts w:eastAsia="Metropolis Black"/>
              </w:rPr>
              <w:t xml:space="preserve"> </w:t>
            </w:r>
            <w:r w:rsidR="009A23A7">
              <w:rPr>
                <w:rFonts w:eastAsia="Metropolis Black"/>
              </w:rPr>
              <w:tab/>
            </w:r>
          </w:sdtContent>
        </w:sdt>
        <w:r w:rsidR="00A168E3" w:rsidRPr="0074159A">
          <w:rPr>
            <w:szCs w:val="13"/>
          </w:rPr>
          <w:tab/>
        </w:r>
        <w:r w:rsidR="00A168E3" w:rsidRPr="001007E8">
          <w:t>TE AKA MATUA O TE TURE | LAW COMMISSION</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4338192"/>
      <w:docPartObj>
        <w:docPartGallery w:val="Page Numbers (Top of Page)"/>
        <w:docPartUnique/>
      </w:docPartObj>
    </w:sdtPr>
    <w:sdtEndPr/>
    <w:sdtContent>
      <w:sdt>
        <w:sdtPr>
          <w:id w:val="-964422897"/>
          <w:docPartObj>
            <w:docPartGallery w:val="Page Numbers (Top of Page)"/>
            <w:docPartUnique/>
          </w:docPartObj>
        </w:sdtPr>
        <w:sdtEndPr/>
        <w:sdtContent>
          <w:p w14:paraId="69CE4B86" w14:textId="0AD67EE8" w:rsidR="00EB70BA" w:rsidRPr="009B492B" w:rsidRDefault="00F437C5" w:rsidP="009C7D5A">
            <w:pPr>
              <w:pStyle w:val="Header"/>
              <w:tabs>
                <w:tab w:val="left" w:pos="709"/>
              </w:tabs>
              <w:rPr>
                <w:szCs w:val="20"/>
              </w:rPr>
            </w:pPr>
            <w:sdt>
              <w:sdtPr>
                <w:id w:val="2056649561"/>
                <w:docPartObj>
                  <w:docPartGallery w:val="Page Numbers (Top of Page)"/>
                  <w:docPartUnique/>
                </w:docPartObj>
              </w:sdtPr>
              <w:sdtEndPr/>
              <w:sdtContent>
                <w:r w:rsidR="00EB70BA">
                  <w:rPr>
                    <w:szCs w:val="13"/>
                    <w:lang w:val="fr-FR"/>
                  </w:rPr>
                  <w:t>CHAPTER 3</w:t>
                </w:r>
                <w:r w:rsidR="00EB70BA">
                  <w:rPr>
                    <w:rFonts w:ascii="Calibri" w:hAnsi="Calibri" w:cs="Calibri"/>
                    <w:szCs w:val="13"/>
                    <w:lang w:val="fr-FR"/>
                  </w:rPr>
                  <w:t>:</w:t>
                </w:r>
                <w:r w:rsidR="00EB70BA">
                  <w:rPr>
                    <w:szCs w:val="13"/>
                    <w:lang w:val="fr-FR"/>
                  </w:rPr>
                  <w:t xml:space="preserve"> </w:t>
                </w:r>
                <w:r w:rsidR="004B1519">
                  <w:rPr>
                    <w:rFonts w:eastAsia="Metropolis Black"/>
                  </w:rPr>
                  <w:t>EXPERIENCES OF DISCRIMINATION</w:t>
                </w:r>
                <w:r w:rsidR="00EB70BA">
                  <w:rPr>
                    <w:rFonts w:eastAsia="Metropolis Black"/>
                  </w:rPr>
                  <w:tab/>
                  <w:t xml:space="preserve"> </w:t>
                </w:r>
              </w:sdtContent>
            </w:sdt>
            <w:r w:rsidR="00EB70BA" w:rsidRPr="0074159A">
              <w:rPr>
                <w:szCs w:val="13"/>
              </w:rPr>
              <w:tab/>
            </w:r>
            <w:r w:rsidR="00EB70BA" w:rsidRPr="001007E8">
              <w:t>TE AKA MATUA O TE TURE | LAW COMMISSION</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11622"/>
      <w:docPartObj>
        <w:docPartGallery w:val="Page Numbers (Top of Page)"/>
        <w:docPartUnique/>
      </w:docPartObj>
    </w:sdtPr>
    <w:sdtEndPr/>
    <w:sdtContent>
      <w:sdt>
        <w:sdtPr>
          <w:id w:val="-655147386"/>
          <w:docPartObj>
            <w:docPartGallery w:val="Page Numbers (Top of Page)"/>
            <w:docPartUnique/>
          </w:docPartObj>
        </w:sdtPr>
        <w:sdtEndPr/>
        <w:sdtContent>
          <w:p w14:paraId="12D2B68F" w14:textId="70EA75F6" w:rsidR="00EB70BA" w:rsidRPr="009B492B" w:rsidRDefault="00F437C5" w:rsidP="009C7D5A">
            <w:pPr>
              <w:pStyle w:val="Header"/>
              <w:tabs>
                <w:tab w:val="left" w:pos="709"/>
              </w:tabs>
              <w:rPr>
                <w:szCs w:val="20"/>
              </w:rPr>
            </w:pPr>
            <w:sdt>
              <w:sdtPr>
                <w:id w:val="-538897059"/>
                <w:docPartObj>
                  <w:docPartGallery w:val="Page Numbers (Top of Page)"/>
                  <w:docPartUnique/>
                </w:docPartObj>
              </w:sdtPr>
              <w:sdtEndPr/>
              <w:sdtContent>
                <w:r w:rsidR="00DF1B93">
                  <w:rPr>
                    <w:szCs w:val="13"/>
                    <w:lang w:val="fr-FR"/>
                  </w:rPr>
                  <w:t xml:space="preserve">CHAPTER </w:t>
                </w:r>
                <w:r w:rsidR="00FB1AFF">
                  <w:rPr>
                    <w:szCs w:val="13"/>
                    <w:lang w:val="fr-FR"/>
                  </w:rPr>
                  <w:t>4</w:t>
                </w:r>
                <w:r w:rsidR="00DF1B93">
                  <w:rPr>
                    <w:rFonts w:ascii="Calibri" w:hAnsi="Calibri" w:cs="Calibri"/>
                    <w:szCs w:val="13"/>
                    <w:lang w:val="fr-FR"/>
                  </w:rPr>
                  <w:t>:</w:t>
                </w:r>
                <w:r w:rsidR="00DF1B93">
                  <w:rPr>
                    <w:szCs w:val="13"/>
                    <w:lang w:val="fr-FR"/>
                  </w:rPr>
                  <w:t xml:space="preserve"> </w:t>
                </w:r>
                <w:r w:rsidR="00DF1B93">
                  <w:rPr>
                    <w:rFonts w:eastAsia="Metropolis Black"/>
                  </w:rPr>
                  <w:t>KEY REFORM CONSIDERATIONS</w:t>
                </w:r>
                <w:r w:rsidR="00EB70BA">
                  <w:rPr>
                    <w:rFonts w:eastAsia="Metropolis Black"/>
                  </w:rPr>
                  <w:tab/>
                  <w:t xml:space="preserve"> </w:t>
                </w:r>
              </w:sdtContent>
            </w:sdt>
            <w:r w:rsidR="00EB70BA" w:rsidRPr="0074159A">
              <w:rPr>
                <w:szCs w:val="13"/>
              </w:rPr>
              <w:tab/>
            </w:r>
            <w:r w:rsidR="00EB70BA" w:rsidRPr="001007E8">
              <w:t>TE AKA MATUA O TE TURE | LAW COMMISSION</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sdtContent>
  </w:sdt>
  <w:p w14:paraId="4008C6E9" w14:textId="77777777" w:rsidR="00EB70BA" w:rsidRDefault="00EB70BA"/>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5110393"/>
      <w:docPartObj>
        <w:docPartGallery w:val="Page Numbers (Top of Page)"/>
        <w:docPartUnique/>
      </w:docPartObj>
    </w:sdtPr>
    <w:sdtEndPr/>
    <w:sdtContent>
      <w:sdt>
        <w:sdtPr>
          <w:id w:val="364489149"/>
          <w:docPartObj>
            <w:docPartGallery w:val="Page Numbers (Top of Page)"/>
            <w:docPartUnique/>
          </w:docPartObj>
        </w:sdtPr>
        <w:sdtEndPr/>
        <w:sdtContent>
          <w:p w14:paraId="5D24B6C0" w14:textId="7972D156" w:rsidR="00DF1B93" w:rsidRPr="009B492B" w:rsidRDefault="00F437C5" w:rsidP="009C7D5A">
            <w:pPr>
              <w:pStyle w:val="Header"/>
              <w:tabs>
                <w:tab w:val="left" w:pos="709"/>
              </w:tabs>
              <w:rPr>
                <w:szCs w:val="20"/>
              </w:rPr>
            </w:pPr>
            <w:sdt>
              <w:sdtPr>
                <w:id w:val="226194333"/>
                <w:docPartObj>
                  <w:docPartGallery w:val="Page Numbers (Top of Page)"/>
                  <w:docPartUnique/>
                </w:docPartObj>
              </w:sdtPr>
              <w:sdtEndPr/>
              <w:sdtContent>
                <w:r w:rsidR="00DF1B93">
                  <w:rPr>
                    <w:szCs w:val="13"/>
                    <w:lang w:val="fr-FR"/>
                  </w:rPr>
                  <w:t xml:space="preserve">CHAPTER </w:t>
                </w:r>
                <w:r w:rsidR="0059161C">
                  <w:rPr>
                    <w:szCs w:val="13"/>
                    <w:lang w:val="fr-FR"/>
                  </w:rPr>
                  <w:t>5</w:t>
                </w:r>
                <w:r w:rsidR="00DF1B93">
                  <w:rPr>
                    <w:rFonts w:ascii="Calibri" w:hAnsi="Calibri" w:cs="Calibri"/>
                    <w:szCs w:val="13"/>
                    <w:lang w:val="fr-FR"/>
                  </w:rPr>
                  <w:t>:</w:t>
                </w:r>
                <w:r w:rsidR="00DF1B93">
                  <w:rPr>
                    <w:szCs w:val="13"/>
                    <w:lang w:val="fr-FR"/>
                  </w:rPr>
                  <w:t xml:space="preserve"> </w:t>
                </w:r>
                <w:r w:rsidR="00DF1B93">
                  <w:rPr>
                    <w:rFonts w:eastAsia="Metropolis Black"/>
                  </w:rPr>
                  <w:t>THE PERSPECTIVES AND CONCERNS OF MĀORI</w:t>
                </w:r>
                <w:r w:rsidR="00DF1B93">
                  <w:rPr>
                    <w:rFonts w:eastAsia="Metropolis Black"/>
                  </w:rPr>
                  <w:tab/>
                  <w:t xml:space="preserve"> </w:t>
                </w:r>
              </w:sdtContent>
            </w:sdt>
            <w:r w:rsidR="00DF1B93" w:rsidRPr="0074159A">
              <w:rPr>
                <w:szCs w:val="13"/>
              </w:rPr>
              <w:tab/>
            </w:r>
            <w:r w:rsidR="00DF1B93" w:rsidRPr="001007E8">
              <w:t>TE AKA MATUA O TE TURE | LAW COMMISSION</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sdtContent>
  </w:sdt>
  <w:p w14:paraId="6483BEC9" w14:textId="77777777" w:rsidR="00DF1B93" w:rsidRDefault="00DF1B93"/>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4819683"/>
      <w:docPartObj>
        <w:docPartGallery w:val="Page Numbers (Top of Page)"/>
        <w:docPartUnique/>
      </w:docPartObj>
    </w:sdtPr>
    <w:sdtEndPr/>
    <w:sdtContent>
      <w:sdt>
        <w:sdtPr>
          <w:id w:val="-348259369"/>
          <w:docPartObj>
            <w:docPartGallery w:val="Page Numbers (Top of Page)"/>
            <w:docPartUnique/>
          </w:docPartObj>
        </w:sdtPr>
        <w:sdtEndPr/>
        <w:sdtContent>
          <w:p w14:paraId="7BCCEFB8" w14:textId="369360D4" w:rsidR="00EB70BA" w:rsidRPr="009B492B" w:rsidRDefault="00F437C5" w:rsidP="009C7D5A">
            <w:pPr>
              <w:pStyle w:val="Header"/>
              <w:tabs>
                <w:tab w:val="left" w:pos="709"/>
              </w:tabs>
              <w:rPr>
                <w:szCs w:val="20"/>
              </w:rPr>
            </w:pPr>
            <w:sdt>
              <w:sdtPr>
                <w:id w:val="-782494852"/>
                <w:docPartObj>
                  <w:docPartGallery w:val="Page Numbers (Top of Page)"/>
                  <w:docPartUnique/>
                </w:docPartObj>
              </w:sdtPr>
              <w:sdtEndPr/>
              <w:sdtContent>
                <w:r w:rsidR="00EB70BA">
                  <w:rPr>
                    <w:szCs w:val="13"/>
                    <w:lang w:val="fr-FR"/>
                  </w:rPr>
                  <w:t xml:space="preserve">CHAPTER </w:t>
                </w:r>
                <w:r w:rsidR="003D7A1C">
                  <w:rPr>
                    <w:szCs w:val="13"/>
                    <w:lang w:val="fr-FR"/>
                  </w:rPr>
                  <w:t>6</w:t>
                </w:r>
                <w:r w:rsidR="007A2996">
                  <w:rPr>
                    <w:rFonts w:ascii="Calibri" w:hAnsi="Calibri" w:cs="Calibri"/>
                    <w:szCs w:val="13"/>
                    <w:lang w:val="fr-FR"/>
                  </w:rPr>
                  <w:t>:</w:t>
                </w:r>
                <w:r w:rsidR="007A2996">
                  <w:rPr>
                    <w:szCs w:val="13"/>
                    <w:lang w:val="fr-FR"/>
                  </w:rPr>
                  <w:t xml:space="preserve"> </w:t>
                </w:r>
                <w:r w:rsidR="007A2996" w:rsidRPr="007A2996">
                  <w:rPr>
                    <w:rFonts w:eastAsia="Metropolis Black"/>
                  </w:rPr>
                  <w:t>SHOULD SECTION 21 BE AMENDED?</w:t>
                </w:r>
                <w:r w:rsidR="00EB70BA">
                  <w:rPr>
                    <w:rFonts w:eastAsia="Metropolis Black"/>
                  </w:rPr>
                  <w:tab/>
                  <w:t xml:space="preserve"> </w:t>
                </w:r>
              </w:sdtContent>
            </w:sdt>
            <w:r w:rsidR="00EB70BA" w:rsidRPr="0074159A">
              <w:rPr>
                <w:szCs w:val="13"/>
              </w:rPr>
              <w:tab/>
            </w:r>
            <w:r w:rsidR="00EB70BA" w:rsidRPr="001007E8">
              <w:t>TE AKA MATUA O TE TURE | LAW COMMISSION</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4625910"/>
      <w:docPartObj>
        <w:docPartGallery w:val="Page Numbers (Top of Page)"/>
        <w:docPartUnique/>
      </w:docPartObj>
    </w:sdtPr>
    <w:sdtEndPr/>
    <w:sdtContent>
      <w:p w14:paraId="028BCB4E" w14:textId="51F70AA4" w:rsidR="00174F89" w:rsidRPr="00AE5387" w:rsidRDefault="00F437C5" w:rsidP="00AE5387">
        <w:pPr>
          <w:pStyle w:val="Header"/>
          <w:tabs>
            <w:tab w:val="left" w:pos="709"/>
          </w:tabs>
          <w:rPr>
            <w:szCs w:val="20"/>
          </w:rPr>
        </w:pPr>
        <w:sdt>
          <w:sdtPr>
            <w:id w:val="467782644"/>
            <w:docPartObj>
              <w:docPartGallery w:val="Page Numbers (Top of Page)"/>
              <w:docPartUnique/>
            </w:docPartObj>
          </w:sdtPr>
          <w:sdtEndPr/>
          <w:sdtContent>
            <w:r w:rsidR="00285970">
              <w:rPr>
                <w:noProof/>
                <w:szCs w:val="13"/>
              </w:rPr>
              <w:t>CHAPTER 7: OPTIONS FOR NEW GROUNDS</w:t>
            </w:r>
            <w:r w:rsidR="00285970">
              <w:rPr>
                <w:noProof/>
                <w:szCs w:val="13"/>
              </w:rPr>
              <w:tab/>
            </w:r>
            <w:r w:rsidR="00AE5387">
              <w:rPr>
                <w:rFonts w:eastAsia="Metropolis Black"/>
              </w:rPr>
              <w:t xml:space="preserve"> </w:t>
            </w:r>
          </w:sdtContent>
        </w:sdt>
        <w:r w:rsidR="00AE5387" w:rsidRPr="0074159A">
          <w:rPr>
            <w:szCs w:val="13"/>
          </w:rPr>
          <w:tab/>
        </w:r>
        <w:r w:rsidR="00AE5387" w:rsidRPr="001007E8">
          <w:t>TE AKA MATUA O TE TURE | LAW COMMISSION</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8761581"/>
      <w:docPartObj>
        <w:docPartGallery w:val="Page Numbers (Top of Page)"/>
        <w:docPartUnique/>
      </w:docPartObj>
    </w:sdtPr>
    <w:sdtEndPr/>
    <w:sdtContent>
      <w:p w14:paraId="468C43DA" w14:textId="49B77255" w:rsidR="00174F89" w:rsidRPr="0096089E" w:rsidRDefault="00F437C5" w:rsidP="0096089E">
        <w:pPr>
          <w:pStyle w:val="Header"/>
          <w:tabs>
            <w:tab w:val="left" w:pos="709"/>
          </w:tabs>
          <w:rPr>
            <w:szCs w:val="20"/>
          </w:rPr>
        </w:pPr>
        <w:sdt>
          <w:sdtPr>
            <w:id w:val="-282659716"/>
            <w:docPartObj>
              <w:docPartGallery w:val="Page Numbers (Top of Page)"/>
              <w:docPartUnique/>
            </w:docPartObj>
          </w:sdtPr>
          <w:sdtEndPr/>
          <w:sdtContent>
            <w:r w:rsidR="00174F89">
              <w:rPr>
                <w:szCs w:val="13"/>
                <w:lang w:val="fr-FR"/>
              </w:rPr>
              <w:t xml:space="preserve">CHAPTER </w:t>
            </w:r>
            <w:r w:rsidR="00736420">
              <w:rPr>
                <w:szCs w:val="13"/>
                <w:lang w:val="fr-FR"/>
              </w:rPr>
              <w:t>8</w:t>
            </w:r>
            <w:r w:rsidR="00174F89">
              <w:rPr>
                <w:rFonts w:ascii="Calibri" w:hAnsi="Calibri" w:cs="Calibri"/>
                <w:szCs w:val="13"/>
                <w:lang w:val="fr-FR"/>
              </w:rPr>
              <w:t>:</w:t>
            </w:r>
            <w:r w:rsidR="00174F89">
              <w:rPr>
                <w:szCs w:val="13"/>
                <w:lang w:val="fr-FR"/>
              </w:rPr>
              <w:t xml:space="preserve"> </w:t>
            </w:r>
            <w:r w:rsidR="00174F89" w:rsidRPr="008769F5">
              <w:rPr>
                <w:rFonts w:eastAsia="Metropolis Black"/>
              </w:rPr>
              <w:t>INTRODUCTION TO PART 2 OF THE HUMAN RIGHTS ACT</w:t>
            </w:r>
            <w:r w:rsidR="00174F89">
              <w:rPr>
                <w:rFonts w:eastAsia="Metropolis Black"/>
              </w:rPr>
              <w:t xml:space="preserve"> </w:t>
            </w:r>
          </w:sdtContent>
        </w:sdt>
        <w:r w:rsidR="00174F89" w:rsidRPr="0074159A">
          <w:rPr>
            <w:szCs w:val="13"/>
          </w:rPr>
          <w:tab/>
        </w:r>
        <w:r w:rsidR="00B50FD4">
          <w:rPr>
            <w:szCs w:val="13"/>
          </w:rPr>
          <w:tab/>
        </w:r>
        <w:r w:rsidR="00174F89" w:rsidRPr="001007E8">
          <w:t>TE AKA MATUA O TE TURE | LAW COMMISSION</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p w14:paraId="7217E79B" w14:textId="77777777" w:rsidR="00174F89" w:rsidRDefault="00174F89"/>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3508344"/>
      <w:docPartObj>
        <w:docPartGallery w:val="Page Numbers (Top of Page)"/>
        <w:docPartUnique/>
      </w:docPartObj>
    </w:sdtPr>
    <w:sdtEndPr/>
    <w:sdtContent>
      <w:p w14:paraId="664B2E0F" w14:textId="4F056101" w:rsidR="00174F89" w:rsidRPr="0096089E" w:rsidRDefault="00F437C5" w:rsidP="0096089E">
        <w:pPr>
          <w:pStyle w:val="Header"/>
          <w:tabs>
            <w:tab w:val="left" w:pos="709"/>
          </w:tabs>
          <w:rPr>
            <w:szCs w:val="20"/>
          </w:rPr>
        </w:pPr>
        <w:sdt>
          <w:sdtPr>
            <w:id w:val="1949195079"/>
            <w:docPartObj>
              <w:docPartGallery w:val="Page Numbers (Top of Page)"/>
              <w:docPartUnique/>
            </w:docPartObj>
          </w:sdtPr>
          <w:sdtEndPr/>
          <w:sdtContent>
            <w:r w:rsidR="00174F89">
              <w:rPr>
                <w:szCs w:val="13"/>
                <w:lang w:val="fr-FR"/>
              </w:rPr>
              <w:t xml:space="preserve">CHAPTER </w:t>
            </w:r>
            <w:r w:rsidR="00D55D88">
              <w:rPr>
                <w:szCs w:val="13"/>
                <w:lang w:val="fr-FR"/>
              </w:rPr>
              <w:t>9</w:t>
            </w:r>
            <w:r w:rsidR="00174F89">
              <w:rPr>
                <w:rFonts w:ascii="Calibri" w:hAnsi="Calibri" w:cs="Calibri"/>
                <w:szCs w:val="13"/>
                <w:lang w:val="fr-FR"/>
              </w:rPr>
              <w:t>:</w:t>
            </w:r>
            <w:r w:rsidR="00174F89">
              <w:rPr>
                <w:szCs w:val="13"/>
                <w:lang w:val="fr-FR"/>
              </w:rPr>
              <w:t xml:space="preserve"> </w:t>
            </w:r>
            <w:r w:rsidR="00174F89" w:rsidRPr="001879ED">
              <w:rPr>
                <w:rFonts w:eastAsia="Metropolis Black"/>
              </w:rPr>
              <w:t>EMPLOYMENT</w:t>
            </w:r>
            <w:r w:rsidR="00174F89">
              <w:rPr>
                <w:rFonts w:eastAsia="Metropolis Black"/>
              </w:rPr>
              <w:t xml:space="preserve"> </w:t>
            </w:r>
            <w:r w:rsidR="00174F89">
              <w:rPr>
                <w:rFonts w:eastAsia="Metropolis Black"/>
              </w:rPr>
              <w:tab/>
            </w:r>
          </w:sdtContent>
        </w:sdt>
        <w:r w:rsidR="00174F89" w:rsidRPr="0074159A">
          <w:rPr>
            <w:szCs w:val="13"/>
          </w:rPr>
          <w:tab/>
        </w:r>
        <w:r w:rsidR="00174F89" w:rsidRPr="001007E8">
          <w:t>TE AKA MATUA O TE TURE | LAW COMMISSION</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046490"/>
      <w:docPartObj>
        <w:docPartGallery w:val="Page Numbers (Top of Page)"/>
        <w:docPartUnique/>
      </w:docPartObj>
    </w:sdtPr>
    <w:sdtEndPr/>
    <w:sdtContent>
      <w:sdt>
        <w:sdtPr>
          <w:id w:val="-934902317"/>
          <w:docPartObj>
            <w:docPartGallery w:val="Page Numbers (Top of Page)"/>
            <w:docPartUnique/>
          </w:docPartObj>
        </w:sdtPr>
        <w:sdtEndPr/>
        <w:sdtContent>
          <w:p w14:paraId="30848CEF" w14:textId="4CD4C251" w:rsidR="00174F89" w:rsidRPr="009B492B" w:rsidRDefault="00F437C5" w:rsidP="009C7D5A">
            <w:pPr>
              <w:pStyle w:val="Header"/>
              <w:tabs>
                <w:tab w:val="left" w:pos="709"/>
              </w:tabs>
              <w:rPr>
                <w:szCs w:val="20"/>
              </w:rPr>
            </w:pPr>
            <w:sdt>
              <w:sdtPr>
                <w:id w:val="1100453224"/>
                <w:docPartObj>
                  <w:docPartGallery w:val="Page Numbers (Top of Page)"/>
                  <w:docPartUnique/>
                </w:docPartObj>
              </w:sdtPr>
              <w:sdtEndPr/>
              <w:sdtContent>
                <w:r w:rsidR="00174F89">
                  <w:rPr>
                    <w:szCs w:val="13"/>
                    <w:lang w:val="fr-FR"/>
                  </w:rPr>
                  <w:t>CHAPTER 1</w:t>
                </w:r>
                <w:r w:rsidR="009D6AC3">
                  <w:rPr>
                    <w:szCs w:val="13"/>
                    <w:lang w:val="fr-FR"/>
                  </w:rPr>
                  <w:t>0</w:t>
                </w:r>
                <w:r w:rsidR="00174F89">
                  <w:rPr>
                    <w:rFonts w:ascii="Calibri" w:hAnsi="Calibri" w:cs="Calibri"/>
                    <w:szCs w:val="13"/>
                    <w:lang w:val="fr-FR"/>
                  </w:rPr>
                  <w:t>:</w:t>
                </w:r>
                <w:r w:rsidR="00174F89">
                  <w:rPr>
                    <w:szCs w:val="13"/>
                    <w:lang w:val="fr-FR"/>
                  </w:rPr>
                  <w:t xml:space="preserve"> </w:t>
                </w:r>
                <w:r w:rsidR="00174F89">
                  <w:rPr>
                    <w:rFonts w:eastAsia="Metropolis Black"/>
                  </w:rPr>
                  <w:t>GOODS, SERVICES, FACILITIES AND PLACES</w:t>
                </w:r>
                <w:r w:rsidR="00174F89">
                  <w:rPr>
                    <w:rFonts w:eastAsia="Metropolis Black"/>
                  </w:rPr>
                  <w:tab/>
                  <w:t xml:space="preserve"> </w:t>
                </w:r>
              </w:sdtContent>
            </w:sdt>
            <w:r w:rsidR="00174F89" w:rsidRPr="0074159A">
              <w:rPr>
                <w:szCs w:val="13"/>
              </w:rPr>
              <w:tab/>
            </w:r>
            <w:r w:rsidR="00174F89" w:rsidRPr="001007E8">
              <w:t>TE AKA MATUA O TE TURE | LAW COMMISSION</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027878"/>
      <w:docPartObj>
        <w:docPartGallery w:val="Page Numbers (Top of Page)"/>
        <w:docPartUnique/>
      </w:docPartObj>
    </w:sdtPr>
    <w:sdtEndPr/>
    <w:sdtContent>
      <w:sdt>
        <w:sdtPr>
          <w:id w:val="360255763"/>
          <w:docPartObj>
            <w:docPartGallery w:val="Page Numbers (Top of Page)"/>
            <w:docPartUnique/>
          </w:docPartObj>
        </w:sdtPr>
        <w:sdtEndPr/>
        <w:sdtContent>
          <w:p w14:paraId="7083E94A" w14:textId="13E1112D" w:rsidR="00174F89" w:rsidRPr="009B492B" w:rsidRDefault="00F437C5" w:rsidP="009C7D5A">
            <w:pPr>
              <w:pStyle w:val="Header"/>
              <w:tabs>
                <w:tab w:val="left" w:pos="709"/>
              </w:tabs>
              <w:rPr>
                <w:szCs w:val="20"/>
              </w:rPr>
            </w:pPr>
            <w:sdt>
              <w:sdtPr>
                <w:id w:val="1241068186"/>
                <w:docPartObj>
                  <w:docPartGallery w:val="Page Numbers (Top of Page)"/>
                  <w:docPartUnique/>
                </w:docPartObj>
              </w:sdtPr>
              <w:sdtEndPr/>
              <w:sdtContent>
                <w:r w:rsidR="00174F89">
                  <w:rPr>
                    <w:szCs w:val="13"/>
                    <w:lang w:val="fr-FR"/>
                  </w:rPr>
                  <w:t xml:space="preserve">CHAPTER </w:t>
                </w:r>
                <w:r w:rsidR="00D63115">
                  <w:rPr>
                    <w:szCs w:val="13"/>
                    <w:lang w:val="fr-FR"/>
                  </w:rPr>
                  <w:t>11</w:t>
                </w:r>
                <w:r w:rsidR="00174F89">
                  <w:rPr>
                    <w:rFonts w:ascii="Calibri" w:hAnsi="Calibri" w:cs="Calibri"/>
                    <w:szCs w:val="13"/>
                    <w:lang w:val="fr-FR"/>
                  </w:rPr>
                  <w:t>:</w:t>
                </w:r>
                <w:r w:rsidR="00174F89">
                  <w:rPr>
                    <w:szCs w:val="13"/>
                    <w:lang w:val="fr-FR"/>
                  </w:rPr>
                  <w:t xml:space="preserve"> </w:t>
                </w:r>
                <w:r w:rsidR="00174F89">
                  <w:rPr>
                    <w:rFonts w:eastAsia="Metropolis Black"/>
                  </w:rPr>
                  <w:t>LAND</w:t>
                </w:r>
                <w:r w:rsidR="00174F89" w:rsidRPr="001C6BD9">
                  <w:rPr>
                    <w:rFonts w:eastAsia="Metropolis Black"/>
                  </w:rPr>
                  <w:t>, HOUSING AND ACCOMMODATION</w:t>
                </w:r>
                <w:r w:rsidR="00174F89">
                  <w:rPr>
                    <w:rFonts w:eastAsia="Metropolis Black"/>
                  </w:rPr>
                  <w:tab/>
                  <w:t xml:space="preserve"> </w:t>
                </w:r>
              </w:sdtContent>
            </w:sdt>
            <w:r w:rsidR="00174F89" w:rsidRPr="0074159A">
              <w:rPr>
                <w:szCs w:val="13"/>
              </w:rPr>
              <w:tab/>
            </w:r>
            <w:r w:rsidR="00174F89" w:rsidRPr="001007E8">
              <w:t>TE AKA MATUA O TE TURE | LAW COMMISSION</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02110" w14:textId="37C583D2" w:rsidR="000342BA" w:rsidRPr="00236E58" w:rsidRDefault="00034A47" w:rsidP="00236E58">
    <w:pPr>
      <w:pStyle w:val="Header"/>
    </w:pPr>
    <w:r w:rsidRPr="00287AFD">
      <w:rPr>
        <w:noProof/>
        <w:lang w:eastAsia="en-NZ"/>
      </w:rPr>
      <mc:AlternateContent>
        <mc:Choice Requires="wps">
          <w:drawing>
            <wp:anchor distT="0" distB="0" distL="114300" distR="114300" simplePos="0" relativeHeight="251658240" behindDoc="1" locked="0" layoutInCell="1" allowOverlap="1" wp14:anchorId="5EF3B974" wp14:editId="451213DD">
              <wp:simplePos x="0" y="0"/>
              <wp:positionH relativeFrom="column">
                <wp:posOffset>-1080135</wp:posOffset>
              </wp:positionH>
              <wp:positionV relativeFrom="paragraph">
                <wp:posOffset>10445750</wp:posOffset>
              </wp:positionV>
              <wp:extent cx="7560310" cy="10692130"/>
              <wp:effectExtent l="0" t="0" r="2540" b="0"/>
              <wp:wrapNone/>
              <wp:docPr id="764518289" name="Freeform: Shape 764518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38515E95" id="Freeform: Shape 764518289"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v-text-anchor:top" points="-85.05pt,1664.4pt,510.25pt,1664.4pt,510.25pt,822.5pt,-85.05pt,822.5pt,-85.05pt,1664.4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" fillcolor="#edf2ea" stroked="f">
              <v:path arrowok="t" o:connecttype="custom" o:connectlocs="0,10692130;7560310,10692130;7560310,0;0,0;0,10692130" o:connectangles="0,0,0,0,0"/>
            </v:polylin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6342181"/>
      <w:docPartObj>
        <w:docPartGallery w:val="Page Numbers (Top of Page)"/>
        <w:docPartUnique/>
      </w:docPartObj>
    </w:sdtPr>
    <w:sdtEndPr/>
    <w:sdtContent>
      <w:sdt>
        <w:sdtPr>
          <w:id w:val="-1177887301"/>
          <w:docPartObj>
            <w:docPartGallery w:val="Page Numbers (Top of Page)"/>
            <w:docPartUnique/>
          </w:docPartObj>
        </w:sdtPr>
        <w:sdtEndPr/>
        <w:sdtContent>
          <w:p w14:paraId="2640D1DC" w14:textId="3B4C87F1" w:rsidR="00174F89" w:rsidRPr="009B492B" w:rsidRDefault="00F437C5" w:rsidP="009C7D5A">
            <w:pPr>
              <w:pStyle w:val="Header"/>
              <w:tabs>
                <w:tab w:val="left" w:pos="709"/>
              </w:tabs>
              <w:rPr>
                <w:szCs w:val="20"/>
              </w:rPr>
            </w:pPr>
            <w:sdt>
              <w:sdtPr>
                <w:id w:val="-972757073"/>
                <w:docPartObj>
                  <w:docPartGallery w:val="Page Numbers (Top of Page)"/>
                  <w:docPartUnique/>
                </w:docPartObj>
              </w:sdtPr>
              <w:sdtEndPr/>
              <w:sdtContent>
                <w:r w:rsidR="00174F89">
                  <w:rPr>
                    <w:szCs w:val="13"/>
                    <w:lang w:val="fr-FR"/>
                  </w:rPr>
                  <w:t>CHAPTER 1</w:t>
                </w:r>
                <w:r w:rsidR="007F0439">
                  <w:rPr>
                    <w:szCs w:val="13"/>
                    <w:lang w:val="fr-FR"/>
                  </w:rPr>
                  <w:t>2</w:t>
                </w:r>
                <w:r w:rsidR="00174F89">
                  <w:rPr>
                    <w:rFonts w:ascii="Calibri" w:hAnsi="Calibri" w:cs="Calibri"/>
                    <w:szCs w:val="13"/>
                    <w:lang w:val="fr-FR"/>
                  </w:rPr>
                  <w:t>:</w:t>
                </w:r>
                <w:r w:rsidR="00174F89">
                  <w:rPr>
                    <w:szCs w:val="13"/>
                    <w:lang w:val="fr-FR"/>
                  </w:rPr>
                  <w:t xml:space="preserve"> </w:t>
                </w:r>
                <w:r w:rsidR="00174F89">
                  <w:rPr>
                    <w:rFonts w:eastAsia="Metropolis Black"/>
                  </w:rPr>
                  <w:t>E</w:t>
                </w:r>
                <w:r w:rsidR="00174F89" w:rsidRPr="275B8D4D">
                  <w:rPr>
                    <w:rFonts w:eastAsia="Metropolis Black"/>
                  </w:rPr>
                  <w:t>DUCATION</w:t>
                </w:r>
                <w:r w:rsidR="00174F89">
                  <w:rPr>
                    <w:rFonts w:eastAsia="Metropolis Black"/>
                  </w:rPr>
                  <w:tab/>
                  <w:t xml:space="preserve"> </w:t>
                </w:r>
              </w:sdtContent>
            </w:sdt>
            <w:r w:rsidR="00174F89" w:rsidRPr="0074159A">
              <w:rPr>
                <w:szCs w:val="13"/>
              </w:rPr>
              <w:tab/>
            </w:r>
            <w:r w:rsidR="00174F89" w:rsidRPr="001007E8">
              <w:t>TE AKA MATUA O TE TURE | LAW COMMISSION</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sdtContent>
  </w:sdt>
  <w:p w14:paraId="1FBFA9B5" w14:textId="77777777" w:rsidR="00174F89" w:rsidRDefault="00174F89"/>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2259945"/>
      <w:docPartObj>
        <w:docPartGallery w:val="Page Numbers (Top of Page)"/>
        <w:docPartUnique/>
      </w:docPartObj>
    </w:sdtPr>
    <w:sdtEndPr/>
    <w:sdtContent>
      <w:sdt>
        <w:sdtPr>
          <w:id w:val="-1759741711"/>
          <w:docPartObj>
            <w:docPartGallery w:val="Page Numbers (Top of Page)"/>
            <w:docPartUnique/>
          </w:docPartObj>
        </w:sdtPr>
        <w:sdtEndPr/>
        <w:sdtContent>
          <w:p w14:paraId="4FE9BE4A" w14:textId="2D860DAB" w:rsidR="00174F89" w:rsidRPr="009B492B" w:rsidRDefault="00F437C5" w:rsidP="009C7D5A">
            <w:pPr>
              <w:pStyle w:val="Header"/>
              <w:tabs>
                <w:tab w:val="left" w:pos="709"/>
              </w:tabs>
              <w:rPr>
                <w:szCs w:val="20"/>
              </w:rPr>
            </w:pPr>
            <w:sdt>
              <w:sdtPr>
                <w:id w:val="494531984"/>
                <w:docPartObj>
                  <w:docPartGallery w:val="Page Numbers (Top of Page)"/>
                  <w:docPartUnique/>
                </w:docPartObj>
              </w:sdtPr>
              <w:sdtEndPr/>
              <w:sdtContent>
                <w:r w:rsidR="00174F89">
                  <w:rPr>
                    <w:szCs w:val="13"/>
                    <w:lang w:val="fr-FR"/>
                  </w:rPr>
                  <w:t>CHAPTER 1</w:t>
                </w:r>
                <w:r w:rsidR="004B4C4A">
                  <w:rPr>
                    <w:szCs w:val="13"/>
                    <w:lang w:val="fr-FR"/>
                  </w:rPr>
                  <w:t>3</w:t>
                </w:r>
                <w:r w:rsidR="00174F89">
                  <w:rPr>
                    <w:rFonts w:ascii="Calibri" w:hAnsi="Calibri" w:cs="Calibri"/>
                    <w:szCs w:val="13"/>
                    <w:lang w:val="fr-FR"/>
                  </w:rPr>
                  <w:t>:</w:t>
                </w:r>
                <w:r w:rsidR="00174F89">
                  <w:rPr>
                    <w:szCs w:val="13"/>
                    <w:lang w:val="fr-FR"/>
                  </w:rPr>
                  <w:t xml:space="preserve"> </w:t>
                </w:r>
                <w:r w:rsidR="00174F89">
                  <w:rPr>
                    <w:rFonts w:eastAsia="Metropolis Black"/>
                  </w:rPr>
                  <w:t>EXCEPTIONS FOR SINGLE-SEX FACILITIES</w:t>
                </w:r>
                <w:r w:rsidR="00174F89">
                  <w:rPr>
                    <w:rFonts w:eastAsia="Metropolis Black"/>
                  </w:rPr>
                  <w:tab/>
                  <w:t xml:space="preserve"> </w:t>
                </w:r>
              </w:sdtContent>
            </w:sdt>
            <w:r w:rsidR="00174F89" w:rsidRPr="0074159A">
              <w:rPr>
                <w:szCs w:val="13"/>
              </w:rPr>
              <w:tab/>
            </w:r>
            <w:r w:rsidR="00174F89" w:rsidRPr="001007E8">
              <w:t>TE AKA MATUA O TE TURE | LAW COMMISSION</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sdtContent>
  </w:sdt>
  <w:p w14:paraId="55360927" w14:textId="77777777" w:rsidR="00174F89" w:rsidRDefault="00174F89"/>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3812529"/>
      <w:docPartObj>
        <w:docPartGallery w:val="Page Numbers (Top of Page)"/>
        <w:docPartUnique/>
      </w:docPartObj>
    </w:sdtPr>
    <w:sdtEndPr/>
    <w:sdtContent>
      <w:sdt>
        <w:sdtPr>
          <w:id w:val="-753818404"/>
          <w:docPartObj>
            <w:docPartGallery w:val="Page Numbers (Top of Page)"/>
            <w:docPartUnique/>
          </w:docPartObj>
        </w:sdtPr>
        <w:sdtEndPr/>
        <w:sdtContent>
          <w:p w14:paraId="23BCD90A" w14:textId="6FC1CC0C" w:rsidR="00174F89" w:rsidRPr="009B492B" w:rsidRDefault="00F437C5" w:rsidP="009C7D5A">
            <w:pPr>
              <w:pStyle w:val="Header"/>
              <w:tabs>
                <w:tab w:val="left" w:pos="709"/>
              </w:tabs>
              <w:rPr>
                <w:szCs w:val="20"/>
              </w:rPr>
            </w:pPr>
            <w:sdt>
              <w:sdtPr>
                <w:id w:val="-177743700"/>
                <w:docPartObj>
                  <w:docPartGallery w:val="Page Numbers (Top of Page)"/>
                  <w:docPartUnique/>
                </w:docPartObj>
              </w:sdtPr>
              <w:sdtEndPr/>
              <w:sdtContent>
                <w:r w:rsidR="00174F89">
                  <w:rPr>
                    <w:szCs w:val="13"/>
                    <w:lang w:val="fr-FR"/>
                  </w:rPr>
                  <w:t>CHAPTER 1</w:t>
                </w:r>
                <w:r w:rsidR="00F80BAC">
                  <w:rPr>
                    <w:szCs w:val="13"/>
                    <w:lang w:val="fr-FR"/>
                  </w:rPr>
                  <w:t>4</w:t>
                </w:r>
                <w:r w:rsidR="00174F89">
                  <w:rPr>
                    <w:rFonts w:ascii="Calibri" w:hAnsi="Calibri" w:cs="Calibri"/>
                    <w:szCs w:val="13"/>
                    <w:lang w:val="fr-FR"/>
                  </w:rPr>
                  <w:t>:</w:t>
                </w:r>
                <w:r w:rsidR="00174F89">
                  <w:rPr>
                    <w:szCs w:val="13"/>
                    <w:lang w:val="fr-FR"/>
                  </w:rPr>
                  <w:t xml:space="preserve"> </w:t>
                </w:r>
                <w:r w:rsidR="00174F89" w:rsidRPr="00BF3A61">
                  <w:rPr>
                    <w:rFonts w:eastAsia="Metropolis Black"/>
                  </w:rPr>
                  <w:t>COMPETITIVE SPORTS</w:t>
                </w:r>
                <w:r w:rsidR="00174F89">
                  <w:rPr>
                    <w:rFonts w:eastAsia="Metropolis Black"/>
                  </w:rPr>
                  <w:tab/>
                  <w:t xml:space="preserve"> </w:t>
                </w:r>
              </w:sdtContent>
            </w:sdt>
            <w:r w:rsidR="00174F89" w:rsidRPr="0074159A">
              <w:rPr>
                <w:szCs w:val="13"/>
              </w:rPr>
              <w:tab/>
            </w:r>
            <w:r w:rsidR="00174F89" w:rsidRPr="001007E8">
              <w:t>TE AKA MATUA O TE TURE | LAW COMMISSION</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sdtContent>
  </w:sdt>
  <w:p w14:paraId="1EDF21F6" w14:textId="77777777" w:rsidR="00174F89" w:rsidRDefault="00174F89"/>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43843"/>
      <w:docPartObj>
        <w:docPartGallery w:val="Page Numbers (Top of Page)"/>
        <w:docPartUnique/>
      </w:docPartObj>
    </w:sdtPr>
    <w:sdtEndPr/>
    <w:sdtContent>
      <w:sdt>
        <w:sdtPr>
          <w:id w:val="-709958648"/>
          <w:docPartObj>
            <w:docPartGallery w:val="Page Numbers (Top of Page)"/>
            <w:docPartUnique/>
          </w:docPartObj>
        </w:sdtPr>
        <w:sdtEndPr/>
        <w:sdtContent>
          <w:p w14:paraId="69D03DA7" w14:textId="42701E30" w:rsidR="00174F89" w:rsidRDefault="00F437C5" w:rsidP="00DE7D6B">
            <w:pPr>
              <w:pStyle w:val="Header"/>
              <w:tabs>
                <w:tab w:val="left" w:pos="709"/>
              </w:tabs>
            </w:pPr>
            <w:sdt>
              <w:sdtPr>
                <w:id w:val="1941411814"/>
                <w:docPartObj>
                  <w:docPartGallery w:val="Page Numbers (Top of Page)"/>
                  <w:docPartUnique/>
                </w:docPartObj>
              </w:sdtPr>
              <w:sdtEndPr/>
              <w:sdtContent>
                <w:r w:rsidR="00174F89">
                  <w:rPr>
                    <w:szCs w:val="13"/>
                    <w:lang w:val="fr-FR"/>
                  </w:rPr>
                  <w:t>CHAPTER 1</w:t>
                </w:r>
                <w:r w:rsidR="001961AE">
                  <w:rPr>
                    <w:szCs w:val="13"/>
                    <w:lang w:val="fr-FR"/>
                  </w:rPr>
                  <w:t>5</w:t>
                </w:r>
                <w:r w:rsidR="00174F89">
                  <w:rPr>
                    <w:rFonts w:ascii="Calibri" w:hAnsi="Calibri" w:cs="Calibri"/>
                    <w:szCs w:val="13"/>
                    <w:lang w:val="fr-FR"/>
                  </w:rPr>
                  <w:t>:</w:t>
                </w:r>
                <w:r w:rsidR="00174F89">
                  <w:rPr>
                    <w:szCs w:val="13"/>
                    <w:lang w:val="fr-FR"/>
                  </w:rPr>
                  <w:t xml:space="preserve"> </w:t>
                </w:r>
                <w:r w:rsidR="00174F89" w:rsidRPr="4FB14702">
                  <w:rPr>
                    <w:rFonts w:eastAsia="Metropolis Black"/>
                  </w:rPr>
                  <w:t>OTHER ISSUES IN PART 2</w:t>
                </w:r>
                <w:r w:rsidR="00174F89">
                  <w:rPr>
                    <w:rFonts w:eastAsia="Metropolis Black"/>
                  </w:rPr>
                  <w:tab/>
                  <w:t xml:space="preserve"> </w:t>
                </w:r>
              </w:sdtContent>
            </w:sdt>
            <w:r w:rsidR="00174F89" w:rsidRPr="0074159A">
              <w:rPr>
                <w:szCs w:val="13"/>
              </w:rPr>
              <w:tab/>
            </w:r>
            <w:r w:rsidR="00174F89" w:rsidRPr="001007E8">
              <w:t>TE AKA MATUA O TE TURE | LAW COMMISSION</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sdtContent>
  </w:sdt>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9019761"/>
      <w:docPartObj>
        <w:docPartGallery w:val="Page Numbers (Top of Page)"/>
        <w:docPartUnique/>
      </w:docPartObj>
    </w:sdtPr>
    <w:sdtEndPr/>
    <w:sdtContent>
      <w:sdt>
        <w:sdtPr>
          <w:id w:val="-1525394151"/>
          <w:docPartObj>
            <w:docPartGallery w:val="Page Numbers (Top of Page)"/>
            <w:docPartUnique/>
          </w:docPartObj>
        </w:sdtPr>
        <w:sdtEndPr/>
        <w:sdtContent>
          <w:p w14:paraId="6476A969" w14:textId="7473B7BF" w:rsidR="00174F89" w:rsidRPr="001E69E7" w:rsidRDefault="00F437C5" w:rsidP="001E69E7">
            <w:pPr>
              <w:pStyle w:val="Header"/>
              <w:tabs>
                <w:tab w:val="left" w:pos="709"/>
              </w:tabs>
              <w:rPr>
                <w:szCs w:val="20"/>
              </w:rPr>
            </w:pPr>
            <w:sdt>
              <w:sdtPr>
                <w:id w:val="42800893"/>
                <w:docPartObj>
                  <w:docPartGallery w:val="Page Numbers (Top of Page)"/>
                  <w:docPartUnique/>
                </w:docPartObj>
              </w:sdtPr>
              <w:sdtEndPr/>
              <w:sdtContent>
                <w:r w:rsidR="00174F89">
                  <w:rPr>
                    <w:szCs w:val="13"/>
                    <w:lang w:val="fr-FR"/>
                  </w:rPr>
                  <w:t>CHAPTER 1</w:t>
                </w:r>
                <w:r w:rsidR="00913866">
                  <w:rPr>
                    <w:szCs w:val="13"/>
                    <w:lang w:val="fr-FR"/>
                  </w:rPr>
                  <w:t>6</w:t>
                </w:r>
                <w:r w:rsidR="00174F89">
                  <w:rPr>
                    <w:rFonts w:ascii="Calibri" w:hAnsi="Calibri" w:cs="Calibri"/>
                    <w:szCs w:val="13"/>
                    <w:lang w:val="fr-FR"/>
                  </w:rPr>
                  <w:t>:</w:t>
                </w:r>
                <w:r w:rsidR="00174F89">
                  <w:rPr>
                    <w:szCs w:val="13"/>
                    <w:lang w:val="fr-FR"/>
                  </w:rPr>
                  <w:t xml:space="preserve"> </w:t>
                </w:r>
                <w:r w:rsidR="00174F89">
                  <w:rPr>
                    <w:rFonts w:eastAsia="Metropolis Black"/>
                  </w:rPr>
                  <w:t xml:space="preserve">PART 1A AND THE NEW ZEALAND BILL OF RIGHTS ACT </w:t>
                </w:r>
              </w:sdtContent>
            </w:sdt>
            <w:r w:rsidR="00174F89" w:rsidRPr="0074159A">
              <w:rPr>
                <w:szCs w:val="13"/>
              </w:rPr>
              <w:tab/>
            </w:r>
            <w:r w:rsidR="00B50FD4">
              <w:rPr>
                <w:szCs w:val="13"/>
              </w:rPr>
              <w:tab/>
            </w:r>
            <w:r w:rsidR="00174F89" w:rsidRPr="001007E8">
              <w:t>TE AKA MATUA O TE TURE | LAW COMMISSION</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sdtContent>
  </w:sdt>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306604"/>
      <w:docPartObj>
        <w:docPartGallery w:val="Page Numbers (Top of Page)"/>
        <w:docPartUnique/>
      </w:docPartObj>
    </w:sdtPr>
    <w:sdtEndPr/>
    <w:sdtContent>
      <w:sdt>
        <w:sdtPr>
          <w:id w:val="557982052"/>
          <w:docPartObj>
            <w:docPartGallery w:val="Page Numbers (Top of Page)"/>
            <w:docPartUnique/>
          </w:docPartObj>
        </w:sdtPr>
        <w:sdtEndPr/>
        <w:sdtContent>
          <w:p w14:paraId="56133EAA" w14:textId="6D65DEC7" w:rsidR="001E69E7" w:rsidRPr="001E69E7" w:rsidRDefault="00F437C5" w:rsidP="001E69E7">
            <w:pPr>
              <w:pStyle w:val="Header"/>
              <w:tabs>
                <w:tab w:val="left" w:pos="709"/>
              </w:tabs>
              <w:rPr>
                <w:szCs w:val="20"/>
              </w:rPr>
            </w:pPr>
            <w:sdt>
              <w:sdtPr>
                <w:id w:val="1178933924"/>
                <w:docPartObj>
                  <w:docPartGallery w:val="Page Numbers (Top of Page)"/>
                  <w:docPartUnique/>
                </w:docPartObj>
              </w:sdtPr>
              <w:sdtEndPr/>
              <w:sdtContent>
                <w:r w:rsidR="001E69E7">
                  <w:rPr>
                    <w:szCs w:val="13"/>
                    <w:lang w:val="fr-FR"/>
                  </w:rPr>
                  <w:t>CHAPTER 17</w:t>
                </w:r>
                <w:r w:rsidR="001E69E7">
                  <w:rPr>
                    <w:rFonts w:ascii="Calibri" w:hAnsi="Calibri" w:cs="Calibri"/>
                    <w:szCs w:val="13"/>
                    <w:lang w:val="fr-FR"/>
                  </w:rPr>
                  <w:t>:</w:t>
                </w:r>
                <w:r w:rsidR="001E69E7">
                  <w:rPr>
                    <w:szCs w:val="13"/>
                    <w:lang w:val="fr-FR"/>
                  </w:rPr>
                  <w:t xml:space="preserve"> </w:t>
                </w:r>
                <w:r w:rsidR="001E69E7" w:rsidRPr="001E69E7">
                  <w:rPr>
                    <w:rFonts w:eastAsia="Metropolis Black"/>
                  </w:rPr>
                  <w:t>CROSS-CUTTING ISSUES</w:t>
                </w:r>
                <w:r w:rsidR="001E69E7">
                  <w:rPr>
                    <w:rFonts w:eastAsia="Metropolis Black"/>
                  </w:rPr>
                  <w:tab/>
                  <w:t xml:space="preserve"> </w:t>
                </w:r>
              </w:sdtContent>
            </w:sdt>
            <w:r w:rsidR="001E69E7" w:rsidRPr="0074159A">
              <w:rPr>
                <w:szCs w:val="13"/>
              </w:rPr>
              <w:tab/>
            </w:r>
            <w:r w:rsidR="001E69E7" w:rsidRPr="001007E8">
              <w:t>TE AKA MATUA O TE TURE | LAW COMMISSION</w:t>
            </w:r>
            <w:r w:rsidR="00B50FD4">
              <w:t xml:space="preserve"> </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sdtContent>
  </w:sdt>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1336672"/>
      <w:docPartObj>
        <w:docPartGallery w:val="Page Numbers (Top of Page)"/>
        <w:docPartUnique/>
      </w:docPartObj>
    </w:sdtPr>
    <w:sdtEndPr>
      <w:rPr>
        <w:szCs w:val="13"/>
      </w:rPr>
    </w:sdtEndPr>
    <w:sdtContent>
      <w:p w14:paraId="694856C3" w14:textId="0E269CA3" w:rsidR="00396623" w:rsidRPr="00396623" w:rsidRDefault="00F437C5" w:rsidP="00B50FD4">
        <w:pPr>
          <w:pStyle w:val="Header"/>
          <w:tabs>
            <w:tab w:val="left" w:pos="709"/>
          </w:tabs>
          <w:rPr>
            <w:szCs w:val="20"/>
          </w:rPr>
        </w:pPr>
        <w:sdt>
          <w:sdtPr>
            <w:id w:val="-1057542427"/>
            <w:docPartObj>
              <w:docPartGallery w:val="Page Numbers (Top of Page)"/>
              <w:docPartUnique/>
            </w:docPartObj>
          </w:sdtPr>
          <w:sdtEndPr>
            <w:rPr>
              <w:szCs w:val="13"/>
            </w:rPr>
          </w:sdtEndPr>
          <w:sdtContent>
            <w:sdt>
              <w:sdtPr>
                <w:id w:val="1570467136"/>
                <w:docPartObj>
                  <w:docPartGallery w:val="Page Numbers (Top of Page)"/>
                  <w:docPartUnique/>
                </w:docPartObj>
              </w:sdtPr>
              <w:sdtEndPr/>
              <w:sdtContent>
                <w:r w:rsidR="00B50FD4">
                  <w:rPr>
                    <w:szCs w:val="13"/>
                    <w:lang w:val="fr-FR"/>
                  </w:rPr>
                  <w:t>CHAPTER 18</w:t>
                </w:r>
                <w:r w:rsidR="00B50FD4">
                  <w:rPr>
                    <w:rFonts w:ascii="Calibri" w:hAnsi="Calibri" w:cs="Calibri"/>
                    <w:szCs w:val="13"/>
                    <w:lang w:val="fr-FR"/>
                  </w:rPr>
                  <w:t>:</w:t>
                </w:r>
                <w:r w:rsidR="00B50FD4">
                  <w:rPr>
                    <w:szCs w:val="13"/>
                    <w:lang w:val="fr-FR"/>
                  </w:rPr>
                  <w:t xml:space="preserve"> </w:t>
                </w:r>
                <w:r w:rsidR="00B50FD4">
                  <w:rPr>
                    <w:rFonts w:eastAsia="Metropolis Black"/>
                  </w:rPr>
                  <w:t>OTHER MATTERS</w:t>
                </w:r>
                <w:r w:rsidR="00B50FD4">
                  <w:rPr>
                    <w:rFonts w:eastAsia="Metropolis Black"/>
                  </w:rPr>
                  <w:tab/>
                  <w:t xml:space="preserve"> </w:t>
                </w:r>
              </w:sdtContent>
            </w:sdt>
            <w:r w:rsidR="00B50FD4" w:rsidRPr="0074159A">
              <w:rPr>
                <w:szCs w:val="13"/>
              </w:rPr>
              <w:tab/>
            </w:r>
            <w:r w:rsidR="00B50FD4" w:rsidRPr="001007E8">
              <w:t>TE AKA MATUA O TE TURE | LAW COMMISSION</w:t>
            </w:r>
            <w:r w:rsidR="00B50FD4">
              <w:t xml:space="preserve"> </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351853">
              <w:rPr>
                <w:noProof/>
                <w:szCs w:val="13"/>
              </w:rPr>
              <w:t>205</w:t>
            </w:r>
            <w:r w:rsidR="00B50FD4" w:rsidRPr="00C5544E">
              <w:rPr>
                <w:szCs w:val="13"/>
              </w:rPr>
              <w:fldChar w:fldCharType="end"/>
            </w:r>
          </w:sdtContent>
        </w:sdt>
      </w:p>
    </w:sdtContent>
  </w:sdt>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40060" w14:textId="77777777" w:rsidR="00396623" w:rsidRDefault="00F437C5">
    <w:pPr>
      <w:pStyle w:val="Header"/>
    </w:pPr>
    <w:r>
      <w:rPr>
        <w:noProof/>
        <w14:ligatures w14:val="standardContextual"/>
      </w:rPr>
      <w:pict w14:anchorId="580EB0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32028" o:spid="_x0000_s1027" type="#_x0000_t136" style="position:absolute;margin-left:0;margin-top:0;width:491.9pt;height:147.55pt;rotation:315;z-index:-251655168;mso-position-horizontal:center;mso-position-horizontal-relative:margin;mso-position-vertical:center;mso-position-vertical-relative:margin" o:allowincell="f" fillcolor="silver" stroked="f">
          <v:fill opacity=".5"/>
          <v:textpath style="font-family:&quot;Calibri&quot;;font-size:1pt" string="EMBARGOED"/>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0107905"/>
      <w:docPartObj>
        <w:docPartGallery w:val="Page Numbers (Top of Page)"/>
        <w:docPartUnique/>
      </w:docPartObj>
    </w:sdtPr>
    <w:sdtEndPr>
      <w:rPr>
        <w:szCs w:val="13"/>
      </w:rPr>
    </w:sdtEndPr>
    <w:sdtContent>
      <w:p w14:paraId="341EECD9" w14:textId="283A29AD" w:rsidR="00B81231" w:rsidRPr="00396623" w:rsidRDefault="00F437C5" w:rsidP="00B50FD4">
        <w:pPr>
          <w:pStyle w:val="Header"/>
          <w:tabs>
            <w:tab w:val="left" w:pos="709"/>
          </w:tabs>
          <w:rPr>
            <w:szCs w:val="20"/>
          </w:rPr>
        </w:pPr>
        <w:sdt>
          <w:sdtPr>
            <w:id w:val="-216048353"/>
            <w:docPartObj>
              <w:docPartGallery w:val="Page Numbers (Top of Page)"/>
              <w:docPartUnique/>
            </w:docPartObj>
          </w:sdtPr>
          <w:sdtEndPr>
            <w:rPr>
              <w:szCs w:val="13"/>
            </w:rPr>
          </w:sdtEndPr>
          <w:sdtContent>
            <w:sdt>
              <w:sdtPr>
                <w:id w:val="-1911692005"/>
                <w:docPartObj>
                  <w:docPartGallery w:val="Page Numbers (Top of Page)"/>
                  <w:docPartUnique/>
                </w:docPartObj>
              </w:sdtPr>
              <w:sdtEndPr>
                <w:rPr>
                  <w:szCs w:val="13"/>
                </w:rPr>
              </w:sdtEndPr>
              <w:sdtContent>
                <w:r w:rsidR="00B81231" w:rsidRPr="001D3DD6">
                  <w:rPr>
                    <w:szCs w:val="13"/>
                  </w:rPr>
                  <w:fldChar w:fldCharType="begin"/>
                </w:r>
                <w:r w:rsidR="00B81231" w:rsidRPr="001D3DD6">
                  <w:rPr>
                    <w:szCs w:val="13"/>
                  </w:rPr>
                  <w:instrText xml:space="preserve"> PAGE   \* MERGEFORMAT </w:instrText>
                </w:r>
                <w:r w:rsidR="00B81231" w:rsidRPr="001D3DD6">
                  <w:rPr>
                    <w:szCs w:val="13"/>
                  </w:rPr>
                  <w:fldChar w:fldCharType="separate"/>
                </w:r>
                <w:r w:rsidR="00B81231">
                  <w:rPr>
                    <w:szCs w:val="13"/>
                  </w:rPr>
                  <w:t>206</w:t>
                </w:r>
                <w:r w:rsidR="00B81231" w:rsidRPr="001D3DD6">
                  <w:rPr>
                    <w:szCs w:val="13"/>
                  </w:rPr>
                  <w:fldChar w:fldCharType="end"/>
                </w:r>
                <w:r w:rsidR="00B81231" w:rsidRPr="00FF65F4">
                  <w:rPr>
                    <w:szCs w:val="13"/>
                    <w:lang w:val="fr-FR"/>
                  </w:rPr>
                  <w:t xml:space="preserve">     </w:t>
                </w:r>
                <w:r w:rsidR="00B81231">
                  <w:rPr>
                    <w:szCs w:val="13"/>
                    <w:lang w:val="fr-FR"/>
                  </w:rPr>
                  <w:tab/>
                </w:r>
                <w:r w:rsidR="00B81231" w:rsidRPr="001007E8">
                  <w:t>TE AKA MATUA O TE TURE | LAW COMMISSION</w:t>
                </w:r>
                <w:r w:rsidR="00B81231">
                  <w:tab/>
                </w:r>
                <w:r w:rsidR="00B81231">
                  <w:tab/>
                </w:r>
                <w:r w:rsidR="00B81231" w:rsidRPr="00CF6A0A">
                  <w:t>IA TANGATA</w:t>
                </w:r>
                <w:r w:rsidR="00B81231">
                  <w:t xml:space="preserve"> </w:t>
                </w:r>
                <w:r w:rsidR="00B81231" w:rsidRPr="00BF3209">
                  <w:t>–</w:t>
                </w:r>
                <w:r w:rsidR="00B81231">
                  <w:t xml:space="preserve"> </w:t>
                </w:r>
                <w:r w:rsidR="00B81231" w:rsidRPr="00BF3209">
                  <w:t xml:space="preserve">ISSUES PAPER </w:t>
                </w:r>
                <w:r w:rsidR="00B81231">
                  <w:t>53</w:t>
                </w:r>
              </w:sdtContent>
            </w:sdt>
          </w:sdtContent>
        </w:sdt>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B58E1" w14:textId="4E93982B" w:rsidR="00E81695" w:rsidRPr="00287AFD" w:rsidRDefault="00F437C5" w:rsidP="001A7CE5">
    <w:pPr>
      <w:pStyle w:val="Header"/>
      <w:tabs>
        <w:tab w:val="left" w:pos="709"/>
      </w:tabs>
      <w:rPr>
        <w:szCs w:val="20"/>
      </w:rPr>
    </w:pPr>
    <w:sdt>
      <w:sdtPr>
        <w:id w:val="-1655908514"/>
        <w:docPartObj>
          <w:docPartGallery w:val="Page Numbers (Top of Page)"/>
          <w:docPartUnique/>
        </w:docPartObj>
      </w:sdtPr>
      <w:sdtEndPr/>
      <w:sdtContent>
        <w:r w:rsidR="004F1B27" w:rsidRPr="00287AFD">
          <w:rPr>
            <w:szCs w:val="13"/>
          </w:rPr>
          <w:fldChar w:fldCharType="begin"/>
        </w:r>
        <w:r w:rsidR="004F1B27" w:rsidRPr="00287AFD">
          <w:rPr>
            <w:szCs w:val="13"/>
            <w:lang w:val="fr-FR"/>
          </w:rPr>
          <w:instrText xml:space="preserve"> PAGE   \* MERGEFORMAT </w:instrText>
        </w:r>
        <w:r w:rsidR="004F1B27" w:rsidRPr="00287AFD">
          <w:rPr>
            <w:szCs w:val="13"/>
          </w:rPr>
          <w:fldChar w:fldCharType="separate"/>
        </w:r>
        <w:r w:rsidR="004F1B27">
          <w:rPr>
            <w:szCs w:val="13"/>
          </w:rPr>
          <w:t>iii</w:t>
        </w:r>
        <w:r w:rsidR="004F1B27" w:rsidRPr="00287AFD">
          <w:rPr>
            <w:szCs w:val="13"/>
          </w:rPr>
          <w:fldChar w:fldCharType="end"/>
        </w:r>
        <w:r w:rsidR="004F1B27" w:rsidRPr="00287AFD">
          <w:rPr>
            <w:szCs w:val="13"/>
            <w:lang w:val="fr-FR"/>
          </w:rPr>
          <w:t xml:space="preserve">     </w:t>
        </w:r>
        <w:r w:rsidR="004F1B27" w:rsidRPr="00287AFD">
          <w:rPr>
            <w:szCs w:val="13"/>
            <w:lang w:val="fr-FR"/>
          </w:rPr>
          <w:tab/>
        </w:r>
        <w:r w:rsidR="007D2323" w:rsidRPr="00A90C18">
          <w:rPr>
            <w:rFonts w:eastAsia="Times New Roman Mäori"/>
          </w:rPr>
          <w:t>HAVE YOUR SAY</w:t>
        </w:r>
      </w:sdtContent>
    </w:sdt>
    <w:r w:rsidR="004F1B27" w:rsidRPr="00287AFD">
      <w:tab/>
      <w:t xml:space="preserve"> </w:t>
    </w:r>
    <w:r w:rsidR="004F1B27" w:rsidRPr="00287AFD">
      <w:rPr>
        <w:szCs w:val="13"/>
      </w:rPr>
      <w:tab/>
      <w:t>TE AKA MATUA O TE TURE | LAW COMMISSION</w:t>
    </w:r>
    <w:r w:rsidR="004F1B27" w:rsidRPr="00287AFD">
      <w:rPr>
        <w:noProof/>
        <w:lang w:eastAsia="en-NZ"/>
      </w:rPr>
      <w:t xml:space="preserve"> </w:t>
    </w:r>
    <w:r w:rsidR="00E81695" w:rsidRPr="00287AFD">
      <w:rPr>
        <w:noProof/>
        <w:lang w:eastAsia="en-NZ"/>
      </w:rPr>
      <mc:AlternateContent>
        <mc:Choice Requires="wps">
          <w:drawing>
            <wp:anchor distT="0" distB="0" distL="114300" distR="114300" simplePos="0" relativeHeight="251655168" behindDoc="1" locked="0" layoutInCell="1" allowOverlap="1" wp14:anchorId="6956E3C6" wp14:editId="1156A9B1">
              <wp:simplePos x="0" y="0"/>
              <wp:positionH relativeFrom="column">
                <wp:posOffset>-1082040</wp:posOffset>
              </wp:positionH>
              <wp:positionV relativeFrom="paragraph">
                <wp:posOffset>-453587</wp:posOffset>
              </wp:positionV>
              <wp:extent cx="7560310" cy="10692130"/>
              <wp:effectExtent l="0" t="0" r="2540" b="0"/>
              <wp:wrapNone/>
              <wp:docPr id="47" name="Freeform: 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754D267E" id="Freeform: Shape 4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v-text-anchor:top" points="-85.2pt,806.2pt,510.1pt,806.2pt,510.1pt,-35.7pt,-85.2pt,-35.7pt,-85.2pt,806.2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" fillcolor="#edf2ea" stroked="f">
              <v:path arrowok="t" o:connecttype="custom" o:connectlocs="0,10692130;7560310,10692130;7560310,0;0,0;0,10692130" o:connectangles="0,0,0,0,0"/>
            </v:poly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5F82C" w14:textId="6D8C34CA" w:rsidR="00E81695" w:rsidRDefault="00E81695" w:rsidP="00E81695">
    <w:pPr>
      <w:pStyle w:val="Header"/>
      <w:tabs>
        <w:tab w:val="left" w:pos="709"/>
      </w:tabs>
      <w:rPr>
        <w:szCs w:val="13"/>
      </w:rPr>
    </w:pPr>
    <w:r w:rsidRPr="00287AFD">
      <w:rPr>
        <w:noProof/>
        <w:lang w:eastAsia="en-NZ"/>
      </w:rPr>
      <mc:AlternateContent>
        <mc:Choice Requires="wps">
          <w:drawing>
            <wp:anchor distT="0" distB="0" distL="114300" distR="114300" simplePos="0" relativeHeight="251657216" behindDoc="1" locked="0" layoutInCell="1" allowOverlap="1" wp14:anchorId="06C72294" wp14:editId="238CD350">
              <wp:simplePos x="0" y="0"/>
              <wp:positionH relativeFrom="column">
                <wp:posOffset>-1081405</wp:posOffset>
              </wp:positionH>
              <wp:positionV relativeFrom="paragraph">
                <wp:posOffset>-428435</wp:posOffset>
              </wp:positionV>
              <wp:extent cx="7560310" cy="10692130"/>
              <wp:effectExtent l="0" t="0" r="2540" b="0"/>
              <wp:wrapNone/>
              <wp:docPr id="764518304" name="Freeform: Shape 764518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51833A2E" id="Freeform: Shape 76451830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v-text-anchor:top" points="-85.15pt,808.15pt,510.15pt,808.15pt,510.15pt,-33.75pt,-85.15pt,-33.75pt,-85.15pt,808.15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" fillcolor="#edf2ea" stroked="f">
              <v:path arrowok="t" o:connecttype="custom" o:connectlocs="0,10692130;7560310,10692130;7560310,0;0,0;0,10692130" o:connectangles="0,0,0,0,0"/>
            </v:polyline>
          </w:pict>
        </mc:Fallback>
      </mc:AlternateContent>
    </w:r>
    <w:sdt>
      <w:sdtPr>
        <w:id w:val="660437905"/>
        <w:docPartObj>
          <w:docPartGallery w:val="Page Numbers (Top of Page)"/>
          <w:docPartUnique/>
        </w:docPartObj>
      </w:sdtPr>
      <w:sdtEndPr/>
      <w:sdtContent>
        <w:r w:rsidRPr="00287AFD">
          <w:rPr>
            <w:szCs w:val="13"/>
          </w:rPr>
          <w:fldChar w:fldCharType="begin"/>
        </w:r>
        <w:r w:rsidRPr="00287AFD">
          <w:rPr>
            <w:szCs w:val="13"/>
            <w:lang w:val="fr-FR"/>
          </w:rPr>
          <w:instrText xml:space="preserve"> PAGE   \* MERGEFORMAT </w:instrText>
        </w:r>
        <w:r w:rsidRPr="00287AFD">
          <w:rPr>
            <w:szCs w:val="13"/>
          </w:rPr>
          <w:fldChar w:fldCharType="separate"/>
        </w:r>
        <w:r>
          <w:rPr>
            <w:szCs w:val="13"/>
          </w:rPr>
          <w:t>v</w:t>
        </w:r>
        <w:r w:rsidRPr="00287AFD">
          <w:rPr>
            <w:szCs w:val="13"/>
          </w:rPr>
          <w:fldChar w:fldCharType="end"/>
        </w:r>
        <w:r w:rsidRPr="00287AFD">
          <w:rPr>
            <w:szCs w:val="13"/>
            <w:lang w:val="fr-FR"/>
          </w:rPr>
          <w:t xml:space="preserve">     </w:t>
        </w:r>
        <w:r w:rsidRPr="00287AFD">
          <w:rPr>
            <w:szCs w:val="13"/>
            <w:lang w:val="fr-FR"/>
          </w:rPr>
          <w:tab/>
        </w:r>
        <w:r w:rsidR="007D2323" w:rsidRPr="00A90C18">
          <w:rPr>
            <w:rFonts w:eastAsia="Times New Roman Mäori"/>
          </w:rPr>
          <w:t>HAVE YOUR SAY</w:t>
        </w:r>
      </w:sdtContent>
    </w:sdt>
    <w:r w:rsidRPr="00287AFD">
      <w:tab/>
      <w:t xml:space="preserve"> </w:t>
    </w:r>
    <w:r w:rsidRPr="00287AFD">
      <w:rPr>
        <w:szCs w:val="13"/>
      </w:rPr>
      <w:tab/>
      <w:t>TE AKA MATUA O TE TURE | LAW COMMISSION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52A6B" w14:textId="3E21B737" w:rsidR="009B73CF" w:rsidRPr="00287AFD" w:rsidRDefault="009B73CF" w:rsidP="001A7CE5">
    <w:pPr>
      <w:pStyle w:val="Header"/>
      <w:tabs>
        <w:tab w:val="left" w:pos="709"/>
      </w:tabs>
      <w:rPr>
        <w:szCs w:val="20"/>
      </w:rPr>
    </w:pPr>
    <w:r w:rsidRPr="00287AFD">
      <w:rPr>
        <w:noProof/>
        <w:lang w:eastAsia="en-NZ"/>
      </w:rPr>
      <mc:AlternateContent>
        <mc:Choice Requires="wps">
          <w:drawing>
            <wp:anchor distT="0" distB="0" distL="114300" distR="114300" simplePos="0" relativeHeight="251659264" behindDoc="1" locked="0" layoutInCell="1" allowOverlap="1" wp14:anchorId="7C6B75B2" wp14:editId="418F227A">
              <wp:simplePos x="0" y="0"/>
              <wp:positionH relativeFrom="column">
                <wp:posOffset>-1082040</wp:posOffset>
              </wp:positionH>
              <wp:positionV relativeFrom="paragraph">
                <wp:posOffset>-453587</wp:posOffset>
              </wp:positionV>
              <wp:extent cx="7560310" cy="10692130"/>
              <wp:effectExtent l="0" t="0" r="2540" b="0"/>
              <wp:wrapNone/>
              <wp:docPr id="764518288" name="Freeform: Shape 764518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3042C60E" id="Freeform: Shape 764518288"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v-text-anchor:top" points="-85.2pt,806.2pt,510.1pt,806.2pt,510.1pt,-35.7pt,-85.2pt,-35.7pt,-85.2pt,806.2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" fillcolor="#edf2ea" stroked="f">
              <v:path arrowok="t" o:connecttype="custom" o:connectlocs="0,10692130;7560310,10692130;7560310,0;0,0;0,10692130" o:connectangles="0,0,0,0,0"/>
            </v:polyline>
          </w:pict>
        </mc:Fallback>
      </mc:AlternateContent>
    </w:r>
    <w:sdt>
      <w:sdtPr>
        <w:id w:val="-1396270338"/>
        <w:docPartObj>
          <w:docPartGallery w:val="Page Numbers (Top of Page)"/>
          <w:docPartUnique/>
        </w:docPartObj>
      </w:sdtPr>
      <w:sdtEndPr/>
      <w:sdtContent>
        <w:r w:rsidRPr="00287AFD">
          <w:rPr>
            <w:szCs w:val="13"/>
          </w:rPr>
          <w:fldChar w:fldCharType="begin"/>
        </w:r>
        <w:r w:rsidRPr="00287AFD">
          <w:rPr>
            <w:szCs w:val="13"/>
            <w:lang w:val="fr-FR"/>
          </w:rPr>
          <w:instrText xml:space="preserve"> PAGE   \* MERGEFORMAT </w:instrText>
        </w:r>
        <w:r w:rsidRPr="00287AFD">
          <w:rPr>
            <w:szCs w:val="13"/>
          </w:rPr>
          <w:fldChar w:fldCharType="separate"/>
        </w:r>
        <w:r>
          <w:rPr>
            <w:szCs w:val="13"/>
          </w:rPr>
          <w:t>iii</w:t>
        </w:r>
        <w:r w:rsidRPr="00287AFD">
          <w:rPr>
            <w:szCs w:val="13"/>
          </w:rPr>
          <w:fldChar w:fldCharType="end"/>
        </w:r>
        <w:r w:rsidRPr="00287AFD">
          <w:rPr>
            <w:szCs w:val="13"/>
            <w:lang w:val="fr-FR"/>
          </w:rPr>
          <w:t xml:space="preserve">       </w:t>
        </w:r>
        <w:r w:rsidRPr="00287AFD">
          <w:rPr>
            <w:szCs w:val="13"/>
            <w:lang w:val="fr-FR"/>
          </w:rPr>
          <w:tab/>
        </w:r>
        <w:r>
          <w:rPr>
            <w:rFonts w:eastAsia="Consolas"/>
          </w:rPr>
          <w:t>ACKNOWLEDGEMENTS</w:t>
        </w:r>
      </w:sdtContent>
    </w:sdt>
    <w:r w:rsidRPr="00287AFD">
      <w:tab/>
      <w:t xml:space="preserve"> </w:t>
    </w:r>
    <w:r w:rsidRPr="00287AFD">
      <w:rPr>
        <w:szCs w:val="13"/>
      </w:rPr>
      <w:tab/>
      <w:t>TE AKA MATUA O TE TURE | LAW COMMISSION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81D32" w14:textId="5F1238E6" w:rsidR="009B73CF" w:rsidRPr="004F1B27" w:rsidRDefault="009B73CF" w:rsidP="00E81695">
    <w:pPr>
      <w:pStyle w:val="Header"/>
      <w:tabs>
        <w:tab w:val="left" w:pos="709"/>
      </w:tabs>
      <w:rPr>
        <w:szCs w:val="20"/>
      </w:rPr>
    </w:pPr>
    <w:r w:rsidRPr="00287AFD">
      <w:rPr>
        <w:noProof/>
        <w:lang w:eastAsia="en-NZ"/>
      </w:rPr>
      <mc:AlternateContent>
        <mc:Choice Requires="wps">
          <w:drawing>
            <wp:anchor distT="0" distB="0" distL="114300" distR="114300" simplePos="0" relativeHeight="251660288" behindDoc="1" locked="0" layoutInCell="1" allowOverlap="1" wp14:anchorId="2B2A830E" wp14:editId="18F276AC">
              <wp:simplePos x="0" y="0"/>
              <wp:positionH relativeFrom="column">
                <wp:posOffset>-1065475</wp:posOffset>
              </wp:positionH>
              <wp:positionV relativeFrom="paragraph">
                <wp:posOffset>-437322</wp:posOffset>
              </wp:positionV>
              <wp:extent cx="7560310" cy="10692130"/>
              <wp:effectExtent l="0" t="0" r="2540" b="0"/>
              <wp:wrapNone/>
              <wp:docPr id="237513728" name="Freeform: Shape 237513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00328F44" id="Freeform: Shape 237513728"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v-text-anchor:top" points="-83.9pt,807.45pt,511.4pt,807.45pt,511.4pt,-34.45pt,-83.9pt,-34.45pt,-83.9pt,807.45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" fillcolor="#edf2ea" stroked="f">
              <v:path arrowok="t" o:connecttype="custom" o:connectlocs="0,10692130;7560310,10692130;7560310,0;0,0;0,10692130" o:connectangles="0,0,0,0,0"/>
            </v:polyline>
          </w:pict>
        </mc:Fallback>
      </mc:AlternateContent>
    </w:r>
    <w:r w:rsidRPr="004F1B27">
      <w:t xml:space="preserve"> </w:t>
    </w:r>
    <w:sdt>
      <w:sdtPr>
        <w:id w:val="420845829"/>
        <w:docPartObj>
          <w:docPartGallery w:val="Page Numbers (Top of Page)"/>
          <w:docPartUnique/>
        </w:docPartObj>
      </w:sdtPr>
      <w:sdtEndPr/>
      <w:sdtContent>
        <w:r w:rsidRPr="00287AFD">
          <w:rPr>
            <w:szCs w:val="13"/>
          </w:rPr>
          <w:fldChar w:fldCharType="begin"/>
        </w:r>
        <w:r w:rsidRPr="00287AFD">
          <w:rPr>
            <w:szCs w:val="13"/>
            <w:lang w:val="fr-FR"/>
          </w:rPr>
          <w:instrText xml:space="preserve"> PAGE   \* MERGEFORMAT </w:instrText>
        </w:r>
        <w:r w:rsidRPr="00287AFD">
          <w:rPr>
            <w:szCs w:val="13"/>
          </w:rPr>
          <w:fldChar w:fldCharType="separate"/>
        </w:r>
        <w:r>
          <w:rPr>
            <w:szCs w:val="13"/>
          </w:rPr>
          <w:t>iv</w:t>
        </w:r>
        <w:r w:rsidRPr="00287AFD">
          <w:rPr>
            <w:szCs w:val="13"/>
          </w:rPr>
          <w:fldChar w:fldCharType="end"/>
        </w:r>
        <w:r w:rsidRPr="00287AFD">
          <w:rPr>
            <w:szCs w:val="13"/>
            <w:lang w:val="fr-FR"/>
          </w:rPr>
          <w:t xml:space="preserve">       </w:t>
        </w:r>
        <w:r w:rsidRPr="00287AFD">
          <w:rPr>
            <w:szCs w:val="13"/>
            <w:lang w:val="fr-FR"/>
          </w:rPr>
          <w:tab/>
        </w:r>
        <w:r w:rsidR="00EF433C" w:rsidRPr="00EF433C">
          <w:rPr>
            <w:rFonts w:eastAsia="Consolas"/>
          </w:rPr>
          <w:t>ACKNOWLEDGEMENTS</w:t>
        </w:r>
      </w:sdtContent>
    </w:sdt>
    <w:r w:rsidRPr="00287AFD">
      <w:tab/>
      <w:t xml:space="preserve"> </w:t>
    </w:r>
    <w:r w:rsidRPr="00287AFD">
      <w:rPr>
        <w:szCs w:val="13"/>
      </w:rPr>
      <w:tab/>
      <w:t>TE AKA MATUA O TE TURE | LAW COMMISSION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4186387"/>
      <w:docPartObj>
        <w:docPartGallery w:val="Page Numbers (Top of Page)"/>
        <w:docPartUnique/>
      </w:docPartObj>
    </w:sdtPr>
    <w:sdtEndPr>
      <w:rPr>
        <w:szCs w:val="13"/>
      </w:rPr>
    </w:sdtEndPr>
    <w:sdtContent>
      <w:p w14:paraId="7D85348E" w14:textId="1D06FAF0" w:rsidR="00E81695" w:rsidRPr="00747717" w:rsidRDefault="00F437C5" w:rsidP="00747717">
        <w:pPr>
          <w:pStyle w:val="Header"/>
          <w:tabs>
            <w:tab w:val="clear" w:pos="4536"/>
            <w:tab w:val="left" w:pos="709"/>
          </w:tabs>
          <w:rPr>
            <w:szCs w:val="20"/>
          </w:rPr>
        </w:pPr>
        <w:sdt>
          <w:sdtPr>
            <w:id w:val="-1277560784"/>
            <w:docPartObj>
              <w:docPartGallery w:val="Page Numbers (Top of Page)"/>
              <w:docPartUnique/>
            </w:docPartObj>
          </w:sdtPr>
          <w:sdtEndPr>
            <w:rPr>
              <w:szCs w:val="13"/>
            </w:rPr>
          </w:sdtEndPr>
          <w:sdtContent>
            <w:r w:rsidR="00384816" w:rsidRPr="001D3DD6">
              <w:rPr>
                <w:szCs w:val="13"/>
              </w:rPr>
              <w:fldChar w:fldCharType="begin"/>
            </w:r>
            <w:r w:rsidR="00384816" w:rsidRPr="001D3DD6">
              <w:rPr>
                <w:szCs w:val="13"/>
              </w:rPr>
              <w:instrText xml:space="preserve"> PAGE   \* MERGEFORMAT </w:instrText>
            </w:r>
            <w:r w:rsidR="00384816" w:rsidRPr="001D3DD6">
              <w:rPr>
                <w:szCs w:val="13"/>
              </w:rPr>
              <w:fldChar w:fldCharType="separate"/>
            </w:r>
            <w:r w:rsidR="00384816">
              <w:rPr>
                <w:szCs w:val="13"/>
              </w:rPr>
              <w:t>1</w:t>
            </w:r>
            <w:r w:rsidR="00384816" w:rsidRPr="001D3DD6">
              <w:rPr>
                <w:szCs w:val="13"/>
              </w:rPr>
              <w:fldChar w:fldCharType="end"/>
            </w:r>
            <w:r w:rsidR="00384816" w:rsidRPr="00FF65F4">
              <w:rPr>
                <w:szCs w:val="13"/>
                <w:lang w:val="fr-FR"/>
              </w:rPr>
              <w:t xml:space="preserve">     </w:t>
            </w:r>
            <w:r w:rsidR="00384816">
              <w:rPr>
                <w:szCs w:val="13"/>
                <w:lang w:val="fr-FR"/>
              </w:rPr>
              <w:tab/>
            </w:r>
            <w:r w:rsidR="007E4DAA" w:rsidRPr="001007E8">
              <w:t>TE AKA MATUA O TE TURE | LAW COMMISSION</w:t>
            </w:r>
            <w:r w:rsidR="00747717">
              <w:tab/>
            </w:r>
            <w:r w:rsidR="00CF6A0A" w:rsidRPr="00CF6A0A">
              <w:t>IA TANGATA</w:t>
            </w:r>
            <w:r w:rsidR="00CF6A0A">
              <w:t xml:space="preserve"> </w:t>
            </w:r>
            <w:r w:rsidR="00CF6A0A" w:rsidRPr="00BF3209">
              <w:t>–</w:t>
            </w:r>
            <w:r w:rsidR="00CF6A0A">
              <w:t xml:space="preserve"> </w:t>
            </w:r>
            <w:r w:rsidR="00CF6A0A" w:rsidRPr="00BF3209">
              <w:t xml:space="preserve">ISSUES PAPER </w:t>
            </w:r>
            <w:r w:rsidR="00CF6A0A">
              <w:t>53</w:t>
            </w:r>
          </w:sdtContent>
        </w:sdt>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1436975"/>
      <w:docPartObj>
        <w:docPartGallery w:val="Page Numbers (Top of Page)"/>
        <w:docPartUnique/>
      </w:docPartObj>
    </w:sdtPr>
    <w:sdtEndPr/>
    <w:sdtContent>
      <w:sdt>
        <w:sdtPr>
          <w:id w:val="-1394269985"/>
          <w:docPartObj>
            <w:docPartGallery w:val="Page Numbers (Top of Page)"/>
            <w:docPartUnique/>
          </w:docPartObj>
        </w:sdtPr>
        <w:sdtEndPr/>
        <w:sdtContent>
          <w:p w14:paraId="3B0C399F" w14:textId="1417FDA6" w:rsidR="00E81695" w:rsidRPr="009B492B" w:rsidRDefault="00F437C5" w:rsidP="009C7D5A">
            <w:pPr>
              <w:pStyle w:val="Header"/>
              <w:tabs>
                <w:tab w:val="left" w:pos="709"/>
              </w:tabs>
              <w:rPr>
                <w:szCs w:val="20"/>
              </w:rPr>
            </w:pPr>
            <w:sdt>
              <w:sdtPr>
                <w:id w:val="1304811506"/>
                <w:docPartObj>
                  <w:docPartGallery w:val="Page Numbers (Top of Page)"/>
                  <w:docPartUnique/>
                </w:docPartObj>
              </w:sdtPr>
              <w:sdtEndPr/>
              <w:sdtContent>
                <w:r w:rsidR="00E95928">
                  <w:rPr>
                    <w:szCs w:val="13"/>
                    <w:lang w:val="fr-FR"/>
                  </w:rPr>
                  <w:t>CONTENTS</w:t>
                </w:r>
              </w:sdtContent>
            </w:sdt>
            <w:r w:rsidR="00E81695">
              <w:tab/>
              <w:t xml:space="preserve"> </w:t>
            </w:r>
            <w:r w:rsidR="00E81695" w:rsidRPr="0074159A">
              <w:rPr>
                <w:szCs w:val="13"/>
              </w:rPr>
              <w:tab/>
            </w:r>
            <w:r w:rsidR="00E81695" w:rsidRPr="001007E8">
              <w:rPr>
                <w:szCs w:val="13"/>
              </w:rPr>
              <w:t>TE AKA MATUA O TE TURE | LAW COMMISSION</w:t>
            </w:r>
            <w:r w:rsidR="00384816">
              <w:rPr>
                <w:szCs w:val="13"/>
              </w:rPr>
              <w:t xml:space="preserve"> </w:t>
            </w:r>
            <w:r w:rsidR="00384816" w:rsidRPr="00C5544E">
              <w:rPr>
                <w:szCs w:val="13"/>
              </w:rPr>
              <w:t xml:space="preserve">          </w:t>
            </w:r>
            <w:r w:rsidR="00384816" w:rsidRPr="00C5544E">
              <w:rPr>
                <w:szCs w:val="13"/>
              </w:rPr>
              <w:fldChar w:fldCharType="begin"/>
            </w:r>
            <w:r w:rsidR="00384816" w:rsidRPr="00C5544E">
              <w:rPr>
                <w:szCs w:val="13"/>
              </w:rPr>
              <w:instrText xml:space="preserve"> PAGE   \* MERGEFORMAT </w:instrText>
            </w:r>
            <w:r w:rsidR="00384816" w:rsidRPr="00C5544E">
              <w:rPr>
                <w:szCs w:val="13"/>
              </w:rPr>
              <w:fldChar w:fldCharType="separate"/>
            </w:r>
            <w:r w:rsidR="00384816">
              <w:rPr>
                <w:szCs w:val="13"/>
              </w:rPr>
              <w:t>2</w:t>
            </w:r>
            <w:r w:rsidR="00384816" w:rsidRPr="00C5544E">
              <w:rPr>
                <w:szCs w:val="13"/>
              </w:rPr>
              <w:fldChar w:fldCharType="end"/>
            </w:r>
          </w:p>
        </w:sdtContent>
      </w:sdt>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1671095"/>
      <w:docPartObj>
        <w:docPartGallery w:val="Page Numbers (Top of Page)"/>
        <w:docPartUnique/>
      </w:docPartObj>
    </w:sdtPr>
    <w:sdtEndPr/>
    <w:sdtContent>
      <w:p w14:paraId="4EB0AADE" w14:textId="21B667BA" w:rsidR="008A5B76" w:rsidRPr="0096089E" w:rsidRDefault="00F437C5" w:rsidP="0096089E">
        <w:pPr>
          <w:pStyle w:val="Header"/>
          <w:tabs>
            <w:tab w:val="left" w:pos="709"/>
          </w:tabs>
          <w:rPr>
            <w:szCs w:val="20"/>
          </w:rPr>
        </w:pPr>
        <w:sdt>
          <w:sdtPr>
            <w:id w:val="1626193313"/>
            <w:docPartObj>
              <w:docPartGallery w:val="Page Numbers (Top of Page)"/>
              <w:docPartUnique/>
            </w:docPartObj>
          </w:sdtPr>
          <w:sdtEndPr/>
          <w:sdtContent>
            <w:r w:rsidR="00A168E3">
              <w:rPr>
                <w:szCs w:val="13"/>
                <w:lang w:val="fr-FR"/>
              </w:rPr>
              <w:t>CHAPTER 1</w:t>
            </w:r>
            <w:r w:rsidR="00A168E3">
              <w:rPr>
                <w:rFonts w:ascii="Calibri" w:hAnsi="Calibri" w:cs="Calibri"/>
                <w:szCs w:val="13"/>
                <w:lang w:val="fr-FR"/>
              </w:rPr>
              <w:t>:</w:t>
            </w:r>
            <w:r w:rsidR="00A168E3">
              <w:rPr>
                <w:szCs w:val="13"/>
                <w:lang w:val="fr-FR"/>
              </w:rPr>
              <w:t xml:space="preserve"> </w:t>
            </w:r>
            <w:r w:rsidR="00A168E3">
              <w:rPr>
                <w:rFonts w:eastAsia="Metropolis Black"/>
              </w:rPr>
              <w:t>INTRODUCTION</w:t>
            </w:r>
            <w:r w:rsidR="00A168E3">
              <w:rPr>
                <w:rFonts w:eastAsia="Metropolis Black"/>
              </w:rPr>
              <w:tab/>
              <w:t xml:space="preserve"> </w:t>
            </w:r>
          </w:sdtContent>
        </w:sdt>
        <w:r w:rsidR="00A168E3" w:rsidRPr="0074159A">
          <w:rPr>
            <w:szCs w:val="13"/>
          </w:rPr>
          <w:tab/>
        </w:r>
        <w:r w:rsidR="00A168E3" w:rsidRPr="001007E8">
          <w:t>TE AKA MATUA O TE TURE | LAW COMMISSION</w:t>
        </w:r>
        <w:r w:rsidR="0012287B">
          <w:rPr>
            <w:szCs w:val="13"/>
          </w:rPr>
          <w:t xml:space="preserve"> </w:t>
        </w:r>
        <w:r w:rsidR="0012287B" w:rsidRPr="00C5544E">
          <w:rPr>
            <w:szCs w:val="13"/>
          </w:rPr>
          <w:t xml:space="preserve">          </w:t>
        </w:r>
        <w:r w:rsidR="0012287B" w:rsidRPr="00C5544E">
          <w:rPr>
            <w:szCs w:val="13"/>
          </w:rPr>
          <w:fldChar w:fldCharType="begin"/>
        </w:r>
        <w:r w:rsidR="0012287B" w:rsidRPr="00C5544E">
          <w:rPr>
            <w:szCs w:val="13"/>
          </w:rPr>
          <w:instrText xml:space="preserve"> PAGE   \* MERGEFORMAT </w:instrText>
        </w:r>
        <w:r w:rsidR="0012287B" w:rsidRPr="00C5544E">
          <w:rPr>
            <w:szCs w:val="13"/>
          </w:rPr>
          <w:fldChar w:fldCharType="separate"/>
        </w:r>
        <w:r w:rsidR="0012287B">
          <w:rPr>
            <w:szCs w:val="13"/>
          </w:rPr>
          <w:t>3</w:t>
        </w:r>
        <w:r w:rsidR="0012287B" w:rsidRPr="00C5544E">
          <w:rPr>
            <w:szCs w:val="13"/>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17333"/>
    <w:multiLevelType w:val="hybridMultilevel"/>
    <w:tmpl w:val="56962466"/>
    <w:lvl w:ilvl="0" w:tplc="14090001">
      <w:start w:val="1"/>
      <w:numFmt w:val="bullet"/>
      <w:lvlText w:val=""/>
      <w:lvlJc w:val="left"/>
      <w:pPr>
        <w:ind w:left="1724" w:hanging="360"/>
      </w:pPr>
      <w:rPr>
        <w:rFonts w:ascii="Symbol" w:hAnsi="Symbol" w:hint="default"/>
      </w:rPr>
    </w:lvl>
    <w:lvl w:ilvl="1" w:tplc="14090003" w:tentative="1">
      <w:start w:val="1"/>
      <w:numFmt w:val="bullet"/>
      <w:lvlText w:val="o"/>
      <w:lvlJc w:val="left"/>
      <w:pPr>
        <w:ind w:left="2444" w:hanging="360"/>
      </w:pPr>
      <w:rPr>
        <w:rFonts w:ascii="Courier New" w:hAnsi="Courier New" w:cs="Courier New" w:hint="default"/>
      </w:rPr>
    </w:lvl>
    <w:lvl w:ilvl="2" w:tplc="14090005" w:tentative="1">
      <w:start w:val="1"/>
      <w:numFmt w:val="bullet"/>
      <w:lvlText w:val=""/>
      <w:lvlJc w:val="left"/>
      <w:pPr>
        <w:ind w:left="3164" w:hanging="360"/>
      </w:pPr>
      <w:rPr>
        <w:rFonts w:ascii="Wingdings" w:hAnsi="Wingdings" w:hint="default"/>
      </w:rPr>
    </w:lvl>
    <w:lvl w:ilvl="3" w:tplc="14090001" w:tentative="1">
      <w:start w:val="1"/>
      <w:numFmt w:val="bullet"/>
      <w:lvlText w:val=""/>
      <w:lvlJc w:val="left"/>
      <w:pPr>
        <w:ind w:left="3884" w:hanging="360"/>
      </w:pPr>
      <w:rPr>
        <w:rFonts w:ascii="Symbol" w:hAnsi="Symbol" w:hint="default"/>
      </w:rPr>
    </w:lvl>
    <w:lvl w:ilvl="4" w:tplc="14090003" w:tentative="1">
      <w:start w:val="1"/>
      <w:numFmt w:val="bullet"/>
      <w:lvlText w:val="o"/>
      <w:lvlJc w:val="left"/>
      <w:pPr>
        <w:ind w:left="4604" w:hanging="360"/>
      </w:pPr>
      <w:rPr>
        <w:rFonts w:ascii="Courier New" w:hAnsi="Courier New" w:cs="Courier New" w:hint="default"/>
      </w:rPr>
    </w:lvl>
    <w:lvl w:ilvl="5" w:tplc="14090005" w:tentative="1">
      <w:start w:val="1"/>
      <w:numFmt w:val="bullet"/>
      <w:lvlText w:val=""/>
      <w:lvlJc w:val="left"/>
      <w:pPr>
        <w:ind w:left="5324" w:hanging="360"/>
      </w:pPr>
      <w:rPr>
        <w:rFonts w:ascii="Wingdings" w:hAnsi="Wingdings" w:hint="default"/>
      </w:rPr>
    </w:lvl>
    <w:lvl w:ilvl="6" w:tplc="14090001" w:tentative="1">
      <w:start w:val="1"/>
      <w:numFmt w:val="bullet"/>
      <w:lvlText w:val=""/>
      <w:lvlJc w:val="left"/>
      <w:pPr>
        <w:ind w:left="6044" w:hanging="360"/>
      </w:pPr>
      <w:rPr>
        <w:rFonts w:ascii="Symbol" w:hAnsi="Symbol" w:hint="default"/>
      </w:rPr>
    </w:lvl>
    <w:lvl w:ilvl="7" w:tplc="14090003" w:tentative="1">
      <w:start w:val="1"/>
      <w:numFmt w:val="bullet"/>
      <w:lvlText w:val="o"/>
      <w:lvlJc w:val="left"/>
      <w:pPr>
        <w:ind w:left="6764" w:hanging="360"/>
      </w:pPr>
      <w:rPr>
        <w:rFonts w:ascii="Courier New" w:hAnsi="Courier New" w:cs="Courier New" w:hint="default"/>
      </w:rPr>
    </w:lvl>
    <w:lvl w:ilvl="8" w:tplc="14090005" w:tentative="1">
      <w:start w:val="1"/>
      <w:numFmt w:val="bullet"/>
      <w:lvlText w:val=""/>
      <w:lvlJc w:val="left"/>
      <w:pPr>
        <w:ind w:left="7484" w:hanging="360"/>
      </w:pPr>
      <w:rPr>
        <w:rFonts w:ascii="Wingdings" w:hAnsi="Wingdings" w:hint="default"/>
      </w:rPr>
    </w:lvl>
  </w:abstractNum>
  <w:abstractNum w:abstractNumId="1" w15:restartNumberingAfterBreak="0">
    <w:nsid w:val="01D0334D"/>
    <w:multiLevelType w:val="multilevel"/>
    <w:tmpl w:val="FFDE900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pStyle w:val="BodyText"/>
      <w:lvlText w:val="%1.%2"/>
      <w:lvlJc w:val="left"/>
      <w:pPr>
        <w:tabs>
          <w:tab w:val="num" w:pos="709"/>
        </w:tabs>
        <w:ind w:left="709" w:hanging="596"/>
      </w:pPr>
    </w:lvl>
    <w:lvl w:ilvl="2">
      <w:start w:val="1"/>
      <w:numFmt w:val="none"/>
      <w:pStyle w:val="BodyTextnonum"/>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 w15:restartNumberingAfterBreak="0">
    <w:nsid w:val="0347767C"/>
    <w:multiLevelType w:val="hybridMultilevel"/>
    <w:tmpl w:val="84F404BA"/>
    <w:lvl w:ilvl="0" w:tplc="14090001">
      <w:start w:val="1"/>
      <w:numFmt w:val="bullet"/>
      <w:lvlText w:val=""/>
      <w:lvlJc w:val="left"/>
      <w:pPr>
        <w:ind w:left="1724" w:hanging="360"/>
      </w:pPr>
      <w:rPr>
        <w:rFonts w:ascii="Symbol" w:hAnsi="Symbol" w:hint="default"/>
      </w:rPr>
    </w:lvl>
    <w:lvl w:ilvl="1" w:tplc="14090003" w:tentative="1">
      <w:start w:val="1"/>
      <w:numFmt w:val="bullet"/>
      <w:lvlText w:val="o"/>
      <w:lvlJc w:val="left"/>
      <w:pPr>
        <w:ind w:left="2444" w:hanging="360"/>
      </w:pPr>
      <w:rPr>
        <w:rFonts w:ascii="Courier New" w:hAnsi="Courier New" w:cs="Courier New" w:hint="default"/>
      </w:rPr>
    </w:lvl>
    <w:lvl w:ilvl="2" w:tplc="14090005" w:tentative="1">
      <w:start w:val="1"/>
      <w:numFmt w:val="bullet"/>
      <w:lvlText w:val=""/>
      <w:lvlJc w:val="left"/>
      <w:pPr>
        <w:ind w:left="3164" w:hanging="360"/>
      </w:pPr>
      <w:rPr>
        <w:rFonts w:ascii="Wingdings" w:hAnsi="Wingdings" w:hint="default"/>
      </w:rPr>
    </w:lvl>
    <w:lvl w:ilvl="3" w:tplc="14090001" w:tentative="1">
      <w:start w:val="1"/>
      <w:numFmt w:val="bullet"/>
      <w:lvlText w:val=""/>
      <w:lvlJc w:val="left"/>
      <w:pPr>
        <w:ind w:left="3884" w:hanging="360"/>
      </w:pPr>
      <w:rPr>
        <w:rFonts w:ascii="Symbol" w:hAnsi="Symbol" w:hint="default"/>
      </w:rPr>
    </w:lvl>
    <w:lvl w:ilvl="4" w:tplc="14090003" w:tentative="1">
      <w:start w:val="1"/>
      <w:numFmt w:val="bullet"/>
      <w:lvlText w:val="o"/>
      <w:lvlJc w:val="left"/>
      <w:pPr>
        <w:ind w:left="4604" w:hanging="360"/>
      </w:pPr>
      <w:rPr>
        <w:rFonts w:ascii="Courier New" w:hAnsi="Courier New" w:cs="Courier New" w:hint="default"/>
      </w:rPr>
    </w:lvl>
    <w:lvl w:ilvl="5" w:tplc="14090005" w:tentative="1">
      <w:start w:val="1"/>
      <w:numFmt w:val="bullet"/>
      <w:lvlText w:val=""/>
      <w:lvlJc w:val="left"/>
      <w:pPr>
        <w:ind w:left="5324" w:hanging="360"/>
      </w:pPr>
      <w:rPr>
        <w:rFonts w:ascii="Wingdings" w:hAnsi="Wingdings" w:hint="default"/>
      </w:rPr>
    </w:lvl>
    <w:lvl w:ilvl="6" w:tplc="14090001" w:tentative="1">
      <w:start w:val="1"/>
      <w:numFmt w:val="bullet"/>
      <w:lvlText w:val=""/>
      <w:lvlJc w:val="left"/>
      <w:pPr>
        <w:ind w:left="6044" w:hanging="360"/>
      </w:pPr>
      <w:rPr>
        <w:rFonts w:ascii="Symbol" w:hAnsi="Symbol" w:hint="default"/>
      </w:rPr>
    </w:lvl>
    <w:lvl w:ilvl="7" w:tplc="14090003" w:tentative="1">
      <w:start w:val="1"/>
      <w:numFmt w:val="bullet"/>
      <w:lvlText w:val="o"/>
      <w:lvlJc w:val="left"/>
      <w:pPr>
        <w:ind w:left="6764" w:hanging="360"/>
      </w:pPr>
      <w:rPr>
        <w:rFonts w:ascii="Courier New" w:hAnsi="Courier New" w:cs="Courier New" w:hint="default"/>
      </w:rPr>
    </w:lvl>
    <w:lvl w:ilvl="8" w:tplc="14090005" w:tentative="1">
      <w:start w:val="1"/>
      <w:numFmt w:val="bullet"/>
      <w:lvlText w:val=""/>
      <w:lvlJc w:val="left"/>
      <w:pPr>
        <w:ind w:left="7484" w:hanging="360"/>
      </w:pPr>
      <w:rPr>
        <w:rFonts w:ascii="Wingdings" w:hAnsi="Wingdings" w:hint="default"/>
      </w:rPr>
    </w:lvl>
  </w:abstractNum>
  <w:abstractNum w:abstractNumId="3" w15:restartNumberingAfterBreak="0">
    <w:nsid w:val="0786584C"/>
    <w:multiLevelType w:val="hybridMultilevel"/>
    <w:tmpl w:val="3440D488"/>
    <w:lvl w:ilvl="0" w:tplc="14090001">
      <w:start w:val="1"/>
      <w:numFmt w:val="bullet"/>
      <w:lvlText w:val=""/>
      <w:lvlJc w:val="left"/>
      <w:pPr>
        <w:ind w:left="1724" w:hanging="360"/>
      </w:pPr>
      <w:rPr>
        <w:rFonts w:ascii="Symbol" w:hAnsi="Symbol" w:hint="default"/>
      </w:rPr>
    </w:lvl>
    <w:lvl w:ilvl="1" w:tplc="14090003" w:tentative="1">
      <w:start w:val="1"/>
      <w:numFmt w:val="bullet"/>
      <w:lvlText w:val="o"/>
      <w:lvlJc w:val="left"/>
      <w:pPr>
        <w:ind w:left="2444" w:hanging="360"/>
      </w:pPr>
      <w:rPr>
        <w:rFonts w:ascii="Courier New" w:hAnsi="Courier New" w:cs="Courier New" w:hint="default"/>
      </w:rPr>
    </w:lvl>
    <w:lvl w:ilvl="2" w:tplc="14090005" w:tentative="1">
      <w:start w:val="1"/>
      <w:numFmt w:val="bullet"/>
      <w:lvlText w:val=""/>
      <w:lvlJc w:val="left"/>
      <w:pPr>
        <w:ind w:left="3164" w:hanging="360"/>
      </w:pPr>
      <w:rPr>
        <w:rFonts w:ascii="Wingdings" w:hAnsi="Wingdings" w:hint="default"/>
      </w:rPr>
    </w:lvl>
    <w:lvl w:ilvl="3" w:tplc="14090001" w:tentative="1">
      <w:start w:val="1"/>
      <w:numFmt w:val="bullet"/>
      <w:lvlText w:val=""/>
      <w:lvlJc w:val="left"/>
      <w:pPr>
        <w:ind w:left="3884" w:hanging="360"/>
      </w:pPr>
      <w:rPr>
        <w:rFonts w:ascii="Symbol" w:hAnsi="Symbol" w:hint="default"/>
      </w:rPr>
    </w:lvl>
    <w:lvl w:ilvl="4" w:tplc="14090003" w:tentative="1">
      <w:start w:val="1"/>
      <w:numFmt w:val="bullet"/>
      <w:lvlText w:val="o"/>
      <w:lvlJc w:val="left"/>
      <w:pPr>
        <w:ind w:left="4604" w:hanging="360"/>
      </w:pPr>
      <w:rPr>
        <w:rFonts w:ascii="Courier New" w:hAnsi="Courier New" w:cs="Courier New" w:hint="default"/>
      </w:rPr>
    </w:lvl>
    <w:lvl w:ilvl="5" w:tplc="14090005" w:tentative="1">
      <w:start w:val="1"/>
      <w:numFmt w:val="bullet"/>
      <w:lvlText w:val=""/>
      <w:lvlJc w:val="left"/>
      <w:pPr>
        <w:ind w:left="5324" w:hanging="360"/>
      </w:pPr>
      <w:rPr>
        <w:rFonts w:ascii="Wingdings" w:hAnsi="Wingdings" w:hint="default"/>
      </w:rPr>
    </w:lvl>
    <w:lvl w:ilvl="6" w:tplc="14090001" w:tentative="1">
      <w:start w:val="1"/>
      <w:numFmt w:val="bullet"/>
      <w:lvlText w:val=""/>
      <w:lvlJc w:val="left"/>
      <w:pPr>
        <w:ind w:left="6044" w:hanging="360"/>
      </w:pPr>
      <w:rPr>
        <w:rFonts w:ascii="Symbol" w:hAnsi="Symbol" w:hint="default"/>
      </w:rPr>
    </w:lvl>
    <w:lvl w:ilvl="7" w:tplc="14090003" w:tentative="1">
      <w:start w:val="1"/>
      <w:numFmt w:val="bullet"/>
      <w:lvlText w:val="o"/>
      <w:lvlJc w:val="left"/>
      <w:pPr>
        <w:ind w:left="6764" w:hanging="360"/>
      </w:pPr>
      <w:rPr>
        <w:rFonts w:ascii="Courier New" w:hAnsi="Courier New" w:cs="Courier New" w:hint="default"/>
      </w:rPr>
    </w:lvl>
    <w:lvl w:ilvl="8" w:tplc="14090005" w:tentative="1">
      <w:start w:val="1"/>
      <w:numFmt w:val="bullet"/>
      <w:lvlText w:val=""/>
      <w:lvlJc w:val="left"/>
      <w:pPr>
        <w:ind w:left="7484" w:hanging="360"/>
      </w:pPr>
      <w:rPr>
        <w:rFonts w:ascii="Wingdings" w:hAnsi="Wingdings" w:hint="default"/>
      </w:rPr>
    </w:lvl>
  </w:abstractNum>
  <w:abstractNum w:abstractNumId="4" w15:restartNumberingAfterBreak="0">
    <w:nsid w:val="0E271AB4"/>
    <w:multiLevelType w:val="multilevel"/>
    <w:tmpl w:val="F3A83208"/>
    <w:lvl w:ilvl="0">
      <w:start w:val="1"/>
      <w:numFmt w:val="decimal"/>
      <w:pStyle w:val="RecommendationText"/>
      <w:lvlText w:val="R%1"/>
      <w:lvlJc w:val="left"/>
      <w:pPr>
        <w:ind w:left="709" w:hanging="425"/>
      </w:pPr>
      <w:rPr>
        <w:rFonts w:asciiTheme="majorHAnsi" w:hAnsiTheme="majorHAnsi" w:hint="default"/>
      </w:rPr>
    </w:lvl>
    <w:lvl w:ilvl="1">
      <w:start w:val="1"/>
      <w:numFmt w:val="none"/>
      <w:pStyle w:val="RecommendationText2"/>
      <w:suff w:val="nothing"/>
      <w:lvlText w:val=""/>
      <w:lvlJc w:val="left"/>
      <w:pPr>
        <w:ind w:left="1134" w:hanging="425"/>
      </w:pPr>
      <w:rPr>
        <w:rFonts w:hint="default"/>
      </w:rPr>
    </w:lvl>
    <w:lvl w:ilvl="2">
      <w:start w:val="1"/>
      <w:numFmt w:val="none"/>
      <w:pStyle w:val="RecommendationText3"/>
      <w:suff w:val="nothing"/>
      <w:lvlText w:val=""/>
      <w:lvlJc w:val="left"/>
      <w:pPr>
        <w:ind w:left="1559" w:hanging="425"/>
      </w:pPr>
      <w:rPr>
        <w:rFonts w:asciiTheme="majorHAnsi" w:hAnsiTheme="majorHAnsi" w:hint="default"/>
      </w:rPr>
    </w:lvl>
    <w:lvl w:ilvl="3">
      <w:start w:val="1"/>
      <w:numFmt w:val="none"/>
      <w:pStyle w:val="RecommendationText4"/>
      <w:suff w:val="nothing"/>
      <w:lvlText w:val="%4"/>
      <w:lvlJc w:val="left"/>
      <w:pPr>
        <w:ind w:left="1984" w:hanging="425"/>
      </w:pPr>
      <w:rPr>
        <w:rFonts w:hint="default"/>
      </w:rPr>
    </w:lvl>
    <w:lvl w:ilvl="4">
      <w:start w:val="1"/>
      <w:numFmt w:val="none"/>
      <w:pStyle w:val="RecommendationText5"/>
      <w:suff w:val="nothing"/>
      <w:lvlText w:val="%5"/>
      <w:lvlJc w:val="left"/>
      <w:pPr>
        <w:ind w:left="2409" w:hanging="425"/>
      </w:pPr>
      <w:rPr>
        <w:rFonts w:hint="default"/>
      </w:rPr>
    </w:lvl>
    <w:lvl w:ilvl="5">
      <w:start w:val="1"/>
      <w:numFmt w:val="lowerRoman"/>
      <w:lvlText w:val="%6."/>
      <w:lvlJc w:val="right"/>
      <w:pPr>
        <w:ind w:left="2834" w:hanging="425"/>
      </w:pPr>
      <w:rPr>
        <w:rFonts w:hint="default"/>
      </w:rPr>
    </w:lvl>
    <w:lvl w:ilvl="6">
      <w:start w:val="1"/>
      <w:numFmt w:val="decimal"/>
      <w:lvlText w:val="%7."/>
      <w:lvlJc w:val="left"/>
      <w:pPr>
        <w:ind w:left="3259" w:hanging="425"/>
      </w:pPr>
      <w:rPr>
        <w:rFonts w:hint="default"/>
      </w:rPr>
    </w:lvl>
    <w:lvl w:ilvl="7">
      <w:start w:val="1"/>
      <w:numFmt w:val="lowerLetter"/>
      <w:lvlText w:val="%8."/>
      <w:lvlJc w:val="left"/>
      <w:pPr>
        <w:ind w:left="3684" w:hanging="425"/>
      </w:pPr>
      <w:rPr>
        <w:rFonts w:hint="default"/>
      </w:rPr>
    </w:lvl>
    <w:lvl w:ilvl="8">
      <w:start w:val="1"/>
      <w:numFmt w:val="lowerRoman"/>
      <w:lvlText w:val="%9."/>
      <w:lvlJc w:val="right"/>
      <w:pPr>
        <w:ind w:left="4109" w:hanging="425"/>
      </w:pPr>
      <w:rPr>
        <w:rFonts w:hint="default"/>
      </w:rPr>
    </w:lvl>
  </w:abstractNum>
  <w:abstractNum w:abstractNumId="5" w15:restartNumberingAfterBreak="0">
    <w:nsid w:val="10622473"/>
    <w:multiLevelType w:val="hybridMultilevel"/>
    <w:tmpl w:val="119627E2"/>
    <w:lvl w:ilvl="0" w:tplc="14090001">
      <w:start w:val="1"/>
      <w:numFmt w:val="bullet"/>
      <w:lvlText w:val=""/>
      <w:lvlJc w:val="left"/>
      <w:pPr>
        <w:ind w:left="1724" w:hanging="360"/>
      </w:pPr>
      <w:rPr>
        <w:rFonts w:ascii="Symbol" w:hAnsi="Symbol" w:hint="default"/>
      </w:rPr>
    </w:lvl>
    <w:lvl w:ilvl="1" w:tplc="14090003" w:tentative="1">
      <w:start w:val="1"/>
      <w:numFmt w:val="bullet"/>
      <w:lvlText w:val="o"/>
      <w:lvlJc w:val="left"/>
      <w:pPr>
        <w:ind w:left="2444" w:hanging="360"/>
      </w:pPr>
      <w:rPr>
        <w:rFonts w:ascii="Courier New" w:hAnsi="Courier New" w:cs="Courier New" w:hint="default"/>
      </w:rPr>
    </w:lvl>
    <w:lvl w:ilvl="2" w:tplc="14090005" w:tentative="1">
      <w:start w:val="1"/>
      <w:numFmt w:val="bullet"/>
      <w:lvlText w:val=""/>
      <w:lvlJc w:val="left"/>
      <w:pPr>
        <w:ind w:left="3164" w:hanging="360"/>
      </w:pPr>
      <w:rPr>
        <w:rFonts w:ascii="Wingdings" w:hAnsi="Wingdings" w:hint="default"/>
      </w:rPr>
    </w:lvl>
    <w:lvl w:ilvl="3" w:tplc="14090001" w:tentative="1">
      <w:start w:val="1"/>
      <w:numFmt w:val="bullet"/>
      <w:lvlText w:val=""/>
      <w:lvlJc w:val="left"/>
      <w:pPr>
        <w:ind w:left="3884" w:hanging="360"/>
      </w:pPr>
      <w:rPr>
        <w:rFonts w:ascii="Symbol" w:hAnsi="Symbol" w:hint="default"/>
      </w:rPr>
    </w:lvl>
    <w:lvl w:ilvl="4" w:tplc="14090003" w:tentative="1">
      <w:start w:val="1"/>
      <w:numFmt w:val="bullet"/>
      <w:lvlText w:val="o"/>
      <w:lvlJc w:val="left"/>
      <w:pPr>
        <w:ind w:left="4604" w:hanging="360"/>
      </w:pPr>
      <w:rPr>
        <w:rFonts w:ascii="Courier New" w:hAnsi="Courier New" w:cs="Courier New" w:hint="default"/>
      </w:rPr>
    </w:lvl>
    <w:lvl w:ilvl="5" w:tplc="14090005" w:tentative="1">
      <w:start w:val="1"/>
      <w:numFmt w:val="bullet"/>
      <w:lvlText w:val=""/>
      <w:lvlJc w:val="left"/>
      <w:pPr>
        <w:ind w:left="5324" w:hanging="360"/>
      </w:pPr>
      <w:rPr>
        <w:rFonts w:ascii="Wingdings" w:hAnsi="Wingdings" w:hint="default"/>
      </w:rPr>
    </w:lvl>
    <w:lvl w:ilvl="6" w:tplc="14090001" w:tentative="1">
      <w:start w:val="1"/>
      <w:numFmt w:val="bullet"/>
      <w:lvlText w:val=""/>
      <w:lvlJc w:val="left"/>
      <w:pPr>
        <w:ind w:left="6044" w:hanging="360"/>
      </w:pPr>
      <w:rPr>
        <w:rFonts w:ascii="Symbol" w:hAnsi="Symbol" w:hint="default"/>
      </w:rPr>
    </w:lvl>
    <w:lvl w:ilvl="7" w:tplc="14090003" w:tentative="1">
      <w:start w:val="1"/>
      <w:numFmt w:val="bullet"/>
      <w:lvlText w:val="o"/>
      <w:lvlJc w:val="left"/>
      <w:pPr>
        <w:ind w:left="6764" w:hanging="360"/>
      </w:pPr>
      <w:rPr>
        <w:rFonts w:ascii="Courier New" w:hAnsi="Courier New" w:cs="Courier New" w:hint="default"/>
      </w:rPr>
    </w:lvl>
    <w:lvl w:ilvl="8" w:tplc="14090005" w:tentative="1">
      <w:start w:val="1"/>
      <w:numFmt w:val="bullet"/>
      <w:lvlText w:val=""/>
      <w:lvlJc w:val="left"/>
      <w:pPr>
        <w:ind w:left="7484" w:hanging="360"/>
      </w:pPr>
      <w:rPr>
        <w:rFonts w:ascii="Wingdings" w:hAnsi="Wingdings" w:hint="default"/>
      </w:rPr>
    </w:lvl>
  </w:abstractNum>
  <w:abstractNum w:abstractNumId="6" w15:restartNumberingAfterBreak="0">
    <w:nsid w:val="17C05F59"/>
    <w:multiLevelType w:val="multilevel"/>
    <w:tmpl w:val="DB586FB4"/>
    <w:lvl w:ilvl="0">
      <w:start w:val="1"/>
      <w:numFmt w:val="bullet"/>
      <w:pStyle w:val="ListBullet"/>
      <w:lvlText w:val="•"/>
      <w:lvlJc w:val="left"/>
      <w:pPr>
        <w:ind w:left="425" w:hanging="425"/>
      </w:pPr>
      <w:rPr>
        <w:rFonts w:ascii="Arial" w:hAnsi="Arial" w:hint="default"/>
      </w:rPr>
    </w:lvl>
    <w:lvl w:ilvl="1">
      <w:start w:val="1"/>
      <w:numFmt w:val="bullet"/>
      <w:pStyle w:val="ListBullet2"/>
      <w:lvlText w:val="•"/>
      <w:lvlJc w:val="left"/>
      <w:pPr>
        <w:ind w:left="850" w:hanging="425"/>
      </w:pPr>
      <w:rPr>
        <w:rFonts w:ascii="Arial" w:hAnsi="Arial" w:hint="default"/>
      </w:rPr>
    </w:lvl>
    <w:lvl w:ilvl="2">
      <w:start w:val="1"/>
      <w:numFmt w:val="bullet"/>
      <w:pStyle w:val="ListBullet3"/>
      <w:lvlText w:val="•"/>
      <w:lvlJc w:val="left"/>
      <w:pPr>
        <w:ind w:left="1275" w:hanging="425"/>
      </w:pPr>
      <w:rPr>
        <w:rFonts w:ascii="Arial" w:hAnsi="Arial" w:hint="default"/>
      </w:rPr>
    </w:lvl>
    <w:lvl w:ilvl="3">
      <w:start w:val="1"/>
      <w:numFmt w:val="bullet"/>
      <w:pStyle w:val="ListBullet4"/>
      <w:lvlText w:val="•"/>
      <w:lvlJc w:val="left"/>
      <w:pPr>
        <w:ind w:left="1700" w:hanging="425"/>
      </w:pPr>
      <w:rPr>
        <w:rFonts w:ascii="Arial" w:hAnsi="Arial" w:hint="default"/>
      </w:rPr>
    </w:lvl>
    <w:lvl w:ilvl="4">
      <w:start w:val="1"/>
      <w:numFmt w:val="bullet"/>
      <w:pStyle w:val="ListBullet5"/>
      <w:lvlText w:val="•"/>
      <w:lvlJc w:val="left"/>
      <w:pPr>
        <w:ind w:left="2125" w:hanging="425"/>
      </w:pPr>
      <w:rPr>
        <w:rFonts w:ascii="Arial" w:hAnsi="Arial" w:hint="default"/>
      </w:rPr>
    </w:lvl>
    <w:lvl w:ilvl="5">
      <w:start w:val="1"/>
      <w:numFmt w:val="bullet"/>
      <w:lvlText w:val="•"/>
      <w:lvlJc w:val="left"/>
      <w:pPr>
        <w:ind w:left="2550" w:hanging="425"/>
      </w:pPr>
      <w:rPr>
        <w:rFonts w:ascii="Arial" w:hAnsi="Arial" w:hint="default"/>
      </w:rPr>
    </w:lvl>
    <w:lvl w:ilvl="6">
      <w:start w:val="1"/>
      <w:numFmt w:val="bullet"/>
      <w:lvlText w:val="•"/>
      <w:lvlJc w:val="left"/>
      <w:pPr>
        <w:ind w:left="2975" w:hanging="425"/>
      </w:pPr>
      <w:rPr>
        <w:rFonts w:ascii="Arial" w:hAnsi="Aria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Arial" w:hAnsi="Arial" w:hint="default"/>
      </w:rPr>
    </w:lvl>
  </w:abstractNum>
  <w:abstractNum w:abstractNumId="7" w15:restartNumberingAfterBreak="0">
    <w:nsid w:val="19EB0378"/>
    <w:multiLevelType w:val="multilevel"/>
    <w:tmpl w:val="BFC6C286"/>
    <w:lvl w:ilvl="0">
      <w:start w:val="1"/>
      <w:numFmt w:val="none"/>
      <w:pStyle w:val="FootnoteNumbered"/>
      <w:suff w:val="nothing"/>
      <w:lvlText w:val=""/>
      <w:lvlJc w:val="left"/>
      <w:pPr>
        <w:ind w:left="851" w:hanging="284"/>
      </w:pPr>
      <w:rPr>
        <w:rFonts w:hint="default"/>
      </w:rPr>
    </w:lvl>
    <w:lvl w:ilvl="1">
      <w:start w:val="1"/>
      <w:numFmt w:val="none"/>
      <w:pStyle w:val="FootnoteNumbered2"/>
      <w:suff w:val="nothing"/>
      <w:lvlText w:val=""/>
      <w:lvlJc w:val="left"/>
      <w:pPr>
        <w:ind w:left="1135" w:hanging="284"/>
      </w:pPr>
      <w:rPr>
        <w:rFonts w:hint="default"/>
      </w:rPr>
    </w:lvl>
    <w:lvl w:ilvl="2">
      <w:start w:val="1"/>
      <w:numFmt w:val="none"/>
      <w:pStyle w:val="FootnoteNumbered3"/>
      <w:suff w:val="nothing"/>
      <w:lvlText w:val=""/>
      <w:lvlJc w:val="left"/>
      <w:pPr>
        <w:ind w:left="1419" w:hanging="284"/>
      </w:pPr>
      <w:rPr>
        <w:rFonts w:hint="default"/>
      </w:rPr>
    </w:lvl>
    <w:lvl w:ilvl="3">
      <w:start w:val="1"/>
      <w:numFmt w:val="none"/>
      <w:lvlText w:val="%4"/>
      <w:lvlJc w:val="left"/>
      <w:pPr>
        <w:ind w:left="1703" w:hanging="284"/>
      </w:pPr>
      <w:rPr>
        <w:rFonts w:hint="default"/>
      </w:rPr>
    </w:lvl>
    <w:lvl w:ilvl="4">
      <w:start w:val="1"/>
      <w:numFmt w:val="none"/>
      <w:lvlText w:val=""/>
      <w:lvlJc w:val="left"/>
      <w:pPr>
        <w:ind w:left="1987" w:hanging="284"/>
      </w:pPr>
      <w:rPr>
        <w:rFonts w:hint="default"/>
      </w:rPr>
    </w:lvl>
    <w:lvl w:ilvl="5">
      <w:start w:val="1"/>
      <w:numFmt w:val="none"/>
      <w:lvlText w:val=""/>
      <w:lvlJc w:val="left"/>
      <w:pPr>
        <w:ind w:left="2271" w:hanging="284"/>
      </w:pPr>
      <w:rPr>
        <w:rFonts w:hint="default"/>
      </w:rPr>
    </w:lvl>
    <w:lvl w:ilvl="6">
      <w:start w:val="1"/>
      <w:numFmt w:val="none"/>
      <w:lvlText w:val=""/>
      <w:lvlJc w:val="left"/>
      <w:pPr>
        <w:ind w:left="2555" w:hanging="284"/>
      </w:pPr>
      <w:rPr>
        <w:rFonts w:hint="default"/>
      </w:rPr>
    </w:lvl>
    <w:lvl w:ilvl="7">
      <w:start w:val="1"/>
      <w:numFmt w:val="none"/>
      <w:lvlText w:val=""/>
      <w:lvlJc w:val="left"/>
      <w:pPr>
        <w:ind w:left="2839" w:hanging="284"/>
      </w:pPr>
      <w:rPr>
        <w:rFonts w:hint="default"/>
      </w:rPr>
    </w:lvl>
    <w:lvl w:ilvl="8">
      <w:start w:val="1"/>
      <w:numFmt w:val="none"/>
      <w:lvlText w:val=""/>
      <w:lvlJc w:val="left"/>
      <w:pPr>
        <w:ind w:left="3123" w:hanging="284"/>
      </w:pPr>
      <w:rPr>
        <w:rFonts w:hint="default"/>
      </w:rPr>
    </w:lvl>
  </w:abstractNum>
  <w:abstractNum w:abstractNumId="8" w15:restartNumberingAfterBreak="0">
    <w:nsid w:val="1D086867"/>
    <w:multiLevelType w:val="multilevel"/>
    <w:tmpl w:val="438262E4"/>
    <w:lvl w:ilvl="0">
      <w:start w:val="1"/>
      <w:numFmt w:val="lowerLetter"/>
      <w:lvlText w:val="%1)"/>
      <w:lvlJc w:val="left"/>
      <w:pPr>
        <w:tabs>
          <w:tab w:val="num" w:pos="1154"/>
        </w:tabs>
        <w:ind w:left="1154" w:hanging="360"/>
      </w:pPr>
      <w:rPr>
        <w:rFonts w:hint="default"/>
      </w:rPr>
    </w:lvl>
    <w:lvl w:ilvl="1">
      <w:start w:val="1"/>
      <w:numFmt w:val="lowerLetter"/>
      <w:pStyle w:val="ListContinue"/>
      <w:lvlText w:val="%2)"/>
      <w:lvlJc w:val="left"/>
      <w:pPr>
        <w:tabs>
          <w:tab w:val="num" w:pos="1514"/>
        </w:tabs>
        <w:ind w:left="1514" w:hanging="360"/>
      </w:pPr>
      <w:rPr>
        <w:rFonts w:hint="default"/>
      </w:rPr>
    </w:lvl>
    <w:lvl w:ilvl="2">
      <w:start w:val="1"/>
      <w:numFmt w:val="lowerRoman"/>
      <w:lvlText w:val="%3)"/>
      <w:lvlJc w:val="left"/>
      <w:pPr>
        <w:tabs>
          <w:tab w:val="num" w:pos="1874"/>
        </w:tabs>
        <w:ind w:left="1874" w:hanging="36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9" w15:restartNumberingAfterBreak="0">
    <w:nsid w:val="22123290"/>
    <w:multiLevelType w:val="hybridMultilevel"/>
    <w:tmpl w:val="17882C84"/>
    <w:lvl w:ilvl="0" w:tplc="14090001">
      <w:numFmt w:val="bullet"/>
      <w:pStyle w:val="P1PolicyTex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43A0825"/>
    <w:multiLevelType w:val="hybridMultilevel"/>
    <w:tmpl w:val="35A6881E"/>
    <w:lvl w:ilvl="0" w:tplc="14090001">
      <w:start w:val="1"/>
      <w:numFmt w:val="bullet"/>
      <w:lvlText w:val=""/>
      <w:lvlJc w:val="left"/>
      <w:pPr>
        <w:ind w:left="1724" w:hanging="360"/>
      </w:pPr>
      <w:rPr>
        <w:rFonts w:ascii="Symbol" w:hAnsi="Symbol" w:hint="default"/>
      </w:rPr>
    </w:lvl>
    <w:lvl w:ilvl="1" w:tplc="14090003" w:tentative="1">
      <w:start w:val="1"/>
      <w:numFmt w:val="bullet"/>
      <w:lvlText w:val="o"/>
      <w:lvlJc w:val="left"/>
      <w:pPr>
        <w:ind w:left="2444" w:hanging="360"/>
      </w:pPr>
      <w:rPr>
        <w:rFonts w:ascii="Courier New" w:hAnsi="Courier New" w:cs="Courier New" w:hint="default"/>
      </w:rPr>
    </w:lvl>
    <w:lvl w:ilvl="2" w:tplc="14090005" w:tentative="1">
      <w:start w:val="1"/>
      <w:numFmt w:val="bullet"/>
      <w:lvlText w:val=""/>
      <w:lvlJc w:val="left"/>
      <w:pPr>
        <w:ind w:left="3164" w:hanging="360"/>
      </w:pPr>
      <w:rPr>
        <w:rFonts w:ascii="Wingdings" w:hAnsi="Wingdings" w:hint="default"/>
      </w:rPr>
    </w:lvl>
    <w:lvl w:ilvl="3" w:tplc="14090001" w:tentative="1">
      <w:start w:val="1"/>
      <w:numFmt w:val="bullet"/>
      <w:lvlText w:val=""/>
      <w:lvlJc w:val="left"/>
      <w:pPr>
        <w:ind w:left="3884" w:hanging="360"/>
      </w:pPr>
      <w:rPr>
        <w:rFonts w:ascii="Symbol" w:hAnsi="Symbol" w:hint="default"/>
      </w:rPr>
    </w:lvl>
    <w:lvl w:ilvl="4" w:tplc="14090003" w:tentative="1">
      <w:start w:val="1"/>
      <w:numFmt w:val="bullet"/>
      <w:lvlText w:val="o"/>
      <w:lvlJc w:val="left"/>
      <w:pPr>
        <w:ind w:left="4604" w:hanging="360"/>
      </w:pPr>
      <w:rPr>
        <w:rFonts w:ascii="Courier New" w:hAnsi="Courier New" w:cs="Courier New" w:hint="default"/>
      </w:rPr>
    </w:lvl>
    <w:lvl w:ilvl="5" w:tplc="14090005" w:tentative="1">
      <w:start w:val="1"/>
      <w:numFmt w:val="bullet"/>
      <w:lvlText w:val=""/>
      <w:lvlJc w:val="left"/>
      <w:pPr>
        <w:ind w:left="5324" w:hanging="360"/>
      </w:pPr>
      <w:rPr>
        <w:rFonts w:ascii="Wingdings" w:hAnsi="Wingdings" w:hint="default"/>
      </w:rPr>
    </w:lvl>
    <w:lvl w:ilvl="6" w:tplc="14090001" w:tentative="1">
      <w:start w:val="1"/>
      <w:numFmt w:val="bullet"/>
      <w:lvlText w:val=""/>
      <w:lvlJc w:val="left"/>
      <w:pPr>
        <w:ind w:left="6044" w:hanging="360"/>
      </w:pPr>
      <w:rPr>
        <w:rFonts w:ascii="Symbol" w:hAnsi="Symbol" w:hint="default"/>
      </w:rPr>
    </w:lvl>
    <w:lvl w:ilvl="7" w:tplc="14090003" w:tentative="1">
      <w:start w:val="1"/>
      <w:numFmt w:val="bullet"/>
      <w:lvlText w:val="o"/>
      <w:lvlJc w:val="left"/>
      <w:pPr>
        <w:ind w:left="6764" w:hanging="360"/>
      </w:pPr>
      <w:rPr>
        <w:rFonts w:ascii="Courier New" w:hAnsi="Courier New" w:cs="Courier New" w:hint="default"/>
      </w:rPr>
    </w:lvl>
    <w:lvl w:ilvl="8" w:tplc="14090005" w:tentative="1">
      <w:start w:val="1"/>
      <w:numFmt w:val="bullet"/>
      <w:lvlText w:val=""/>
      <w:lvlJc w:val="left"/>
      <w:pPr>
        <w:ind w:left="7484" w:hanging="360"/>
      </w:pPr>
      <w:rPr>
        <w:rFonts w:ascii="Wingdings" w:hAnsi="Wingdings" w:hint="default"/>
      </w:rPr>
    </w:lvl>
  </w:abstractNum>
  <w:abstractNum w:abstractNumId="11" w15:restartNumberingAfterBreak="0">
    <w:nsid w:val="27743DFB"/>
    <w:multiLevelType w:val="multilevel"/>
    <w:tmpl w:val="7A0CAD00"/>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9752" w:hanging="680"/>
      </w:pPr>
      <w:rPr>
        <w:rFonts w:hint="default"/>
      </w:rPr>
    </w:lvl>
    <w:lvl w:ilvl="2">
      <w:start w:val="1"/>
      <w:numFmt w:val="decimal"/>
      <w:pStyle w:val="NumberedHeading3"/>
      <w:lvlText w:val="%1.%2.%3."/>
      <w:lvlJc w:val="left"/>
      <w:pPr>
        <w:ind w:left="1559" w:hanging="851"/>
      </w:pPr>
      <w:rPr>
        <w:rFonts w:hint="default"/>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2" w15:restartNumberingAfterBreak="0">
    <w:nsid w:val="37BE3610"/>
    <w:multiLevelType w:val="multilevel"/>
    <w:tmpl w:val="206AEB8A"/>
    <w:lvl w:ilvl="0">
      <w:start w:val="1"/>
      <w:numFmt w:val="bullet"/>
      <w:pStyle w:val="FootnoteBullet"/>
      <w:lvlText w:val="•"/>
      <w:lvlJc w:val="left"/>
      <w:pPr>
        <w:ind w:left="851" w:hanging="284"/>
      </w:pPr>
      <w:rPr>
        <w:rFonts w:ascii="Arial" w:hAnsi="Arial" w:hint="default"/>
      </w:rPr>
    </w:lvl>
    <w:lvl w:ilvl="1">
      <w:start w:val="1"/>
      <w:numFmt w:val="bullet"/>
      <w:lvlText w:val="•"/>
      <w:lvlJc w:val="left"/>
      <w:pPr>
        <w:ind w:left="1135" w:hanging="284"/>
      </w:pPr>
      <w:rPr>
        <w:rFonts w:ascii="Arial" w:hAnsi="Arial" w:hint="default"/>
      </w:rPr>
    </w:lvl>
    <w:lvl w:ilvl="2">
      <w:start w:val="1"/>
      <w:numFmt w:val="bullet"/>
      <w:lvlText w:val="•"/>
      <w:lvlJc w:val="left"/>
      <w:pPr>
        <w:ind w:left="1419" w:hanging="284"/>
      </w:pPr>
      <w:rPr>
        <w:rFonts w:ascii="Arial" w:hAnsi="Arial" w:hint="default"/>
      </w:rPr>
    </w:lvl>
    <w:lvl w:ilvl="3">
      <w:start w:val="1"/>
      <w:numFmt w:val="bullet"/>
      <w:lvlText w:val="•"/>
      <w:lvlJc w:val="left"/>
      <w:pPr>
        <w:ind w:left="1703" w:hanging="284"/>
      </w:pPr>
      <w:rPr>
        <w:rFonts w:ascii="Arial" w:hAnsi="Arial" w:hint="default"/>
      </w:rPr>
    </w:lvl>
    <w:lvl w:ilvl="4">
      <w:start w:val="1"/>
      <w:numFmt w:val="bullet"/>
      <w:lvlText w:val="•"/>
      <w:lvlJc w:val="left"/>
      <w:pPr>
        <w:ind w:left="1987" w:hanging="284"/>
      </w:pPr>
      <w:rPr>
        <w:rFonts w:ascii="Arial" w:hAnsi="Arial" w:hint="default"/>
      </w:rPr>
    </w:lvl>
    <w:lvl w:ilvl="5">
      <w:start w:val="1"/>
      <w:numFmt w:val="bullet"/>
      <w:lvlText w:val="•"/>
      <w:lvlJc w:val="left"/>
      <w:pPr>
        <w:ind w:left="2268" w:hanging="281"/>
      </w:pPr>
      <w:rPr>
        <w:rFonts w:ascii="Arial" w:hAnsi="Arial" w:hint="default"/>
      </w:rPr>
    </w:lvl>
    <w:lvl w:ilvl="6">
      <w:start w:val="1"/>
      <w:numFmt w:val="bullet"/>
      <w:lvlText w:val="•"/>
      <w:lvlJc w:val="left"/>
      <w:pPr>
        <w:ind w:left="2552" w:hanging="284"/>
      </w:pPr>
      <w:rPr>
        <w:rFonts w:ascii="Arial" w:hAnsi="Arial" w:hint="default"/>
      </w:rPr>
    </w:lvl>
    <w:lvl w:ilvl="7">
      <w:start w:val="1"/>
      <w:numFmt w:val="bullet"/>
      <w:lvlText w:val="•"/>
      <w:lvlJc w:val="left"/>
      <w:pPr>
        <w:ind w:left="2835" w:hanging="283"/>
      </w:pPr>
      <w:rPr>
        <w:rFonts w:ascii="Arial" w:hAnsi="Arial" w:hint="default"/>
      </w:rPr>
    </w:lvl>
    <w:lvl w:ilvl="8">
      <w:start w:val="1"/>
      <w:numFmt w:val="bullet"/>
      <w:lvlText w:val="•"/>
      <w:lvlJc w:val="left"/>
      <w:pPr>
        <w:ind w:left="3119" w:hanging="284"/>
      </w:pPr>
      <w:rPr>
        <w:rFonts w:ascii="Arial" w:hAnsi="Arial" w:hint="default"/>
      </w:rPr>
    </w:lvl>
  </w:abstractNum>
  <w:abstractNum w:abstractNumId="13" w15:restartNumberingAfterBreak="0">
    <w:nsid w:val="4072259A"/>
    <w:multiLevelType w:val="hybridMultilevel"/>
    <w:tmpl w:val="58041C90"/>
    <w:lvl w:ilvl="0" w:tplc="617091BC">
      <w:start w:val="1"/>
      <w:numFmt w:val="decimal"/>
      <w:pStyle w:val="Summarybodytext"/>
      <w:lvlText w:val="%1"/>
      <w:lvlJc w:val="left"/>
      <w:pPr>
        <w:ind w:left="833" w:hanging="360"/>
      </w:pPr>
      <w:rPr>
        <w:rFonts w:hint="default"/>
      </w:rPr>
    </w:lvl>
    <w:lvl w:ilvl="1" w:tplc="14090019">
      <w:start w:val="1"/>
      <w:numFmt w:val="lowerLetter"/>
      <w:pStyle w:val="Summarybodytext"/>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14" w15:restartNumberingAfterBreak="0">
    <w:nsid w:val="448E3A6C"/>
    <w:multiLevelType w:val="multilevel"/>
    <w:tmpl w:val="0CBCFD42"/>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5" w15:restartNumberingAfterBreak="0">
    <w:nsid w:val="45C025E5"/>
    <w:multiLevelType w:val="multilevel"/>
    <w:tmpl w:val="F6F4801C"/>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pStyle w:val="BodyTextIndent"/>
      <w:suff w:val="nothing"/>
      <w:lvlText w:val=""/>
      <w:lvlJc w:val="left"/>
      <w:pPr>
        <w:ind w:left="709" w:firstLine="0"/>
      </w:pPr>
      <w:rPr>
        <w:rFonts w:hint="default"/>
      </w:rPr>
    </w:lvl>
    <w:lvl w:ilvl="3">
      <w:start w:val="1"/>
      <w:numFmt w:val="lowerLetter"/>
      <w:pStyle w:val="BodyText2"/>
      <w:lvlText w:val="(%4)"/>
      <w:lvlJc w:val="left"/>
      <w:pPr>
        <w:tabs>
          <w:tab w:val="num" w:pos="1134"/>
        </w:tabs>
        <w:ind w:left="1134" w:hanging="425"/>
      </w:pPr>
      <w:rPr>
        <w:rFonts w:hint="default"/>
      </w:rPr>
    </w:lvl>
    <w:lvl w:ilvl="4">
      <w:start w:val="1"/>
      <w:numFmt w:val="none"/>
      <w:pStyle w:val="BodyTextIndent2"/>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6" w15:restartNumberingAfterBreak="0">
    <w:nsid w:val="48B2128C"/>
    <w:multiLevelType w:val="hybridMultilevel"/>
    <w:tmpl w:val="831E902E"/>
    <w:lvl w:ilvl="0" w:tplc="E7C87D18">
      <w:start w:val="1"/>
      <w:numFmt w:val="decimal"/>
      <w:pStyle w:val="G1GuidelinesText"/>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F765D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D615A59"/>
    <w:multiLevelType w:val="multilevel"/>
    <w:tmpl w:val="047A1E96"/>
    <w:lvl w:ilvl="0">
      <w:start w:val="1"/>
      <w:numFmt w:val="decimal"/>
      <w:pStyle w:val="R1RecommendationText"/>
      <w:lvlText w:val="%1."/>
      <w:lvlJc w:val="left"/>
      <w:pPr>
        <w:ind w:left="425" w:hanging="425"/>
      </w:pPr>
      <w:rPr>
        <w:rFonts w:hint="default"/>
      </w:rPr>
    </w:lvl>
    <w:lvl w:ilvl="1">
      <w:start w:val="1"/>
      <w:numFmt w:val="lowerLetter"/>
      <w:lvlText w:val="        %2."/>
      <w:lvlJc w:val="left"/>
      <w:pPr>
        <w:ind w:left="851" w:hanging="851"/>
      </w:pPr>
      <w:rPr>
        <w:rFonts w:hint="default"/>
      </w:rPr>
    </w:lvl>
    <w:lvl w:ilvl="2">
      <w:start w:val="1"/>
      <w:numFmt w:val="lowerRoman"/>
      <w:lvlText w:val="               %3."/>
      <w:lvlJc w:val="left"/>
      <w:pPr>
        <w:ind w:left="1276" w:hanging="12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DA27885"/>
    <w:multiLevelType w:val="multilevel"/>
    <w:tmpl w:val="FD58AA42"/>
    <w:lvl w:ilvl="0">
      <w:start w:val="1"/>
      <w:numFmt w:val="lowerRoman"/>
      <w:pStyle w:val="ListRomanNumeral"/>
      <w:lvlText w:val="(%1)"/>
      <w:lvlJc w:val="right"/>
      <w:pPr>
        <w:ind w:left="1530" w:hanging="198"/>
      </w:pPr>
      <w:rPr>
        <w:rFonts w:hint="default"/>
      </w:rPr>
    </w:lvl>
    <w:lvl w:ilvl="1">
      <w:start w:val="1"/>
      <w:numFmt w:val="lowerLetter"/>
      <w:lvlText w:val="%2)"/>
      <w:lvlJc w:val="left"/>
      <w:pPr>
        <w:ind w:left="1728" w:hanging="198"/>
      </w:pPr>
      <w:rPr>
        <w:rFonts w:hint="default"/>
      </w:rPr>
    </w:lvl>
    <w:lvl w:ilvl="2">
      <w:start w:val="1"/>
      <w:numFmt w:val="lowerRoman"/>
      <w:lvlText w:val="%3)"/>
      <w:lvlJc w:val="left"/>
      <w:pPr>
        <w:ind w:left="1926" w:hanging="198"/>
      </w:pPr>
      <w:rPr>
        <w:rFonts w:hint="default"/>
      </w:rPr>
    </w:lvl>
    <w:lvl w:ilvl="3">
      <w:start w:val="1"/>
      <w:numFmt w:val="decimal"/>
      <w:lvlText w:val="(%4)"/>
      <w:lvlJc w:val="left"/>
      <w:pPr>
        <w:ind w:left="2124" w:hanging="198"/>
      </w:pPr>
      <w:rPr>
        <w:rFonts w:hint="default"/>
      </w:rPr>
    </w:lvl>
    <w:lvl w:ilvl="4">
      <w:start w:val="1"/>
      <w:numFmt w:val="lowerLetter"/>
      <w:lvlText w:val="(%5)"/>
      <w:lvlJc w:val="left"/>
      <w:pPr>
        <w:ind w:left="2322" w:hanging="198"/>
      </w:pPr>
      <w:rPr>
        <w:rFonts w:hint="default"/>
      </w:rPr>
    </w:lvl>
    <w:lvl w:ilvl="5">
      <w:start w:val="1"/>
      <w:numFmt w:val="lowerRoman"/>
      <w:lvlText w:val="(%6)"/>
      <w:lvlJc w:val="left"/>
      <w:pPr>
        <w:ind w:left="2520" w:hanging="198"/>
      </w:pPr>
      <w:rPr>
        <w:rFonts w:hint="default"/>
      </w:rPr>
    </w:lvl>
    <w:lvl w:ilvl="6">
      <w:start w:val="1"/>
      <w:numFmt w:val="decimal"/>
      <w:lvlText w:val="%7."/>
      <w:lvlJc w:val="left"/>
      <w:pPr>
        <w:ind w:left="2718" w:hanging="198"/>
      </w:pPr>
      <w:rPr>
        <w:rFonts w:hint="default"/>
      </w:rPr>
    </w:lvl>
    <w:lvl w:ilvl="7">
      <w:start w:val="1"/>
      <w:numFmt w:val="lowerLetter"/>
      <w:lvlText w:val="%8."/>
      <w:lvlJc w:val="left"/>
      <w:pPr>
        <w:ind w:left="2916" w:hanging="198"/>
      </w:pPr>
      <w:rPr>
        <w:rFonts w:hint="default"/>
      </w:rPr>
    </w:lvl>
    <w:lvl w:ilvl="8">
      <w:start w:val="1"/>
      <w:numFmt w:val="lowerRoman"/>
      <w:lvlText w:val="%9."/>
      <w:lvlJc w:val="left"/>
      <w:pPr>
        <w:ind w:left="3114" w:hanging="198"/>
      </w:pPr>
      <w:rPr>
        <w:rFonts w:hint="default"/>
      </w:rPr>
    </w:lvl>
  </w:abstractNum>
  <w:abstractNum w:abstractNumId="20" w15:restartNumberingAfterBreak="0">
    <w:nsid w:val="4FFB24C0"/>
    <w:multiLevelType w:val="hybridMultilevel"/>
    <w:tmpl w:val="DD66239A"/>
    <w:lvl w:ilvl="0" w:tplc="17DA5760">
      <w:start w:val="1"/>
      <w:numFmt w:val="bullet"/>
      <w:pStyle w:val="B2Recommendation"/>
      <w:lvlText w:val="-"/>
      <w:lvlJc w:val="left"/>
      <w:pPr>
        <w:tabs>
          <w:tab w:val="num" w:pos="1701"/>
        </w:tabs>
        <w:ind w:left="1701" w:hanging="567"/>
      </w:pPr>
      <w:rPr>
        <w:rFonts w:ascii="Times New Roman Mäori" w:hAnsi="Times New Roman Mäo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CA442A"/>
    <w:multiLevelType w:val="hybridMultilevel"/>
    <w:tmpl w:val="8C761DFE"/>
    <w:lvl w:ilvl="0" w:tplc="14090001">
      <w:start w:val="1"/>
      <w:numFmt w:val="bullet"/>
      <w:lvlText w:val=""/>
      <w:lvlJc w:val="left"/>
      <w:pPr>
        <w:ind w:left="1724" w:hanging="360"/>
      </w:pPr>
      <w:rPr>
        <w:rFonts w:ascii="Symbol" w:hAnsi="Symbol" w:hint="default"/>
      </w:rPr>
    </w:lvl>
    <w:lvl w:ilvl="1" w:tplc="14090003" w:tentative="1">
      <w:start w:val="1"/>
      <w:numFmt w:val="bullet"/>
      <w:lvlText w:val="o"/>
      <w:lvlJc w:val="left"/>
      <w:pPr>
        <w:ind w:left="2444" w:hanging="360"/>
      </w:pPr>
      <w:rPr>
        <w:rFonts w:ascii="Courier New" w:hAnsi="Courier New" w:cs="Courier New" w:hint="default"/>
      </w:rPr>
    </w:lvl>
    <w:lvl w:ilvl="2" w:tplc="14090005" w:tentative="1">
      <w:start w:val="1"/>
      <w:numFmt w:val="bullet"/>
      <w:lvlText w:val=""/>
      <w:lvlJc w:val="left"/>
      <w:pPr>
        <w:ind w:left="3164" w:hanging="360"/>
      </w:pPr>
      <w:rPr>
        <w:rFonts w:ascii="Wingdings" w:hAnsi="Wingdings" w:hint="default"/>
      </w:rPr>
    </w:lvl>
    <w:lvl w:ilvl="3" w:tplc="14090001" w:tentative="1">
      <w:start w:val="1"/>
      <w:numFmt w:val="bullet"/>
      <w:lvlText w:val=""/>
      <w:lvlJc w:val="left"/>
      <w:pPr>
        <w:ind w:left="3884" w:hanging="360"/>
      </w:pPr>
      <w:rPr>
        <w:rFonts w:ascii="Symbol" w:hAnsi="Symbol" w:hint="default"/>
      </w:rPr>
    </w:lvl>
    <w:lvl w:ilvl="4" w:tplc="14090003" w:tentative="1">
      <w:start w:val="1"/>
      <w:numFmt w:val="bullet"/>
      <w:lvlText w:val="o"/>
      <w:lvlJc w:val="left"/>
      <w:pPr>
        <w:ind w:left="4604" w:hanging="360"/>
      </w:pPr>
      <w:rPr>
        <w:rFonts w:ascii="Courier New" w:hAnsi="Courier New" w:cs="Courier New" w:hint="default"/>
      </w:rPr>
    </w:lvl>
    <w:lvl w:ilvl="5" w:tplc="14090005" w:tentative="1">
      <w:start w:val="1"/>
      <w:numFmt w:val="bullet"/>
      <w:lvlText w:val=""/>
      <w:lvlJc w:val="left"/>
      <w:pPr>
        <w:ind w:left="5324" w:hanging="360"/>
      </w:pPr>
      <w:rPr>
        <w:rFonts w:ascii="Wingdings" w:hAnsi="Wingdings" w:hint="default"/>
      </w:rPr>
    </w:lvl>
    <w:lvl w:ilvl="6" w:tplc="14090001" w:tentative="1">
      <w:start w:val="1"/>
      <w:numFmt w:val="bullet"/>
      <w:lvlText w:val=""/>
      <w:lvlJc w:val="left"/>
      <w:pPr>
        <w:ind w:left="6044" w:hanging="360"/>
      </w:pPr>
      <w:rPr>
        <w:rFonts w:ascii="Symbol" w:hAnsi="Symbol" w:hint="default"/>
      </w:rPr>
    </w:lvl>
    <w:lvl w:ilvl="7" w:tplc="14090003" w:tentative="1">
      <w:start w:val="1"/>
      <w:numFmt w:val="bullet"/>
      <w:lvlText w:val="o"/>
      <w:lvlJc w:val="left"/>
      <w:pPr>
        <w:ind w:left="6764" w:hanging="360"/>
      </w:pPr>
      <w:rPr>
        <w:rFonts w:ascii="Courier New" w:hAnsi="Courier New" w:cs="Courier New" w:hint="default"/>
      </w:rPr>
    </w:lvl>
    <w:lvl w:ilvl="8" w:tplc="14090005" w:tentative="1">
      <w:start w:val="1"/>
      <w:numFmt w:val="bullet"/>
      <w:lvlText w:val=""/>
      <w:lvlJc w:val="left"/>
      <w:pPr>
        <w:ind w:left="7484" w:hanging="360"/>
      </w:pPr>
      <w:rPr>
        <w:rFonts w:ascii="Wingdings" w:hAnsi="Wingdings" w:hint="default"/>
      </w:rPr>
    </w:lvl>
  </w:abstractNum>
  <w:abstractNum w:abstractNumId="22" w15:restartNumberingAfterBreak="0">
    <w:nsid w:val="53D85863"/>
    <w:multiLevelType w:val="hybridMultilevel"/>
    <w:tmpl w:val="3A4E2EB0"/>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23" w15:restartNumberingAfterBreak="0">
    <w:nsid w:val="5A9135E6"/>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5C976384"/>
    <w:multiLevelType w:val="multilevel"/>
    <w:tmpl w:val="D7080BBA"/>
    <w:lvl w:ilvl="0">
      <w:start w:val="1"/>
      <w:numFmt w:val="bullet"/>
      <w:pStyle w:val="QuoteBullet"/>
      <w:lvlText w:val="•"/>
      <w:lvlJc w:val="left"/>
      <w:pPr>
        <w:ind w:left="1418" w:hanging="284"/>
      </w:pPr>
      <w:rPr>
        <w:rFonts w:ascii="Arial" w:hAnsi="Arial" w:hint="default"/>
      </w:rPr>
    </w:lvl>
    <w:lvl w:ilvl="1">
      <w:start w:val="1"/>
      <w:numFmt w:val="bullet"/>
      <w:pStyle w:val="QuoteBullet2"/>
      <w:lvlText w:val="•"/>
      <w:lvlJc w:val="left"/>
      <w:pPr>
        <w:ind w:left="1702" w:hanging="284"/>
      </w:pPr>
      <w:rPr>
        <w:rFonts w:ascii="Arial" w:hAnsi="Arial" w:hint="default"/>
      </w:rPr>
    </w:lvl>
    <w:lvl w:ilvl="2">
      <w:start w:val="1"/>
      <w:numFmt w:val="bullet"/>
      <w:pStyle w:val="QuoteBullet3"/>
      <w:lvlText w:val="•"/>
      <w:lvlJc w:val="left"/>
      <w:pPr>
        <w:ind w:left="1986" w:hanging="284"/>
      </w:pPr>
      <w:rPr>
        <w:rFonts w:ascii="Arial" w:hAnsi="Arial" w:hint="default"/>
      </w:rPr>
    </w:lvl>
    <w:lvl w:ilvl="3">
      <w:start w:val="1"/>
      <w:numFmt w:val="bullet"/>
      <w:lvlText w:val="•"/>
      <w:lvlJc w:val="left"/>
      <w:pPr>
        <w:ind w:left="2270" w:hanging="284"/>
      </w:pPr>
      <w:rPr>
        <w:rFonts w:ascii="Arial" w:hAnsi="Arial" w:hint="default"/>
      </w:rPr>
    </w:lvl>
    <w:lvl w:ilvl="4">
      <w:start w:val="1"/>
      <w:numFmt w:val="bullet"/>
      <w:lvlText w:val="•"/>
      <w:lvlJc w:val="left"/>
      <w:pPr>
        <w:ind w:left="2554" w:hanging="284"/>
      </w:pPr>
      <w:rPr>
        <w:rFonts w:ascii="Arial" w:hAnsi="Arial" w:hint="default"/>
      </w:rPr>
    </w:lvl>
    <w:lvl w:ilvl="5">
      <w:start w:val="1"/>
      <w:numFmt w:val="bullet"/>
      <w:lvlText w:val="•"/>
      <w:lvlJc w:val="left"/>
      <w:pPr>
        <w:ind w:left="2838" w:hanging="284"/>
      </w:pPr>
      <w:rPr>
        <w:rFonts w:ascii="Arial" w:hAnsi="Arial" w:hint="default"/>
      </w:rPr>
    </w:lvl>
    <w:lvl w:ilvl="6">
      <w:start w:val="1"/>
      <w:numFmt w:val="bullet"/>
      <w:lvlText w:val="•"/>
      <w:lvlJc w:val="left"/>
      <w:pPr>
        <w:ind w:left="3122" w:hanging="284"/>
      </w:pPr>
      <w:rPr>
        <w:rFonts w:ascii="Arial" w:hAnsi="Arial" w:hint="default"/>
      </w:rPr>
    </w:lvl>
    <w:lvl w:ilvl="7">
      <w:start w:val="1"/>
      <w:numFmt w:val="bullet"/>
      <w:lvlText w:val="•"/>
      <w:lvlJc w:val="left"/>
      <w:pPr>
        <w:ind w:left="3406" w:hanging="284"/>
      </w:pPr>
      <w:rPr>
        <w:rFonts w:ascii="Arial" w:hAnsi="Arial" w:hint="default"/>
      </w:rPr>
    </w:lvl>
    <w:lvl w:ilvl="8">
      <w:start w:val="1"/>
      <w:numFmt w:val="bullet"/>
      <w:lvlText w:val="•"/>
      <w:lvlJc w:val="left"/>
      <w:pPr>
        <w:ind w:left="3690" w:hanging="284"/>
      </w:pPr>
      <w:rPr>
        <w:rFonts w:ascii="Arial" w:hAnsi="Arial" w:hint="default"/>
      </w:rPr>
    </w:lvl>
  </w:abstractNum>
  <w:abstractNum w:abstractNumId="25" w15:restartNumberingAfterBreak="0">
    <w:nsid w:val="5E8F5927"/>
    <w:multiLevelType w:val="hybridMultilevel"/>
    <w:tmpl w:val="79D2FB52"/>
    <w:lvl w:ilvl="0" w:tplc="9ED85490">
      <w:start w:val="1"/>
      <w:numFmt w:val="decimal"/>
      <w:pStyle w:val="QuestionText"/>
      <w:lvlText w:val="Q%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6" w15:restartNumberingAfterBreak="0">
    <w:nsid w:val="5F5D40A6"/>
    <w:multiLevelType w:val="hybridMultilevel"/>
    <w:tmpl w:val="10446D06"/>
    <w:lvl w:ilvl="0" w:tplc="0422C6CA">
      <w:start w:val="1"/>
      <w:numFmt w:val="bullet"/>
      <w:pStyle w:val="Bullet1"/>
      <w:lvlText w:val=""/>
      <w:lvlJc w:val="left"/>
      <w:pPr>
        <w:ind w:left="786" w:hanging="360"/>
      </w:pPr>
      <w:rPr>
        <w:rFonts w:ascii="Symbol" w:hAnsi="Symbol" w:hint="default"/>
      </w:rPr>
    </w:lvl>
    <w:lvl w:ilvl="1" w:tplc="04160003">
      <w:start w:val="1"/>
      <w:numFmt w:val="bullet"/>
      <w:lvlText w:val="o"/>
      <w:lvlJc w:val="left"/>
      <w:pPr>
        <w:ind w:left="1506" w:hanging="360"/>
      </w:pPr>
      <w:rPr>
        <w:rFonts w:ascii="Courier New" w:hAnsi="Courier New" w:cs="Courier New" w:hint="default"/>
      </w:rPr>
    </w:lvl>
    <w:lvl w:ilvl="2" w:tplc="04160005">
      <w:start w:val="1"/>
      <w:numFmt w:val="bullet"/>
      <w:lvlText w:val=""/>
      <w:lvlJc w:val="left"/>
      <w:pPr>
        <w:ind w:left="2226" w:hanging="360"/>
      </w:pPr>
      <w:rPr>
        <w:rFonts w:ascii="Wingdings" w:hAnsi="Wingdings" w:hint="default"/>
      </w:rPr>
    </w:lvl>
    <w:lvl w:ilvl="3" w:tplc="04160001">
      <w:start w:val="1"/>
      <w:numFmt w:val="bullet"/>
      <w:pStyle w:val="Bullet3"/>
      <w:lvlText w:val=""/>
      <w:lvlJc w:val="left"/>
      <w:pPr>
        <w:ind w:left="2946" w:hanging="360"/>
      </w:pPr>
      <w:rPr>
        <w:rFonts w:ascii="Symbol" w:hAnsi="Symbol" w:hint="default"/>
      </w:rPr>
    </w:lvl>
    <w:lvl w:ilvl="4" w:tplc="04160003">
      <w:start w:val="1"/>
      <w:numFmt w:val="bullet"/>
      <w:pStyle w:val="Bullet4"/>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27" w15:restartNumberingAfterBreak="0">
    <w:nsid w:val="610D0C23"/>
    <w:multiLevelType w:val="multilevel"/>
    <w:tmpl w:val="0E1492FC"/>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1559" w:hanging="425"/>
      </w:pPr>
      <w:rPr>
        <w:rFonts w:hint="default"/>
        <w:sz w:val="22"/>
      </w:rPr>
    </w:lvl>
    <w:lvl w:ilvl="2">
      <w:start w:val="1"/>
      <w:numFmt w:val="decimal"/>
      <w:pStyle w:val="ListNumber3"/>
      <w:lvlText w:val="%1.%2.%3."/>
      <w:lvlJc w:val="left"/>
      <w:pPr>
        <w:ind w:left="1984" w:hanging="425"/>
      </w:pPr>
      <w:rPr>
        <w:rFonts w:hint="default"/>
        <w:sz w:val="20"/>
      </w:rPr>
    </w:lvl>
    <w:lvl w:ilvl="3">
      <w:start w:val="1"/>
      <w:numFmt w:val="decimal"/>
      <w:pStyle w:val="ListNumber4"/>
      <w:lvlText w:val="%1.%2.%3.%4."/>
      <w:lvlJc w:val="left"/>
      <w:pPr>
        <w:ind w:left="2409" w:hanging="425"/>
      </w:pPr>
      <w:rPr>
        <w:rFonts w:hint="default"/>
        <w:sz w:val="20"/>
      </w:rPr>
    </w:lvl>
    <w:lvl w:ilvl="4">
      <w:start w:val="1"/>
      <w:numFmt w:val="decimal"/>
      <w:pStyle w:val="ListNumber5"/>
      <w:lvlText w:val="%1.%2.%3.%4.%5."/>
      <w:lvlJc w:val="left"/>
      <w:pPr>
        <w:ind w:left="2834" w:hanging="425"/>
      </w:pPr>
      <w:rPr>
        <w:rFonts w:hint="default"/>
        <w:sz w:val="20"/>
      </w:rPr>
    </w:lvl>
    <w:lvl w:ilvl="5">
      <w:start w:val="1"/>
      <w:numFmt w:val="decimal"/>
      <w:lvlText w:val="%1.%2.%3.%4.%5.%6."/>
      <w:lvlJc w:val="left"/>
      <w:pPr>
        <w:ind w:left="3259" w:hanging="425"/>
      </w:pPr>
      <w:rPr>
        <w:rFonts w:hint="default"/>
      </w:rPr>
    </w:lvl>
    <w:lvl w:ilvl="6">
      <w:start w:val="1"/>
      <w:numFmt w:val="decimal"/>
      <w:lvlText w:val="%1.%2.%3.%4.%5.%6.%7."/>
      <w:lvlJc w:val="left"/>
      <w:pPr>
        <w:ind w:left="3684" w:hanging="425"/>
      </w:pPr>
      <w:rPr>
        <w:rFonts w:hint="default"/>
      </w:rPr>
    </w:lvl>
    <w:lvl w:ilvl="7">
      <w:start w:val="1"/>
      <w:numFmt w:val="decimal"/>
      <w:lvlText w:val="%1.%2.%3.%4.%5.%6.%7.%8."/>
      <w:lvlJc w:val="left"/>
      <w:pPr>
        <w:ind w:left="4109" w:hanging="425"/>
      </w:pPr>
      <w:rPr>
        <w:rFonts w:hint="default"/>
      </w:rPr>
    </w:lvl>
    <w:lvl w:ilvl="8">
      <w:start w:val="1"/>
      <w:numFmt w:val="decimal"/>
      <w:lvlText w:val="%1.%2.%3.%4.%5.%6.%7.%8.%9."/>
      <w:lvlJc w:val="left"/>
      <w:pPr>
        <w:ind w:left="4534" w:hanging="425"/>
      </w:pPr>
      <w:rPr>
        <w:rFonts w:hint="default"/>
      </w:rPr>
    </w:lvl>
  </w:abstractNum>
  <w:abstractNum w:abstractNumId="28" w15:restartNumberingAfterBreak="0">
    <w:nsid w:val="649E4E1D"/>
    <w:multiLevelType w:val="hybridMultilevel"/>
    <w:tmpl w:val="6596A64A"/>
    <w:lvl w:ilvl="0" w:tplc="9D30A036">
      <w:start w:val="1"/>
      <w:numFmt w:val="bullet"/>
      <w:pStyle w:val="B1Recommendation"/>
      <w:lvlText w:val=""/>
      <w:lvlJc w:val="left"/>
      <w:pPr>
        <w:tabs>
          <w:tab w:val="num" w:pos="1134"/>
        </w:tabs>
        <w:ind w:left="1134" w:hanging="567"/>
      </w:pPr>
      <w:rPr>
        <w:rFonts w:ascii="Yu Mincho Light" w:hAnsi="Yu Mincho Light" w:hint="default"/>
        <w:sz w:val="16"/>
      </w:rPr>
    </w:lvl>
    <w:lvl w:ilvl="1" w:tplc="04090003" w:tentative="1">
      <w:start w:val="1"/>
      <w:numFmt w:val="bullet"/>
      <w:lvlText w:val="o"/>
      <w:lvlJc w:val="left"/>
      <w:pPr>
        <w:tabs>
          <w:tab w:val="num" w:pos="1440"/>
        </w:tabs>
        <w:ind w:left="1440" w:hanging="360"/>
      </w:pPr>
      <w:rPr>
        <w:rFonts w:ascii="Times New Roman Mäori" w:hAnsi="Times New Roman Mäori" w:hint="default"/>
      </w:rPr>
    </w:lvl>
    <w:lvl w:ilvl="2" w:tplc="04090005" w:tentative="1">
      <w:start w:val="1"/>
      <w:numFmt w:val="bullet"/>
      <w:lvlText w:val=""/>
      <w:lvlJc w:val="left"/>
      <w:pPr>
        <w:tabs>
          <w:tab w:val="num" w:pos="2160"/>
        </w:tabs>
        <w:ind w:left="2160" w:hanging="360"/>
      </w:pPr>
      <w:rPr>
        <w:rFonts w:ascii="Consolas" w:hAnsi="Consolas" w:hint="default"/>
      </w:rPr>
    </w:lvl>
    <w:lvl w:ilvl="3" w:tplc="04090001" w:tentative="1">
      <w:start w:val="1"/>
      <w:numFmt w:val="bullet"/>
      <w:lvlText w:val=""/>
      <w:lvlJc w:val="left"/>
      <w:pPr>
        <w:tabs>
          <w:tab w:val="num" w:pos="2880"/>
        </w:tabs>
        <w:ind w:left="2880" w:hanging="360"/>
      </w:pPr>
      <w:rPr>
        <w:rFonts w:ascii="Yu Mincho Light" w:hAnsi="Yu Mincho Light" w:hint="default"/>
      </w:rPr>
    </w:lvl>
    <w:lvl w:ilvl="4" w:tplc="04090003" w:tentative="1">
      <w:start w:val="1"/>
      <w:numFmt w:val="bullet"/>
      <w:lvlText w:val="o"/>
      <w:lvlJc w:val="left"/>
      <w:pPr>
        <w:tabs>
          <w:tab w:val="num" w:pos="3600"/>
        </w:tabs>
        <w:ind w:left="3600" w:hanging="360"/>
      </w:pPr>
      <w:rPr>
        <w:rFonts w:ascii="Times New Roman Mäori" w:hAnsi="Times New Roman Mäori" w:hint="default"/>
      </w:rPr>
    </w:lvl>
    <w:lvl w:ilvl="5" w:tplc="04090005" w:tentative="1">
      <w:start w:val="1"/>
      <w:numFmt w:val="bullet"/>
      <w:lvlText w:val=""/>
      <w:lvlJc w:val="left"/>
      <w:pPr>
        <w:tabs>
          <w:tab w:val="num" w:pos="4320"/>
        </w:tabs>
        <w:ind w:left="4320" w:hanging="360"/>
      </w:pPr>
      <w:rPr>
        <w:rFonts w:ascii="Consolas" w:hAnsi="Consolas" w:hint="default"/>
      </w:rPr>
    </w:lvl>
    <w:lvl w:ilvl="6" w:tplc="04090001" w:tentative="1">
      <w:start w:val="1"/>
      <w:numFmt w:val="bullet"/>
      <w:lvlText w:val=""/>
      <w:lvlJc w:val="left"/>
      <w:pPr>
        <w:tabs>
          <w:tab w:val="num" w:pos="5040"/>
        </w:tabs>
        <w:ind w:left="5040" w:hanging="360"/>
      </w:pPr>
      <w:rPr>
        <w:rFonts w:ascii="Yu Mincho Light" w:hAnsi="Yu Mincho Light" w:hint="default"/>
      </w:rPr>
    </w:lvl>
    <w:lvl w:ilvl="7" w:tplc="04090003" w:tentative="1">
      <w:start w:val="1"/>
      <w:numFmt w:val="bullet"/>
      <w:lvlText w:val="o"/>
      <w:lvlJc w:val="left"/>
      <w:pPr>
        <w:tabs>
          <w:tab w:val="num" w:pos="5760"/>
        </w:tabs>
        <w:ind w:left="5760" w:hanging="360"/>
      </w:pPr>
      <w:rPr>
        <w:rFonts w:ascii="Times New Roman Mäori" w:hAnsi="Times New Roman Mäori" w:hint="default"/>
      </w:rPr>
    </w:lvl>
    <w:lvl w:ilvl="8" w:tplc="04090005" w:tentative="1">
      <w:start w:val="1"/>
      <w:numFmt w:val="bullet"/>
      <w:lvlText w:val=""/>
      <w:lvlJc w:val="left"/>
      <w:pPr>
        <w:tabs>
          <w:tab w:val="num" w:pos="6480"/>
        </w:tabs>
        <w:ind w:left="6480" w:hanging="360"/>
      </w:pPr>
      <w:rPr>
        <w:rFonts w:ascii="Consolas" w:hAnsi="Consolas" w:hint="default"/>
      </w:rPr>
    </w:lvl>
  </w:abstractNum>
  <w:abstractNum w:abstractNumId="29" w15:restartNumberingAfterBreak="0">
    <w:nsid w:val="6E55155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0" w15:restartNumberingAfterBreak="0">
    <w:nsid w:val="6F6C61AA"/>
    <w:multiLevelType w:val="hybridMultilevel"/>
    <w:tmpl w:val="4060072A"/>
    <w:lvl w:ilvl="0" w:tplc="28AA682E">
      <w:start w:val="1"/>
      <w:numFmt w:val="decimal"/>
      <w:pStyle w:val="CommentsText"/>
      <w:lvlText w:val="C%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4C9151B"/>
    <w:multiLevelType w:val="multilevel"/>
    <w:tmpl w:val="05B43110"/>
    <w:lvl w:ilvl="0">
      <w:start w:val="1"/>
      <w:numFmt w:val="none"/>
      <w:pStyle w:val="Quote"/>
      <w:suff w:val="nothing"/>
      <w:lvlText w:val=""/>
      <w:lvlJc w:val="left"/>
      <w:pPr>
        <w:ind w:left="1418" w:hanging="284"/>
      </w:pPr>
      <w:rPr>
        <w:rFonts w:hint="default"/>
      </w:rPr>
    </w:lvl>
    <w:lvl w:ilvl="1">
      <w:start w:val="1"/>
      <w:numFmt w:val="decimal"/>
      <w:pStyle w:val="QuoteIndent1"/>
      <w:suff w:val="nothing"/>
      <w:lvlText w:val="%1"/>
      <w:lvlJc w:val="left"/>
      <w:pPr>
        <w:ind w:left="1702" w:hanging="284"/>
      </w:pPr>
      <w:rPr>
        <w:rFonts w:hint="default"/>
      </w:rPr>
    </w:lvl>
    <w:lvl w:ilvl="2">
      <w:start w:val="1"/>
      <w:numFmt w:val="none"/>
      <w:pStyle w:val="QuoteIndent2"/>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32" w15:restartNumberingAfterBreak="0">
    <w:nsid w:val="76530D9A"/>
    <w:multiLevelType w:val="multilevel"/>
    <w:tmpl w:val="FCAA9BA6"/>
    <w:styleLink w:val="Chapter1"/>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33" w15:restartNumberingAfterBreak="0">
    <w:nsid w:val="7CFB013C"/>
    <w:multiLevelType w:val="hybridMultilevel"/>
    <w:tmpl w:val="2D765A02"/>
    <w:lvl w:ilvl="0" w:tplc="5218C090">
      <w:start w:val="1"/>
      <w:numFmt w:val="lowerLetter"/>
      <w:pStyle w:val="Questionabc"/>
      <w:lvlText w:val="%1."/>
      <w:lvlJc w:val="left"/>
      <w:pPr>
        <w:ind w:left="1678" w:hanging="360"/>
      </w:pPr>
      <w:rPr>
        <w:rFonts w:ascii="Metropolis" w:hAnsi="Metropolis" w:hint="default"/>
      </w:rPr>
    </w:lvl>
    <w:lvl w:ilvl="1" w:tplc="14090019" w:tentative="1">
      <w:start w:val="1"/>
      <w:numFmt w:val="lowerLetter"/>
      <w:lvlText w:val="%2."/>
      <w:lvlJc w:val="left"/>
      <w:pPr>
        <w:ind w:left="2398" w:hanging="360"/>
      </w:pPr>
    </w:lvl>
    <w:lvl w:ilvl="2" w:tplc="1409001B" w:tentative="1">
      <w:start w:val="1"/>
      <w:numFmt w:val="lowerRoman"/>
      <w:lvlText w:val="%3."/>
      <w:lvlJc w:val="right"/>
      <w:pPr>
        <w:ind w:left="3118" w:hanging="180"/>
      </w:pPr>
    </w:lvl>
    <w:lvl w:ilvl="3" w:tplc="1409000F" w:tentative="1">
      <w:start w:val="1"/>
      <w:numFmt w:val="decimal"/>
      <w:lvlText w:val="%4."/>
      <w:lvlJc w:val="left"/>
      <w:pPr>
        <w:ind w:left="3838" w:hanging="360"/>
      </w:pPr>
    </w:lvl>
    <w:lvl w:ilvl="4" w:tplc="14090019" w:tentative="1">
      <w:start w:val="1"/>
      <w:numFmt w:val="lowerLetter"/>
      <w:lvlText w:val="%5."/>
      <w:lvlJc w:val="left"/>
      <w:pPr>
        <w:ind w:left="4558" w:hanging="360"/>
      </w:pPr>
    </w:lvl>
    <w:lvl w:ilvl="5" w:tplc="1409001B" w:tentative="1">
      <w:start w:val="1"/>
      <w:numFmt w:val="lowerRoman"/>
      <w:lvlText w:val="%6."/>
      <w:lvlJc w:val="right"/>
      <w:pPr>
        <w:ind w:left="5278" w:hanging="180"/>
      </w:pPr>
    </w:lvl>
    <w:lvl w:ilvl="6" w:tplc="1409000F" w:tentative="1">
      <w:start w:val="1"/>
      <w:numFmt w:val="decimal"/>
      <w:lvlText w:val="%7."/>
      <w:lvlJc w:val="left"/>
      <w:pPr>
        <w:ind w:left="5998" w:hanging="360"/>
      </w:pPr>
    </w:lvl>
    <w:lvl w:ilvl="7" w:tplc="14090019" w:tentative="1">
      <w:start w:val="1"/>
      <w:numFmt w:val="lowerLetter"/>
      <w:lvlText w:val="%8."/>
      <w:lvlJc w:val="left"/>
      <w:pPr>
        <w:ind w:left="6718" w:hanging="360"/>
      </w:pPr>
    </w:lvl>
    <w:lvl w:ilvl="8" w:tplc="1409001B" w:tentative="1">
      <w:start w:val="1"/>
      <w:numFmt w:val="lowerRoman"/>
      <w:lvlText w:val="%9."/>
      <w:lvlJc w:val="right"/>
      <w:pPr>
        <w:ind w:left="7438" w:hanging="180"/>
      </w:pPr>
    </w:lvl>
  </w:abstractNum>
  <w:num w:numId="1" w16cid:durableId="2026132950">
    <w:abstractNumId w:val="4"/>
  </w:num>
  <w:num w:numId="2" w16cid:durableId="421534405">
    <w:abstractNumId w:val="8"/>
  </w:num>
  <w:num w:numId="3" w16cid:durableId="1068530449">
    <w:abstractNumId w:val="6"/>
  </w:num>
  <w:num w:numId="4" w16cid:durableId="275985160">
    <w:abstractNumId w:val="24"/>
  </w:num>
  <w:num w:numId="5" w16cid:durableId="534848003">
    <w:abstractNumId w:val="25"/>
  </w:num>
  <w:num w:numId="6" w16cid:durableId="1567110941">
    <w:abstractNumId w:val="30"/>
  </w:num>
  <w:num w:numId="7" w16cid:durableId="203324314">
    <w:abstractNumId w:val="12"/>
  </w:num>
  <w:num w:numId="8" w16cid:durableId="1415858656">
    <w:abstractNumId w:val="7"/>
  </w:num>
  <w:num w:numId="9" w16cid:durableId="1681465139">
    <w:abstractNumId w:val="13"/>
  </w:num>
  <w:num w:numId="10" w16cid:durableId="135027500">
    <w:abstractNumId w:val="16"/>
  </w:num>
  <w:num w:numId="11" w16cid:durableId="16172511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6129854">
    <w:abstractNumId w:val="31"/>
  </w:num>
  <w:num w:numId="13" w16cid:durableId="737821662">
    <w:abstractNumId w:val="20"/>
  </w:num>
  <w:num w:numId="14" w16cid:durableId="1863084456">
    <w:abstractNumId w:val="28"/>
  </w:num>
  <w:num w:numId="15" w16cid:durableId="696200095">
    <w:abstractNumId w:val="23"/>
  </w:num>
  <w:num w:numId="16" w16cid:durableId="971669091">
    <w:abstractNumId w:val="29"/>
  </w:num>
  <w:num w:numId="17" w16cid:durableId="474491253">
    <w:abstractNumId w:val="27"/>
  </w:num>
  <w:num w:numId="18" w16cid:durableId="1546217095">
    <w:abstractNumId w:val="17"/>
  </w:num>
  <w:num w:numId="19" w16cid:durableId="1852380255">
    <w:abstractNumId w:val="32"/>
  </w:num>
  <w:num w:numId="20" w16cid:durableId="1105034405">
    <w:abstractNumId w:val="18"/>
  </w:num>
  <w:num w:numId="21" w16cid:durableId="1932658738">
    <w:abstractNumId w:val="15"/>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2" w16cid:durableId="299001717">
    <w:abstractNumId w:val="33"/>
    <w:lvlOverride w:ilvl="0">
      <w:startOverride w:val="1"/>
    </w:lvlOverride>
  </w:num>
  <w:num w:numId="23" w16cid:durableId="1717192548">
    <w:abstractNumId w:val="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ascii="Metropolis Light" w:hAnsi="Metropolis Light" w:hint="default"/>
          <w:b w:val="0"/>
          <w:bCs w:val="0"/>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4" w16cid:durableId="1817524212">
    <w:abstractNumId w:val="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5" w16cid:durableId="1970547377">
    <w:abstractNumId w:val="9"/>
  </w:num>
  <w:num w:numId="26" w16cid:durableId="1550876401">
    <w:abstractNumId w:val="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7" w16cid:durableId="2135250392">
    <w:abstractNumId w:val="26"/>
  </w:num>
  <w:num w:numId="28" w16cid:durableId="1843473477">
    <w:abstractNumId w:val="11"/>
  </w:num>
  <w:num w:numId="29" w16cid:durableId="1630088903">
    <w:abstractNumId w:val="15"/>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0" w16cid:durableId="934172042">
    <w:abstractNumId w:val="22"/>
  </w:num>
  <w:num w:numId="31" w16cid:durableId="924143641">
    <w:abstractNumId w:val="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2" w16cid:durableId="1699623463">
    <w:abstractNumId w:val="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3" w16cid:durableId="744954654">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4" w16cid:durableId="696084498">
    <w:abstractNumId w:val="15"/>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5" w16cid:durableId="144906266">
    <w:abstractNumId w:val="15"/>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6" w16cid:durableId="1297377211">
    <w:abstractNumId w:val="14"/>
  </w:num>
  <w:num w:numId="37" w16cid:durableId="484787402">
    <w:abstractNumId w:val="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8" w16cid:durableId="1244796913">
    <w:abstractNumId w:val="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9" w16cid:durableId="605038619">
    <w:abstractNumId w:val="1"/>
    <w:lvlOverride w:ilvl="0">
      <w:lvl w:ilvl="0">
        <w:start w:val="1"/>
        <w:numFmt w:val="decimal"/>
        <w:suff w:val="nothing"/>
        <w:lvlText w:val="%1"/>
        <w:lvlJc w:val="left"/>
        <w:pPr>
          <w:ind w:left="0" w:firstLine="0"/>
        </w:pPr>
        <w:rPr>
          <w:b w:val="0"/>
          <w:caps w:val="0"/>
          <w:strike w:val="0"/>
          <w:dstrike w:val="0"/>
          <w:vanish/>
          <w:webHidden w:val="0"/>
          <w:color w:val="FFFFFF"/>
          <w:sz w:val="2"/>
          <w:szCs w:val="16"/>
          <w:u w:val="none"/>
          <w:effect w:val="none"/>
          <w:vertAlign w:val="baseline"/>
          <w:specVanish w:val="0"/>
        </w:rPr>
      </w:lvl>
    </w:lvlOverride>
    <w:lvlOverride w:ilvl="1">
      <w:lvl w:ilvl="1">
        <w:start w:val="1"/>
        <w:numFmt w:val="decimal"/>
        <w:pStyle w:val="BodyText"/>
        <w:lvlText w:val="%1.%2"/>
        <w:lvlJc w:val="left"/>
        <w:pPr>
          <w:tabs>
            <w:tab w:val="num" w:pos="709"/>
          </w:tabs>
          <w:ind w:left="709" w:hanging="596"/>
        </w:pPr>
      </w:lvl>
    </w:lvlOverride>
    <w:lvlOverride w:ilvl="2">
      <w:lvl w:ilvl="2">
        <w:start w:val="1"/>
        <w:numFmt w:val="decimal"/>
        <w:pStyle w:val="BodyTextnonum"/>
        <w:suff w:val="nothing"/>
        <w:lvlText w:val=""/>
        <w:lvlJc w:val="left"/>
        <w:pPr>
          <w:ind w:left="709" w:firstLine="0"/>
        </w:pPr>
      </w:lvl>
    </w:lvlOverride>
    <w:lvlOverride w:ilvl="3">
      <w:lvl w:ilvl="3">
        <w:start w:val="1"/>
        <w:numFmt w:val="decimal"/>
        <w:lvlText w:val="(%4)"/>
        <w:lvlJc w:val="left"/>
        <w:pPr>
          <w:tabs>
            <w:tab w:val="num" w:pos="1134"/>
          </w:tabs>
          <w:ind w:left="1134" w:hanging="425"/>
        </w:pPr>
      </w:lvl>
    </w:lvlOverride>
    <w:lvlOverride w:ilvl="4">
      <w:lvl w:ilvl="4">
        <w:start w:val="1"/>
        <w:numFmt w:val="decimal"/>
        <w:suff w:val="nothing"/>
        <w:lvlText w:val=""/>
        <w:lvlJc w:val="left"/>
        <w:pPr>
          <w:ind w:left="1134" w:firstLine="0"/>
        </w:pPr>
      </w:lvl>
    </w:lvlOverride>
    <w:lvlOverride w:ilvl="5">
      <w:lvl w:ilvl="5">
        <w:start w:val="1"/>
        <w:numFmt w:val="decimal"/>
        <w:lvlText w:val="(%6)"/>
        <w:lvlJc w:val="left"/>
        <w:pPr>
          <w:ind w:left="1701" w:hanging="567"/>
        </w:pPr>
      </w:lvl>
    </w:lvlOverride>
    <w:lvlOverride w:ilvl="6">
      <w:lvl w:ilvl="6">
        <w:start w:val="1"/>
        <w:numFmt w:val="decimal"/>
        <w:lvlText w:val="%7."/>
        <w:lvlJc w:val="left"/>
        <w:pPr>
          <w:ind w:left="2268" w:hanging="567"/>
        </w:pPr>
      </w:lvl>
    </w:lvlOverride>
    <w:lvlOverride w:ilvl="7">
      <w:lvl w:ilvl="7">
        <w:start w:val="1"/>
        <w:numFmt w:val="decimal"/>
        <w:lvlText w:val="%8."/>
        <w:lvlJc w:val="left"/>
        <w:pPr>
          <w:ind w:left="2552" w:hanging="284"/>
        </w:pPr>
      </w:lvl>
    </w:lvlOverride>
    <w:lvlOverride w:ilvl="8">
      <w:lvl w:ilvl="8">
        <w:start w:val="1"/>
        <w:numFmt w:val="decimal"/>
        <w:lvlText w:val="%9."/>
        <w:lvlJc w:val="left"/>
        <w:pPr>
          <w:ind w:left="2835" w:hanging="283"/>
        </w:pPr>
      </w:lvl>
    </w:lvlOverride>
  </w:num>
  <w:num w:numId="40" w16cid:durableId="821047768">
    <w:abstractNumId w:val="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b w:val="0"/>
          <w:bCs w:val="0"/>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b w:val="0"/>
          <w:bCs w:val="0"/>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1" w16cid:durableId="1164511107">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2" w16cid:durableId="1328250214">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3" w16cid:durableId="711465456">
    <w:abstractNumId w:val="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4" w16cid:durableId="917709783">
    <w:abstractNumId w:val="33"/>
    <w:lvlOverride w:ilvl="0">
      <w:startOverride w:val="1"/>
    </w:lvlOverride>
  </w:num>
  <w:num w:numId="45" w16cid:durableId="943002174">
    <w:abstractNumId w:val="0"/>
  </w:num>
  <w:num w:numId="46" w16cid:durableId="375274359">
    <w:abstractNumId w:val="15"/>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7" w16cid:durableId="1499227209">
    <w:abstractNumId w:val="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8" w16cid:durableId="525563048">
    <w:abstractNumId w:val="15"/>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9" w16cid:durableId="538395672">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0" w16cid:durableId="2137065430">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1" w16cid:durableId="884802309">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2" w16cid:durableId="281425691">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3" w16cid:durableId="1890845304">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4" w16cid:durableId="704716921">
    <w:abstractNumId w:val="3"/>
  </w:num>
  <w:num w:numId="55" w16cid:durableId="201751814">
    <w:abstractNumId w:val="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numFmt w:val="decimal"/>
        <w:pStyle w:val="BodyText"/>
        <w:lvlText w:val="%1.%2"/>
        <w:lvlJc w:val="left"/>
        <w:pPr>
          <w:tabs>
            <w:tab w:val="num" w:pos="709"/>
          </w:tabs>
          <w:ind w:left="709" w:hanging="596"/>
        </w:p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56" w16cid:durableId="180508037">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7" w16cid:durableId="839320859">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8" w16cid:durableId="744954027">
    <w:abstractNumId w:val="2"/>
  </w:num>
  <w:num w:numId="59" w16cid:durableId="1984658459">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60" w16cid:durableId="2001079224">
    <w:abstractNumId w:val="21"/>
  </w:num>
  <w:num w:numId="61" w16cid:durableId="1855535204">
    <w:abstractNumId w:val="10"/>
  </w:num>
  <w:num w:numId="62" w16cid:durableId="542134135">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63" w16cid:durableId="100301729">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64" w16cid:durableId="354888623">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65" w16cid:durableId="1061908607">
    <w:abstractNumId w:val="33"/>
    <w:lvlOverride w:ilvl="0">
      <w:startOverride w:val="1"/>
    </w:lvlOverride>
  </w:num>
  <w:num w:numId="66" w16cid:durableId="1564947806">
    <w:abstractNumId w:val="5"/>
  </w:num>
  <w:num w:numId="67" w16cid:durableId="902638942">
    <w:abstractNumId w:val="15"/>
  </w:num>
  <w:num w:numId="68" w16cid:durableId="1585532321">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69" w16cid:durableId="16351056">
    <w:abstractNumId w:val="33"/>
  </w:num>
  <w:num w:numId="70" w16cid:durableId="1581912824">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71" w16cid:durableId="930314087">
    <w:abstractNumId w:val="15"/>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72" w16cid:durableId="1409620661">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73" w16cid:durableId="1054698873">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74" w16cid:durableId="366955834">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75" w16cid:durableId="2049647911">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76" w16cid:durableId="1847019111">
    <w:abstractNumId w:val="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77" w16cid:durableId="139615893">
    <w:abstractNumId w:val="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78" w16cid:durableId="123161401">
    <w:abstractNumId w:val="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79" w16cid:durableId="1126196184">
    <w:abstractNumId w:val="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embedSystemFonts/>
  <w:saveSubsetFonts/>
  <w:attachedTemplate r:id="rId1"/>
  <w:linkStyle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1" w:cryptProviderType="rsaAES" w:cryptAlgorithmClass="hash" w:cryptAlgorithmType="typeAny" w:cryptAlgorithmSid="14" w:cryptSpinCount="100000" w:hash="H70uho0aArWB/SnYqMBGeZ/4iGPDcAFT0Pyf4xF/6Xs4GxtN224RF/w67APOF9OGAvX4v6Kb92Vv1Xhv+p8EaQ==" w:salt="DCEaX/vtCWghSMOpOL9gcw=="/>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numRestart w:val="eachSect"/>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QxMTKzMDY1NTUxMzRW0lEKTi0uzszPAykwrAUA+2FW1iwAAAA="/>
    <w:docVar w:name="dgnword-docGUID" w:val="{F8AE39F0-1D18-4DCE-96A4-1218610C5A15}"/>
    <w:docVar w:name="dgnword-eventsink" w:val="393465392"/>
  </w:docVars>
  <w:rsids>
    <w:rsidRoot w:val="003F4F6D"/>
    <w:rsid w:val="00000027"/>
    <w:rsid w:val="00000060"/>
    <w:rsid w:val="000000E9"/>
    <w:rsid w:val="0000017E"/>
    <w:rsid w:val="000001D8"/>
    <w:rsid w:val="000001E7"/>
    <w:rsid w:val="00000299"/>
    <w:rsid w:val="000002B5"/>
    <w:rsid w:val="000002FE"/>
    <w:rsid w:val="00000376"/>
    <w:rsid w:val="00000381"/>
    <w:rsid w:val="0000040F"/>
    <w:rsid w:val="0000042A"/>
    <w:rsid w:val="0000046D"/>
    <w:rsid w:val="0000053A"/>
    <w:rsid w:val="000005EF"/>
    <w:rsid w:val="00000637"/>
    <w:rsid w:val="0000064D"/>
    <w:rsid w:val="00000692"/>
    <w:rsid w:val="000007BB"/>
    <w:rsid w:val="000008FC"/>
    <w:rsid w:val="00000972"/>
    <w:rsid w:val="0000099D"/>
    <w:rsid w:val="00000A25"/>
    <w:rsid w:val="00000A99"/>
    <w:rsid w:val="00000AEC"/>
    <w:rsid w:val="00000AFA"/>
    <w:rsid w:val="00000BC3"/>
    <w:rsid w:val="00000BD2"/>
    <w:rsid w:val="00000C37"/>
    <w:rsid w:val="00000CB3"/>
    <w:rsid w:val="00000D3F"/>
    <w:rsid w:val="00000E58"/>
    <w:rsid w:val="00000E8C"/>
    <w:rsid w:val="00000EA9"/>
    <w:rsid w:val="00000EDF"/>
    <w:rsid w:val="00000EE0"/>
    <w:rsid w:val="00000F5B"/>
    <w:rsid w:val="00001012"/>
    <w:rsid w:val="0000105C"/>
    <w:rsid w:val="000010A3"/>
    <w:rsid w:val="0000112C"/>
    <w:rsid w:val="00001182"/>
    <w:rsid w:val="00001193"/>
    <w:rsid w:val="000011A3"/>
    <w:rsid w:val="0000122A"/>
    <w:rsid w:val="00001258"/>
    <w:rsid w:val="0000125F"/>
    <w:rsid w:val="00001285"/>
    <w:rsid w:val="000012A7"/>
    <w:rsid w:val="00001327"/>
    <w:rsid w:val="000014CB"/>
    <w:rsid w:val="0000151F"/>
    <w:rsid w:val="0000154C"/>
    <w:rsid w:val="000015D8"/>
    <w:rsid w:val="00001615"/>
    <w:rsid w:val="00001662"/>
    <w:rsid w:val="0000167A"/>
    <w:rsid w:val="000016A0"/>
    <w:rsid w:val="00001727"/>
    <w:rsid w:val="00001748"/>
    <w:rsid w:val="0000180B"/>
    <w:rsid w:val="00001826"/>
    <w:rsid w:val="00001835"/>
    <w:rsid w:val="00001878"/>
    <w:rsid w:val="00001899"/>
    <w:rsid w:val="000018C2"/>
    <w:rsid w:val="000018E0"/>
    <w:rsid w:val="0000194B"/>
    <w:rsid w:val="000019C9"/>
    <w:rsid w:val="000019EA"/>
    <w:rsid w:val="00001A89"/>
    <w:rsid w:val="00001AE0"/>
    <w:rsid w:val="00001B9B"/>
    <w:rsid w:val="00001C88"/>
    <w:rsid w:val="00001D8E"/>
    <w:rsid w:val="00001E80"/>
    <w:rsid w:val="00001E87"/>
    <w:rsid w:val="00001EB1"/>
    <w:rsid w:val="00001EC8"/>
    <w:rsid w:val="00001EEB"/>
    <w:rsid w:val="00001FCA"/>
    <w:rsid w:val="00002079"/>
    <w:rsid w:val="000020A7"/>
    <w:rsid w:val="00002141"/>
    <w:rsid w:val="000021AA"/>
    <w:rsid w:val="000021BC"/>
    <w:rsid w:val="000021CC"/>
    <w:rsid w:val="000021EE"/>
    <w:rsid w:val="00002200"/>
    <w:rsid w:val="00002212"/>
    <w:rsid w:val="000022F1"/>
    <w:rsid w:val="000022FC"/>
    <w:rsid w:val="0000241D"/>
    <w:rsid w:val="00002437"/>
    <w:rsid w:val="000024B7"/>
    <w:rsid w:val="000024C3"/>
    <w:rsid w:val="000024DB"/>
    <w:rsid w:val="0000252B"/>
    <w:rsid w:val="00002583"/>
    <w:rsid w:val="000025A9"/>
    <w:rsid w:val="0000266A"/>
    <w:rsid w:val="00002694"/>
    <w:rsid w:val="0000269D"/>
    <w:rsid w:val="000026A7"/>
    <w:rsid w:val="000027B2"/>
    <w:rsid w:val="000027B7"/>
    <w:rsid w:val="000027E0"/>
    <w:rsid w:val="00002847"/>
    <w:rsid w:val="000028F9"/>
    <w:rsid w:val="0000295B"/>
    <w:rsid w:val="0000298E"/>
    <w:rsid w:val="000029AE"/>
    <w:rsid w:val="00002AF0"/>
    <w:rsid w:val="00002B20"/>
    <w:rsid w:val="00002C16"/>
    <w:rsid w:val="00002C40"/>
    <w:rsid w:val="00002D82"/>
    <w:rsid w:val="00002E87"/>
    <w:rsid w:val="00002F25"/>
    <w:rsid w:val="00002FBD"/>
    <w:rsid w:val="00003052"/>
    <w:rsid w:val="000030A2"/>
    <w:rsid w:val="000030BF"/>
    <w:rsid w:val="00003223"/>
    <w:rsid w:val="00003240"/>
    <w:rsid w:val="000032E3"/>
    <w:rsid w:val="000033F6"/>
    <w:rsid w:val="0000353E"/>
    <w:rsid w:val="00003653"/>
    <w:rsid w:val="00003665"/>
    <w:rsid w:val="000037E1"/>
    <w:rsid w:val="000039B6"/>
    <w:rsid w:val="00003A64"/>
    <w:rsid w:val="00003A6A"/>
    <w:rsid w:val="00003AC7"/>
    <w:rsid w:val="00003B0F"/>
    <w:rsid w:val="00003B5E"/>
    <w:rsid w:val="00003B63"/>
    <w:rsid w:val="00003C48"/>
    <w:rsid w:val="00003C4D"/>
    <w:rsid w:val="00003D6A"/>
    <w:rsid w:val="00003D9E"/>
    <w:rsid w:val="00003E81"/>
    <w:rsid w:val="00003EAC"/>
    <w:rsid w:val="00003F52"/>
    <w:rsid w:val="0000403A"/>
    <w:rsid w:val="0000404C"/>
    <w:rsid w:val="0000414B"/>
    <w:rsid w:val="00004215"/>
    <w:rsid w:val="00004261"/>
    <w:rsid w:val="0000436F"/>
    <w:rsid w:val="00004395"/>
    <w:rsid w:val="000043B0"/>
    <w:rsid w:val="00004465"/>
    <w:rsid w:val="0000449E"/>
    <w:rsid w:val="00004507"/>
    <w:rsid w:val="000045F4"/>
    <w:rsid w:val="0000464B"/>
    <w:rsid w:val="00004658"/>
    <w:rsid w:val="00004706"/>
    <w:rsid w:val="00004712"/>
    <w:rsid w:val="0000479F"/>
    <w:rsid w:val="00004858"/>
    <w:rsid w:val="0000490F"/>
    <w:rsid w:val="00004956"/>
    <w:rsid w:val="0000495F"/>
    <w:rsid w:val="0000499D"/>
    <w:rsid w:val="00004A13"/>
    <w:rsid w:val="00004AA6"/>
    <w:rsid w:val="00004B03"/>
    <w:rsid w:val="00004B4F"/>
    <w:rsid w:val="00004B66"/>
    <w:rsid w:val="00004C56"/>
    <w:rsid w:val="00004CA2"/>
    <w:rsid w:val="00004CC4"/>
    <w:rsid w:val="00004CE3"/>
    <w:rsid w:val="00004D33"/>
    <w:rsid w:val="00004D3D"/>
    <w:rsid w:val="00004D54"/>
    <w:rsid w:val="00004D81"/>
    <w:rsid w:val="00004DCE"/>
    <w:rsid w:val="00004F61"/>
    <w:rsid w:val="00004F6A"/>
    <w:rsid w:val="000050AF"/>
    <w:rsid w:val="00005131"/>
    <w:rsid w:val="00005154"/>
    <w:rsid w:val="00005165"/>
    <w:rsid w:val="00005190"/>
    <w:rsid w:val="000051BA"/>
    <w:rsid w:val="0000527E"/>
    <w:rsid w:val="0000530F"/>
    <w:rsid w:val="0000535E"/>
    <w:rsid w:val="00005413"/>
    <w:rsid w:val="00005428"/>
    <w:rsid w:val="000054EC"/>
    <w:rsid w:val="00005636"/>
    <w:rsid w:val="000056D0"/>
    <w:rsid w:val="000056EB"/>
    <w:rsid w:val="000056F1"/>
    <w:rsid w:val="00005700"/>
    <w:rsid w:val="00005823"/>
    <w:rsid w:val="00005842"/>
    <w:rsid w:val="000058A8"/>
    <w:rsid w:val="000059D2"/>
    <w:rsid w:val="00005A45"/>
    <w:rsid w:val="00005A49"/>
    <w:rsid w:val="00005B09"/>
    <w:rsid w:val="00005B3A"/>
    <w:rsid w:val="00005B40"/>
    <w:rsid w:val="00005BEA"/>
    <w:rsid w:val="00005C5C"/>
    <w:rsid w:val="00005C90"/>
    <w:rsid w:val="00005C93"/>
    <w:rsid w:val="00005D1D"/>
    <w:rsid w:val="00005D91"/>
    <w:rsid w:val="00005DFC"/>
    <w:rsid w:val="00005E6D"/>
    <w:rsid w:val="00005EBA"/>
    <w:rsid w:val="00005F4F"/>
    <w:rsid w:val="00005F6B"/>
    <w:rsid w:val="00005FCE"/>
    <w:rsid w:val="0000606D"/>
    <w:rsid w:val="0000611B"/>
    <w:rsid w:val="0000617B"/>
    <w:rsid w:val="00006274"/>
    <w:rsid w:val="000063AF"/>
    <w:rsid w:val="00006443"/>
    <w:rsid w:val="000064AF"/>
    <w:rsid w:val="00006568"/>
    <w:rsid w:val="000065D2"/>
    <w:rsid w:val="000065D3"/>
    <w:rsid w:val="0000669F"/>
    <w:rsid w:val="000066F7"/>
    <w:rsid w:val="000067A8"/>
    <w:rsid w:val="00006839"/>
    <w:rsid w:val="000068E0"/>
    <w:rsid w:val="0000691B"/>
    <w:rsid w:val="000069D8"/>
    <w:rsid w:val="00006A2E"/>
    <w:rsid w:val="00006A48"/>
    <w:rsid w:val="00006A70"/>
    <w:rsid w:val="00006B21"/>
    <w:rsid w:val="00006B3A"/>
    <w:rsid w:val="00006B51"/>
    <w:rsid w:val="00006B91"/>
    <w:rsid w:val="00006BD8"/>
    <w:rsid w:val="00006BDD"/>
    <w:rsid w:val="00006C57"/>
    <w:rsid w:val="00006CD5"/>
    <w:rsid w:val="00006D81"/>
    <w:rsid w:val="00006D89"/>
    <w:rsid w:val="00006DC7"/>
    <w:rsid w:val="00006F7F"/>
    <w:rsid w:val="00006F9E"/>
    <w:rsid w:val="00007195"/>
    <w:rsid w:val="000071B7"/>
    <w:rsid w:val="000071C2"/>
    <w:rsid w:val="000071FA"/>
    <w:rsid w:val="00007229"/>
    <w:rsid w:val="00007242"/>
    <w:rsid w:val="00007254"/>
    <w:rsid w:val="00007275"/>
    <w:rsid w:val="00007328"/>
    <w:rsid w:val="00007332"/>
    <w:rsid w:val="0000733E"/>
    <w:rsid w:val="0000738B"/>
    <w:rsid w:val="00007456"/>
    <w:rsid w:val="000074B3"/>
    <w:rsid w:val="00007511"/>
    <w:rsid w:val="0000752B"/>
    <w:rsid w:val="00007561"/>
    <w:rsid w:val="0000756F"/>
    <w:rsid w:val="0000767D"/>
    <w:rsid w:val="00007689"/>
    <w:rsid w:val="00007716"/>
    <w:rsid w:val="000077BA"/>
    <w:rsid w:val="000077FA"/>
    <w:rsid w:val="00007810"/>
    <w:rsid w:val="00007870"/>
    <w:rsid w:val="00007917"/>
    <w:rsid w:val="00007A65"/>
    <w:rsid w:val="00007ABA"/>
    <w:rsid w:val="00007AFA"/>
    <w:rsid w:val="00007CA7"/>
    <w:rsid w:val="00007CC7"/>
    <w:rsid w:val="00007D98"/>
    <w:rsid w:val="00007ED8"/>
    <w:rsid w:val="00007EE2"/>
    <w:rsid w:val="00007F05"/>
    <w:rsid w:val="00007F62"/>
    <w:rsid w:val="00010028"/>
    <w:rsid w:val="00010067"/>
    <w:rsid w:val="00010072"/>
    <w:rsid w:val="0001009A"/>
    <w:rsid w:val="000101F3"/>
    <w:rsid w:val="0001027B"/>
    <w:rsid w:val="0001027D"/>
    <w:rsid w:val="0001028E"/>
    <w:rsid w:val="00010315"/>
    <w:rsid w:val="00010333"/>
    <w:rsid w:val="0001039F"/>
    <w:rsid w:val="0001040A"/>
    <w:rsid w:val="000104EB"/>
    <w:rsid w:val="000105B7"/>
    <w:rsid w:val="000105C6"/>
    <w:rsid w:val="00010667"/>
    <w:rsid w:val="00010693"/>
    <w:rsid w:val="000106CC"/>
    <w:rsid w:val="0001070F"/>
    <w:rsid w:val="00010757"/>
    <w:rsid w:val="0001076C"/>
    <w:rsid w:val="0001083D"/>
    <w:rsid w:val="00010857"/>
    <w:rsid w:val="00010868"/>
    <w:rsid w:val="000108CB"/>
    <w:rsid w:val="00010902"/>
    <w:rsid w:val="0001092E"/>
    <w:rsid w:val="00010A5F"/>
    <w:rsid w:val="00010ABA"/>
    <w:rsid w:val="00010AC2"/>
    <w:rsid w:val="00010AFA"/>
    <w:rsid w:val="00010B6D"/>
    <w:rsid w:val="00010BCF"/>
    <w:rsid w:val="00010C11"/>
    <w:rsid w:val="00010C1A"/>
    <w:rsid w:val="00010DD6"/>
    <w:rsid w:val="00010E23"/>
    <w:rsid w:val="00010F16"/>
    <w:rsid w:val="00010F2A"/>
    <w:rsid w:val="00010F41"/>
    <w:rsid w:val="00010F49"/>
    <w:rsid w:val="00010F58"/>
    <w:rsid w:val="00010FA7"/>
    <w:rsid w:val="00010FEA"/>
    <w:rsid w:val="00011028"/>
    <w:rsid w:val="00011088"/>
    <w:rsid w:val="000110AC"/>
    <w:rsid w:val="000110E3"/>
    <w:rsid w:val="0001110B"/>
    <w:rsid w:val="0001112F"/>
    <w:rsid w:val="00011262"/>
    <w:rsid w:val="00011279"/>
    <w:rsid w:val="00011324"/>
    <w:rsid w:val="0001137F"/>
    <w:rsid w:val="000113D9"/>
    <w:rsid w:val="00011434"/>
    <w:rsid w:val="00011475"/>
    <w:rsid w:val="00011491"/>
    <w:rsid w:val="00011511"/>
    <w:rsid w:val="00011514"/>
    <w:rsid w:val="000115BF"/>
    <w:rsid w:val="0001163C"/>
    <w:rsid w:val="00011798"/>
    <w:rsid w:val="00011817"/>
    <w:rsid w:val="000118AD"/>
    <w:rsid w:val="00011973"/>
    <w:rsid w:val="000119CD"/>
    <w:rsid w:val="00011A1A"/>
    <w:rsid w:val="00011A26"/>
    <w:rsid w:val="00011A76"/>
    <w:rsid w:val="00011A9D"/>
    <w:rsid w:val="00011AFF"/>
    <w:rsid w:val="00011B72"/>
    <w:rsid w:val="00011BEC"/>
    <w:rsid w:val="00011CA3"/>
    <w:rsid w:val="00011CB6"/>
    <w:rsid w:val="00011CF7"/>
    <w:rsid w:val="00011DA8"/>
    <w:rsid w:val="00011E0C"/>
    <w:rsid w:val="00012018"/>
    <w:rsid w:val="0001203A"/>
    <w:rsid w:val="000121D7"/>
    <w:rsid w:val="0001227E"/>
    <w:rsid w:val="00012281"/>
    <w:rsid w:val="000122A1"/>
    <w:rsid w:val="000122A2"/>
    <w:rsid w:val="00012314"/>
    <w:rsid w:val="0001233C"/>
    <w:rsid w:val="000123E3"/>
    <w:rsid w:val="000123FC"/>
    <w:rsid w:val="0001248E"/>
    <w:rsid w:val="0001255D"/>
    <w:rsid w:val="000125AE"/>
    <w:rsid w:val="0001263E"/>
    <w:rsid w:val="00012652"/>
    <w:rsid w:val="00012733"/>
    <w:rsid w:val="00012764"/>
    <w:rsid w:val="0001282F"/>
    <w:rsid w:val="0001287C"/>
    <w:rsid w:val="000128F9"/>
    <w:rsid w:val="00012A35"/>
    <w:rsid w:val="00012A59"/>
    <w:rsid w:val="00012AD7"/>
    <w:rsid w:val="00012B54"/>
    <w:rsid w:val="00012B6A"/>
    <w:rsid w:val="00012B71"/>
    <w:rsid w:val="00012BCE"/>
    <w:rsid w:val="00012C1C"/>
    <w:rsid w:val="00012C93"/>
    <w:rsid w:val="00012D35"/>
    <w:rsid w:val="00012D37"/>
    <w:rsid w:val="00012D74"/>
    <w:rsid w:val="00012E1A"/>
    <w:rsid w:val="00012E3F"/>
    <w:rsid w:val="00012EB7"/>
    <w:rsid w:val="00012F2B"/>
    <w:rsid w:val="00013004"/>
    <w:rsid w:val="00013024"/>
    <w:rsid w:val="0001302A"/>
    <w:rsid w:val="000130B1"/>
    <w:rsid w:val="000130D3"/>
    <w:rsid w:val="00013134"/>
    <w:rsid w:val="00013188"/>
    <w:rsid w:val="00013277"/>
    <w:rsid w:val="000132D7"/>
    <w:rsid w:val="00013469"/>
    <w:rsid w:val="0001347D"/>
    <w:rsid w:val="00013484"/>
    <w:rsid w:val="000134AB"/>
    <w:rsid w:val="000134FF"/>
    <w:rsid w:val="00013592"/>
    <w:rsid w:val="0001362D"/>
    <w:rsid w:val="0001362F"/>
    <w:rsid w:val="0001366E"/>
    <w:rsid w:val="0001378B"/>
    <w:rsid w:val="000137AC"/>
    <w:rsid w:val="00013838"/>
    <w:rsid w:val="000138F5"/>
    <w:rsid w:val="00013905"/>
    <w:rsid w:val="0001394E"/>
    <w:rsid w:val="0001397E"/>
    <w:rsid w:val="000139CD"/>
    <w:rsid w:val="00013A0B"/>
    <w:rsid w:val="00013A0E"/>
    <w:rsid w:val="00013C18"/>
    <w:rsid w:val="00013C26"/>
    <w:rsid w:val="00013C3F"/>
    <w:rsid w:val="00013C77"/>
    <w:rsid w:val="00013E6C"/>
    <w:rsid w:val="00013EF6"/>
    <w:rsid w:val="00013EFF"/>
    <w:rsid w:val="00013F4F"/>
    <w:rsid w:val="00013FF5"/>
    <w:rsid w:val="000141BB"/>
    <w:rsid w:val="0001436E"/>
    <w:rsid w:val="0001438D"/>
    <w:rsid w:val="000143BC"/>
    <w:rsid w:val="000143EF"/>
    <w:rsid w:val="00014569"/>
    <w:rsid w:val="00014677"/>
    <w:rsid w:val="000146A1"/>
    <w:rsid w:val="0001475D"/>
    <w:rsid w:val="0001478F"/>
    <w:rsid w:val="00014791"/>
    <w:rsid w:val="000147B6"/>
    <w:rsid w:val="00014912"/>
    <w:rsid w:val="00014928"/>
    <w:rsid w:val="000149C6"/>
    <w:rsid w:val="00014B00"/>
    <w:rsid w:val="00014C1D"/>
    <w:rsid w:val="00014C5F"/>
    <w:rsid w:val="00014C86"/>
    <w:rsid w:val="00014D04"/>
    <w:rsid w:val="00014D9D"/>
    <w:rsid w:val="00014DEE"/>
    <w:rsid w:val="00014E4D"/>
    <w:rsid w:val="00014E8C"/>
    <w:rsid w:val="00014F00"/>
    <w:rsid w:val="00014F02"/>
    <w:rsid w:val="00014FA4"/>
    <w:rsid w:val="00015049"/>
    <w:rsid w:val="0001507F"/>
    <w:rsid w:val="00015145"/>
    <w:rsid w:val="0001518A"/>
    <w:rsid w:val="000151C0"/>
    <w:rsid w:val="00015202"/>
    <w:rsid w:val="00015212"/>
    <w:rsid w:val="0001528F"/>
    <w:rsid w:val="00015293"/>
    <w:rsid w:val="0001535A"/>
    <w:rsid w:val="000153D5"/>
    <w:rsid w:val="0001540C"/>
    <w:rsid w:val="00015445"/>
    <w:rsid w:val="00015461"/>
    <w:rsid w:val="0001549C"/>
    <w:rsid w:val="00015543"/>
    <w:rsid w:val="0001558D"/>
    <w:rsid w:val="000155A4"/>
    <w:rsid w:val="00015628"/>
    <w:rsid w:val="00015646"/>
    <w:rsid w:val="00015654"/>
    <w:rsid w:val="00015692"/>
    <w:rsid w:val="000156AE"/>
    <w:rsid w:val="00015716"/>
    <w:rsid w:val="00015790"/>
    <w:rsid w:val="000157DA"/>
    <w:rsid w:val="000157F7"/>
    <w:rsid w:val="0001585E"/>
    <w:rsid w:val="000159FB"/>
    <w:rsid w:val="00015A28"/>
    <w:rsid w:val="00015A7E"/>
    <w:rsid w:val="00015A86"/>
    <w:rsid w:val="00015AC6"/>
    <w:rsid w:val="00015B7D"/>
    <w:rsid w:val="00015B98"/>
    <w:rsid w:val="00015BDF"/>
    <w:rsid w:val="00015BF7"/>
    <w:rsid w:val="00015C28"/>
    <w:rsid w:val="00015CA0"/>
    <w:rsid w:val="00015D62"/>
    <w:rsid w:val="00015EFC"/>
    <w:rsid w:val="00015FC8"/>
    <w:rsid w:val="00015FD6"/>
    <w:rsid w:val="00015FF4"/>
    <w:rsid w:val="00015FFE"/>
    <w:rsid w:val="00016109"/>
    <w:rsid w:val="00016114"/>
    <w:rsid w:val="00016124"/>
    <w:rsid w:val="00016148"/>
    <w:rsid w:val="00016159"/>
    <w:rsid w:val="00016230"/>
    <w:rsid w:val="0001623C"/>
    <w:rsid w:val="000162EF"/>
    <w:rsid w:val="00016312"/>
    <w:rsid w:val="0001632C"/>
    <w:rsid w:val="00016354"/>
    <w:rsid w:val="000163D5"/>
    <w:rsid w:val="00016423"/>
    <w:rsid w:val="0001642C"/>
    <w:rsid w:val="000165E0"/>
    <w:rsid w:val="00016647"/>
    <w:rsid w:val="000166BB"/>
    <w:rsid w:val="00016787"/>
    <w:rsid w:val="000167FA"/>
    <w:rsid w:val="00016897"/>
    <w:rsid w:val="0001690C"/>
    <w:rsid w:val="00016920"/>
    <w:rsid w:val="00016936"/>
    <w:rsid w:val="0001693F"/>
    <w:rsid w:val="00016A46"/>
    <w:rsid w:val="00016A99"/>
    <w:rsid w:val="00016B3E"/>
    <w:rsid w:val="00016B96"/>
    <w:rsid w:val="00016BC7"/>
    <w:rsid w:val="00016CB3"/>
    <w:rsid w:val="00016D13"/>
    <w:rsid w:val="00016D82"/>
    <w:rsid w:val="00016F92"/>
    <w:rsid w:val="0001704C"/>
    <w:rsid w:val="00017185"/>
    <w:rsid w:val="000172DA"/>
    <w:rsid w:val="00017325"/>
    <w:rsid w:val="00017329"/>
    <w:rsid w:val="00017353"/>
    <w:rsid w:val="00017363"/>
    <w:rsid w:val="00017381"/>
    <w:rsid w:val="00017383"/>
    <w:rsid w:val="0001744F"/>
    <w:rsid w:val="00017458"/>
    <w:rsid w:val="000174C0"/>
    <w:rsid w:val="000175BF"/>
    <w:rsid w:val="00017660"/>
    <w:rsid w:val="0001770D"/>
    <w:rsid w:val="000177A8"/>
    <w:rsid w:val="000177BD"/>
    <w:rsid w:val="000177FC"/>
    <w:rsid w:val="0001785C"/>
    <w:rsid w:val="000178E4"/>
    <w:rsid w:val="00017938"/>
    <w:rsid w:val="00017A29"/>
    <w:rsid w:val="00017A34"/>
    <w:rsid w:val="00017A3E"/>
    <w:rsid w:val="00017A4F"/>
    <w:rsid w:val="00017B1A"/>
    <w:rsid w:val="00017BCF"/>
    <w:rsid w:val="00017C46"/>
    <w:rsid w:val="00017C5E"/>
    <w:rsid w:val="00017C76"/>
    <w:rsid w:val="00017C97"/>
    <w:rsid w:val="00017D72"/>
    <w:rsid w:val="00017DB7"/>
    <w:rsid w:val="00017E22"/>
    <w:rsid w:val="00017E2A"/>
    <w:rsid w:val="00017E47"/>
    <w:rsid w:val="00017E8B"/>
    <w:rsid w:val="00017EBA"/>
    <w:rsid w:val="00017F27"/>
    <w:rsid w:val="00017F47"/>
    <w:rsid w:val="00017F73"/>
    <w:rsid w:val="00017F93"/>
    <w:rsid w:val="00020046"/>
    <w:rsid w:val="00020078"/>
    <w:rsid w:val="00020080"/>
    <w:rsid w:val="000200DC"/>
    <w:rsid w:val="0002010C"/>
    <w:rsid w:val="000201BB"/>
    <w:rsid w:val="000201C3"/>
    <w:rsid w:val="000201CF"/>
    <w:rsid w:val="000201FA"/>
    <w:rsid w:val="000202A0"/>
    <w:rsid w:val="000203DA"/>
    <w:rsid w:val="0002040A"/>
    <w:rsid w:val="000204DF"/>
    <w:rsid w:val="0002055E"/>
    <w:rsid w:val="000205D6"/>
    <w:rsid w:val="00020651"/>
    <w:rsid w:val="00020660"/>
    <w:rsid w:val="00020671"/>
    <w:rsid w:val="000206FC"/>
    <w:rsid w:val="0002071A"/>
    <w:rsid w:val="0002071D"/>
    <w:rsid w:val="0002074B"/>
    <w:rsid w:val="0002081F"/>
    <w:rsid w:val="000208D8"/>
    <w:rsid w:val="000208DB"/>
    <w:rsid w:val="00020901"/>
    <w:rsid w:val="00020960"/>
    <w:rsid w:val="000209ED"/>
    <w:rsid w:val="00020A1C"/>
    <w:rsid w:val="00020A30"/>
    <w:rsid w:val="00020AE7"/>
    <w:rsid w:val="00020BAA"/>
    <w:rsid w:val="00020C59"/>
    <w:rsid w:val="00020C74"/>
    <w:rsid w:val="00020C75"/>
    <w:rsid w:val="00020C98"/>
    <w:rsid w:val="00020CA5"/>
    <w:rsid w:val="00020CBB"/>
    <w:rsid w:val="00020D40"/>
    <w:rsid w:val="00020D78"/>
    <w:rsid w:val="00020D80"/>
    <w:rsid w:val="00020E5C"/>
    <w:rsid w:val="00020E6B"/>
    <w:rsid w:val="00020FC8"/>
    <w:rsid w:val="00020FF6"/>
    <w:rsid w:val="00020FFB"/>
    <w:rsid w:val="0002100B"/>
    <w:rsid w:val="0002104E"/>
    <w:rsid w:val="0002109B"/>
    <w:rsid w:val="000210B6"/>
    <w:rsid w:val="0002110F"/>
    <w:rsid w:val="0002111B"/>
    <w:rsid w:val="0002123F"/>
    <w:rsid w:val="00021295"/>
    <w:rsid w:val="00021303"/>
    <w:rsid w:val="000213A7"/>
    <w:rsid w:val="000213FD"/>
    <w:rsid w:val="00021446"/>
    <w:rsid w:val="000215A3"/>
    <w:rsid w:val="00021622"/>
    <w:rsid w:val="0002165E"/>
    <w:rsid w:val="0002168D"/>
    <w:rsid w:val="00021790"/>
    <w:rsid w:val="000217AA"/>
    <w:rsid w:val="000217BD"/>
    <w:rsid w:val="000218AC"/>
    <w:rsid w:val="00021912"/>
    <w:rsid w:val="0002192E"/>
    <w:rsid w:val="0002193D"/>
    <w:rsid w:val="00021990"/>
    <w:rsid w:val="00021A4B"/>
    <w:rsid w:val="00021A68"/>
    <w:rsid w:val="00021A91"/>
    <w:rsid w:val="00021ABD"/>
    <w:rsid w:val="00021BBF"/>
    <w:rsid w:val="00021C96"/>
    <w:rsid w:val="00021D25"/>
    <w:rsid w:val="00021D69"/>
    <w:rsid w:val="00021DC3"/>
    <w:rsid w:val="00021E8E"/>
    <w:rsid w:val="00021EAA"/>
    <w:rsid w:val="00021ED6"/>
    <w:rsid w:val="00021F01"/>
    <w:rsid w:val="00021FC2"/>
    <w:rsid w:val="00021FDC"/>
    <w:rsid w:val="00022037"/>
    <w:rsid w:val="0002206D"/>
    <w:rsid w:val="000220FE"/>
    <w:rsid w:val="00022110"/>
    <w:rsid w:val="0002224F"/>
    <w:rsid w:val="00022277"/>
    <w:rsid w:val="000222D5"/>
    <w:rsid w:val="000222EE"/>
    <w:rsid w:val="00022421"/>
    <w:rsid w:val="000224C5"/>
    <w:rsid w:val="0002252E"/>
    <w:rsid w:val="00022586"/>
    <w:rsid w:val="000225E0"/>
    <w:rsid w:val="0002272D"/>
    <w:rsid w:val="0002275A"/>
    <w:rsid w:val="00022779"/>
    <w:rsid w:val="000227EA"/>
    <w:rsid w:val="0002282F"/>
    <w:rsid w:val="00022845"/>
    <w:rsid w:val="000228DE"/>
    <w:rsid w:val="0002298E"/>
    <w:rsid w:val="000229A4"/>
    <w:rsid w:val="000229AD"/>
    <w:rsid w:val="000229EC"/>
    <w:rsid w:val="00022A37"/>
    <w:rsid w:val="00022A42"/>
    <w:rsid w:val="00022A52"/>
    <w:rsid w:val="00022A77"/>
    <w:rsid w:val="00022ABD"/>
    <w:rsid w:val="00022ADF"/>
    <w:rsid w:val="00022B46"/>
    <w:rsid w:val="00022B83"/>
    <w:rsid w:val="00022C85"/>
    <w:rsid w:val="00022CE7"/>
    <w:rsid w:val="00022D32"/>
    <w:rsid w:val="00022D55"/>
    <w:rsid w:val="00022DC0"/>
    <w:rsid w:val="00022DCA"/>
    <w:rsid w:val="00022E26"/>
    <w:rsid w:val="00022E7D"/>
    <w:rsid w:val="00022E84"/>
    <w:rsid w:val="00022E8B"/>
    <w:rsid w:val="00022EFF"/>
    <w:rsid w:val="00022F2D"/>
    <w:rsid w:val="00022FD6"/>
    <w:rsid w:val="00022FF2"/>
    <w:rsid w:val="0002310A"/>
    <w:rsid w:val="00023145"/>
    <w:rsid w:val="00023174"/>
    <w:rsid w:val="00023176"/>
    <w:rsid w:val="00023180"/>
    <w:rsid w:val="0002319B"/>
    <w:rsid w:val="0002320A"/>
    <w:rsid w:val="0002324C"/>
    <w:rsid w:val="0002328D"/>
    <w:rsid w:val="00023465"/>
    <w:rsid w:val="000234A8"/>
    <w:rsid w:val="000234B9"/>
    <w:rsid w:val="000234C0"/>
    <w:rsid w:val="0002350F"/>
    <w:rsid w:val="00023572"/>
    <w:rsid w:val="000235B9"/>
    <w:rsid w:val="00023643"/>
    <w:rsid w:val="00023718"/>
    <w:rsid w:val="00023733"/>
    <w:rsid w:val="00023989"/>
    <w:rsid w:val="000239D5"/>
    <w:rsid w:val="00023A34"/>
    <w:rsid w:val="00023A51"/>
    <w:rsid w:val="00023B1D"/>
    <w:rsid w:val="00023B94"/>
    <w:rsid w:val="00023C37"/>
    <w:rsid w:val="00023C54"/>
    <w:rsid w:val="00023C84"/>
    <w:rsid w:val="00023D81"/>
    <w:rsid w:val="00023E03"/>
    <w:rsid w:val="00023E30"/>
    <w:rsid w:val="00023EA2"/>
    <w:rsid w:val="00023F56"/>
    <w:rsid w:val="00023F60"/>
    <w:rsid w:val="0002404E"/>
    <w:rsid w:val="00024082"/>
    <w:rsid w:val="000240AF"/>
    <w:rsid w:val="000240F9"/>
    <w:rsid w:val="00024109"/>
    <w:rsid w:val="00024125"/>
    <w:rsid w:val="00024186"/>
    <w:rsid w:val="0002418F"/>
    <w:rsid w:val="000241AA"/>
    <w:rsid w:val="000242C9"/>
    <w:rsid w:val="00024335"/>
    <w:rsid w:val="00024339"/>
    <w:rsid w:val="0002435E"/>
    <w:rsid w:val="0002437C"/>
    <w:rsid w:val="000243D2"/>
    <w:rsid w:val="00024488"/>
    <w:rsid w:val="000244F8"/>
    <w:rsid w:val="000244FE"/>
    <w:rsid w:val="0002457F"/>
    <w:rsid w:val="00024593"/>
    <w:rsid w:val="0002460A"/>
    <w:rsid w:val="00024639"/>
    <w:rsid w:val="000246EA"/>
    <w:rsid w:val="00024717"/>
    <w:rsid w:val="00024732"/>
    <w:rsid w:val="0002479A"/>
    <w:rsid w:val="0002482D"/>
    <w:rsid w:val="0002484C"/>
    <w:rsid w:val="000248CA"/>
    <w:rsid w:val="00024A3F"/>
    <w:rsid w:val="00024A5F"/>
    <w:rsid w:val="00024B36"/>
    <w:rsid w:val="00024B63"/>
    <w:rsid w:val="00024BE5"/>
    <w:rsid w:val="00024BF6"/>
    <w:rsid w:val="00024C04"/>
    <w:rsid w:val="00024C1A"/>
    <w:rsid w:val="00024C29"/>
    <w:rsid w:val="00024C9C"/>
    <w:rsid w:val="00024CAA"/>
    <w:rsid w:val="00024CDA"/>
    <w:rsid w:val="00024CE2"/>
    <w:rsid w:val="00024F3C"/>
    <w:rsid w:val="00024F3D"/>
    <w:rsid w:val="00024F8A"/>
    <w:rsid w:val="00024F99"/>
    <w:rsid w:val="00024FC0"/>
    <w:rsid w:val="00024FDF"/>
    <w:rsid w:val="000250B3"/>
    <w:rsid w:val="000250F1"/>
    <w:rsid w:val="0002511F"/>
    <w:rsid w:val="00025129"/>
    <w:rsid w:val="00025143"/>
    <w:rsid w:val="0002516B"/>
    <w:rsid w:val="0002516C"/>
    <w:rsid w:val="00025194"/>
    <w:rsid w:val="000251D4"/>
    <w:rsid w:val="00025215"/>
    <w:rsid w:val="00025271"/>
    <w:rsid w:val="000252D5"/>
    <w:rsid w:val="00025353"/>
    <w:rsid w:val="000253D5"/>
    <w:rsid w:val="000253E7"/>
    <w:rsid w:val="000253FF"/>
    <w:rsid w:val="00025415"/>
    <w:rsid w:val="00025426"/>
    <w:rsid w:val="00025441"/>
    <w:rsid w:val="00025467"/>
    <w:rsid w:val="00025570"/>
    <w:rsid w:val="00025661"/>
    <w:rsid w:val="000256C3"/>
    <w:rsid w:val="000257AA"/>
    <w:rsid w:val="00025803"/>
    <w:rsid w:val="000258FB"/>
    <w:rsid w:val="00025963"/>
    <w:rsid w:val="00025978"/>
    <w:rsid w:val="000259A6"/>
    <w:rsid w:val="00025A04"/>
    <w:rsid w:val="00025A1E"/>
    <w:rsid w:val="00025AA2"/>
    <w:rsid w:val="00025BA8"/>
    <w:rsid w:val="00025C11"/>
    <w:rsid w:val="00025C92"/>
    <w:rsid w:val="00025CBF"/>
    <w:rsid w:val="00025D02"/>
    <w:rsid w:val="00025D30"/>
    <w:rsid w:val="00025DE0"/>
    <w:rsid w:val="00025EF1"/>
    <w:rsid w:val="00025F05"/>
    <w:rsid w:val="00025F1D"/>
    <w:rsid w:val="00025F98"/>
    <w:rsid w:val="00025F9A"/>
    <w:rsid w:val="00025FD3"/>
    <w:rsid w:val="00025FE2"/>
    <w:rsid w:val="00026076"/>
    <w:rsid w:val="00026094"/>
    <w:rsid w:val="00026128"/>
    <w:rsid w:val="00026136"/>
    <w:rsid w:val="00026141"/>
    <w:rsid w:val="00026146"/>
    <w:rsid w:val="0002615E"/>
    <w:rsid w:val="00026165"/>
    <w:rsid w:val="0002621F"/>
    <w:rsid w:val="0002624B"/>
    <w:rsid w:val="000262D1"/>
    <w:rsid w:val="0002638B"/>
    <w:rsid w:val="0002644E"/>
    <w:rsid w:val="00026466"/>
    <w:rsid w:val="000265A9"/>
    <w:rsid w:val="000265AD"/>
    <w:rsid w:val="000265EA"/>
    <w:rsid w:val="000266B1"/>
    <w:rsid w:val="000266FB"/>
    <w:rsid w:val="00026762"/>
    <w:rsid w:val="00026799"/>
    <w:rsid w:val="0002680F"/>
    <w:rsid w:val="00026890"/>
    <w:rsid w:val="000268D9"/>
    <w:rsid w:val="0002693A"/>
    <w:rsid w:val="00026955"/>
    <w:rsid w:val="00026967"/>
    <w:rsid w:val="000269A4"/>
    <w:rsid w:val="000269B2"/>
    <w:rsid w:val="000269D2"/>
    <w:rsid w:val="000269D9"/>
    <w:rsid w:val="00026A10"/>
    <w:rsid w:val="00026ABE"/>
    <w:rsid w:val="00026AD9"/>
    <w:rsid w:val="00026B17"/>
    <w:rsid w:val="00026B3F"/>
    <w:rsid w:val="00026B44"/>
    <w:rsid w:val="00026B75"/>
    <w:rsid w:val="00026BEC"/>
    <w:rsid w:val="00026CC1"/>
    <w:rsid w:val="00026CEA"/>
    <w:rsid w:val="00026D0C"/>
    <w:rsid w:val="00026D56"/>
    <w:rsid w:val="00026E09"/>
    <w:rsid w:val="00026E80"/>
    <w:rsid w:val="00026F2B"/>
    <w:rsid w:val="00026F9C"/>
    <w:rsid w:val="00027063"/>
    <w:rsid w:val="0002708E"/>
    <w:rsid w:val="00027146"/>
    <w:rsid w:val="000271AF"/>
    <w:rsid w:val="0002726C"/>
    <w:rsid w:val="00027271"/>
    <w:rsid w:val="00027289"/>
    <w:rsid w:val="000272BE"/>
    <w:rsid w:val="000272E8"/>
    <w:rsid w:val="0002735F"/>
    <w:rsid w:val="000273C4"/>
    <w:rsid w:val="0002742D"/>
    <w:rsid w:val="00027499"/>
    <w:rsid w:val="000274BD"/>
    <w:rsid w:val="00027546"/>
    <w:rsid w:val="00027569"/>
    <w:rsid w:val="000275D9"/>
    <w:rsid w:val="00027653"/>
    <w:rsid w:val="00027662"/>
    <w:rsid w:val="000276B5"/>
    <w:rsid w:val="0002771F"/>
    <w:rsid w:val="00027742"/>
    <w:rsid w:val="0002779C"/>
    <w:rsid w:val="000277AE"/>
    <w:rsid w:val="000277B0"/>
    <w:rsid w:val="000277C7"/>
    <w:rsid w:val="000277D7"/>
    <w:rsid w:val="00027855"/>
    <w:rsid w:val="00027860"/>
    <w:rsid w:val="0002787B"/>
    <w:rsid w:val="000279E4"/>
    <w:rsid w:val="000279EF"/>
    <w:rsid w:val="00027A83"/>
    <w:rsid w:val="00027AA8"/>
    <w:rsid w:val="00027ADD"/>
    <w:rsid w:val="00027AF9"/>
    <w:rsid w:val="00027B0F"/>
    <w:rsid w:val="00027B8F"/>
    <w:rsid w:val="00027C17"/>
    <w:rsid w:val="00027C37"/>
    <w:rsid w:val="00027C6F"/>
    <w:rsid w:val="00027D20"/>
    <w:rsid w:val="00027D2F"/>
    <w:rsid w:val="00027D3F"/>
    <w:rsid w:val="00027D60"/>
    <w:rsid w:val="00027DF3"/>
    <w:rsid w:val="00027E67"/>
    <w:rsid w:val="00027EE8"/>
    <w:rsid w:val="00030056"/>
    <w:rsid w:val="0003005E"/>
    <w:rsid w:val="000300DB"/>
    <w:rsid w:val="0003011A"/>
    <w:rsid w:val="000301BD"/>
    <w:rsid w:val="000301F9"/>
    <w:rsid w:val="000302C3"/>
    <w:rsid w:val="0003032D"/>
    <w:rsid w:val="000303AD"/>
    <w:rsid w:val="00030434"/>
    <w:rsid w:val="00030435"/>
    <w:rsid w:val="000304E9"/>
    <w:rsid w:val="00030554"/>
    <w:rsid w:val="00030604"/>
    <w:rsid w:val="000306E3"/>
    <w:rsid w:val="0003074C"/>
    <w:rsid w:val="000307AD"/>
    <w:rsid w:val="000307F2"/>
    <w:rsid w:val="00030A0F"/>
    <w:rsid w:val="00030A85"/>
    <w:rsid w:val="00030A97"/>
    <w:rsid w:val="00030A9F"/>
    <w:rsid w:val="00030AAF"/>
    <w:rsid w:val="00030AC5"/>
    <w:rsid w:val="00030AFF"/>
    <w:rsid w:val="00030B1A"/>
    <w:rsid w:val="00030B72"/>
    <w:rsid w:val="00030B97"/>
    <w:rsid w:val="00030BF6"/>
    <w:rsid w:val="00030C10"/>
    <w:rsid w:val="00030D06"/>
    <w:rsid w:val="00030DD0"/>
    <w:rsid w:val="00030E90"/>
    <w:rsid w:val="00030EA5"/>
    <w:rsid w:val="00030F8B"/>
    <w:rsid w:val="00031150"/>
    <w:rsid w:val="00031159"/>
    <w:rsid w:val="0003116D"/>
    <w:rsid w:val="00031190"/>
    <w:rsid w:val="000311B2"/>
    <w:rsid w:val="0003121C"/>
    <w:rsid w:val="00031359"/>
    <w:rsid w:val="0003138B"/>
    <w:rsid w:val="000313AC"/>
    <w:rsid w:val="000313F7"/>
    <w:rsid w:val="00031424"/>
    <w:rsid w:val="0003144E"/>
    <w:rsid w:val="00031455"/>
    <w:rsid w:val="0003149C"/>
    <w:rsid w:val="0003152E"/>
    <w:rsid w:val="0003153C"/>
    <w:rsid w:val="00031562"/>
    <w:rsid w:val="0003160B"/>
    <w:rsid w:val="0003163F"/>
    <w:rsid w:val="000316B0"/>
    <w:rsid w:val="00031741"/>
    <w:rsid w:val="000317F2"/>
    <w:rsid w:val="00031809"/>
    <w:rsid w:val="000318A0"/>
    <w:rsid w:val="00031916"/>
    <w:rsid w:val="00031991"/>
    <w:rsid w:val="00031998"/>
    <w:rsid w:val="00031B3A"/>
    <w:rsid w:val="00031BF0"/>
    <w:rsid w:val="00031CE3"/>
    <w:rsid w:val="00031D42"/>
    <w:rsid w:val="00031D6A"/>
    <w:rsid w:val="00031E72"/>
    <w:rsid w:val="00031EDC"/>
    <w:rsid w:val="00031FC7"/>
    <w:rsid w:val="00031FCE"/>
    <w:rsid w:val="0003201E"/>
    <w:rsid w:val="000320D5"/>
    <w:rsid w:val="0003213C"/>
    <w:rsid w:val="0003215D"/>
    <w:rsid w:val="000321B9"/>
    <w:rsid w:val="000322B7"/>
    <w:rsid w:val="0003231F"/>
    <w:rsid w:val="0003234A"/>
    <w:rsid w:val="000323BE"/>
    <w:rsid w:val="00032478"/>
    <w:rsid w:val="000325AB"/>
    <w:rsid w:val="000325B1"/>
    <w:rsid w:val="000325B2"/>
    <w:rsid w:val="000325BC"/>
    <w:rsid w:val="00032654"/>
    <w:rsid w:val="00032678"/>
    <w:rsid w:val="0003269E"/>
    <w:rsid w:val="000326E8"/>
    <w:rsid w:val="000326EF"/>
    <w:rsid w:val="00032760"/>
    <w:rsid w:val="00032773"/>
    <w:rsid w:val="00032775"/>
    <w:rsid w:val="00032795"/>
    <w:rsid w:val="000327A6"/>
    <w:rsid w:val="000327D7"/>
    <w:rsid w:val="000327F1"/>
    <w:rsid w:val="00032865"/>
    <w:rsid w:val="000328EB"/>
    <w:rsid w:val="00032924"/>
    <w:rsid w:val="00032B7B"/>
    <w:rsid w:val="00032C71"/>
    <w:rsid w:val="00032CA8"/>
    <w:rsid w:val="00032D00"/>
    <w:rsid w:val="00032D4C"/>
    <w:rsid w:val="00032DB7"/>
    <w:rsid w:val="00032DEA"/>
    <w:rsid w:val="00032E7F"/>
    <w:rsid w:val="00032E87"/>
    <w:rsid w:val="00032F1C"/>
    <w:rsid w:val="0003307B"/>
    <w:rsid w:val="0003309A"/>
    <w:rsid w:val="0003311D"/>
    <w:rsid w:val="00033150"/>
    <w:rsid w:val="00033163"/>
    <w:rsid w:val="00033192"/>
    <w:rsid w:val="000331CA"/>
    <w:rsid w:val="000332B1"/>
    <w:rsid w:val="0003337C"/>
    <w:rsid w:val="0003339C"/>
    <w:rsid w:val="00033439"/>
    <w:rsid w:val="00033507"/>
    <w:rsid w:val="000335BC"/>
    <w:rsid w:val="00033629"/>
    <w:rsid w:val="0003364E"/>
    <w:rsid w:val="0003375C"/>
    <w:rsid w:val="0003375E"/>
    <w:rsid w:val="00033894"/>
    <w:rsid w:val="00033946"/>
    <w:rsid w:val="00033968"/>
    <w:rsid w:val="000339C9"/>
    <w:rsid w:val="00033A30"/>
    <w:rsid w:val="00033B11"/>
    <w:rsid w:val="00033B4C"/>
    <w:rsid w:val="00033B57"/>
    <w:rsid w:val="00033DA9"/>
    <w:rsid w:val="00033F91"/>
    <w:rsid w:val="00033F9D"/>
    <w:rsid w:val="0003406A"/>
    <w:rsid w:val="000340CA"/>
    <w:rsid w:val="000341F2"/>
    <w:rsid w:val="0003429D"/>
    <w:rsid w:val="000342BA"/>
    <w:rsid w:val="00034391"/>
    <w:rsid w:val="000343EE"/>
    <w:rsid w:val="000343FF"/>
    <w:rsid w:val="0003449F"/>
    <w:rsid w:val="000344AE"/>
    <w:rsid w:val="00034500"/>
    <w:rsid w:val="0003454A"/>
    <w:rsid w:val="00034594"/>
    <w:rsid w:val="0003463C"/>
    <w:rsid w:val="000346C6"/>
    <w:rsid w:val="00034792"/>
    <w:rsid w:val="000347B3"/>
    <w:rsid w:val="000348AB"/>
    <w:rsid w:val="00034944"/>
    <w:rsid w:val="00034A00"/>
    <w:rsid w:val="00034A47"/>
    <w:rsid w:val="00034B3D"/>
    <w:rsid w:val="00034C31"/>
    <w:rsid w:val="00034C79"/>
    <w:rsid w:val="00034CA2"/>
    <w:rsid w:val="00034D4F"/>
    <w:rsid w:val="00034D94"/>
    <w:rsid w:val="00034D95"/>
    <w:rsid w:val="00034DC5"/>
    <w:rsid w:val="00034E19"/>
    <w:rsid w:val="00034ED1"/>
    <w:rsid w:val="00034EE0"/>
    <w:rsid w:val="0003505B"/>
    <w:rsid w:val="0003510A"/>
    <w:rsid w:val="0003517F"/>
    <w:rsid w:val="00035293"/>
    <w:rsid w:val="00035341"/>
    <w:rsid w:val="00035390"/>
    <w:rsid w:val="000354CA"/>
    <w:rsid w:val="00035520"/>
    <w:rsid w:val="000355DC"/>
    <w:rsid w:val="000355EC"/>
    <w:rsid w:val="00035657"/>
    <w:rsid w:val="00035663"/>
    <w:rsid w:val="000356E4"/>
    <w:rsid w:val="00035740"/>
    <w:rsid w:val="000357E2"/>
    <w:rsid w:val="00035805"/>
    <w:rsid w:val="00035938"/>
    <w:rsid w:val="00035A92"/>
    <w:rsid w:val="00035BCC"/>
    <w:rsid w:val="00035BCF"/>
    <w:rsid w:val="00035C56"/>
    <w:rsid w:val="00035CB4"/>
    <w:rsid w:val="00035D24"/>
    <w:rsid w:val="00035DC2"/>
    <w:rsid w:val="00035E02"/>
    <w:rsid w:val="00035E3B"/>
    <w:rsid w:val="00035F16"/>
    <w:rsid w:val="00035F2E"/>
    <w:rsid w:val="00035FFB"/>
    <w:rsid w:val="00036020"/>
    <w:rsid w:val="00036084"/>
    <w:rsid w:val="000361C1"/>
    <w:rsid w:val="00036219"/>
    <w:rsid w:val="00036228"/>
    <w:rsid w:val="0003625A"/>
    <w:rsid w:val="00036293"/>
    <w:rsid w:val="000362C8"/>
    <w:rsid w:val="00036320"/>
    <w:rsid w:val="00036341"/>
    <w:rsid w:val="0003635C"/>
    <w:rsid w:val="0003642C"/>
    <w:rsid w:val="000364A8"/>
    <w:rsid w:val="000364C1"/>
    <w:rsid w:val="0003653F"/>
    <w:rsid w:val="00036583"/>
    <w:rsid w:val="000366D5"/>
    <w:rsid w:val="000367CD"/>
    <w:rsid w:val="00036893"/>
    <w:rsid w:val="0003695E"/>
    <w:rsid w:val="0003698E"/>
    <w:rsid w:val="00036ABD"/>
    <w:rsid w:val="00036AC5"/>
    <w:rsid w:val="00036C94"/>
    <w:rsid w:val="00036D20"/>
    <w:rsid w:val="00036DCE"/>
    <w:rsid w:val="00036DE2"/>
    <w:rsid w:val="00036DFB"/>
    <w:rsid w:val="00036E8A"/>
    <w:rsid w:val="00036EA4"/>
    <w:rsid w:val="00036EFF"/>
    <w:rsid w:val="00036F72"/>
    <w:rsid w:val="00036F85"/>
    <w:rsid w:val="00037025"/>
    <w:rsid w:val="000370A7"/>
    <w:rsid w:val="000370B5"/>
    <w:rsid w:val="000371AD"/>
    <w:rsid w:val="000371AE"/>
    <w:rsid w:val="0003727D"/>
    <w:rsid w:val="0003729E"/>
    <w:rsid w:val="000372AA"/>
    <w:rsid w:val="0003738E"/>
    <w:rsid w:val="000373E8"/>
    <w:rsid w:val="00037401"/>
    <w:rsid w:val="0003741F"/>
    <w:rsid w:val="0003744A"/>
    <w:rsid w:val="00037535"/>
    <w:rsid w:val="00037538"/>
    <w:rsid w:val="0003753A"/>
    <w:rsid w:val="000377EA"/>
    <w:rsid w:val="0003780B"/>
    <w:rsid w:val="00037817"/>
    <w:rsid w:val="000378AA"/>
    <w:rsid w:val="000378C2"/>
    <w:rsid w:val="000378DA"/>
    <w:rsid w:val="00037911"/>
    <w:rsid w:val="00037955"/>
    <w:rsid w:val="00037957"/>
    <w:rsid w:val="00037963"/>
    <w:rsid w:val="00037982"/>
    <w:rsid w:val="00037A14"/>
    <w:rsid w:val="00037AB7"/>
    <w:rsid w:val="00037AFA"/>
    <w:rsid w:val="00037B1B"/>
    <w:rsid w:val="00037B37"/>
    <w:rsid w:val="00037B7F"/>
    <w:rsid w:val="00037CE5"/>
    <w:rsid w:val="00037D27"/>
    <w:rsid w:val="00037D2E"/>
    <w:rsid w:val="00037D5B"/>
    <w:rsid w:val="00037D66"/>
    <w:rsid w:val="00037D9C"/>
    <w:rsid w:val="00037E3D"/>
    <w:rsid w:val="00037E42"/>
    <w:rsid w:val="00037F15"/>
    <w:rsid w:val="00040064"/>
    <w:rsid w:val="000400FE"/>
    <w:rsid w:val="00040176"/>
    <w:rsid w:val="0004024A"/>
    <w:rsid w:val="0004028E"/>
    <w:rsid w:val="00040327"/>
    <w:rsid w:val="0004033F"/>
    <w:rsid w:val="00040484"/>
    <w:rsid w:val="0004062A"/>
    <w:rsid w:val="0004063F"/>
    <w:rsid w:val="0004066C"/>
    <w:rsid w:val="000406B8"/>
    <w:rsid w:val="000407E9"/>
    <w:rsid w:val="000407FA"/>
    <w:rsid w:val="00040824"/>
    <w:rsid w:val="000408B5"/>
    <w:rsid w:val="000408ED"/>
    <w:rsid w:val="00040962"/>
    <w:rsid w:val="0004098E"/>
    <w:rsid w:val="00040A40"/>
    <w:rsid w:val="00040BE1"/>
    <w:rsid w:val="00040BEC"/>
    <w:rsid w:val="00040C12"/>
    <w:rsid w:val="00040C52"/>
    <w:rsid w:val="00040C7E"/>
    <w:rsid w:val="00040C9B"/>
    <w:rsid w:val="00040CC8"/>
    <w:rsid w:val="00040D03"/>
    <w:rsid w:val="00040D1F"/>
    <w:rsid w:val="00040D21"/>
    <w:rsid w:val="00040D31"/>
    <w:rsid w:val="00040E10"/>
    <w:rsid w:val="00040E57"/>
    <w:rsid w:val="00040E65"/>
    <w:rsid w:val="00040EB3"/>
    <w:rsid w:val="00040F8C"/>
    <w:rsid w:val="00040FB9"/>
    <w:rsid w:val="00040FD7"/>
    <w:rsid w:val="00041034"/>
    <w:rsid w:val="00041066"/>
    <w:rsid w:val="000410EC"/>
    <w:rsid w:val="00041189"/>
    <w:rsid w:val="000411E0"/>
    <w:rsid w:val="00041204"/>
    <w:rsid w:val="0004121F"/>
    <w:rsid w:val="0004122D"/>
    <w:rsid w:val="0004127E"/>
    <w:rsid w:val="000412D1"/>
    <w:rsid w:val="00041307"/>
    <w:rsid w:val="00041386"/>
    <w:rsid w:val="000413E2"/>
    <w:rsid w:val="00041480"/>
    <w:rsid w:val="000414DF"/>
    <w:rsid w:val="00041505"/>
    <w:rsid w:val="00041531"/>
    <w:rsid w:val="00041591"/>
    <w:rsid w:val="0004166D"/>
    <w:rsid w:val="0004169C"/>
    <w:rsid w:val="00041732"/>
    <w:rsid w:val="0004175F"/>
    <w:rsid w:val="000417D0"/>
    <w:rsid w:val="00041856"/>
    <w:rsid w:val="000418DA"/>
    <w:rsid w:val="00041904"/>
    <w:rsid w:val="0004196F"/>
    <w:rsid w:val="000419F2"/>
    <w:rsid w:val="00041A9F"/>
    <w:rsid w:val="00041AA2"/>
    <w:rsid w:val="00041B00"/>
    <w:rsid w:val="00041C30"/>
    <w:rsid w:val="00041C7F"/>
    <w:rsid w:val="00041D6A"/>
    <w:rsid w:val="00041DEC"/>
    <w:rsid w:val="00041E1D"/>
    <w:rsid w:val="00042092"/>
    <w:rsid w:val="000420B6"/>
    <w:rsid w:val="00042112"/>
    <w:rsid w:val="00042163"/>
    <w:rsid w:val="000421C1"/>
    <w:rsid w:val="00042228"/>
    <w:rsid w:val="00042270"/>
    <w:rsid w:val="00042276"/>
    <w:rsid w:val="000423B5"/>
    <w:rsid w:val="00042461"/>
    <w:rsid w:val="00042476"/>
    <w:rsid w:val="000424CE"/>
    <w:rsid w:val="000424FA"/>
    <w:rsid w:val="000425DB"/>
    <w:rsid w:val="000425DD"/>
    <w:rsid w:val="000425F5"/>
    <w:rsid w:val="0004289D"/>
    <w:rsid w:val="00042950"/>
    <w:rsid w:val="0004299F"/>
    <w:rsid w:val="000429CC"/>
    <w:rsid w:val="00042A54"/>
    <w:rsid w:val="00042A71"/>
    <w:rsid w:val="00042B37"/>
    <w:rsid w:val="00042B63"/>
    <w:rsid w:val="00042BA0"/>
    <w:rsid w:val="00042CE9"/>
    <w:rsid w:val="00042D17"/>
    <w:rsid w:val="00042D31"/>
    <w:rsid w:val="00042D8D"/>
    <w:rsid w:val="00042DC4"/>
    <w:rsid w:val="00042E90"/>
    <w:rsid w:val="00042E9D"/>
    <w:rsid w:val="00042EA0"/>
    <w:rsid w:val="00042F23"/>
    <w:rsid w:val="00042FB1"/>
    <w:rsid w:val="00043001"/>
    <w:rsid w:val="0004305D"/>
    <w:rsid w:val="00043075"/>
    <w:rsid w:val="00043082"/>
    <w:rsid w:val="000430B5"/>
    <w:rsid w:val="000430E1"/>
    <w:rsid w:val="000430E3"/>
    <w:rsid w:val="00043181"/>
    <w:rsid w:val="000431B1"/>
    <w:rsid w:val="000431C7"/>
    <w:rsid w:val="000431DC"/>
    <w:rsid w:val="000432D4"/>
    <w:rsid w:val="000432F0"/>
    <w:rsid w:val="00043321"/>
    <w:rsid w:val="00043328"/>
    <w:rsid w:val="0004332F"/>
    <w:rsid w:val="00043386"/>
    <w:rsid w:val="0004339F"/>
    <w:rsid w:val="000433CB"/>
    <w:rsid w:val="0004341E"/>
    <w:rsid w:val="0004345D"/>
    <w:rsid w:val="0004347F"/>
    <w:rsid w:val="000434EC"/>
    <w:rsid w:val="00043539"/>
    <w:rsid w:val="0004355E"/>
    <w:rsid w:val="000435A1"/>
    <w:rsid w:val="000435A7"/>
    <w:rsid w:val="000435D2"/>
    <w:rsid w:val="00043678"/>
    <w:rsid w:val="00043768"/>
    <w:rsid w:val="000437DD"/>
    <w:rsid w:val="00043856"/>
    <w:rsid w:val="00043892"/>
    <w:rsid w:val="000438D6"/>
    <w:rsid w:val="0004391D"/>
    <w:rsid w:val="00043949"/>
    <w:rsid w:val="00043A05"/>
    <w:rsid w:val="00043A90"/>
    <w:rsid w:val="00043B7C"/>
    <w:rsid w:val="00043BA6"/>
    <w:rsid w:val="00043BB7"/>
    <w:rsid w:val="00043BC6"/>
    <w:rsid w:val="00043C04"/>
    <w:rsid w:val="00043C11"/>
    <w:rsid w:val="00043C9A"/>
    <w:rsid w:val="00043CFF"/>
    <w:rsid w:val="00043E01"/>
    <w:rsid w:val="00043E69"/>
    <w:rsid w:val="00043FC1"/>
    <w:rsid w:val="0004402E"/>
    <w:rsid w:val="00044030"/>
    <w:rsid w:val="00044032"/>
    <w:rsid w:val="000440FC"/>
    <w:rsid w:val="0004410B"/>
    <w:rsid w:val="00044168"/>
    <w:rsid w:val="00044175"/>
    <w:rsid w:val="000441B4"/>
    <w:rsid w:val="0004426E"/>
    <w:rsid w:val="00044328"/>
    <w:rsid w:val="000443C7"/>
    <w:rsid w:val="000443C9"/>
    <w:rsid w:val="00044488"/>
    <w:rsid w:val="0004451E"/>
    <w:rsid w:val="00044561"/>
    <w:rsid w:val="000445C3"/>
    <w:rsid w:val="00044678"/>
    <w:rsid w:val="000446CB"/>
    <w:rsid w:val="000447F3"/>
    <w:rsid w:val="00044869"/>
    <w:rsid w:val="000448E2"/>
    <w:rsid w:val="00044927"/>
    <w:rsid w:val="000449F8"/>
    <w:rsid w:val="00044A09"/>
    <w:rsid w:val="00044A37"/>
    <w:rsid w:val="00044A7B"/>
    <w:rsid w:val="00044A81"/>
    <w:rsid w:val="00044A85"/>
    <w:rsid w:val="00044ABD"/>
    <w:rsid w:val="00044B1A"/>
    <w:rsid w:val="00044C9C"/>
    <w:rsid w:val="00044D05"/>
    <w:rsid w:val="00044DAA"/>
    <w:rsid w:val="00044DF6"/>
    <w:rsid w:val="00044E2D"/>
    <w:rsid w:val="00044E86"/>
    <w:rsid w:val="00044F0F"/>
    <w:rsid w:val="00045009"/>
    <w:rsid w:val="000450DF"/>
    <w:rsid w:val="00045120"/>
    <w:rsid w:val="00045188"/>
    <w:rsid w:val="000451D0"/>
    <w:rsid w:val="0004520B"/>
    <w:rsid w:val="000452AE"/>
    <w:rsid w:val="000452BD"/>
    <w:rsid w:val="000452E2"/>
    <w:rsid w:val="0004537E"/>
    <w:rsid w:val="00045439"/>
    <w:rsid w:val="000454DE"/>
    <w:rsid w:val="00045501"/>
    <w:rsid w:val="00045527"/>
    <w:rsid w:val="000455E2"/>
    <w:rsid w:val="0004560F"/>
    <w:rsid w:val="00045635"/>
    <w:rsid w:val="00045792"/>
    <w:rsid w:val="00045848"/>
    <w:rsid w:val="00045917"/>
    <w:rsid w:val="0004593B"/>
    <w:rsid w:val="00045A27"/>
    <w:rsid w:val="00045C4B"/>
    <w:rsid w:val="00045D9D"/>
    <w:rsid w:val="00045DC0"/>
    <w:rsid w:val="00045DC4"/>
    <w:rsid w:val="00045DEA"/>
    <w:rsid w:val="00045DF6"/>
    <w:rsid w:val="00045E1D"/>
    <w:rsid w:val="00045E71"/>
    <w:rsid w:val="00045EFF"/>
    <w:rsid w:val="00045F77"/>
    <w:rsid w:val="00045FD3"/>
    <w:rsid w:val="00045FE0"/>
    <w:rsid w:val="0004600F"/>
    <w:rsid w:val="000462B8"/>
    <w:rsid w:val="00046333"/>
    <w:rsid w:val="0004640E"/>
    <w:rsid w:val="0004645F"/>
    <w:rsid w:val="0004647F"/>
    <w:rsid w:val="00046622"/>
    <w:rsid w:val="0004667C"/>
    <w:rsid w:val="00046786"/>
    <w:rsid w:val="000467C8"/>
    <w:rsid w:val="00046822"/>
    <w:rsid w:val="000468CB"/>
    <w:rsid w:val="000468E2"/>
    <w:rsid w:val="00046907"/>
    <w:rsid w:val="000469BD"/>
    <w:rsid w:val="000469DE"/>
    <w:rsid w:val="00046AC5"/>
    <w:rsid w:val="00046B2C"/>
    <w:rsid w:val="00046BB6"/>
    <w:rsid w:val="00046BB9"/>
    <w:rsid w:val="00046C3C"/>
    <w:rsid w:val="00046CD5"/>
    <w:rsid w:val="00046D2F"/>
    <w:rsid w:val="00046D58"/>
    <w:rsid w:val="00046DB3"/>
    <w:rsid w:val="00046DDD"/>
    <w:rsid w:val="00046E06"/>
    <w:rsid w:val="00046E50"/>
    <w:rsid w:val="00046F32"/>
    <w:rsid w:val="00046F98"/>
    <w:rsid w:val="00046FBA"/>
    <w:rsid w:val="00046FE6"/>
    <w:rsid w:val="000470D7"/>
    <w:rsid w:val="00047167"/>
    <w:rsid w:val="00047197"/>
    <w:rsid w:val="000471D4"/>
    <w:rsid w:val="000471FA"/>
    <w:rsid w:val="000473DE"/>
    <w:rsid w:val="000473E1"/>
    <w:rsid w:val="00047483"/>
    <w:rsid w:val="0004748D"/>
    <w:rsid w:val="00047492"/>
    <w:rsid w:val="000474D5"/>
    <w:rsid w:val="000474EC"/>
    <w:rsid w:val="00047593"/>
    <w:rsid w:val="000475B5"/>
    <w:rsid w:val="000475B9"/>
    <w:rsid w:val="00047629"/>
    <w:rsid w:val="00047666"/>
    <w:rsid w:val="000477E4"/>
    <w:rsid w:val="000478B1"/>
    <w:rsid w:val="0004791A"/>
    <w:rsid w:val="0004792F"/>
    <w:rsid w:val="0004793C"/>
    <w:rsid w:val="00047996"/>
    <w:rsid w:val="000479D8"/>
    <w:rsid w:val="00047A35"/>
    <w:rsid w:val="00047B95"/>
    <w:rsid w:val="00047C31"/>
    <w:rsid w:val="00047C6C"/>
    <w:rsid w:val="00047CA1"/>
    <w:rsid w:val="00047CC8"/>
    <w:rsid w:val="00047CE1"/>
    <w:rsid w:val="00047DC8"/>
    <w:rsid w:val="00047E01"/>
    <w:rsid w:val="00047F90"/>
    <w:rsid w:val="00050087"/>
    <w:rsid w:val="000500BA"/>
    <w:rsid w:val="00050147"/>
    <w:rsid w:val="0005020C"/>
    <w:rsid w:val="0005023D"/>
    <w:rsid w:val="00050262"/>
    <w:rsid w:val="0005026B"/>
    <w:rsid w:val="000502E0"/>
    <w:rsid w:val="000503CF"/>
    <w:rsid w:val="000504EF"/>
    <w:rsid w:val="00050513"/>
    <w:rsid w:val="000505F9"/>
    <w:rsid w:val="0005060E"/>
    <w:rsid w:val="00050647"/>
    <w:rsid w:val="00050648"/>
    <w:rsid w:val="0005065C"/>
    <w:rsid w:val="0005066F"/>
    <w:rsid w:val="00050832"/>
    <w:rsid w:val="000508A3"/>
    <w:rsid w:val="0005097C"/>
    <w:rsid w:val="00050982"/>
    <w:rsid w:val="000509CD"/>
    <w:rsid w:val="000509F2"/>
    <w:rsid w:val="00050A46"/>
    <w:rsid w:val="00050AAF"/>
    <w:rsid w:val="00050B05"/>
    <w:rsid w:val="00050B06"/>
    <w:rsid w:val="00050BD5"/>
    <w:rsid w:val="00050C08"/>
    <w:rsid w:val="00050C58"/>
    <w:rsid w:val="00050CB0"/>
    <w:rsid w:val="00050DD6"/>
    <w:rsid w:val="00050F27"/>
    <w:rsid w:val="00050F51"/>
    <w:rsid w:val="00050F84"/>
    <w:rsid w:val="00050FA4"/>
    <w:rsid w:val="00051232"/>
    <w:rsid w:val="00051398"/>
    <w:rsid w:val="000513CE"/>
    <w:rsid w:val="000513E7"/>
    <w:rsid w:val="00051406"/>
    <w:rsid w:val="0005140A"/>
    <w:rsid w:val="00051484"/>
    <w:rsid w:val="0005148B"/>
    <w:rsid w:val="00051499"/>
    <w:rsid w:val="00051560"/>
    <w:rsid w:val="0005157D"/>
    <w:rsid w:val="000515E1"/>
    <w:rsid w:val="00051603"/>
    <w:rsid w:val="00051653"/>
    <w:rsid w:val="000516B4"/>
    <w:rsid w:val="0005177A"/>
    <w:rsid w:val="000517D8"/>
    <w:rsid w:val="000517F0"/>
    <w:rsid w:val="00051A34"/>
    <w:rsid w:val="00051A3D"/>
    <w:rsid w:val="00051A85"/>
    <w:rsid w:val="00051B1F"/>
    <w:rsid w:val="00051BAE"/>
    <w:rsid w:val="00051BFE"/>
    <w:rsid w:val="00051C24"/>
    <w:rsid w:val="00051DCE"/>
    <w:rsid w:val="00052052"/>
    <w:rsid w:val="00052071"/>
    <w:rsid w:val="00052085"/>
    <w:rsid w:val="000520AC"/>
    <w:rsid w:val="00052113"/>
    <w:rsid w:val="0005213D"/>
    <w:rsid w:val="00052153"/>
    <w:rsid w:val="00052189"/>
    <w:rsid w:val="000521DF"/>
    <w:rsid w:val="0005225A"/>
    <w:rsid w:val="0005227E"/>
    <w:rsid w:val="000522CB"/>
    <w:rsid w:val="0005232B"/>
    <w:rsid w:val="000523D9"/>
    <w:rsid w:val="000523EA"/>
    <w:rsid w:val="0005240F"/>
    <w:rsid w:val="00052465"/>
    <w:rsid w:val="000524B1"/>
    <w:rsid w:val="000524EC"/>
    <w:rsid w:val="000524FE"/>
    <w:rsid w:val="00052561"/>
    <w:rsid w:val="000525A3"/>
    <w:rsid w:val="000525FF"/>
    <w:rsid w:val="0005264C"/>
    <w:rsid w:val="000526D5"/>
    <w:rsid w:val="00052738"/>
    <w:rsid w:val="00052781"/>
    <w:rsid w:val="00052798"/>
    <w:rsid w:val="000527FB"/>
    <w:rsid w:val="00052847"/>
    <w:rsid w:val="00052887"/>
    <w:rsid w:val="0005292B"/>
    <w:rsid w:val="000529A5"/>
    <w:rsid w:val="00052A0D"/>
    <w:rsid w:val="00052A16"/>
    <w:rsid w:val="00052B5C"/>
    <w:rsid w:val="00052C74"/>
    <w:rsid w:val="00052C91"/>
    <w:rsid w:val="00052E2B"/>
    <w:rsid w:val="00052E47"/>
    <w:rsid w:val="00052E90"/>
    <w:rsid w:val="00052FE1"/>
    <w:rsid w:val="00053030"/>
    <w:rsid w:val="000530F7"/>
    <w:rsid w:val="0005312A"/>
    <w:rsid w:val="0005323E"/>
    <w:rsid w:val="0005324A"/>
    <w:rsid w:val="0005324C"/>
    <w:rsid w:val="0005326E"/>
    <w:rsid w:val="0005327A"/>
    <w:rsid w:val="000534C5"/>
    <w:rsid w:val="0005350A"/>
    <w:rsid w:val="0005359E"/>
    <w:rsid w:val="000535B1"/>
    <w:rsid w:val="000535BF"/>
    <w:rsid w:val="00053677"/>
    <w:rsid w:val="0005377B"/>
    <w:rsid w:val="0005396C"/>
    <w:rsid w:val="0005398F"/>
    <w:rsid w:val="00053A5D"/>
    <w:rsid w:val="00053B36"/>
    <w:rsid w:val="00053B77"/>
    <w:rsid w:val="00053BD3"/>
    <w:rsid w:val="00053D7C"/>
    <w:rsid w:val="00053DB7"/>
    <w:rsid w:val="00053DBF"/>
    <w:rsid w:val="00053EBD"/>
    <w:rsid w:val="00053EDA"/>
    <w:rsid w:val="00053F71"/>
    <w:rsid w:val="00053F82"/>
    <w:rsid w:val="00053F8E"/>
    <w:rsid w:val="00054036"/>
    <w:rsid w:val="000540FC"/>
    <w:rsid w:val="0005411D"/>
    <w:rsid w:val="00054186"/>
    <w:rsid w:val="0005418A"/>
    <w:rsid w:val="0005428B"/>
    <w:rsid w:val="000542C1"/>
    <w:rsid w:val="00054302"/>
    <w:rsid w:val="00054315"/>
    <w:rsid w:val="00054329"/>
    <w:rsid w:val="0005433C"/>
    <w:rsid w:val="00054462"/>
    <w:rsid w:val="0005447F"/>
    <w:rsid w:val="00054485"/>
    <w:rsid w:val="000544AA"/>
    <w:rsid w:val="000544AC"/>
    <w:rsid w:val="000544DB"/>
    <w:rsid w:val="00054584"/>
    <w:rsid w:val="000545AD"/>
    <w:rsid w:val="000545B8"/>
    <w:rsid w:val="000546AB"/>
    <w:rsid w:val="000546E2"/>
    <w:rsid w:val="000546E9"/>
    <w:rsid w:val="000546F5"/>
    <w:rsid w:val="0005472B"/>
    <w:rsid w:val="0005476C"/>
    <w:rsid w:val="0005476E"/>
    <w:rsid w:val="0005480C"/>
    <w:rsid w:val="000548B1"/>
    <w:rsid w:val="000548F1"/>
    <w:rsid w:val="000548FA"/>
    <w:rsid w:val="0005495F"/>
    <w:rsid w:val="0005498A"/>
    <w:rsid w:val="00054AB5"/>
    <w:rsid w:val="00054B5A"/>
    <w:rsid w:val="00054C61"/>
    <w:rsid w:val="00054D99"/>
    <w:rsid w:val="00054EDD"/>
    <w:rsid w:val="00054EDE"/>
    <w:rsid w:val="00054EF0"/>
    <w:rsid w:val="00054F6A"/>
    <w:rsid w:val="00054F70"/>
    <w:rsid w:val="00054FEE"/>
    <w:rsid w:val="000550BF"/>
    <w:rsid w:val="00055116"/>
    <w:rsid w:val="00055186"/>
    <w:rsid w:val="000551E4"/>
    <w:rsid w:val="0005524B"/>
    <w:rsid w:val="0005526C"/>
    <w:rsid w:val="0005527D"/>
    <w:rsid w:val="00055284"/>
    <w:rsid w:val="000553F5"/>
    <w:rsid w:val="00055403"/>
    <w:rsid w:val="0005542B"/>
    <w:rsid w:val="000554EE"/>
    <w:rsid w:val="000555DB"/>
    <w:rsid w:val="000555F8"/>
    <w:rsid w:val="00055607"/>
    <w:rsid w:val="000556C8"/>
    <w:rsid w:val="00055747"/>
    <w:rsid w:val="000557BE"/>
    <w:rsid w:val="000557F5"/>
    <w:rsid w:val="00055853"/>
    <w:rsid w:val="000558E6"/>
    <w:rsid w:val="00055903"/>
    <w:rsid w:val="00055A07"/>
    <w:rsid w:val="00055A0B"/>
    <w:rsid w:val="00055A6A"/>
    <w:rsid w:val="00055B17"/>
    <w:rsid w:val="00055B5C"/>
    <w:rsid w:val="00055BFF"/>
    <w:rsid w:val="00055C7B"/>
    <w:rsid w:val="00055C80"/>
    <w:rsid w:val="00055CEB"/>
    <w:rsid w:val="00055D1D"/>
    <w:rsid w:val="00055D1F"/>
    <w:rsid w:val="00055D9F"/>
    <w:rsid w:val="00055DA1"/>
    <w:rsid w:val="00055DAA"/>
    <w:rsid w:val="00055DAF"/>
    <w:rsid w:val="00055E60"/>
    <w:rsid w:val="00055E97"/>
    <w:rsid w:val="00055EEC"/>
    <w:rsid w:val="00055F5C"/>
    <w:rsid w:val="000560A2"/>
    <w:rsid w:val="000560B5"/>
    <w:rsid w:val="000560FD"/>
    <w:rsid w:val="0005613A"/>
    <w:rsid w:val="0005613F"/>
    <w:rsid w:val="0005616A"/>
    <w:rsid w:val="000561AA"/>
    <w:rsid w:val="000561CE"/>
    <w:rsid w:val="00056206"/>
    <w:rsid w:val="00056223"/>
    <w:rsid w:val="000562F9"/>
    <w:rsid w:val="00056330"/>
    <w:rsid w:val="000563E5"/>
    <w:rsid w:val="000563F5"/>
    <w:rsid w:val="0005644B"/>
    <w:rsid w:val="0005646F"/>
    <w:rsid w:val="000566F6"/>
    <w:rsid w:val="00056713"/>
    <w:rsid w:val="00056770"/>
    <w:rsid w:val="000567AD"/>
    <w:rsid w:val="00056835"/>
    <w:rsid w:val="00056896"/>
    <w:rsid w:val="00056992"/>
    <w:rsid w:val="000569FE"/>
    <w:rsid w:val="00056A7F"/>
    <w:rsid w:val="00056AFA"/>
    <w:rsid w:val="00056BE7"/>
    <w:rsid w:val="00056BF0"/>
    <w:rsid w:val="00056C8C"/>
    <w:rsid w:val="00056D48"/>
    <w:rsid w:val="00056DDA"/>
    <w:rsid w:val="00056E7F"/>
    <w:rsid w:val="00056EE8"/>
    <w:rsid w:val="00056F94"/>
    <w:rsid w:val="00056FA5"/>
    <w:rsid w:val="0005706C"/>
    <w:rsid w:val="00057087"/>
    <w:rsid w:val="000570C1"/>
    <w:rsid w:val="00057118"/>
    <w:rsid w:val="0005718D"/>
    <w:rsid w:val="00057246"/>
    <w:rsid w:val="00057275"/>
    <w:rsid w:val="00057375"/>
    <w:rsid w:val="000573AD"/>
    <w:rsid w:val="0005759B"/>
    <w:rsid w:val="00057628"/>
    <w:rsid w:val="00057633"/>
    <w:rsid w:val="00057659"/>
    <w:rsid w:val="00057677"/>
    <w:rsid w:val="00057733"/>
    <w:rsid w:val="00057773"/>
    <w:rsid w:val="000577BC"/>
    <w:rsid w:val="000577FA"/>
    <w:rsid w:val="0005788C"/>
    <w:rsid w:val="000578BD"/>
    <w:rsid w:val="000578EA"/>
    <w:rsid w:val="00057926"/>
    <w:rsid w:val="00057940"/>
    <w:rsid w:val="0005799C"/>
    <w:rsid w:val="000579B9"/>
    <w:rsid w:val="00057A8C"/>
    <w:rsid w:val="00057AD4"/>
    <w:rsid w:val="00057B4D"/>
    <w:rsid w:val="00057B67"/>
    <w:rsid w:val="00057BA9"/>
    <w:rsid w:val="00057BBB"/>
    <w:rsid w:val="00057C23"/>
    <w:rsid w:val="00057CD1"/>
    <w:rsid w:val="00057D74"/>
    <w:rsid w:val="00057DFE"/>
    <w:rsid w:val="0005E7D1"/>
    <w:rsid w:val="00060016"/>
    <w:rsid w:val="000600C6"/>
    <w:rsid w:val="00060125"/>
    <w:rsid w:val="0006019B"/>
    <w:rsid w:val="000601DA"/>
    <w:rsid w:val="000602CB"/>
    <w:rsid w:val="0006032B"/>
    <w:rsid w:val="0006032C"/>
    <w:rsid w:val="00060370"/>
    <w:rsid w:val="000604F2"/>
    <w:rsid w:val="00060503"/>
    <w:rsid w:val="00060504"/>
    <w:rsid w:val="0006056A"/>
    <w:rsid w:val="000605E0"/>
    <w:rsid w:val="0006064B"/>
    <w:rsid w:val="00060677"/>
    <w:rsid w:val="000606E2"/>
    <w:rsid w:val="000606E5"/>
    <w:rsid w:val="00060813"/>
    <w:rsid w:val="00060852"/>
    <w:rsid w:val="000609A4"/>
    <w:rsid w:val="00060A55"/>
    <w:rsid w:val="00060AA0"/>
    <w:rsid w:val="00060B06"/>
    <w:rsid w:val="00060B98"/>
    <w:rsid w:val="00060C4A"/>
    <w:rsid w:val="00060C78"/>
    <w:rsid w:val="00060CCA"/>
    <w:rsid w:val="00060D1E"/>
    <w:rsid w:val="00060DCE"/>
    <w:rsid w:val="00060DFF"/>
    <w:rsid w:val="00060E79"/>
    <w:rsid w:val="00060F33"/>
    <w:rsid w:val="00060F6C"/>
    <w:rsid w:val="00060F73"/>
    <w:rsid w:val="00060F78"/>
    <w:rsid w:val="00060FB6"/>
    <w:rsid w:val="00060FDA"/>
    <w:rsid w:val="00060FE7"/>
    <w:rsid w:val="00060FFE"/>
    <w:rsid w:val="00061058"/>
    <w:rsid w:val="00061139"/>
    <w:rsid w:val="0006115E"/>
    <w:rsid w:val="00061276"/>
    <w:rsid w:val="000612F6"/>
    <w:rsid w:val="0006132E"/>
    <w:rsid w:val="00061363"/>
    <w:rsid w:val="000613E5"/>
    <w:rsid w:val="00061422"/>
    <w:rsid w:val="000614BF"/>
    <w:rsid w:val="000614D3"/>
    <w:rsid w:val="0006158C"/>
    <w:rsid w:val="00061607"/>
    <w:rsid w:val="0006161F"/>
    <w:rsid w:val="00061620"/>
    <w:rsid w:val="000616F5"/>
    <w:rsid w:val="0006170F"/>
    <w:rsid w:val="00061767"/>
    <w:rsid w:val="000617A3"/>
    <w:rsid w:val="000617A8"/>
    <w:rsid w:val="000618A6"/>
    <w:rsid w:val="000618CB"/>
    <w:rsid w:val="000618E1"/>
    <w:rsid w:val="000618FF"/>
    <w:rsid w:val="00061920"/>
    <w:rsid w:val="00061946"/>
    <w:rsid w:val="0006198F"/>
    <w:rsid w:val="000619B2"/>
    <w:rsid w:val="00061A35"/>
    <w:rsid w:val="00061AB7"/>
    <w:rsid w:val="00061B79"/>
    <w:rsid w:val="00061BEE"/>
    <w:rsid w:val="00061C28"/>
    <w:rsid w:val="00061CA7"/>
    <w:rsid w:val="00061CA8"/>
    <w:rsid w:val="00061D36"/>
    <w:rsid w:val="00061D7C"/>
    <w:rsid w:val="00061DC7"/>
    <w:rsid w:val="00061DDC"/>
    <w:rsid w:val="00061DE0"/>
    <w:rsid w:val="00061E4E"/>
    <w:rsid w:val="00061E77"/>
    <w:rsid w:val="00061E7C"/>
    <w:rsid w:val="00061EFD"/>
    <w:rsid w:val="00061F17"/>
    <w:rsid w:val="00061F23"/>
    <w:rsid w:val="000620B3"/>
    <w:rsid w:val="000621A5"/>
    <w:rsid w:val="00062239"/>
    <w:rsid w:val="00062274"/>
    <w:rsid w:val="00062295"/>
    <w:rsid w:val="000622AD"/>
    <w:rsid w:val="000622BF"/>
    <w:rsid w:val="00062391"/>
    <w:rsid w:val="0006250F"/>
    <w:rsid w:val="0006251C"/>
    <w:rsid w:val="0006255B"/>
    <w:rsid w:val="00062686"/>
    <w:rsid w:val="000626E8"/>
    <w:rsid w:val="00062703"/>
    <w:rsid w:val="000627DD"/>
    <w:rsid w:val="000627FB"/>
    <w:rsid w:val="00062831"/>
    <w:rsid w:val="000629B0"/>
    <w:rsid w:val="00062A65"/>
    <w:rsid w:val="00062ABF"/>
    <w:rsid w:val="00062AED"/>
    <w:rsid w:val="00062C26"/>
    <w:rsid w:val="00062C62"/>
    <w:rsid w:val="00062CB0"/>
    <w:rsid w:val="00062D58"/>
    <w:rsid w:val="00062EA7"/>
    <w:rsid w:val="00062FDC"/>
    <w:rsid w:val="00063003"/>
    <w:rsid w:val="0006300F"/>
    <w:rsid w:val="00063071"/>
    <w:rsid w:val="0006307F"/>
    <w:rsid w:val="00063102"/>
    <w:rsid w:val="0006310D"/>
    <w:rsid w:val="00063118"/>
    <w:rsid w:val="0006311D"/>
    <w:rsid w:val="0006314A"/>
    <w:rsid w:val="00063165"/>
    <w:rsid w:val="0006316A"/>
    <w:rsid w:val="0006317E"/>
    <w:rsid w:val="000631D3"/>
    <w:rsid w:val="000632E7"/>
    <w:rsid w:val="00063345"/>
    <w:rsid w:val="0006334B"/>
    <w:rsid w:val="000633AF"/>
    <w:rsid w:val="000633DB"/>
    <w:rsid w:val="00063404"/>
    <w:rsid w:val="00063416"/>
    <w:rsid w:val="00063454"/>
    <w:rsid w:val="0006345B"/>
    <w:rsid w:val="0006351B"/>
    <w:rsid w:val="00063538"/>
    <w:rsid w:val="00063583"/>
    <w:rsid w:val="000635B6"/>
    <w:rsid w:val="000635FB"/>
    <w:rsid w:val="00063623"/>
    <w:rsid w:val="0006363A"/>
    <w:rsid w:val="000636A3"/>
    <w:rsid w:val="000636BB"/>
    <w:rsid w:val="000636C6"/>
    <w:rsid w:val="000636FC"/>
    <w:rsid w:val="000637BB"/>
    <w:rsid w:val="0006391A"/>
    <w:rsid w:val="0006395F"/>
    <w:rsid w:val="00063A24"/>
    <w:rsid w:val="00063A3C"/>
    <w:rsid w:val="00063A48"/>
    <w:rsid w:val="00063A69"/>
    <w:rsid w:val="00063A7D"/>
    <w:rsid w:val="00063A8D"/>
    <w:rsid w:val="00063AC8"/>
    <w:rsid w:val="00063AD8"/>
    <w:rsid w:val="00063B70"/>
    <w:rsid w:val="00063BDC"/>
    <w:rsid w:val="00063C54"/>
    <w:rsid w:val="00063C7C"/>
    <w:rsid w:val="00063C9B"/>
    <w:rsid w:val="00063D02"/>
    <w:rsid w:val="00063D05"/>
    <w:rsid w:val="00063D34"/>
    <w:rsid w:val="00063DC1"/>
    <w:rsid w:val="00063DC9"/>
    <w:rsid w:val="00063DF3"/>
    <w:rsid w:val="00063E42"/>
    <w:rsid w:val="00063E8A"/>
    <w:rsid w:val="00063EA4"/>
    <w:rsid w:val="00063EA8"/>
    <w:rsid w:val="00063EC5"/>
    <w:rsid w:val="00063EDF"/>
    <w:rsid w:val="00063F2B"/>
    <w:rsid w:val="00063F43"/>
    <w:rsid w:val="00063F7F"/>
    <w:rsid w:val="00063F97"/>
    <w:rsid w:val="00063FFE"/>
    <w:rsid w:val="0006403F"/>
    <w:rsid w:val="000640A0"/>
    <w:rsid w:val="00064121"/>
    <w:rsid w:val="00064162"/>
    <w:rsid w:val="000641AE"/>
    <w:rsid w:val="000641F7"/>
    <w:rsid w:val="0006425A"/>
    <w:rsid w:val="000642A5"/>
    <w:rsid w:val="000642B6"/>
    <w:rsid w:val="00064439"/>
    <w:rsid w:val="0006449B"/>
    <w:rsid w:val="000644F3"/>
    <w:rsid w:val="00064509"/>
    <w:rsid w:val="00064576"/>
    <w:rsid w:val="000645DC"/>
    <w:rsid w:val="00064608"/>
    <w:rsid w:val="0006460C"/>
    <w:rsid w:val="0006464A"/>
    <w:rsid w:val="00064709"/>
    <w:rsid w:val="00064723"/>
    <w:rsid w:val="00064775"/>
    <w:rsid w:val="0006488D"/>
    <w:rsid w:val="000648BB"/>
    <w:rsid w:val="000648DF"/>
    <w:rsid w:val="00064934"/>
    <w:rsid w:val="000649FE"/>
    <w:rsid w:val="00064AF1"/>
    <w:rsid w:val="00064AF8"/>
    <w:rsid w:val="00064B17"/>
    <w:rsid w:val="00064BDC"/>
    <w:rsid w:val="00064BF0"/>
    <w:rsid w:val="00064D76"/>
    <w:rsid w:val="00064ECE"/>
    <w:rsid w:val="00064F35"/>
    <w:rsid w:val="00064F7D"/>
    <w:rsid w:val="00064FC7"/>
    <w:rsid w:val="00065078"/>
    <w:rsid w:val="000650EF"/>
    <w:rsid w:val="000651D2"/>
    <w:rsid w:val="00065210"/>
    <w:rsid w:val="0006525D"/>
    <w:rsid w:val="0006525F"/>
    <w:rsid w:val="000652EF"/>
    <w:rsid w:val="00065300"/>
    <w:rsid w:val="00065327"/>
    <w:rsid w:val="000653D8"/>
    <w:rsid w:val="000653F1"/>
    <w:rsid w:val="0006545B"/>
    <w:rsid w:val="000654C8"/>
    <w:rsid w:val="000654CA"/>
    <w:rsid w:val="000654E4"/>
    <w:rsid w:val="000654EC"/>
    <w:rsid w:val="000654F8"/>
    <w:rsid w:val="00065519"/>
    <w:rsid w:val="00065609"/>
    <w:rsid w:val="00065784"/>
    <w:rsid w:val="000657A8"/>
    <w:rsid w:val="000657AB"/>
    <w:rsid w:val="000657D3"/>
    <w:rsid w:val="000658E1"/>
    <w:rsid w:val="000659AC"/>
    <w:rsid w:val="00065A1A"/>
    <w:rsid w:val="00065D05"/>
    <w:rsid w:val="00065D6D"/>
    <w:rsid w:val="00065DCC"/>
    <w:rsid w:val="00065E58"/>
    <w:rsid w:val="00065ECF"/>
    <w:rsid w:val="00065F4E"/>
    <w:rsid w:val="00065FCF"/>
    <w:rsid w:val="00066077"/>
    <w:rsid w:val="0006610D"/>
    <w:rsid w:val="00066136"/>
    <w:rsid w:val="00066215"/>
    <w:rsid w:val="00066228"/>
    <w:rsid w:val="00066286"/>
    <w:rsid w:val="000662A0"/>
    <w:rsid w:val="000662C2"/>
    <w:rsid w:val="00066374"/>
    <w:rsid w:val="0006647E"/>
    <w:rsid w:val="000664B7"/>
    <w:rsid w:val="000664D9"/>
    <w:rsid w:val="0006658B"/>
    <w:rsid w:val="000665B5"/>
    <w:rsid w:val="000665FC"/>
    <w:rsid w:val="0006661F"/>
    <w:rsid w:val="00066684"/>
    <w:rsid w:val="000666C7"/>
    <w:rsid w:val="000666FF"/>
    <w:rsid w:val="00066705"/>
    <w:rsid w:val="00066A83"/>
    <w:rsid w:val="00066AA6"/>
    <w:rsid w:val="00066AD3"/>
    <w:rsid w:val="00066B4E"/>
    <w:rsid w:val="00066CB7"/>
    <w:rsid w:val="00066D26"/>
    <w:rsid w:val="00066D57"/>
    <w:rsid w:val="00066E51"/>
    <w:rsid w:val="00066EA9"/>
    <w:rsid w:val="00066ED6"/>
    <w:rsid w:val="00066ED8"/>
    <w:rsid w:val="00066F03"/>
    <w:rsid w:val="00066FA2"/>
    <w:rsid w:val="00066FAA"/>
    <w:rsid w:val="00066FD6"/>
    <w:rsid w:val="00067025"/>
    <w:rsid w:val="000670C4"/>
    <w:rsid w:val="000670D7"/>
    <w:rsid w:val="000670E4"/>
    <w:rsid w:val="000670EA"/>
    <w:rsid w:val="0006729D"/>
    <w:rsid w:val="000672D9"/>
    <w:rsid w:val="00067385"/>
    <w:rsid w:val="000673ED"/>
    <w:rsid w:val="000673EF"/>
    <w:rsid w:val="00067429"/>
    <w:rsid w:val="00067483"/>
    <w:rsid w:val="0006756F"/>
    <w:rsid w:val="000675BD"/>
    <w:rsid w:val="000675CB"/>
    <w:rsid w:val="000675F6"/>
    <w:rsid w:val="000676B8"/>
    <w:rsid w:val="00067750"/>
    <w:rsid w:val="00067770"/>
    <w:rsid w:val="0006779E"/>
    <w:rsid w:val="000677DE"/>
    <w:rsid w:val="000677F9"/>
    <w:rsid w:val="0006787E"/>
    <w:rsid w:val="000678AF"/>
    <w:rsid w:val="000678E9"/>
    <w:rsid w:val="000678F1"/>
    <w:rsid w:val="000678FD"/>
    <w:rsid w:val="0006792F"/>
    <w:rsid w:val="000679F2"/>
    <w:rsid w:val="00067A85"/>
    <w:rsid w:val="00067C9F"/>
    <w:rsid w:val="00067D3A"/>
    <w:rsid w:val="00067D4D"/>
    <w:rsid w:val="00067DAA"/>
    <w:rsid w:val="00067E64"/>
    <w:rsid w:val="00067F0B"/>
    <w:rsid w:val="00067FA3"/>
    <w:rsid w:val="00070022"/>
    <w:rsid w:val="00070080"/>
    <w:rsid w:val="000700AE"/>
    <w:rsid w:val="0007024E"/>
    <w:rsid w:val="0007028A"/>
    <w:rsid w:val="00070312"/>
    <w:rsid w:val="00070369"/>
    <w:rsid w:val="00070434"/>
    <w:rsid w:val="0007046D"/>
    <w:rsid w:val="000704B6"/>
    <w:rsid w:val="000704E0"/>
    <w:rsid w:val="0007051A"/>
    <w:rsid w:val="00070578"/>
    <w:rsid w:val="00070591"/>
    <w:rsid w:val="000705BA"/>
    <w:rsid w:val="000705C0"/>
    <w:rsid w:val="000705EE"/>
    <w:rsid w:val="0007067A"/>
    <w:rsid w:val="0007067D"/>
    <w:rsid w:val="00070698"/>
    <w:rsid w:val="00070718"/>
    <w:rsid w:val="00070774"/>
    <w:rsid w:val="000707C1"/>
    <w:rsid w:val="0007080E"/>
    <w:rsid w:val="00070865"/>
    <w:rsid w:val="000708DB"/>
    <w:rsid w:val="00070A09"/>
    <w:rsid w:val="00070AAA"/>
    <w:rsid w:val="00070B23"/>
    <w:rsid w:val="00070B49"/>
    <w:rsid w:val="00070B71"/>
    <w:rsid w:val="00070CF4"/>
    <w:rsid w:val="00070D38"/>
    <w:rsid w:val="00070DC2"/>
    <w:rsid w:val="00070DD0"/>
    <w:rsid w:val="00070E3C"/>
    <w:rsid w:val="00070F23"/>
    <w:rsid w:val="00070FA0"/>
    <w:rsid w:val="00070FF8"/>
    <w:rsid w:val="00071009"/>
    <w:rsid w:val="00071028"/>
    <w:rsid w:val="00071049"/>
    <w:rsid w:val="00071097"/>
    <w:rsid w:val="0007109E"/>
    <w:rsid w:val="000710B5"/>
    <w:rsid w:val="000710F6"/>
    <w:rsid w:val="00071200"/>
    <w:rsid w:val="00071202"/>
    <w:rsid w:val="0007122E"/>
    <w:rsid w:val="000712AB"/>
    <w:rsid w:val="00071314"/>
    <w:rsid w:val="0007134D"/>
    <w:rsid w:val="000713A7"/>
    <w:rsid w:val="000713D9"/>
    <w:rsid w:val="0007143B"/>
    <w:rsid w:val="000714FE"/>
    <w:rsid w:val="00071673"/>
    <w:rsid w:val="00071703"/>
    <w:rsid w:val="00071750"/>
    <w:rsid w:val="0007178E"/>
    <w:rsid w:val="00071849"/>
    <w:rsid w:val="000718E4"/>
    <w:rsid w:val="0007194B"/>
    <w:rsid w:val="000719BF"/>
    <w:rsid w:val="00071ACB"/>
    <w:rsid w:val="00071B10"/>
    <w:rsid w:val="00071B2B"/>
    <w:rsid w:val="00071C1E"/>
    <w:rsid w:val="00071C3F"/>
    <w:rsid w:val="00071D23"/>
    <w:rsid w:val="00071D9C"/>
    <w:rsid w:val="00071DBA"/>
    <w:rsid w:val="00071DC4"/>
    <w:rsid w:val="00071DE5"/>
    <w:rsid w:val="00071E2A"/>
    <w:rsid w:val="00071EBC"/>
    <w:rsid w:val="00071FB0"/>
    <w:rsid w:val="00071FBA"/>
    <w:rsid w:val="00071FDD"/>
    <w:rsid w:val="00072033"/>
    <w:rsid w:val="000721F1"/>
    <w:rsid w:val="00072244"/>
    <w:rsid w:val="000722CB"/>
    <w:rsid w:val="000722D1"/>
    <w:rsid w:val="00072464"/>
    <w:rsid w:val="000724CC"/>
    <w:rsid w:val="000725D8"/>
    <w:rsid w:val="00072620"/>
    <w:rsid w:val="00072667"/>
    <w:rsid w:val="0007268B"/>
    <w:rsid w:val="000726F3"/>
    <w:rsid w:val="0007279B"/>
    <w:rsid w:val="00072806"/>
    <w:rsid w:val="00072852"/>
    <w:rsid w:val="00072875"/>
    <w:rsid w:val="000728EF"/>
    <w:rsid w:val="0007295D"/>
    <w:rsid w:val="000729D4"/>
    <w:rsid w:val="000729E1"/>
    <w:rsid w:val="00072AC6"/>
    <w:rsid w:val="00072B26"/>
    <w:rsid w:val="00072B4F"/>
    <w:rsid w:val="00072B61"/>
    <w:rsid w:val="00072B7D"/>
    <w:rsid w:val="00072C97"/>
    <w:rsid w:val="00072CAE"/>
    <w:rsid w:val="00072CE5"/>
    <w:rsid w:val="00072D61"/>
    <w:rsid w:val="00072E78"/>
    <w:rsid w:val="00072EC1"/>
    <w:rsid w:val="00072F2C"/>
    <w:rsid w:val="00072F63"/>
    <w:rsid w:val="000730C2"/>
    <w:rsid w:val="000730E6"/>
    <w:rsid w:val="0007311C"/>
    <w:rsid w:val="0007319B"/>
    <w:rsid w:val="000731DE"/>
    <w:rsid w:val="00073207"/>
    <w:rsid w:val="000732B3"/>
    <w:rsid w:val="000732CD"/>
    <w:rsid w:val="000733E7"/>
    <w:rsid w:val="0007346E"/>
    <w:rsid w:val="00073497"/>
    <w:rsid w:val="000734BB"/>
    <w:rsid w:val="000734C6"/>
    <w:rsid w:val="000734C8"/>
    <w:rsid w:val="00073578"/>
    <w:rsid w:val="0007357A"/>
    <w:rsid w:val="00073620"/>
    <w:rsid w:val="00073707"/>
    <w:rsid w:val="0007371F"/>
    <w:rsid w:val="00073736"/>
    <w:rsid w:val="0007377D"/>
    <w:rsid w:val="00073855"/>
    <w:rsid w:val="000738CE"/>
    <w:rsid w:val="00073A3C"/>
    <w:rsid w:val="00073B01"/>
    <w:rsid w:val="00073B0C"/>
    <w:rsid w:val="00073B30"/>
    <w:rsid w:val="00073B42"/>
    <w:rsid w:val="00073B5A"/>
    <w:rsid w:val="00073BB2"/>
    <w:rsid w:val="00073BBE"/>
    <w:rsid w:val="00073C16"/>
    <w:rsid w:val="00073C29"/>
    <w:rsid w:val="00073CE4"/>
    <w:rsid w:val="00073CEA"/>
    <w:rsid w:val="00073D35"/>
    <w:rsid w:val="00073D5A"/>
    <w:rsid w:val="00073DA1"/>
    <w:rsid w:val="00073DCB"/>
    <w:rsid w:val="00073DE9"/>
    <w:rsid w:val="00073DF9"/>
    <w:rsid w:val="00073E4F"/>
    <w:rsid w:val="00073E59"/>
    <w:rsid w:val="00073ECC"/>
    <w:rsid w:val="00073EDB"/>
    <w:rsid w:val="00073EDC"/>
    <w:rsid w:val="00073F5C"/>
    <w:rsid w:val="00073FA3"/>
    <w:rsid w:val="00073FE7"/>
    <w:rsid w:val="00073FE9"/>
    <w:rsid w:val="00074090"/>
    <w:rsid w:val="00074151"/>
    <w:rsid w:val="0007415B"/>
    <w:rsid w:val="000741DF"/>
    <w:rsid w:val="00074303"/>
    <w:rsid w:val="0007442F"/>
    <w:rsid w:val="00074497"/>
    <w:rsid w:val="00074498"/>
    <w:rsid w:val="0007451F"/>
    <w:rsid w:val="000745BF"/>
    <w:rsid w:val="0007471B"/>
    <w:rsid w:val="00074769"/>
    <w:rsid w:val="00074774"/>
    <w:rsid w:val="000747C4"/>
    <w:rsid w:val="000747D8"/>
    <w:rsid w:val="00074831"/>
    <w:rsid w:val="00074895"/>
    <w:rsid w:val="000748CD"/>
    <w:rsid w:val="00074907"/>
    <w:rsid w:val="00074AE2"/>
    <w:rsid w:val="00074B1F"/>
    <w:rsid w:val="00074C2E"/>
    <w:rsid w:val="00074DBE"/>
    <w:rsid w:val="00074E10"/>
    <w:rsid w:val="00074EC7"/>
    <w:rsid w:val="000750B5"/>
    <w:rsid w:val="000750D9"/>
    <w:rsid w:val="000750F6"/>
    <w:rsid w:val="00075176"/>
    <w:rsid w:val="000752C6"/>
    <w:rsid w:val="00075310"/>
    <w:rsid w:val="00075341"/>
    <w:rsid w:val="0007539E"/>
    <w:rsid w:val="00075421"/>
    <w:rsid w:val="0007566E"/>
    <w:rsid w:val="000756CA"/>
    <w:rsid w:val="0007573A"/>
    <w:rsid w:val="00075823"/>
    <w:rsid w:val="00075838"/>
    <w:rsid w:val="00075863"/>
    <w:rsid w:val="000758B1"/>
    <w:rsid w:val="00075908"/>
    <w:rsid w:val="0007593E"/>
    <w:rsid w:val="00075942"/>
    <w:rsid w:val="0007599F"/>
    <w:rsid w:val="00075A13"/>
    <w:rsid w:val="00075AFD"/>
    <w:rsid w:val="00075B47"/>
    <w:rsid w:val="00075B6A"/>
    <w:rsid w:val="00075C27"/>
    <w:rsid w:val="00075C2E"/>
    <w:rsid w:val="00075CB9"/>
    <w:rsid w:val="00075CBE"/>
    <w:rsid w:val="00075D2C"/>
    <w:rsid w:val="00075D51"/>
    <w:rsid w:val="00075E26"/>
    <w:rsid w:val="00075E8D"/>
    <w:rsid w:val="00075E99"/>
    <w:rsid w:val="00075EAA"/>
    <w:rsid w:val="00075F08"/>
    <w:rsid w:val="00075F18"/>
    <w:rsid w:val="00075F80"/>
    <w:rsid w:val="00075F9E"/>
    <w:rsid w:val="0007604E"/>
    <w:rsid w:val="000760BE"/>
    <w:rsid w:val="0007616F"/>
    <w:rsid w:val="00076260"/>
    <w:rsid w:val="00076290"/>
    <w:rsid w:val="00076344"/>
    <w:rsid w:val="0007639A"/>
    <w:rsid w:val="0007639F"/>
    <w:rsid w:val="0007645B"/>
    <w:rsid w:val="00076483"/>
    <w:rsid w:val="0007648B"/>
    <w:rsid w:val="000764B7"/>
    <w:rsid w:val="000764F1"/>
    <w:rsid w:val="0007651D"/>
    <w:rsid w:val="00076530"/>
    <w:rsid w:val="00076540"/>
    <w:rsid w:val="0007656E"/>
    <w:rsid w:val="0007658C"/>
    <w:rsid w:val="000765B6"/>
    <w:rsid w:val="0007668D"/>
    <w:rsid w:val="000766D4"/>
    <w:rsid w:val="00076761"/>
    <w:rsid w:val="000767CB"/>
    <w:rsid w:val="0007684A"/>
    <w:rsid w:val="000768E1"/>
    <w:rsid w:val="00076939"/>
    <w:rsid w:val="000769A8"/>
    <w:rsid w:val="00076A59"/>
    <w:rsid w:val="00076A8A"/>
    <w:rsid w:val="00076C78"/>
    <w:rsid w:val="00076CD6"/>
    <w:rsid w:val="00076CEA"/>
    <w:rsid w:val="00076D05"/>
    <w:rsid w:val="00076D3A"/>
    <w:rsid w:val="00076D85"/>
    <w:rsid w:val="00076E1E"/>
    <w:rsid w:val="00076E45"/>
    <w:rsid w:val="00076F0D"/>
    <w:rsid w:val="00076F95"/>
    <w:rsid w:val="00077019"/>
    <w:rsid w:val="000771BD"/>
    <w:rsid w:val="0007722D"/>
    <w:rsid w:val="000772AC"/>
    <w:rsid w:val="000773BA"/>
    <w:rsid w:val="000773F0"/>
    <w:rsid w:val="0007743B"/>
    <w:rsid w:val="00077446"/>
    <w:rsid w:val="00077454"/>
    <w:rsid w:val="000774CD"/>
    <w:rsid w:val="000774EA"/>
    <w:rsid w:val="000774FA"/>
    <w:rsid w:val="00077621"/>
    <w:rsid w:val="00077634"/>
    <w:rsid w:val="0007764B"/>
    <w:rsid w:val="00077656"/>
    <w:rsid w:val="00077676"/>
    <w:rsid w:val="0007771F"/>
    <w:rsid w:val="00077754"/>
    <w:rsid w:val="00077808"/>
    <w:rsid w:val="0007798C"/>
    <w:rsid w:val="000779CB"/>
    <w:rsid w:val="00077A18"/>
    <w:rsid w:val="00077A5E"/>
    <w:rsid w:val="00077A8C"/>
    <w:rsid w:val="00077AE4"/>
    <w:rsid w:val="00077AF6"/>
    <w:rsid w:val="00077B33"/>
    <w:rsid w:val="00077BCB"/>
    <w:rsid w:val="00077BD6"/>
    <w:rsid w:val="00077D76"/>
    <w:rsid w:val="00077DA7"/>
    <w:rsid w:val="00077EA4"/>
    <w:rsid w:val="00077EC5"/>
    <w:rsid w:val="00077EFF"/>
    <w:rsid w:val="00077F2E"/>
    <w:rsid w:val="00077F7A"/>
    <w:rsid w:val="00077FB5"/>
    <w:rsid w:val="0008004F"/>
    <w:rsid w:val="000800C9"/>
    <w:rsid w:val="000802C8"/>
    <w:rsid w:val="000803A5"/>
    <w:rsid w:val="000803DE"/>
    <w:rsid w:val="000803E1"/>
    <w:rsid w:val="000804B8"/>
    <w:rsid w:val="000804C6"/>
    <w:rsid w:val="0008057F"/>
    <w:rsid w:val="00080635"/>
    <w:rsid w:val="00080663"/>
    <w:rsid w:val="0008071E"/>
    <w:rsid w:val="0008071F"/>
    <w:rsid w:val="0008073E"/>
    <w:rsid w:val="00080753"/>
    <w:rsid w:val="000807CC"/>
    <w:rsid w:val="00080846"/>
    <w:rsid w:val="0008094C"/>
    <w:rsid w:val="00080A35"/>
    <w:rsid w:val="00080B10"/>
    <w:rsid w:val="00080B71"/>
    <w:rsid w:val="00080C1B"/>
    <w:rsid w:val="00080C5A"/>
    <w:rsid w:val="00080C81"/>
    <w:rsid w:val="00080CCA"/>
    <w:rsid w:val="00080CF6"/>
    <w:rsid w:val="00080D2B"/>
    <w:rsid w:val="00080D82"/>
    <w:rsid w:val="00080D8E"/>
    <w:rsid w:val="00080DF5"/>
    <w:rsid w:val="00080EAC"/>
    <w:rsid w:val="00080EAF"/>
    <w:rsid w:val="00080EEE"/>
    <w:rsid w:val="00080F0F"/>
    <w:rsid w:val="00080F61"/>
    <w:rsid w:val="00080F9B"/>
    <w:rsid w:val="0008101D"/>
    <w:rsid w:val="0008103E"/>
    <w:rsid w:val="000810B3"/>
    <w:rsid w:val="000810C4"/>
    <w:rsid w:val="0008119F"/>
    <w:rsid w:val="000811E8"/>
    <w:rsid w:val="00081214"/>
    <w:rsid w:val="000812AE"/>
    <w:rsid w:val="00081312"/>
    <w:rsid w:val="00081327"/>
    <w:rsid w:val="0008133D"/>
    <w:rsid w:val="000814B0"/>
    <w:rsid w:val="00081562"/>
    <w:rsid w:val="00081594"/>
    <w:rsid w:val="00081596"/>
    <w:rsid w:val="0008165F"/>
    <w:rsid w:val="0008167E"/>
    <w:rsid w:val="000816EE"/>
    <w:rsid w:val="0008177D"/>
    <w:rsid w:val="000817D3"/>
    <w:rsid w:val="00081819"/>
    <w:rsid w:val="000818D8"/>
    <w:rsid w:val="0008190F"/>
    <w:rsid w:val="00081910"/>
    <w:rsid w:val="00081BB1"/>
    <w:rsid w:val="00081BC4"/>
    <w:rsid w:val="00081C41"/>
    <w:rsid w:val="00081DB6"/>
    <w:rsid w:val="00081E46"/>
    <w:rsid w:val="00081E53"/>
    <w:rsid w:val="00081E60"/>
    <w:rsid w:val="00081E73"/>
    <w:rsid w:val="00081ED9"/>
    <w:rsid w:val="00081EE6"/>
    <w:rsid w:val="00081EF6"/>
    <w:rsid w:val="00081F72"/>
    <w:rsid w:val="00081FFE"/>
    <w:rsid w:val="0008200D"/>
    <w:rsid w:val="0008205D"/>
    <w:rsid w:val="00082092"/>
    <w:rsid w:val="0008222C"/>
    <w:rsid w:val="0008225A"/>
    <w:rsid w:val="000822B3"/>
    <w:rsid w:val="0008233F"/>
    <w:rsid w:val="000823BB"/>
    <w:rsid w:val="000823BE"/>
    <w:rsid w:val="000823FE"/>
    <w:rsid w:val="00082464"/>
    <w:rsid w:val="000824A1"/>
    <w:rsid w:val="000824FB"/>
    <w:rsid w:val="0008254C"/>
    <w:rsid w:val="00082554"/>
    <w:rsid w:val="0008255A"/>
    <w:rsid w:val="0008261D"/>
    <w:rsid w:val="00082624"/>
    <w:rsid w:val="00082733"/>
    <w:rsid w:val="00082778"/>
    <w:rsid w:val="000827BC"/>
    <w:rsid w:val="000827BD"/>
    <w:rsid w:val="000827C1"/>
    <w:rsid w:val="0008289F"/>
    <w:rsid w:val="00082953"/>
    <w:rsid w:val="00082977"/>
    <w:rsid w:val="0008299A"/>
    <w:rsid w:val="000829F4"/>
    <w:rsid w:val="00082A6F"/>
    <w:rsid w:val="00082A7D"/>
    <w:rsid w:val="00082B24"/>
    <w:rsid w:val="00082B3E"/>
    <w:rsid w:val="00082BC4"/>
    <w:rsid w:val="00082BE5"/>
    <w:rsid w:val="00082BE7"/>
    <w:rsid w:val="00082C38"/>
    <w:rsid w:val="00082CC6"/>
    <w:rsid w:val="00082CDE"/>
    <w:rsid w:val="00082CF9"/>
    <w:rsid w:val="00082D50"/>
    <w:rsid w:val="00082DC4"/>
    <w:rsid w:val="00082EFA"/>
    <w:rsid w:val="00082F32"/>
    <w:rsid w:val="00082F6C"/>
    <w:rsid w:val="0008302A"/>
    <w:rsid w:val="00083091"/>
    <w:rsid w:val="000830E7"/>
    <w:rsid w:val="0008310F"/>
    <w:rsid w:val="000832B2"/>
    <w:rsid w:val="00083396"/>
    <w:rsid w:val="0008350F"/>
    <w:rsid w:val="0008354B"/>
    <w:rsid w:val="000835FC"/>
    <w:rsid w:val="000836A3"/>
    <w:rsid w:val="000836D9"/>
    <w:rsid w:val="0008373D"/>
    <w:rsid w:val="00083744"/>
    <w:rsid w:val="00083817"/>
    <w:rsid w:val="00083892"/>
    <w:rsid w:val="00083A45"/>
    <w:rsid w:val="00083AA4"/>
    <w:rsid w:val="00083AF3"/>
    <w:rsid w:val="00083B65"/>
    <w:rsid w:val="00083C0E"/>
    <w:rsid w:val="00083C10"/>
    <w:rsid w:val="00083C7E"/>
    <w:rsid w:val="00083D09"/>
    <w:rsid w:val="00083E66"/>
    <w:rsid w:val="00083E83"/>
    <w:rsid w:val="00083F04"/>
    <w:rsid w:val="00083F54"/>
    <w:rsid w:val="00083F99"/>
    <w:rsid w:val="00083FC0"/>
    <w:rsid w:val="0008400D"/>
    <w:rsid w:val="0008401E"/>
    <w:rsid w:val="00084052"/>
    <w:rsid w:val="000840A0"/>
    <w:rsid w:val="000840AE"/>
    <w:rsid w:val="000840EC"/>
    <w:rsid w:val="00084100"/>
    <w:rsid w:val="000841B6"/>
    <w:rsid w:val="000841B8"/>
    <w:rsid w:val="000841BE"/>
    <w:rsid w:val="000841C8"/>
    <w:rsid w:val="000841FD"/>
    <w:rsid w:val="00084217"/>
    <w:rsid w:val="000842FA"/>
    <w:rsid w:val="00084352"/>
    <w:rsid w:val="00084359"/>
    <w:rsid w:val="0008435E"/>
    <w:rsid w:val="00084408"/>
    <w:rsid w:val="000844B0"/>
    <w:rsid w:val="00084614"/>
    <w:rsid w:val="0008463A"/>
    <w:rsid w:val="0008473F"/>
    <w:rsid w:val="0008476A"/>
    <w:rsid w:val="000847BB"/>
    <w:rsid w:val="000847D7"/>
    <w:rsid w:val="0008483A"/>
    <w:rsid w:val="0008490C"/>
    <w:rsid w:val="0008491B"/>
    <w:rsid w:val="00084947"/>
    <w:rsid w:val="00084950"/>
    <w:rsid w:val="00084964"/>
    <w:rsid w:val="00084A5E"/>
    <w:rsid w:val="00084A7E"/>
    <w:rsid w:val="00084AD0"/>
    <w:rsid w:val="00084AE8"/>
    <w:rsid w:val="00084B7F"/>
    <w:rsid w:val="00084BA3"/>
    <w:rsid w:val="00084BC2"/>
    <w:rsid w:val="00084CA1"/>
    <w:rsid w:val="00084CCB"/>
    <w:rsid w:val="00084EC0"/>
    <w:rsid w:val="00084F42"/>
    <w:rsid w:val="00084F8B"/>
    <w:rsid w:val="00085078"/>
    <w:rsid w:val="000850FA"/>
    <w:rsid w:val="000851F1"/>
    <w:rsid w:val="00085343"/>
    <w:rsid w:val="0008536B"/>
    <w:rsid w:val="000853EF"/>
    <w:rsid w:val="0008543E"/>
    <w:rsid w:val="000854C7"/>
    <w:rsid w:val="00085568"/>
    <w:rsid w:val="0008557B"/>
    <w:rsid w:val="000855E9"/>
    <w:rsid w:val="0008565E"/>
    <w:rsid w:val="00085668"/>
    <w:rsid w:val="00085694"/>
    <w:rsid w:val="0008571D"/>
    <w:rsid w:val="0008582B"/>
    <w:rsid w:val="000858CA"/>
    <w:rsid w:val="00085996"/>
    <w:rsid w:val="00085ACB"/>
    <w:rsid w:val="00085ADC"/>
    <w:rsid w:val="00085B44"/>
    <w:rsid w:val="00085BA0"/>
    <w:rsid w:val="00085C65"/>
    <w:rsid w:val="00085CF1"/>
    <w:rsid w:val="00085DE7"/>
    <w:rsid w:val="00085E8B"/>
    <w:rsid w:val="00085EDE"/>
    <w:rsid w:val="00085EE7"/>
    <w:rsid w:val="00085F9B"/>
    <w:rsid w:val="000861B8"/>
    <w:rsid w:val="000862BF"/>
    <w:rsid w:val="000862F7"/>
    <w:rsid w:val="00086322"/>
    <w:rsid w:val="000863C3"/>
    <w:rsid w:val="00086417"/>
    <w:rsid w:val="0008645D"/>
    <w:rsid w:val="000864E3"/>
    <w:rsid w:val="00086514"/>
    <w:rsid w:val="00086547"/>
    <w:rsid w:val="00086558"/>
    <w:rsid w:val="000865B7"/>
    <w:rsid w:val="000865F9"/>
    <w:rsid w:val="000867B1"/>
    <w:rsid w:val="0008683D"/>
    <w:rsid w:val="0008690E"/>
    <w:rsid w:val="00086972"/>
    <w:rsid w:val="0008697D"/>
    <w:rsid w:val="0008699A"/>
    <w:rsid w:val="000869B4"/>
    <w:rsid w:val="00086A1E"/>
    <w:rsid w:val="00086A68"/>
    <w:rsid w:val="00086B04"/>
    <w:rsid w:val="00086CB7"/>
    <w:rsid w:val="00086CB9"/>
    <w:rsid w:val="00086D3A"/>
    <w:rsid w:val="00086D72"/>
    <w:rsid w:val="00086DD4"/>
    <w:rsid w:val="00086E8B"/>
    <w:rsid w:val="00086F63"/>
    <w:rsid w:val="00086F66"/>
    <w:rsid w:val="00086F8D"/>
    <w:rsid w:val="00086FB6"/>
    <w:rsid w:val="000870F4"/>
    <w:rsid w:val="00087189"/>
    <w:rsid w:val="0008718E"/>
    <w:rsid w:val="00087194"/>
    <w:rsid w:val="00087281"/>
    <w:rsid w:val="00087389"/>
    <w:rsid w:val="00087421"/>
    <w:rsid w:val="0008743D"/>
    <w:rsid w:val="0008743F"/>
    <w:rsid w:val="0008748B"/>
    <w:rsid w:val="0008749D"/>
    <w:rsid w:val="000874FE"/>
    <w:rsid w:val="00087564"/>
    <w:rsid w:val="00087624"/>
    <w:rsid w:val="00087666"/>
    <w:rsid w:val="00087674"/>
    <w:rsid w:val="0008768C"/>
    <w:rsid w:val="000876F6"/>
    <w:rsid w:val="00087889"/>
    <w:rsid w:val="0008788B"/>
    <w:rsid w:val="000878C9"/>
    <w:rsid w:val="000878E4"/>
    <w:rsid w:val="000879AD"/>
    <w:rsid w:val="00087A8C"/>
    <w:rsid w:val="00087A9E"/>
    <w:rsid w:val="00087B15"/>
    <w:rsid w:val="00087B9F"/>
    <w:rsid w:val="00087C63"/>
    <w:rsid w:val="00087C9F"/>
    <w:rsid w:val="00087D41"/>
    <w:rsid w:val="00087DA8"/>
    <w:rsid w:val="00087E17"/>
    <w:rsid w:val="00087E40"/>
    <w:rsid w:val="00087E49"/>
    <w:rsid w:val="00087EC3"/>
    <w:rsid w:val="00087ED4"/>
    <w:rsid w:val="00087F4C"/>
    <w:rsid w:val="00087F8D"/>
    <w:rsid w:val="0009008C"/>
    <w:rsid w:val="000900BC"/>
    <w:rsid w:val="000900D0"/>
    <w:rsid w:val="000900E7"/>
    <w:rsid w:val="000900E8"/>
    <w:rsid w:val="00090125"/>
    <w:rsid w:val="00090137"/>
    <w:rsid w:val="0009014A"/>
    <w:rsid w:val="00090163"/>
    <w:rsid w:val="000901F8"/>
    <w:rsid w:val="000901FF"/>
    <w:rsid w:val="00090364"/>
    <w:rsid w:val="00090369"/>
    <w:rsid w:val="00090473"/>
    <w:rsid w:val="00090476"/>
    <w:rsid w:val="0009054F"/>
    <w:rsid w:val="00090552"/>
    <w:rsid w:val="00090596"/>
    <w:rsid w:val="00090619"/>
    <w:rsid w:val="0009067D"/>
    <w:rsid w:val="000906A2"/>
    <w:rsid w:val="000906FB"/>
    <w:rsid w:val="0009095C"/>
    <w:rsid w:val="00090974"/>
    <w:rsid w:val="0009098E"/>
    <w:rsid w:val="00090998"/>
    <w:rsid w:val="00090A23"/>
    <w:rsid w:val="00090A6C"/>
    <w:rsid w:val="00090A7E"/>
    <w:rsid w:val="00090AD2"/>
    <w:rsid w:val="00090AFF"/>
    <w:rsid w:val="00090B2C"/>
    <w:rsid w:val="00090B69"/>
    <w:rsid w:val="00090BBF"/>
    <w:rsid w:val="00090C7F"/>
    <w:rsid w:val="00090CC4"/>
    <w:rsid w:val="00090CC7"/>
    <w:rsid w:val="00090CFC"/>
    <w:rsid w:val="00090D20"/>
    <w:rsid w:val="00090D5C"/>
    <w:rsid w:val="00090D79"/>
    <w:rsid w:val="00090DBB"/>
    <w:rsid w:val="00090E0F"/>
    <w:rsid w:val="00090E93"/>
    <w:rsid w:val="00090EB9"/>
    <w:rsid w:val="00090EBD"/>
    <w:rsid w:val="00090FC5"/>
    <w:rsid w:val="00090FCB"/>
    <w:rsid w:val="00090FDD"/>
    <w:rsid w:val="00090FE3"/>
    <w:rsid w:val="0009103C"/>
    <w:rsid w:val="00091055"/>
    <w:rsid w:val="00091059"/>
    <w:rsid w:val="0009109C"/>
    <w:rsid w:val="00091169"/>
    <w:rsid w:val="00091195"/>
    <w:rsid w:val="000911BE"/>
    <w:rsid w:val="0009121F"/>
    <w:rsid w:val="0009129C"/>
    <w:rsid w:val="0009141D"/>
    <w:rsid w:val="000914FA"/>
    <w:rsid w:val="00091551"/>
    <w:rsid w:val="0009156F"/>
    <w:rsid w:val="0009157D"/>
    <w:rsid w:val="0009159D"/>
    <w:rsid w:val="000915F3"/>
    <w:rsid w:val="0009167A"/>
    <w:rsid w:val="0009175B"/>
    <w:rsid w:val="000917C6"/>
    <w:rsid w:val="00091805"/>
    <w:rsid w:val="00091810"/>
    <w:rsid w:val="00091850"/>
    <w:rsid w:val="00091883"/>
    <w:rsid w:val="00091939"/>
    <w:rsid w:val="00091A5C"/>
    <w:rsid w:val="00091A6C"/>
    <w:rsid w:val="00091AFF"/>
    <w:rsid w:val="00091B62"/>
    <w:rsid w:val="00091B89"/>
    <w:rsid w:val="00091D55"/>
    <w:rsid w:val="00091D85"/>
    <w:rsid w:val="00091DE1"/>
    <w:rsid w:val="00091E41"/>
    <w:rsid w:val="00091E4B"/>
    <w:rsid w:val="00091EA5"/>
    <w:rsid w:val="00091EEF"/>
    <w:rsid w:val="00091F13"/>
    <w:rsid w:val="00091FAE"/>
    <w:rsid w:val="000920CB"/>
    <w:rsid w:val="00092135"/>
    <w:rsid w:val="000921B3"/>
    <w:rsid w:val="000921B8"/>
    <w:rsid w:val="0009220A"/>
    <w:rsid w:val="0009222B"/>
    <w:rsid w:val="0009229F"/>
    <w:rsid w:val="000922DB"/>
    <w:rsid w:val="0009233C"/>
    <w:rsid w:val="0009236D"/>
    <w:rsid w:val="000923A2"/>
    <w:rsid w:val="000923B5"/>
    <w:rsid w:val="00092415"/>
    <w:rsid w:val="0009243F"/>
    <w:rsid w:val="00092496"/>
    <w:rsid w:val="000924BB"/>
    <w:rsid w:val="0009253F"/>
    <w:rsid w:val="000925AC"/>
    <w:rsid w:val="0009267A"/>
    <w:rsid w:val="00092680"/>
    <w:rsid w:val="00092704"/>
    <w:rsid w:val="0009275C"/>
    <w:rsid w:val="0009279E"/>
    <w:rsid w:val="00092809"/>
    <w:rsid w:val="0009282C"/>
    <w:rsid w:val="0009291F"/>
    <w:rsid w:val="00092A14"/>
    <w:rsid w:val="00092A7F"/>
    <w:rsid w:val="00092AA3"/>
    <w:rsid w:val="00092ADA"/>
    <w:rsid w:val="00092BB9"/>
    <w:rsid w:val="00092D97"/>
    <w:rsid w:val="00092DA7"/>
    <w:rsid w:val="00092DBB"/>
    <w:rsid w:val="00092DC2"/>
    <w:rsid w:val="00092DF4"/>
    <w:rsid w:val="00092F01"/>
    <w:rsid w:val="00092F10"/>
    <w:rsid w:val="00092F46"/>
    <w:rsid w:val="0009311F"/>
    <w:rsid w:val="00093124"/>
    <w:rsid w:val="000931AC"/>
    <w:rsid w:val="0009328D"/>
    <w:rsid w:val="00093339"/>
    <w:rsid w:val="00093381"/>
    <w:rsid w:val="00093467"/>
    <w:rsid w:val="000934D2"/>
    <w:rsid w:val="0009351E"/>
    <w:rsid w:val="0009352F"/>
    <w:rsid w:val="000935D0"/>
    <w:rsid w:val="000935EF"/>
    <w:rsid w:val="0009367F"/>
    <w:rsid w:val="0009370E"/>
    <w:rsid w:val="00093754"/>
    <w:rsid w:val="000937A9"/>
    <w:rsid w:val="000937E7"/>
    <w:rsid w:val="000938E1"/>
    <w:rsid w:val="00093925"/>
    <w:rsid w:val="000939EB"/>
    <w:rsid w:val="00093A5F"/>
    <w:rsid w:val="00093B16"/>
    <w:rsid w:val="00093CEC"/>
    <w:rsid w:val="00093D46"/>
    <w:rsid w:val="00093DF4"/>
    <w:rsid w:val="00093E5A"/>
    <w:rsid w:val="00093E6A"/>
    <w:rsid w:val="00093EA1"/>
    <w:rsid w:val="00093FEC"/>
    <w:rsid w:val="000940AA"/>
    <w:rsid w:val="000940DA"/>
    <w:rsid w:val="00094138"/>
    <w:rsid w:val="00094165"/>
    <w:rsid w:val="0009416B"/>
    <w:rsid w:val="00094214"/>
    <w:rsid w:val="0009422B"/>
    <w:rsid w:val="0009423D"/>
    <w:rsid w:val="000942B3"/>
    <w:rsid w:val="00094316"/>
    <w:rsid w:val="00094346"/>
    <w:rsid w:val="00094355"/>
    <w:rsid w:val="00094384"/>
    <w:rsid w:val="0009440A"/>
    <w:rsid w:val="00094420"/>
    <w:rsid w:val="00094453"/>
    <w:rsid w:val="0009447D"/>
    <w:rsid w:val="000944A4"/>
    <w:rsid w:val="000944AA"/>
    <w:rsid w:val="000944BA"/>
    <w:rsid w:val="0009459D"/>
    <w:rsid w:val="000945BB"/>
    <w:rsid w:val="000945CA"/>
    <w:rsid w:val="00094646"/>
    <w:rsid w:val="000946AF"/>
    <w:rsid w:val="0009472D"/>
    <w:rsid w:val="00094797"/>
    <w:rsid w:val="0009491E"/>
    <w:rsid w:val="0009494E"/>
    <w:rsid w:val="000949B3"/>
    <w:rsid w:val="00094B31"/>
    <w:rsid w:val="00094B45"/>
    <w:rsid w:val="00094B6B"/>
    <w:rsid w:val="00094B6D"/>
    <w:rsid w:val="00094C04"/>
    <w:rsid w:val="00094C2A"/>
    <w:rsid w:val="00094C83"/>
    <w:rsid w:val="00094CBE"/>
    <w:rsid w:val="00094E29"/>
    <w:rsid w:val="00094E31"/>
    <w:rsid w:val="00094E9C"/>
    <w:rsid w:val="00094F14"/>
    <w:rsid w:val="00094F59"/>
    <w:rsid w:val="00095008"/>
    <w:rsid w:val="0009502A"/>
    <w:rsid w:val="00095057"/>
    <w:rsid w:val="0009508E"/>
    <w:rsid w:val="00095125"/>
    <w:rsid w:val="00095132"/>
    <w:rsid w:val="0009514B"/>
    <w:rsid w:val="00095205"/>
    <w:rsid w:val="0009521D"/>
    <w:rsid w:val="00095244"/>
    <w:rsid w:val="0009525B"/>
    <w:rsid w:val="000952D9"/>
    <w:rsid w:val="000953D7"/>
    <w:rsid w:val="000954F1"/>
    <w:rsid w:val="000955DB"/>
    <w:rsid w:val="00095658"/>
    <w:rsid w:val="000956EB"/>
    <w:rsid w:val="000956F0"/>
    <w:rsid w:val="00095719"/>
    <w:rsid w:val="000957AA"/>
    <w:rsid w:val="00095877"/>
    <w:rsid w:val="000958B7"/>
    <w:rsid w:val="00095935"/>
    <w:rsid w:val="00095953"/>
    <w:rsid w:val="00095972"/>
    <w:rsid w:val="000959B3"/>
    <w:rsid w:val="000959DF"/>
    <w:rsid w:val="00095A80"/>
    <w:rsid w:val="00095ADD"/>
    <w:rsid w:val="00095AFD"/>
    <w:rsid w:val="00095B01"/>
    <w:rsid w:val="00095B04"/>
    <w:rsid w:val="00095B6B"/>
    <w:rsid w:val="00095BBC"/>
    <w:rsid w:val="00095BF2"/>
    <w:rsid w:val="00095BFA"/>
    <w:rsid w:val="00095C05"/>
    <w:rsid w:val="00095C33"/>
    <w:rsid w:val="00095C34"/>
    <w:rsid w:val="00095C7B"/>
    <w:rsid w:val="00095C83"/>
    <w:rsid w:val="00095D26"/>
    <w:rsid w:val="00095E95"/>
    <w:rsid w:val="00095EA3"/>
    <w:rsid w:val="00095EDD"/>
    <w:rsid w:val="00096039"/>
    <w:rsid w:val="00096052"/>
    <w:rsid w:val="00096082"/>
    <w:rsid w:val="00096097"/>
    <w:rsid w:val="00096169"/>
    <w:rsid w:val="00096271"/>
    <w:rsid w:val="000962B9"/>
    <w:rsid w:val="000962FC"/>
    <w:rsid w:val="00096436"/>
    <w:rsid w:val="0009643A"/>
    <w:rsid w:val="000964DF"/>
    <w:rsid w:val="000965F2"/>
    <w:rsid w:val="00096647"/>
    <w:rsid w:val="00096648"/>
    <w:rsid w:val="0009665B"/>
    <w:rsid w:val="0009668C"/>
    <w:rsid w:val="0009669F"/>
    <w:rsid w:val="00096743"/>
    <w:rsid w:val="000968B2"/>
    <w:rsid w:val="00096937"/>
    <w:rsid w:val="0009697D"/>
    <w:rsid w:val="00096983"/>
    <w:rsid w:val="000969F3"/>
    <w:rsid w:val="00096A50"/>
    <w:rsid w:val="00096BE5"/>
    <w:rsid w:val="00096D5F"/>
    <w:rsid w:val="00096D69"/>
    <w:rsid w:val="00096D6D"/>
    <w:rsid w:val="00096DB3"/>
    <w:rsid w:val="00096DD6"/>
    <w:rsid w:val="00096F28"/>
    <w:rsid w:val="0009700C"/>
    <w:rsid w:val="00097090"/>
    <w:rsid w:val="0009718D"/>
    <w:rsid w:val="000971BA"/>
    <w:rsid w:val="00097254"/>
    <w:rsid w:val="00097268"/>
    <w:rsid w:val="000972C7"/>
    <w:rsid w:val="00097378"/>
    <w:rsid w:val="00097380"/>
    <w:rsid w:val="000973B4"/>
    <w:rsid w:val="000975A5"/>
    <w:rsid w:val="000975A7"/>
    <w:rsid w:val="000975ED"/>
    <w:rsid w:val="000975F5"/>
    <w:rsid w:val="0009761E"/>
    <w:rsid w:val="0009765D"/>
    <w:rsid w:val="0009765F"/>
    <w:rsid w:val="0009767C"/>
    <w:rsid w:val="000976E3"/>
    <w:rsid w:val="00097707"/>
    <w:rsid w:val="000977EE"/>
    <w:rsid w:val="000978BD"/>
    <w:rsid w:val="000978CE"/>
    <w:rsid w:val="0009791B"/>
    <w:rsid w:val="000979A1"/>
    <w:rsid w:val="00097A60"/>
    <w:rsid w:val="00097B2C"/>
    <w:rsid w:val="00097BCF"/>
    <w:rsid w:val="00097C54"/>
    <w:rsid w:val="00097C83"/>
    <w:rsid w:val="00097CAC"/>
    <w:rsid w:val="00097CBA"/>
    <w:rsid w:val="00097D2D"/>
    <w:rsid w:val="00097D58"/>
    <w:rsid w:val="00097D93"/>
    <w:rsid w:val="00097DD5"/>
    <w:rsid w:val="00097ECF"/>
    <w:rsid w:val="00097EF5"/>
    <w:rsid w:val="00097EFB"/>
    <w:rsid w:val="00097F34"/>
    <w:rsid w:val="000A0054"/>
    <w:rsid w:val="000A0079"/>
    <w:rsid w:val="000A026E"/>
    <w:rsid w:val="000A029E"/>
    <w:rsid w:val="000A036D"/>
    <w:rsid w:val="000A0488"/>
    <w:rsid w:val="000A049B"/>
    <w:rsid w:val="000A0531"/>
    <w:rsid w:val="000A0692"/>
    <w:rsid w:val="000A06A2"/>
    <w:rsid w:val="000A0707"/>
    <w:rsid w:val="000A074E"/>
    <w:rsid w:val="000A0813"/>
    <w:rsid w:val="000A0834"/>
    <w:rsid w:val="000A09C8"/>
    <w:rsid w:val="000A0A53"/>
    <w:rsid w:val="000A0A65"/>
    <w:rsid w:val="000A0B36"/>
    <w:rsid w:val="000A0C62"/>
    <w:rsid w:val="000A0E24"/>
    <w:rsid w:val="000A0E78"/>
    <w:rsid w:val="000A0E9F"/>
    <w:rsid w:val="000A0F1E"/>
    <w:rsid w:val="000A0FCA"/>
    <w:rsid w:val="000A1018"/>
    <w:rsid w:val="000A1075"/>
    <w:rsid w:val="000A10FF"/>
    <w:rsid w:val="000A11E2"/>
    <w:rsid w:val="000A12D4"/>
    <w:rsid w:val="000A12EE"/>
    <w:rsid w:val="000A1394"/>
    <w:rsid w:val="000A140E"/>
    <w:rsid w:val="000A1418"/>
    <w:rsid w:val="000A1422"/>
    <w:rsid w:val="000A1432"/>
    <w:rsid w:val="000A1456"/>
    <w:rsid w:val="000A14EB"/>
    <w:rsid w:val="000A1587"/>
    <w:rsid w:val="000A1624"/>
    <w:rsid w:val="000A169B"/>
    <w:rsid w:val="000A16D8"/>
    <w:rsid w:val="000A1741"/>
    <w:rsid w:val="000A18AD"/>
    <w:rsid w:val="000A1942"/>
    <w:rsid w:val="000A1ABD"/>
    <w:rsid w:val="000A1ABE"/>
    <w:rsid w:val="000A1ACA"/>
    <w:rsid w:val="000A1B48"/>
    <w:rsid w:val="000A1B4A"/>
    <w:rsid w:val="000A1B88"/>
    <w:rsid w:val="000A1C1B"/>
    <w:rsid w:val="000A1C39"/>
    <w:rsid w:val="000A1C8D"/>
    <w:rsid w:val="000A1CDA"/>
    <w:rsid w:val="000A1D7B"/>
    <w:rsid w:val="000A1DCC"/>
    <w:rsid w:val="000A1E40"/>
    <w:rsid w:val="000A1E66"/>
    <w:rsid w:val="000A1EBC"/>
    <w:rsid w:val="000A1EFA"/>
    <w:rsid w:val="000A1F00"/>
    <w:rsid w:val="000A1F46"/>
    <w:rsid w:val="000A1F59"/>
    <w:rsid w:val="000A1FA6"/>
    <w:rsid w:val="000A1FC0"/>
    <w:rsid w:val="000A2004"/>
    <w:rsid w:val="000A203C"/>
    <w:rsid w:val="000A207C"/>
    <w:rsid w:val="000A20E6"/>
    <w:rsid w:val="000A210A"/>
    <w:rsid w:val="000A2154"/>
    <w:rsid w:val="000A21AE"/>
    <w:rsid w:val="000A2206"/>
    <w:rsid w:val="000A22D1"/>
    <w:rsid w:val="000A22DA"/>
    <w:rsid w:val="000A23F0"/>
    <w:rsid w:val="000A2440"/>
    <w:rsid w:val="000A24FD"/>
    <w:rsid w:val="000A254B"/>
    <w:rsid w:val="000A256E"/>
    <w:rsid w:val="000A25C8"/>
    <w:rsid w:val="000A26B2"/>
    <w:rsid w:val="000A26B5"/>
    <w:rsid w:val="000A26BE"/>
    <w:rsid w:val="000A26C6"/>
    <w:rsid w:val="000A26DB"/>
    <w:rsid w:val="000A26FF"/>
    <w:rsid w:val="000A2711"/>
    <w:rsid w:val="000A2754"/>
    <w:rsid w:val="000A2799"/>
    <w:rsid w:val="000A286C"/>
    <w:rsid w:val="000A286F"/>
    <w:rsid w:val="000A291F"/>
    <w:rsid w:val="000A2963"/>
    <w:rsid w:val="000A298B"/>
    <w:rsid w:val="000A29CA"/>
    <w:rsid w:val="000A29D0"/>
    <w:rsid w:val="000A29F3"/>
    <w:rsid w:val="000A2A1D"/>
    <w:rsid w:val="000A2A6C"/>
    <w:rsid w:val="000A2AB6"/>
    <w:rsid w:val="000A2ABA"/>
    <w:rsid w:val="000A2ACE"/>
    <w:rsid w:val="000A2ADD"/>
    <w:rsid w:val="000A2AE3"/>
    <w:rsid w:val="000A2B03"/>
    <w:rsid w:val="000A2B4E"/>
    <w:rsid w:val="000A2B53"/>
    <w:rsid w:val="000A2CD2"/>
    <w:rsid w:val="000A2CEE"/>
    <w:rsid w:val="000A2E34"/>
    <w:rsid w:val="000A2E36"/>
    <w:rsid w:val="000A2EA3"/>
    <w:rsid w:val="000A3012"/>
    <w:rsid w:val="000A30EF"/>
    <w:rsid w:val="000A3143"/>
    <w:rsid w:val="000A319A"/>
    <w:rsid w:val="000A3252"/>
    <w:rsid w:val="000A3357"/>
    <w:rsid w:val="000A33B2"/>
    <w:rsid w:val="000A345B"/>
    <w:rsid w:val="000A3497"/>
    <w:rsid w:val="000A349C"/>
    <w:rsid w:val="000A3587"/>
    <w:rsid w:val="000A359A"/>
    <w:rsid w:val="000A35D1"/>
    <w:rsid w:val="000A3645"/>
    <w:rsid w:val="000A3655"/>
    <w:rsid w:val="000A368B"/>
    <w:rsid w:val="000A36C0"/>
    <w:rsid w:val="000A36D8"/>
    <w:rsid w:val="000A379A"/>
    <w:rsid w:val="000A3822"/>
    <w:rsid w:val="000A3904"/>
    <w:rsid w:val="000A395E"/>
    <w:rsid w:val="000A39F9"/>
    <w:rsid w:val="000A3A72"/>
    <w:rsid w:val="000A3A83"/>
    <w:rsid w:val="000A3ABF"/>
    <w:rsid w:val="000A3AD4"/>
    <w:rsid w:val="000A3AF1"/>
    <w:rsid w:val="000A3B43"/>
    <w:rsid w:val="000A3B87"/>
    <w:rsid w:val="000A3BEE"/>
    <w:rsid w:val="000A3CA2"/>
    <w:rsid w:val="000A3E1B"/>
    <w:rsid w:val="000A3E2E"/>
    <w:rsid w:val="000A3E44"/>
    <w:rsid w:val="000A3E78"/>
    <w:rsid w:val="000A3E95"/>
    <w:rsid w:val="000A3F31"/>
    <w:rsid w:val="000A3F35"/>
    <w:rsid w:val="000A3F4B"/>
    <w:rsid w:val="000A4021"/>
    <w:rsid w:val="000A40F3"/>
    <w:rsid w:val="000A4140"/>
    <w:rsid w:val="000A4300"/>
    <w:rsid w:val="000A4361"/>
    <w:rsid w:val="000A454C"/>
    <w:rsid w:val="000A45AB"/>
    <w:rsid w:val="000A46B4"/>
    <w:rsid w:val="000A4721"/>
    <w:rsid w:val="000A478C"/>
    <w:rsid w:val="000A483F"/>
    <w:rsid w:val="000A4869"/>
    <w:rsid w:val="000A4936"/>
    <w:rsid w:val="000A499C"/>
    <w:rsid w:val="000A4A43"/>
    <w:rsid w:val="000A4A8E"/>
    <w:rsid w:val="000A4CA8"/>
    <w:rsid w:val="000A4CB1"/>
    <w:rsid w:val="000A4DA5"/>
    <w:rsid w:val="000A4DFD"/>
    <w:rsid w:val="000A4E3B"/>
    <w:rsid w:val="000A4EC5"/>
    <w:rsid w:val="000A4F19"/>
    <w:rsid w:val="000A4F36"/>
    <w:rsid w:val="000A4F82"/>
    <w:rsid w:val="000A4F85"/>
    <w:rsid w:val="000A5049"/>
    <w:rsid w:val="000A504D"/>
    <w:rsid w:val="000A508A"/>
    <w:rsid w:val="000A50B3"/>
    <w:rsid w:val="000A5116"/>
    <w:rsid w:val="000A51E6"/>
    <w:rsid w:val="000A51EF"/>
    <w:rsid w:val="000A5228"/>
    <w:rsid w:val="000A522B"/>
    <w:rsid w:val="000A52E8"/>
    <w:rsid w:val="000A539F"/>
    <w:rsid w:val="000A53DE"/>
    <w:rsid w:val="000A5563"/>
    <w:rsid w:val="000A56CC"/>
    <w:rsid w:val="000A56FB"/>
    <w:rsid w:val="000A5721"/>
    <w:rsid w:val="000A57FE"/>
    <w:rsid w:val="000A589D"/>
    <w:rsid w:val="000A5953"/>
    <w:rsid w:val="000A5982"/>
    <w:rsid w:val="000A59C5"/>
    <w:rsid w:val="000A5A33"/>
    <w:rsid w:val="000A5A41"/>
    <w:rsid w:val="000A5DB6"/>
    <w:rsid w:val="000A5E15"/>
    <w:rsid w:val="000A5ECF"/>
    <w:rsid w:val="000A5ED9"/>
    <w:rsid w:val="000A5EDB"/>
    <w:rsid w:val="000A5F65"/>
    <w:rsid w:val="000A5F9A"/>
    <w:rsid w:val="000A5FAB"/>
    <w:rsid w:val="000A61E6"/>
    <w:rsid w:val="000A6243"/>
    <w:rsid w:val="000A6265"/>
    <w:rsid w:val="000A6270"/>
    <w:rsid w:val="000A6382"/>
    <w:rsid w:val="000A64D2"/>
    <w:rsid w:val="000A64EE"/>
    <w:rsid w:val="000A656B"/>
    <w:rsid w:val="000A659A"/>
    <w:rsid w:val="000A65CE"/>
    <w:rsid w:val="000A66CD"/>
    <w:rsid w:val="000A678A"/>
    <w:rsid w:val="000A6791"/>
    <w:rsid w:val="000A67F3"/>
    <w:rsid w:val="000A685A"/>
    <w:rsid w:val="000A6A3E"/>
    <w:rsid w:val="000A6A57"/>
    <w:rsid w:val="000A6ACB"/>
    <w:rsid w:val="000A6AF5"/>
    <w:rsid w:val="000A6B90"/>
    <w:rsid w:val="000A6BBD"/>
    <w:rsid w:val="000A6C23"/>
    <w:rsid w:val="000A6CF8"/>
    <w:rsid w:val="000A6D7E"/>
    <w:rsid w:val="000A6E62"/>
    <w:rsid w:val="000A6E7E"/>
    <w:rsid w:val="000A6EB4"/>
    <w:rsid w:val="000A6F27"/>
    <w:rsid w:val="000A7027"/>
    <w:rsid w:val="000A712C"/>
    <w:rsid w:val="000A712D"/>
    <w:rsid w:val="000A7157"/>
    <w:rsid w:val="000A7196"/>
    <w:rsid w:val="000A7208"/>
    <w:rsid w:val="000A725B"/>
    <w:rsid w:val="000A7290"/>
    <w:rsid w:val="000A7349"/>
    <w:rsid w:val="000A7368"/>
    <w:rsid w:val="000A73C8"/>
    <w:rsid w:val="000A73FB"/>
    <w:rsid w:val="000A7423"/>
    <w:rsid w:val="000A753B"/>
    <w:rsid w:val="000A76B6"/>
    <w:rsid w:val="000A76B9"/>
    <w:rsid w:val="000A778C"/>
    <w:rsid w:val="000A7791"/>
    <w:rsid w:val="000A78ED"/>
    <w:rsid w:val="000A790D"/>
    <w:rsid w:val="000A795C"/>
    <w:rsid w:val="000A7973"/>
    <w:rsid w:val="000A7A6D"/>
    <w:rsid w:val="000A7A88"/>
    <w:rsid w:val="000A7AE3"/>
    <w:rsid w:val="000A7B10"/>
    <w:rsid w:val="000A7CDA"/>
    <w:rsid w:val="000A7D39"/>
    <w:rsid w:val="000A7D4E"/>
    <w:rsid w:val="000A7DF0"/>
    <w:rsid w:val="000A7E40"/>
    <w:rsid w:val="000A7E41"/>
    <w:rsid w:val="000A7E89"/>
    <w:rsid w:val="000A7EC8"/>
    <w:rsid w:val="000A7F90"/>
    <w:rsid w:val="000A7FB1"/>
    <w:rsid w:val="000B0039"/>
    <w:rsid w:val="000B0131"/>
    <w:rsid w:val="000B0142"/>
    <w:rsid w:val="000B0195"/>
    <w:rsid w:val="000B0212"/>
    <w:rsid w:val="000B025C"/>
    <w:rsid w:val="000B0368"/>
    <w:rsid w:val="000B040F"/>
    <w:rsid w:val="000B0466"/>
    <w:rsid w:val="000B0581"/>
    <w:rsid w:val="000B066D"/>
    <w:rsid w:val="000B06BB"/>
    <w:rsid w:val="000B0710"/>
    <w:rsid w:val="000B07D6"/>
    <w:rsid w:val="000B0823"/>
    <w:rsid w:val="000B0859"/>
    <w:rsid w:val="000B0869"/>
    <w:rsid w:val="000B08B4"/>
    <w:rsid w:val="000B096B"/>
    <w:rsid w:val="000B09CB"/>
    <w:rsid w:val="000B09DF"/>
    <w:rsid w:val="000B09EA"/>
    <w:rsid w:val="000B0ADF"/>
    <w:rsid w:val="000B0B67"/>
    <w:rsid w:val="000B0BB5"/>
    <w:rsid w:val="000B0BBC"/>
    <w:rsid w:val="000B0C25"/>
    <w:rsid w:val="000B0C33"/>
    <w:rsid w:val="000B0C73"/>
    <w:rsid w:val="000B0C79"/>
    <w:rsid w:val="000B0D07"/>
    <w:rsid w:val="000B0DC4"/>
    <w:rsid w:val="000B0DCB"/>
    <w:rsid w:val="000B0DD1"/>
    <w:rsid w:val="000B0E1C"/>
    <w:rsid w:val="000B0F24"/>
    <w:rsid w:val="000B0FEE"/>
    <w:rsid w:val="000B1022"/>
    <w:rsid w:val="000B106C"/>
    <w:rsid w:val="000B10E8"/>
    <w:rsid w:val="000B1111"/>
    <w:rsid w:val="000B117E"/>
    <w:rsid w:val="000B11EE"/>
    <w:rsid w:val="000B1206"/>
    <w:rsid w:val="000B12BA"/>
    <w:rsid w:val="000B12DA"/>
    <w:rsid w:val="000B1398"/>
    <w:rsid w:val="000B13A1"/>
    <w:rsid w:val="000B13F9"/>
    <w:rsid w:val="000B13FD"/>
    <w:rsid w:val="000B1441"/>
    <w:rsid w:val="000B14F7"/>
    <w:rsid w:val="000B1502"/>
    <w:rsid w:val="000B1545"/>
    <w:rsid w:val="000B15D8"/>
    <w:rsid w:val="000B16AF"/>
    <w:rsid w:val="000B1707"/>
    <w:rsid w:val="000B17DD"/>
    <w:rsid w:val="000B1803"/>
    <w:rsid w:val="000B1870"/>
    <w:rsid w:val="000B1901"/>
    <w:rsid w:val="000B194C"/>
    <w:rsid w:val="000B19A1"/>
    <w:rsid w:val="000B19E4"/>
    <w:rsid w:val="000B19EE"/>
    <w:rsid w:val="000B1A2D"/>
    <w:rsid w:val="000B1AAB"/>
    <w:rsid w:val="000B1AF1"/>
    <w:rsid w:val="000B1B13"/>
    <w:rsid w:val="000B1D84"/>
    <w:rsid w:val="000B1D9E"/>
    <w:rsid w:val="000B1DD8"/>
    <w:rsid w:val="000B1E10"/>
    <w:rsid w:val="000B1F1D"/>
    <w:rsid w:val="000B1F37"/>
    <w:rsid w:val="000B1F46"/>
    <w:rsid w:val="000B1F53"/>
    <w:rsid w:val="000B1F6D"/>
    <w:rsid w:val="000B205A"/>
    <w:rsid w:val="000B2088"/>
    <w:rsid w:val="000B2174"/>
    <w:rsid w:val="000B2191"/>
    <w:rsid w:val="000B21BD"/>
    <w:rsid w:val="000B233C"/>
    <w:rsid w:val="000B2349"/>
    <w:rsid w:val="000B23C7"/>
    <w:rsid w:val="000B2421"/>
    <w:rsid w:val="000B2487"/>
    <w:rsid w:val="000B2513"/>
    <w:rsid w:val="000B259B"/>
    <w:rsid w:val="000B2718"/>
    <w:rsid w:val="000B271E"/>
    <w:rsid w:val="000B27D3"/>
    <w:rsid w:val="000B2848"/>
    <w:rsid w:val="000B288D"/>
    <w:rsid w:val="000B28E5"/>
    <w:rsid w:val="000B297B"/>
    <w:rsid w:val="000B29BC"/>
    <w:rsid w:val="000B2A21"/>
    <w:rsid w:val="000B2B15"/>
    <w:rsid w:val="000B2B19"/>
    <w:rsid w:val="000B2B55"/>
    <w:rsid w:val="000B2B62"/>
    <w:rsid w:val="000B2C02"/>
    <w:rsid w:val="000B2C42"/>
    <w:rsid w:val="000B2C74"/>
    <w:rsid w:val="000B2C93"/>
    <w:rsid w:val="000B2CAE"/>
    <w:rsid w:val="000B2CF1"/>
    <w:rsid w:val="000B2D25"/>
    <w:rsid w:val="000B2D59"/>
    <w:rsid w:val="000B2D5C"/>
    <w:rsid w:val="000B2D74"/>
    <w:rsid w:val="000B2D93"/>
    <w:rsid w:val="000B2E0E"/>
    <w:rsid w:val="000B2E7A"/>
    <w:rsid w:val="000B2E90"/>
    <w:rsid w:val="000B2EA9"/>
    <w:rsid w:val="000B2EB1"/>
    <w:rsid w:val="000B2FA9"/>
    <w:rsid w:val="000B3039"/>
    <w:rsid w:val="000B303F"/>
    <w:rsid w:val="000B3051"/>
    <w:rsid w:val="000B30B6"/>
    <w:rsid w:val="000B317D"/>
    <w:rsid w:val="000B318C"/>
    <w:rsid w:val="000B31B6"/>
    <w:rsid w:val="000B31D2"/>
    <w:rsid w:val="000B3324"/>
    <w:rsid w:val="000B33D2"/>
    <w:rsid w:val="000B3409"/>
    <w:rsid w:val="000B342E"/>
    <w:rsid w:val="000B344E"/>
    <w:rsid w:val="000B3451"/>
    <w:rsid w:val="000B34BC"/>
    <w:rsid w:val="000B3503"/>
    <w:rsid w:val="000B3537"/>
    <w:rsid w:val="000B356C"/>
    <w:rsid w:val="000B3587"/>
    <w:rsid w:val="000B358A"/>
    <w:rsid w:val="000B3759"/>
    <w:rsid w:val="000B377F"/>
    <w:rsid w:val="000B37D8"/>
    <w:rsid w:val="000B37DA"/>
    <w:rsid w:val="000B37F8"/>
    <w:rsid w:val="000B380E"/>
    <w:rsid w:val="000B3830"/>
    <w:rsid w:val="000B3834"/>
    <w:rsid w:val="000B38E5"/>
    <w:rsid w:val="000B3926"/>
    <w:rsid w:val="000B3945"/>
    <w:rsid w:val="000B3957"/>
    <w:rsid w:val="000B397E"/>
    <w:rsid w:val="000B39ED"/>
    <w:rsid w:val="000B3B6C"/>
    <w:rsid w:val="000B3C64"/>
    <w:rsid w:val="000B3DDD"/>
    <w:rsid w:val="000B3E1F"/>
    <w:rsid w:val="000B3E73"/>
    <w:rsid w:val="000B3F85"/>
    <w:rsid w:val="000B4015"/>
    <w:rsid w:val="000B405E"/>
    <w:rsid w:val="000B408A"/>
    <w:rsid w:val="000B40BB"/>
    <w:rsid w:val="000B414C"/>
    <w:rsid w:val="000B42DB"/>
    <w:rsid w:val="000B430B"/>
    <w:rsid w:val="000B4373"/>
    <w:rsid w:val="000B442F"/>
    <w:rsid w:val="000B4446"/>
    <w:rsid w:val="000B4487"/>
    <w:rsid w:val="000B448D"/>
    <w:rsid w:val="000B44D0"/>
    <w:rsid w:val="000B44DA"/>
    <w:rsid w:val="000B4510"/>
    <w:rsid w:val="000B45CE"/>
    <w:rsid w:val="000B4613"/>
    <w:rsid w:val="000B46BF"/>
    <w:rsid w:val="000B46F6"/>
    <w:rsid w:val="000B4737"/>
    <w:rsid w:val="000B47E9"/>
    <w:rsid w:val="000B4839"/>
    <w:rsid w:val="000B4925"/>
    <w:rsid w:val="000B49B6"/>
    <w:rsid w:val="000B4B28"/>
    <w:rsid w:val="000B4B56"/>
    <w:rsid w:val="000B4B74"/>
    <w:rsid w:val="000B4B82"/>
    <w:rsid w:val="000B4B8B"/>
    <w:rsid w:val="000B4C34"/>
    <w:rsid w:val="000B4C3A"/>
    <w:rsid w:val="000B4C48"/>
    <w:rsid w:val="000B4CD0"/>
    <w:rsid w:val="000B4CD1"/>
    <w:rsid w:val="000B4D20"/>
    <w:rsid w:val="000B4D2B"/>
    <w:rsid w:val="000B4D74"/>
    <w:rsid w:val="000B4E09"/>
    <w:rsid w:val="000B4F0F"/>
    <w:rsid w:val="000B4F16"/>
    <w:rsid w:val="000B4F6E"/>
    <w:rsid w:val="000B4FC4"/>
    <w:rsid w:val="000B5008"/>
    <w:rsid w:val="000B5079"/>
    <w:rsid w:val="000B5101"/>
    <w:rsid w:val="000B5162"/>
    <w:rsid w:val="000B5164"/>
    <w:rsid w:val="000B5169"/>
    <w:rsid w:val="000B520C"/>
    <w:rsid w:val="000B5539"/>
    <w:rsid w:val="000B558B"/>
    <w:rsid w:val="000B55AD"/>
    <w:rsid w:val="000B55B6"/>
    <w:rsid w:val="000B55C3"/>
    <w:rsid w:val="000B55C5"/>
    <w:rsid w:val="000B560A"/>
    <w:rsid w:val="000B5659"/>
    <w:rsid w:val="000B5692"/>
    <w:rsid w:val="000B56B7"/>
    <w:rsid w:val="000B5716"/>
    <w:rsid w:val="000B576C"/>
    <w:rsid w:val="000B5811"/>
    <w:rsid w:val="000B581B"/>
    <w:rsid w:val="000B584A"/>
    <w:rsid w:val="000B5865"/>
    <w:rsid w:val="000B594E"/>
    <w:rsid w:val="000B5964"/>
    <w:rsid w:val="000B5A00"/>
    <w:rsid w:val="000B5A55"/>
    <w:rsid w:val="000B5A8B"/>
    <w:rsid w:val="000B5AB6"/>
    <w:rsid w:val="000B5B70"/>
    <w:rsid w:val="000B5B9B"/>
    <w:rsid w:val="000B5BDC"/>
    <w:rsid w:val="000B5C30"/>
    <w:rsid w:val="000B5CF9"/>
    <w:rsid w:val="000B5CFD"/>
    <w:rsid w:val="000B5D69"/>
    <w:rsid w:val="000B5DCB"/>
    <w:rsid w:val="000B5DEF"/>
    <w:rsid w:val="000B5E33"/>
    <w:rsid w:val="000B5E7C"/>
    <w:rsid w:val="000B5F76"/>
    <w:rsid w:val="000B5FC5"/>
    <w:rsid w:val="000B5FE8"/>
    <w:rsid w:val="000B6070"/>
    <w:rsid w:val="000B60E9"/>
    <w:rsid w:val="000B610C"/>
    <w:rsid w:val="000B6244"/>
    <w:rsid w:val="000B6272"/>
    <w:rsid w:val="000B62ED"/>
    <w:rsid w:val="000B6375"/>
    <w:rsid w:val="000B647A"/>
    <w:rsid w:val="000B648A"/>
    <w:rsid w:val="000B6541"/>
    <w:rsid w:val="000B657D"/>
    <w:rsid w:val="000B65D5"/>
    <w:rsid w:val="000B663F"/>
    <w:rsid w:val="000B6725"/>
    <w:rsid w:val="000B6734"/>
    <w:rsid w:val="000B67EF"/>
    <w:rsid w:val="000B6851"/>
    <w:rsid w:val="000B6852"/>
    <w:rsid w:val="000B6874"/>
    <w:rsid w:val="000B69F9"/>
    <w:rsid w:val="000B6A06"/>
    <w:rsid w:val="000B6A24"/>
    <w:rsid w:val="000B6AE0"/>
    <w:rsid w:val="000B6B23"/>
    <w:rsid w:val="000B6B3A"/>
    <w:rsid w:val="000B6B3F"/>
    <w:rsid w:val="000B6B86"/>
    <w:rsid w:val="000B6B8C"/>
    <w:rsid w:val="000B6B8F"/>
    <w:rsid w:val="000B6BB1"/>
    <w:rsid w:val="000B6C1F"/>
    <w:rsid w:val="000B6C6D"/>
    <w:rsid w:val="000B6CBE"/>
    <w:rsid w:val="000B6CDC"/>
    <w:rsid w:val="000B6D5D"/>
    <w:rsid w:val="000B6D97"/>
    <w:rsid w:val="000B6DB3"/>
    <w:rsid w:val="000B6E1C"/>
    <w:rsid w:val="000B6E8F"/>
    <w:rsid w:val="000B6EB5"/>
    <w:rsid w:val="000B7052"/>
    <w:rsid w:val="000B705F"/>
    <w:rsid w:val="000B7069"/>
    <w:rsid w:val="000B710A"/>
    <w:rsid w:val="000B7146"/>
    <w:rsid w:val="000B719A"/>
    <w:rsid w:val="000B72BC"/>
    <w:rsid w:val="000B7361"/>
    <w:rsid w:val="000B73C2"/>
    <w:rsid w:val="000B746A"/>
    <w:rsid w:val="000B7477"/>
    <w:rsid w:val="000B750D"/>
    <w:rsid w:val="000B75A3"/>
    <w:rsid w:val="000B75BB"/>
    <w:rsid w:val="000B75D1"/>
    <w:rsid w:val="000B7655"/>
    <w:rsid w:val="000B7682"/>
    <w:rsid w:val="000B76C9"/>
    <w:rsid w:val="000B7724"/>
    <w:rsid w:val="000B7739"/>
    <w:rsid w:val="000B77B4"/>
    <w:rsid w:val="000B77E2"/>
    <w:rsid w:val="000B77FF"/>
    <w:rsid w:val="000B7850"/>
    <w:rsid w:val="000B7853"/>
    <w:rsid w:val="000B7A42"/>
    <w:rsid w:val="000B7A48"/>
    <w:rsid w:val="000B7AE8"/>
    <w:rsid w:val="000B7B32"/>
    <w:rsid w:val="000B7B4E"/>
    <w:rsid w:val="000B7B56"/>
    <w:rsid w:val="000B7B72"/>
    <w:rsid w:val="000B7B87"/>
    <w:rsid w:val="000B7C53"/>
    <w:rsid w:val="000B7C58"/>
    <w:rsid w:val="000B7C5F"/>
    <w:rsid w:val="000B7CFE"/>
    <w:rsid w:val="000B7E33"/>
    <w:rsid w:val="000B7E43"/>
    <w:rsid w:val="000B7E6C"/>
    <w:rsid w:val="000B7F2D"/>
    <w:rsid w:val="000B7F9C"/>
    <w:rsid w:val="000C0034"/>
    <w:rsid w:val="000C008F"/>
    <w:rsid w:val="000C00B4"/>
    <w:rsid w:val="000C00EA"/>
    <w:rsid w:val="000C00FF"/>
    <w:rsid w:val="000C0182"/>
    <w:rsid w:val="000C02A8"/>
    <w:rsid w:val="000C02D4"/>
    <w:rsid w:val="000C02FE"/>
    <w:rsid w:val="000C0404"/>
    <w:rsid w:val="000C0464"/>
    <w:rsid w:val="000C0493"/>
    <w:rsid w:val="000C054B"/>
    <w:rsid w:val="000C05A7"/>
    <w:rsid w:val="000C067F"/>
    <w:rsid w:val="000C06CE"/>
    <w:rsid w:val="000C0755"/>
    <w:rsid w:val="000C07B5"/>
    <w:rsid w:val="000C07C5"/>
    <w:rsid w:val="000C0847"/>
    <w:rsid w:val="000C088E"/>
    <w:rsid w:val="000C08CC"/>
    <w:rsid w:val="000C0A44"/>
    <w:rsid w:val="000C0A71"/>
    <w:rsid w:val="000C0AFC"/>
    <w:rsid w:val="000C0B9E"/>
    <w:rsid w:val="000C0CE7"/>
    <w:rsid w:val="000C0D44"/>
    <w:rsid w:val="000C0DFA"/>
    <w:rsid w:val="000C0E9A"/>
    <w:rsid w:val="000C0F37"/>
    <w:rsid w:val="000C0F85"/>
    <w:rsid w:val="000C0F86"/>
    <w:rsid w:val="000C1147"/>
    <w:rsid w:val="000C1198"/>
    <w:rsid w:val="000C1200"/>
    <w:rsid w:val="000C1259"/>
    <w:rsid w:val="000C12B0"/>
    <w:rsid w:val="000C12B9"/>
    <w:rsid w:val="000C131A"/>
    <w:rsid w:val="000C131D"/>
    <w:rsid w:val="000C1379"/>
    <w:rsid w:val="000C13C9"/>
    <w:rsid w:val="000C140F"/>
    <w:rsid w:val="000C141F"/>
    <w:rsid w:val="000C1488"/>
    <w:rsid w:val="000C1546"/>
    <w:rsid w:val="000C163C"/>
    <w:rsid w:val="000C16FC"/>
    <w:rsid w:val="000C1709"/>
    <w:rsid w:val="000C17EC"/>
    <w:rsid w:val="000C1822"/>
    <w:rsid w:val="000C182D"/>
    <w:rsid w:val="000C18BE"/>
    <w:rsid w:val="000C18E4"/>
    <w:rsid w:val="000C1913"/>
    <w:rsid w:val="000C1ADB"/>
    <w:rsid w:val="000C1AEE"/>
    <w:rsid w:val="000C1AF7"/>
    <w:rsid w:val="000C1BB1"/>
    <w:rsid w:val="000C1BBE"/>
    <w:rsid w:val="000C1CB0"/>
    <w:rsid w:val="000C1D55"/>
    <w:rsid w:val="000C1DFA"/>
    <w:rsid w:val="000C1DFF"/>
    <w:rsid w:val="000C1E6F"/>
    <w:rsid w:val="000C1E90"/>
    <w:rsid w:val="000C1EC9"/>
    <w:rsid w:val="000C1F0F"/>
    <w:rsid w:val="000C1F7A"/>
    <w:rsid w:val="000C1F81"/>
    <w:rsid w:val="000C1FA8"/>
    <w:rsid w:val="000C1FB6"/>
    <w:rsid w:val="000C2051"/>
    <w:rsid w:val="000C206C"/>
    <w:rsid w:val="000C209F"/>
    <w:rsid w:val="000C2160"/>
    <w:rsid w:val="000C2175"/>
    <w:rsid w:val="000C21B9"/>
    <w:rsid w:val="000C21DA"/>
    <w:rsid w:val="000C2207"/>
    <w:rsid w:val="000C2236"/>
    <w:rsid w:val="000C22C6"/>
    <w:rsid w:val="000C235F"/>
    <w:rsid w:val="000C243F"/>
    <w:rsid w:val="000C2454"/>
    <w:rsid w:val="000C2508"/>
    <w:rsid w:val="000C2603"/>
    <w:rsid w:val="000C269D"/>
    <w:rsid w:val="000C26CB"/>
    <w:rsid w:val="000C26E3"/>
    <w:rsid w:val="000C271A"/>
    <w:rsid w:val="000C27E9"/>
    <w:rsid w:val="000C2830"/>
    <w:rsid w:val="000C2896"/>
    <w:rsid w:val="000C2897"/>
    <w:rsid w:val="000C289B"/>
    <w:rsid w:val="000C28ED"/>
    <w:rsid w:val="000C291B"/>
    <w:rsid w:val="000C29B2"/>
    <w:rsid w:val="000C29FF"/>
    <w:rsid w:val="000C2AB2"/>
    <w:rsid w:val="000C2B93"/>
    <w:rsid w:val="000C2C9C"/>
    <w:rsid w:val="000C2D5F"/>
    <w:rsid w:val="000C2DCE"/>
    <w:rsid w:val="000C2E8E"/>
    <w:rsid w:val="000C2F2D"/>
    <w:rsid w:val="000C2F62"/>
    <w:rsid w:val="000C2F65"/>
    <w:rsid w:val="000C2F90"/>
    <w:rsid w:val="000C2F9A"/>
    <w:rsid w:val="000C3067"/>
    <w:rsid w:val="000C3097"/>
    <w:rsid w:val="000C31E8"/>
    <w:rsid w:val="000C31FB"/>
    <w:rsid w:val="000C3214"/>
    <w:rsid w:val="000C3249"/>
    <w:rsid w:val="000C3268"/>
    <w:rsid w:val="000C3269"/>
    <w:rsid w:val="000C3273"/>
    <w:rsid w:val="000C32D9"/>
    <w:rsid w:val="000C351F"/>
    <w:rsid w:val="000C3520"/>
    <w:rsid w:val="000C354D"/>
    <w:rsid w:val="000C3557"/>
    <w:rsid w:val="000C3576"/>
    <w:rsid w:val="000C3595"/>
    <w:rsid w:val="000C35A3"/>
    <w:rsid w:val="000C3622"/>
    <w:rsid w:val="000C3670"/>
    <w:rsid w:val="000C3674"/>
    <w:rsid w:val="000C367A"/>
    <w:rsid w:val="000C378C"/>
    <w:rsid w:val="000C3808"/>
    <w:rsid w:val="000C387D"/>
    <w:rsid w:val="000C39EF"/>
    <w:rsid w:val="000C3A81"/>
    <w:rsid w:val="000C3B98"/>
    <w:rsid w:val="000C3BDC"/>
    <w:rsid w:val="000C3C8C"/>
    <w:rsid w:val="000C3D06"/>
    <w:rsid w:val="000C3D51"/>
    <w:rsid w:val="000C3D71"/>
    <w:rsid w:val="000C3E11"/>
    <w:rsid w:val="000C3EA4"/>
    <w:rsid w:val="000C3EA6"/>
    <w:rsid w:val="000C3F90"/>
    <w:rsid w:val="000C3FC7"/>
    <w:rsid w:val="000C3FF9"/>
    <w:rsid w:val="000C404D"/>
    <w:rsid w:val="000C4188"/>
    <w:rsid w:val="000C424A"/>
    <w:rsid w:val="000C42B6"/>
    <w:rsid w:val="000C4362"/>
    <w:rsid w:val="000C437C"/>
    <w:rsid w:val="000C440D"/>
    <w:rsid w:val="000C44DA"/>
    <w:rsid w:val="000C44EC"/>
    <w:rsid w:val="000C45D6"/>
    <w:rsid w:val="000C4619"/>
    <w:rsid w:val="000C464A"/>
    <w:rsid w:val="000C4709"/>
    <w:rsid w:val="000C471B"/>
    <w:rsid w:val="000C4756"/>
    <w:rsid w:val="000C4801"/>
    <w:rsid w:val="000C48F2"/>
    <w:rsid w:val="000C4904"/>
    <w:rsid w:val="000C491B"/>
    <w:rsid w:val="000C496C"/>
    <w:rsid w:val="000C49AF"/>
    <w:rsid w:val="000C4B3A"/>
    <w:rsid w:val="000C4B56"/>
    <w:rsid w:val="000C4B9A"/>
    <w:rsid w:val="000C4C14"/>
    <w:rsid w:val="000C4C6D"/>
    <w:rsid w:val="000C4CC3"/>
    <w:rsid w:val="000C4D76"/>
    <w:rsid w:val="000C4D7E"/>
    <w:rsid w:val="000C4D9A"/>
    <w:rsid w:val="000C4E19"/>
    <w:rsid w:val="000C4E25"/>
    <w:rsid w:val="000C4F20"/>
    <w:rsid w:val="000C4FF4"/>
    <w:rsid w:val="000C50B5"/>
    <w:rsid w:val="000C5123"/>
    <w:rsid w:val="000C5159"/>
    <w:rsid w:val="000C5184"/>
    <w:rsid w:val="000C524B"/>
    <w:rsid w:val="000C52B1"/>
    <w:rsid w:val="000C52CE"/>
    <w:rsid w:val="000C52FA"/>
    <w:rsid w:val="000C53A6"/>
    <w:rsid w:val="000C544F"/>
    <w:rsid w:val="000C5532"/>
    <w:rsid w:val="000C5576"/>
    <w:rsid w:val="000C566A"/>
    <w:rsid w:val="000C5754"/>
    <w:rsid w:val="000C5827"/>
    <w:rsid w:val="000C58A2"/>
    <w:rsid w:val="000C597E"/>
    <w:rsid w:val="000C5987"/>
    <w:rsid w:val="000C59A5"/>
    <w:rsid w:val="000C59F8"/>
    <w:rsid w:val="000C5A59"/>
    <w:rsid w:val="000C5A7A"/>
    <w:rsid w:val="000C5A89"/>
    <w:rsid w:val="000C5AE8"/>
    <w:rsid w:val="000C5AEC"/>
    <w:rsid w:val="000C5B05"/>
    <w:rsid w:val="000C5B2B"/>
    <w:rsid w:val="000C5B48"/>
    <w:rsid w:val="000C5C43"/>
    <w:rsid w:val="000C5C5B"/>
    <w:rsid w:val="000C5EB6"/>
    <w:rsid w:val="000C5F09"/>
    <w:rsid w:val="000C5F9A"/>
    <w:rsid w:val="000C603D"/>
    <w:rsid w:val="000C6101"/>
    <w:rsid w:val="000C6157"/>
    <w:rsid w:val="000C61B2"/>
    <w:rsid w:val="000C61E1"/>
    <w:rsid w:val="000C61E5"/>
    <w:rsid w:val="000C6233"/>
    <w:rsid w:val="000C628B"/>
    <w:rsid w:val="000C62B8"/>
    <w:rsid w:val="000C6301"/>
    <w:rsid w:val="000C6325"/>
    <w:rsid w:val="000C636F"/>
    <w:rsid w:val="000C63AF"/>
    <w:rsid w:val="000C6443"/>
    <w:rsid w:val="000C6513"/>
    <w:rsid w:val="000C65C4"/>
    <w:rsid w:val="000C6680"/>
    <w:rsid w:val="000C668D"/>
    <w:rsid w:val="000C66AD"/>
    <w:rsid w:val="000C66C7"/>
    <w:rsid w:val="000C66ED"/>
    <w:rsid w:val="000C67C9"/>
    <w:rsid w:val="000C68E2"/>
    <w:rsid w:val="000C6908"/>
    <w:rsid w:val="000C697D"/>
    <w:rsid w:val="000C6991"/>
    <w:rsid w:val="000C6AD7"/>
    <w:rsid w:val="000C6B7A"/>
    <w:rsid w:val="000C6BBB"/>
    <w:rsid w:val="000C6BDF"/>
    <w:rsid w:val="000C6C41"/>
    <w:rsid w:val="000C6C4F"/>
    <w:rsid w:val="000C6C9D"/>
    <w:rsid w:val="000C6CA5"/>
    <w:rsid w:val="000C6CDF"/>
    <w:rsid w:val="000C6D16"/>
    <w:rsid w:val="000C6DA9"/>
    <w:rsid w:val="000C6DC6"/>
    <w:rsid w:val="000C6E86"/>
    <w:rsid w:val="000C6ECA"/>
    <w:rsid w:val="000C6F07"/>
    <w:rsid w:val="000C6F71"/>
    <w:rsid w:val="000C6F90"/>
    <w:rsid w:val="000C6FDC"/>
    <w:rsid w:val="000C6FF4"/>
    <w:rsid w:val="000C7031"/>
    <w:rsid w:val="000C7036"/>
    <w:rsid w:val="000C7112"/>
    <w:rsid w:val="000C7184"/>
    <w:rsid w:val="000C7193"/>
    <w:rsid w:val="000C71FD"/>
    <w:rsid w:val="000C7227"/>
    <w:rsid w:val="000C722B"/>
    <w:rsid w:val="000C722F"/>
    <w:rsid w:val="000C7271"/>
    <w:rsid w:val="000C733C"/>
    <w:rsid w:val="000C7355"/>
    <w:rsid w:val="000C737E"/>
    <w:rsid w:val="000C7450"/>
    <w:rsid w:val="000C74BF"/>
    <w:rsid w:val="000C74DA"/>
    <w:rsid w:val="000C750B"/>
    <w:rsid w:val="000C7654"/>
    <w:rsid w:val="000C781B"/>
    <w:rsid w:val="000C78F5"/>
    <w:rsid w:val="000C79EE"/>
    <w:rsid w:val="000C79F2"/>
    <w:rsid w:val="000C7A23"/>
    <w:rsid w:val="000C7A68"/>
    <w:rsid w:val="000C7AAF"/>
    <w:rsid w:val="000C7B32"/>
    <w:rsid w:val="000C7C75"/>
    <w:rsid w:val="000C7D0E"/>
    <w:rsid w:val="000C7D1D"/>
    <w:rsid w:val="000C7DCF"/>
    <w:rsid w:val="000C7E11"/>
    <w:rsid w:val="000C7E3C"/>
    <w:rsid w:val="000C7E5E"/>
    <w:rsid w:val="000C7EA5"/>
    <w:rsid w:val="000C7F21"/>
    <w:rsid w:val="000C7F42"/>
    <w:rsid w:val="000C7F51"/>
    <w:rsid w:val="000C7FBC"/>
    <w:rsid w:val="000C7FD1"/>
    <w:rsid w:val="000D0000"/>
    <w:rsid w:val="000D0043"/>
    <w:rsid w:val="000D007C"/>
    <w:rsid w:val="000D00A3"/>
    <w:rsid w:val="000D0221"/>
    <w:rsid w:val="000D0267"/>
    <w:rsid w:val="000D026D"/>
    <w:rsid w:val="000D0278"/>
    <w:rsid w:val="000D0285"/>
    <w:rsid w:val="000D0348"/>
    <w:rsid w:val="000D0384"/>
    <w:rsid w:val="000D03D8"/>
    <w:rsid w:val="000D0447"/>
    <w:rsid w:val="000D046D"/>
    <w:rsid w:val="000D04AC"/>
    <w:rsid w:val="000D0551"/>
    <w:rsid w:val="000D055A"/>
    <w:rsid w:val="000D0606"/>
    <w:rsid w:val="000D060F"/>
    <w:rsid w:val="000D0693"/>
    <w:rsid w:val="000D06F6"/>
    <w:rsid w:val="000D08CC"/>
    <w:rsid w:val="000D0903"/>
    <w:rsid w:val="000D093E"/>
    <w:rsid w:val="000D09AC"/>
    <w:rsid w:val="000D09D3"/>
    <w:rsid w:val="000D09EF"/>
    <w:rsid w:val="000D09F6"/>
    <w:rsid w:val="000D0ADD"/>
    <w:rsid w:val="000D0B54"/>
    <w:rsid w:val="000D0B78"/>
    <w:rsid w:val="000D0B96"/>
    <w:rsid w:val="000D0BFD"/>
    <w:rsid w:val="000D0C1F"/>
    <w:rsid w:val="000D0CD2"/>
    <w:rsid w:val="000D0D19"/>
    <w:rsid w:val="000D0D72"/>
    <w:rsid w:val="000D0D90"/>
    <w:rsid w:val="000D0F2F"/>
    <w:rsid w:val="000D0FDE"/>
    <w:rsid w:val="000D0FEA"/>
    <w:rsid w:val="000D101C"/>
    <w:rsid w:val="000D1020"/>
    <w:rsid w:val="000D104C"/>
    <w:rsid w:val="000D1067"/>
    <w:rsid w:val="000D1076"/>
    <w:rsid w:val="000D107B"/>
    <w:rsid w:val="000D10C8"/>
    <w:rsid w:val="000D10E7"/>
    <w:rsid w:val="000D10EC"/>
    <w:rsid w:val="000D1112"/>
    <w:rsid w:val="000D1151"/>
    <w:rsid w:val="000D1152"/>
    <w:rsid w:val="000D1203"/>
    <w:rsid w:val="000D121D"/>
    <w:rsid w:val="000D1224"/>
    <w:rsid w:val="000D12E0"/>
    <w:rsid w:val="000D1344"/>
    <w:rsid w:val="000D137C"/>
    <w:rsid w:val="000D1395"/>
    <w:rsid w:val="000D13CF"/>
    <w:rsid w:val="000D140A"/>
    <w:rsid w:val="000D1429"/>
    <w:rsid w:val="000D145A"/>
    <w:rsid w:val="000D14E8"/>
    <w:rsid w:val="000D15C0"/>
    <w:rsid w:val="000D1626"/>
    <w:rsid w:val="000D1742"/>
    <w:rsid w:val="000D1767"/>
    <w:rsid w:val="000D178F"/>
    <w:rsid w:val="000D179D"/>
    <w:rsid w:val="000D17C3"/>
    <w:rsid w:val="000D1823"/>
    <w:rsid w:val="000D18BC"/>
    <w:rsid w:val="000D18E5"/>
    <w:rsid w:val="000D1988"/>
    <w:rsid w:val="000D198C"/>
    <w:rsid w:val="000D1AD2"/>
    <w:rsid w:val="000D1ADF"/>
    <w:rsid w:val="000D1B0A"/>
    <w:rsid w:val="000D1B31"/>
    <w:rsid w:val="000D1B9B"/>
    <w:rsid w:val="000D1BD3"/>
    <w:rsid w:val="000D1C33"/>
    <w:rsid w:val="000D1C68"/>
    <w:rsid w:val="000D1DB2"/>
    <w:rsid w:val="000D1E37"/>
    <w:rsid w:val="000D1F16"/>
    <w:rsid w:val="000D1F79"/>
    <w:rsid w:val="000D1F7C"/>
    <w:rsid w:val="000D1FA5"/>
    <w:rsid w:val="000D20C2"/>
    <w:rsid w:val="000D2157"/>
    <w:rsid w:val="000D2190"/>
    <w:rsid w:val="000D22E6"/>
    <w:rsid w:val="000D2317"/>
    <w:rsid w:val="000D235E"/>
    <w:rsid w:val="000D2376"/>
    <w:rsid w:val="000D238A"/>
    <w:rsid w:val="000D2417"/>
    <w:rsid w:val="000D2448"/>
    <w:rsid w:val="000D254D"/>
    <w:rsid w:val="000D2555"/>
    <w:rsid w:val="000D2635"/>
    <w:rsid w:val="000D2719"/>
    <w:rsid w:val="000D2726"/>
    <w:rsid w:val="000D272D"/>
    <w:rsid w:val="000D2737"/>
    <w:rsid w:val="000D275F"/>
    <w:rsid w:val="000D2766"/>
    <w:rsid w:val="000D2776"/>
    <w:rsid w:val="000D27B4"/>
    <w:rsid w:val="000D2823"/>
    <w:rsid w:val="000D2840"/>
    <w:rsid w:val="000D28B9"/>
    <w:rsid w:val="000D2906"/>
    <w:rsid w:val="000D298D"/>
    <w:rsid w:val="000D29C3"/>
    <w:rsid w:val="000D29D7"/>
    <w:rsid w:val="000D2ACE"/>
    <w:rsid w:val="000D2AEA"/>
    <w:rsid w:val="000D2B0D"/>
    <w:rsid w:val="000D2B27"/>
    <w:rsid w:val="000D2B48"/>
    <w:rsid w:val="000D2B62"/>
    <w:rsid w:val="000D2B7C"/>
    <w:rsid w:val="000D2CFB"/>
    <w:rsid w:val="000D2D53"/>
    <w:rsid w:val="000D2DA3"/>
    <w:rsid w:val="000D2DB4"/>
    <w:rsid w:val="000D2DCD"/>
    <w:rsid w:val="000D2E3C"/>
    <w:rsid w:val="000D2E59"/>
    <w:rsid w:val="000D2E65"/>
    <w:rsid w:val="000D2E72"/>
    <w:rsid w:val="000D2EF6"/>
    <w:rsid w:val="000D2F22"/>
    <w:rsid w:val="000D3003"/>
    <w:rsid w:val="000D304E"/>
    <w:rsid w:val="000D3066"/>
    <w:rsid w:val="000D3069"/>
    <w:rsid w:val="000D30E9"/>
    <w:rsid w:val="000D313C"/>
    <w:rsid w:val="000D3169"/>
    <w:rsid w:val="000D3185"/>
    <w:rsid w:val="000D3250"/>
    <w:rsid w:val="000D3373"/>
    <w:rsid w:val="000D33BB"/>
    <w:rsid w:val="000D33FB"/>
    <w:rsid w:val="000D353D"/>
    <w:rsid w:val="000D3591"/>
    <w:rsid w:val="000D35A2"/>
    <w:rsid w:val="000D35F5"/>
    <w:rsid w:val="000D3611"/>
    <w:rsid w:val="000D365C"/>
    <w:rsid w:val="000D3686"/>
    <w:rsid w:val="000D3750"/>
    <w:rsid w:val="000D375A"/>
    <w:rsid w:val="000D3788"/>
    <w:rsid w:val="000D381D"/>
    <w:rsid w:val="000D38E1"/>
    <w:rsid w:val="000D390D"/>
    <w:rsid w:val="000D390F"/>
    <w:rsid w:val="000D3923"/>
    <w:rsid w:val="000D39A3"/>
    <w:rsid w:val="000D3A02"/>
    <w:rsid w:val="000D3A13"/>
    <w:rsid w:val="000D3A74"/>
    <w:rsid w:val="000D3A8D"/>
    <w:rsid w:val="000D3B24"/>
    <w:rsid w:val="000D3BB1"/>
    <w:rsid w:val="000D3C70"/>
    <w:rsid w:val="000D3DE0"/>
    <w:rsid w:val="000D3EE7"/>
    <w:rsid w:val="000D3F05"/>
    <w:rsid w:val="000D3F19"/>
    <w:rsid w:val="000D3F7F"/>
    <w:rsid w:val="000D3FEF"/>
    <w:rsid w:val="000D4039"/>
    <w:rsid w:val="000D404E"/>
    <w:rsid w:val="000D406D"/>
    <w:rsid w:val="000D415A"/>
    <w:rsid w:val="000D41A0"/>
    <w:rsid w:val="000D4337"/>
    <w:rsid w:val="000D448B"/>
    <w:rsid w:val="000D45E4"/>
    <w:rsid w:val="000D460E"/>
    <w:rsid w:val="000D4658"/>
    <w:rsid w:val="000D467A"/>
    <w:rsid w:val="000D46DB"/>
    <w:rsid w:val="000D46F2"/>
    <w:rsid w:val="000D4707"/>
    <w:rsid w:val="000D4818"/>
    <w:rsid w:val="000D4867"/>
    <w:rsid w:val="000D4B12"/>
    <w:rsid w:val="000D4B23"/>
    <w:rsid w:val="000D4B62"/>
    <w:rsid w:val="000D4B7E"/>
    <w:rsid w:val="000D4BCC"/>
    <w:rsid w:val="000D4C73"/>
    <w:rsid w:val="000D4CD2"/>
    <w:rsid w:val="000D4D06"/>
    <w:rsid w:val="000D4D08"/>
    <w:rsid w:val="000D4D1A"/>
    <w:rsid w:val="000D4D3A"/>
    <w:rsid w:val="000D4D51"/>
    <w:rsid w:val="000D4D67"/>
    <w:rsid w:val="000D4D6C"/>
    <w:rsid w:val="000D4E75"/>
    <w:rsid w:val="000D5047"/>
    <w:rsid w:val="000D508E"/>
    <w:rsid w:val="000D50D4"/>
    <w:rsid w:val="000D527C"/>
    <w:rsid w:val="000D55BA"/>
    <w:rsid w:val="000D560D"/>
    <w:rsid w:val="000D561E"/>
    <w:rsid w:val="000D5632"/>
    <w:rsid w:val="000D563A"/>
    <w:rsid w:val="000D5732"/>
    <w:rsid w:val="000D57B4"/>
    <w:rsid w:val="000D57CA"/>
    <w:rsid w:val="000D57E8"/>
    <w:rsid w:val="000D5824"/>
    <w:rsid w:val="000D5886"/>
    <w:rsid w:val="000D59AA"/>
    <w:rsid w:val="000D59B8"/>
    <w:rsid w:val="000D5AC9"/>
    <w:rsid w:val="000D5B01"/>
    <w:rsid w:val="000D5B54"/>
    <w:rsid w:val="000D5BA7"/>
    <w:rsid w:val="000D5C2D"/>
    <w:rsid w:val="000D5D8D"/>
    <w:rsid w:val="000D5DB8"/>
    <w:rsid w:val="000D5DC5"/>
    <w:rsid w:val="000D5E1B"/>
    <w:rsid w:val="000D5E72"/>
    <w:rsid w:val="000D5E81"/>
    <w:rsid w:val="000D5EF7"/>
    <w:rsid w:val="000D5F1C"/>
    <w:rsid w:val="000D5F62"/>
    <w:rsid w:val="000D6111"/>
    <w:rsid w:val="000D61AF"/>
    <w:rsid w:val="000D6213"/>
    <w:rsid w:val="000D6236"/>
    <w:rsid w:val="000D6284"/>
    <w:rsid w:val="000D62BA"/>
    <w:rsid w:val="000D62F3"/>
    <w:rsid w:val="000D6357"/>
    <w:rsid w:val="000D64A2"/>
    <w:rsid w:val="000D64BA"/>
    <w:rsid w:val="000D659E"/>
    <w:rsid w:val="000D65A0"/>
    <w:rsid w:val="000D6607"/>
    <w:rsid w:val="000D662B"/>
    <w:rsid w:val="000D6647"/>
    <w:rsid w:val="000D67A8"/>
    <w:rsid w:val="000D67BC"/>
    <w:rsid w:val="000D67DD"/>
    <w:rsid w:val="000D6809"/>
    <w:rsid w:val="000D6879"/>
    <w:rsid w:val="000D68D0"/>
    <w:rsid w:val="000D6975"/>
    <w:rsid w:val="000D6992"/>
    <w:rsid w:val="000D69E3"/>
    <w:rsid w:val="000D69E7"/>
    <w:rsid w:val="000D6ADA"/>
    <w:rsid w:val="000D6B41"/>
    <w:rsid w:val="000D6B90"/>
    <w:rsid w:val="000D6BC7"/>
    <w:rsid w:val="000D6C59"/>
    <w:rsid w:val="000D6CA8"/>
    <w:rsid w:val="000D6DC6"/>
    <w:rsid w:val="000D6DC7"/>
    <w:rsid w:val="000D6E0B"/>
    <w:rsid w:val="000D6E68"/>
    <w:rsid w:val="000D6E86"/>
    <w:rsid w:val="000D6EAE"/>
    <w:rsid w:val="000D6EEE"/>
    <w:rsid w:val="000D6F68"/>
    <w:rsid w:val="000D70AD"/>
    <w:rsid w:val="000D7103"/>
    <w:rsid w:val="000D7136"/>
    <w:rsid w:val="000D716E"/>
    <w:rsid w:val="000D71A8"/>
    <w:rsid w:val="000D71BB"/>
    <w:rsid w:val="000D71D1"/>
    <w:rsid w:val="000D71DC"/>
    <w:rsid w:val="000D71F4"/>
    <w:rsid w:val="000D7223"/>
    <w:rsid w:val="000D7230"/>
    <w:rsid w:val="000D7247"/>
    <w:rsid w:val="000D735C"/>
    <w:rsid w:val="000D7386"/>
    <w:rsid w:val="000D7429"/>
    <w:rsid w:val="000D749D"/>
    <w:rsid w:val="000D75A3"/>
    <w:rsid w:val="000D75E0"/>
    <w:rsid w:val="000D7694"/>
    <w:rsid w:val="000D7696"/>
    <w:rsid w:val="000D7701"/>
    <w:rsid w:val="000D776D"/>
    <w:rsid w:val="000D7790"/>
    <w:rsid w:val="000D77BF"/>
    <w:rsid w:val="000D788A"/>
    <w:rsid w:val="000D78A5"/>
    <w:rsid w:val="000D78C1"/>
    <w:rsid w:val="000D7961"/>
    <w:rsid w:val="000D7A15"/>
    <w:rsid w:val="000D7A6F"/>
    <w:rsid w:val="000D7A86"/>
    <w:rsid w:val="000D7A8A"/>
    <w:rsid w:val="000D7AAA"/>
    <w:rsid w:val="000D7ADD"/>
    <w:rsid w:val="000D7B3E"/>
    <w:rsid w:val="000D7B99"/>
    <w:rsid w:val="000D7B9B"/>
    <w:rsid w:val="000D7B9D"/>
    <w:rsid w:val="000D7BE2"/>
    <w:rsid w:val="000D7BF6"/>
    <w:rsid w:val="000D7C1B"/>
    <w:rsid w:val="000D7C4B"/>
    <w:rsid w:val="000D7CA8"/>
    <w:rsid w:val="000D7D2E"/>
    <w:rsid w:val="000D7D40"/>
    <w:rsid w:val="000D7D8B"/>
    <w:rsid w:val="000D7E2C"/>
    <w:rsid w:val="000D7E62"/>
    <w:rsid w:val="000D7E65"/>
    <w:rsid w:val="000D7E80"/>
    <w:rsid w:val="000D7ECC"/>
    <w:rsid w:val="000D7F61"/>
    <w:rsid w:val="000D7F76"/>
    <w:rsid w:val="000D7FBE"/>
    <w:rsid w:val="000E0006"/>
    <w:rsid w:val="000E0079"/>
    <w:rsid w:val="000E0087"/>
    <w:rsid w:val="000E0089"/>
    <w:rsid w:val="000E010A"/>
    <w:rsid w:val="000E0112"/>
    <w:rsid w:val="000E013F"/>
    <w:rsid w:val="000E0158"/>
    <w:rsid w:val="000E0236"/>
    <w:rsid w:val="000E0270"/>
    <w:rsid w:val="000E02E8"/>
    <w:rsid w:val="000E035F"/>
    <w:rsid w:val="000E03CC"/>
    <w:rsid w:val="000E03DF"/>
    <w:rsid w:val="000E04E1"/>
    <w:rsid w:val="000E04E4"/>
    <w:rsid w:val="000E04FC"/>
    <w:rsid w:val="000E05B1"/>
    <w:rsid w:val="000E05EF"/>
    <w:rsid w:val="000E0622"/>
    <w:rsid w:val="000E0689"/>
    <w:rsid w:val="000E0729"/>
    <w:rsid w:val="000E0790"/>
    <w:rsid w:val="000E0802"/>
    <w:rsid w:val="000E08B4"/>
    <w:rsid w:val="000E091D"/>
    <w:rsid w:val="000E0A33"/>
    <w:rsid w:val="000E0A50"/>
    <w:rsid w:val="000E0A9A"/>
    <w:rsid w:val="000E0B28"/>
    <w:rsid w:val="000E0B2A"/>
    <w:rsid w:val="000E0B4B"/>
    <w:rsid w:val="000E0B56"/>
    <w:rsid w:val="000E0B7A"/>
    <w:rsid w:val="000E0BA7"/>
    <w:rsid w:val="000E0C44"/>
    <w:rsid w:val="000E0CCB"/>
    <w:rsid w:val="000E0D04"/>
    <w:rsid w:val="000E0D49"/>
    <w:rsid w:val="000E0D93"/>
    <w:rsid w:val="000E0E27"/>
    <w:rsid w:val="000E0E57"/>
    <w:rsid w:val="000E0F14"/>
    <w:rsid w:val="000E0F60"/>
    <w:rsid w:val="000E0F8D"/>
    <w:rsid w:val="000E0FC9"/>
    <w:rsid w:val="000E1006"/>
    <w:rsid w:val="000E1066"/>
    <w:rsid w:val="000E108E"/>
    <w:rsid w:val="000E10D2"/>
    <w:rsid w:val="000E10FF"/>
    <w:rsid w:val="000E1137"/>
    <w:rsid w:val="000E115B"/>
    <w:rsid w:val="000E11A9"/>
    <w:rsid w:val="000E12E4"/>
    <w:rsid w:val="000E12F6"/>
    <w:rsid w:val="000E1313"/>
    <w:rsid w:val="000E1340"/>
    <w:rsid w:val="000E13B0"/>
    <w:rsid w:val="000E13BA"/>
    <w:rsid w:val="000E1408"/>
    <w:rsid w:val="000E16A5"/>
    <w:rsid w:val="000E16DF"/>
    <w:rsid w:val="000E17A2"/>
    <w:rsid w:val="000E17CD"/>
    <w:rsid w:val="000E182D"/>
    <w:rsid w:val="000E196B"/>
    <w:rsid w:val="000E1A02"/>
    <w:rsid w:val="000E1A74"/>
    <w:rsid w:val="000E1A81"/>
    <w:rsid w:val="000E1B33"/>
    <w:rsid w:val="000E1BAF"/>
    <w:rsid w:val="000E1BCE"/>
    <w:rsid w:val="000E1C1A"/>
    <w:rsid w:val="000E1C9E"/>
    <w:rsid w:val="000E1DD9"/>
    <w:rsid w:val="000E1E7C"/>
    <w:rsid w:val="000E1E85"/>
    <w:rsid w:val="000E1EC7"/>
    <w:rsid w:val="000E1F09"/>
    <w:rsid w:val="000E1F20"/>
    <w:rsid w:val="000E1F53"/>
    <w:rsid w:val="000E1F65"/>
    <w:rsid w:val="000E1F9D"/>
    <w:rsid w:val="000E1FF4"/>
    <w:rsid w:val="000E210C"/>
    <w:rsid w:val="000E2120"/>
    <w:rsid w:val="000E220D"/>
    <w:rsid w:val="000E2245"/>
    <w:rsid w:val="000E2267"/>
    <w:rsid w:val="000E2287"/>
    <w:rsid w:val="000E22C9"/>
    <w:rsid w:val="000E241D"/>
    <w:rsid w:val="000E2445"/>
    <w:rsid w:val="000E246D"/>
    <w:rsid w:val="000E24A3"/>
    <w:rsid w:val="000E25C8"/>
    <w:rsid w:val="000E261F"/>
    <w:rsid w:val="000E2681"/>
    <w:rsid w:val="000E26A3"/>
    <w:rsid w:val="000E26D9"/>
    <w:rsid w:val="000E2709"/>
    <w:rsid w:val="000E2900"/>
    <w:rsid w:val="000E2906"/>
    <w:rsid w:val="000E2A29"/>
    <w:rsid w:val="000E2A7A"/>
    <w:rsid w:val="000E2AE1"/>
    <w:rsid w:val="000E2AF3"/>
    <w:rsid w:val="000E2B1E"/>
    <w:rsid w:val="000E2B23"/>
    <w:rsid w:val="000E2C19"/>
    <w:rsid w:val="000E2C9C"/>
    <w:rsid w:val="000E2CAF"/>
    <w:rsid w:val="000E2D19"/>
    <w:rsid w:val="000E2D32"/>
    <w:rsid w:val="000E2D56"/>
    <w:rsid w:val="000E2D7B"/>
    <w:rsid w:val="000E2DBA"/>
    <w:rsid w:val="000E2DF1"/>
    <w:rsid w:val="000E2EDC"/>
    <w:rsid w:val="000E2F93"/>
    <w:rsid w:val="000E2F9B"/>
    <w:rsid w:val="000E2FF5"/>
    <w:rsid w:val="000E3063"/>
    <w:rsid w:val="000E3079"/>
    <w:rsid w:val="000E31C0"/>
    <w:rsid w:val="000E3255"/>
    <w:rsid w:val="000E3410"/>
    <w:rsid w:val="000E343A"/>
    <w:rsid w:val="000E35B2"/>
    <w:rsid w:val="000E35C5"/>
    <w:rsid w:val="000E368B"/>
    <w:rsid w:val="000E36EE"/>
    <w:rsid w:val="000E37DA"/>
    <w:rsid w:val="000E3929"/>
    <w:rsid w:val="000E3930"/>
    <w:rsid w:val="000E3975"/>
    <w:rsid w:val="000E3977"/>
    <w:rsid w:val="000E3996"/>
    <w:rsid w:val="000E39B3"/>
    <w:rsid w:val="000E3A0D"/>
    <w:rsid w:val="000E3A43"/>
    <w:rsid w:val="000E3A99"/>
    <w:rsid w:val="000E3AA6"/>
    <w:rsid w:val="000E3ACF"/>
    <w:rsid w:val="000E3B0D"/>
    <w:rsid w:val="000E3B16"/>
    <w:rsid w:val="000E3B19"/>
    <w:rsid w:val="000E3BCE"/>
    <w:rsid w:val="000E3BD5"/>
    <w:rsid w:val="000E3C34"/>
    <w:rsid w:val="000E3DFE"/>
    <w:rsid w:val="000E3E1E"/>
    <w:rsid w:val="000E3E40"/>
    <w:rsid w:val="000E3EE6"/>
    <w:rsid w:val="000E3EE7"/>
    <w:rsid w:val="000E4075"/>
    <w:rsid w:val="000E408A"/>
    <w:rsid w:val="000E40C2"/>
    <w:rsid w:val="000E40ED"/>
    <w:rsid w:val="000E431E"/>
    <w:rsid w:val="000E4332"/>
    <w:rsid w:val="000E43E0"/>
    <w:rsid w:val="000E4456"/>
    <w:rsid w:val="000E44F4"/>
    <w:rsid w:val="000E45A4"/>
    <w:rsid w:val="000E45DB"/>
    <w:rsid w:val="000E4611"/>
    <w:rsid w:val="000E462F"/>
    <w:rsid w:val="000E4770"/>
    <w:rsid w:val="000E47BB"/>
    <w:rsid w:val="000E47EB"/>
    <w:rsid w:val="000E4926"/>
    <w:rsid w:val="000E4968"/>
    <w:rsid w:val="000E4A1C"/>
    <w:rsid w:val="000E4A7B"/>
    <w:rsid w:val="000E4AF9"/>
    <w:rsid w:val="000E4BAA"/>
    <w:rsid w:val="000E4BFC"/>
    <w:rsid w:val="000E4C82"/>
    <w:rsid w:val="000E4D76"/>
    <w:rsid w:val="000E4DD3"/>
    <w:rsid w:val="000E4F34"/>
    <w:rsid w:val="000E4FF1"/>
    <w:rsid w:val="000E5008"/>
    <w:rsid w:val="000E5061"/>
    <w:rsid w:val="000E5147"/>
    <w:rsid w:val="000E5198"/>
    <w:rsid w:val="000E51D6"/>
    <w:rsid w:val="000E520C"/>
    <w:rsid w:val="000E5225"/>
    <w:rsid w:val="000E525E"/>
    <w:rsid w:val="000E5333"/>
    <w:rsid w:val="000E53B6"/>
    <w:rsid w:val="000E5466"/>
    <w:rsid w:val="000E554B"/>
    <w:rsid w:val="000E55A1"/>
    <w:rsid w:val="000E5607"/>
    <w:rsid w:val="000E5617"/>
    <w:rsid w:val="000E5623"/>
    <w:rsid w:val="000E5624"/>
    <w:rsid w:val="000E563D"/>
    <w:rsid w:val="000E5655"/>
    <w:rsid w:val="000E5671"/>
    <w:rsid w:val="000E5707"/>
    <w:rsid w:val="000E577C"/>
    <w:rsid w:val="000E57BA"/>
    <w:rsid w:val="000E58B4"/>
    <w:rsid w:val="000E58E8"/>
    <w:rsid w:val="000E590C"/>
    <w:rsid w:val="000E5A93"/>
    <w:rsid w:val="000E5AA9"/>
    <w:rsid w:val="000E5B2D"/>
    <w:rsid w:val="000E5BC9"/>
    <w:rsid w:val="000E5C52"/>
    <w:rsid w:val="000E5C7E"/>
    <w:rsid w:val="000E5D81"/>
    <w:rsid w:val="000E5D86"/>
    <w:rsid w:val="000E5D98"/>
    <w:rsid w:val="000E5DF0"/>
    <w:rsid w:val="000E5E00"/>
    <w:rsid w:val="000E5E55"/>
    <w:rsid w:val="000E5E8C"/>
    <w:rsid w:val="000E5F28"/>
    <w:rsid w:val="000E5FA1"/>
    <w:rsid w:val="000E6078"/>
    <w:rsid w:val="000E607A"/>
    <w:rsid w:val="000E6113"/>
    <w:rsid w:val="000E61B4"/>
    <w:rsid w:val="000E6216"/>
    <w:rsid w:val="000E621F"/>
    <w:rsid w:val="000E624B"/>
    <w:rsid w:val="000E62A9"/>
    <w:rsid w:val="000E62D2"/>
    <w:rsid w:val="000E63A0"/>
    <w:rsid w:val="000E63E4"/>
    <w:rsid w:val="000E6426"/>
    <w:rsid w:val="000E6463"/>
    <w:rsid w:val="000E6475"/>
    <w:rsid w:val="000E6490"/>
    <w:rsid w:val="000E64B5"/>
    <w:rsid w:val="000E64EB"/>
    <w:rsid w:val="000E65E0"/>
    <w:rsid w:val="000E6645"/>
    <w:rsid w:val="000E664B"/>
    <w:rsid w:val="000E66BB"/>
    <w:rsid w:val="000E66C4"/>
    <w:rsid w:val="000E66E7"/>
    <w:rsid w:val="000E66FE"/>
    <w:rsid w:val="000E6710"/>
    <w:rsid w:val="000E672A"/>
    <w:rsid w:val="000E676F"/>
    <w:rsid w:val="000E67EF"/>
    <w:rsid w:val="000E6862"/>
    <w:rsid w:val="000E6918"/>
    <w:rsid w:val="000E69D7"/>
    <w:rsid w:val="000E6A8B"/>
    <w:rsid w:val="000E6ABD"/>
    <w:rsid w:val="000E6AE1"/>
    <w:rsid w:val="000E6B9F"/>
    <w:rsid w:val="000E6D06"/>
    <w:rsid w:val="000E6D7F"/>
    <w:rsid w:val="000E6DAB"/>
    <w:rsid w:val="000E6DE0"/>
    <w:rsid w:val="000E6F20"/>
    <w:rsid w:val="000E6F98"/>
    <w:rsid w:val="000E7009"/>
    <w:rsid w:val="000E7012"/>
    <w:rsid w:val="000E705F"/>
    <w:rsid w:val="000E710A"/>
    <w:rsid w:val="000E718F"/>
    <w:rsid w:val="000E71E6"/>
    <w:rsid w:val="000E7230"/>
    <w:rsid w:val="000E731B"/>
    <w:rsid w:val="000E7348"/>
    <w:rsid w:val="000E7390"/>
    <w:rsid w:val="000E73B8"/>
    <w:rsid w:val="000E73CC"/>
    <w:rsid w:val="000E73D1"/>
    <w:rsid w:val="000E7513"/>
    <w:rsid w:val="000E7620"/>
    <w:rsid w:val="000E764C"/>
    <w:rsid w:val="000E7655"/>
    <w:rsid w:val="000E7673"/>
    <w:rsid w:val="000E76DD"/>
    <w:rsid w:val="000E76F3"/>
    <w:rsid w:val="000E7712"/>
    <w:rsid w:val="000E772C"/>
    <w:rsid w:val="000E77A7"/>
    <w:rsid w:val="000E77D7"/>
    <w:rsid w:val="000E7866"/>
    <w:rsid w:val="000E7A0B"/>
    <w:rsid w:val="000E7B5D"/>
    <w:rsid w:val="000E7B67"/>
    <w:rsid w:val="000E7B7A"/>
    <w:rsid w:val="000E7BE9"/>
    <w:rsid w:val="000E7C23"/>
    <w:rsid w:val="000E7C79"/>
    <w:rsid w:val="000E7C95"/>
    <w:rsid w:val="000E7CB1"/>
    <w:rsid w:val="000E7E5E"/>
    <w:rsid w:val="000E7E9F"/>
    <w:rsid w:val="000E7ECF"/>
    <w:rsid w:val="000E7F12"/>
    <w:rsid w:val="000E7F74"/>
    <w:rsid w:val="000F00E7"/>
    <w:rsid w:val="000F01A8"/>
    <w:rsid w:val="000F027E"/>
    <w:rsid w:val="000F0286"/>
    <w:rsid w:val="000F028B"/>
    <w:rsid w:val="000F02E1"/>
    <w:rsid w:val="000F0301"/>
    <w:rsid w:val="000F0318"/>
    <w:rsid w:val="000F035E"/>
    <w:rsid w:val="000F03B4"/>
    <w:rsid w:val="000F03CD"/>
    <w:rsid w:val="000F03CE"/>
    <w:rsid w:val="000F0433"/>
    <w:rsid w:val="000F0448"/>
    <w:rsid w:val="000F045E"/>
    <w:rsid w:val="000F04BF"/>
    <w:rsid w:val="000F05D5"/>
    <w:rsid w:val="000F0665"/>
    <w:rsid w:val="000F069C"/>
    <w:rsid w:val="000F0735"/>
    <w:rsid w:val="000F0890"/>
    <w:rsid w:val="000F090B"/>
    <w:rsid w:val="000F0987"/>
    <w:rsid w:val="000F0A5C"/>
    <w:rsid w:val="000F0AC2"/>
    <w:rsid w:val="000F0AEB"/>
    <w:rsid w:val="000F0B7D"/>
    <w:rsid w:val="000F0BB8"/>
    <w:rsid w:val="000F0BBF"/>
    <w:rsid w:val="000F0C23"/>
    <w:rsid w:val="000F0C3E"/>
    <w:rsid w:val="000F0C67"/>
    <w:rsid w:val="000F0CAE"/>
    <w:rsid w:val="000F0CD5"/>
    <w:rsid w:val="000F0D5B"/>
    <w:rsid w:val="000F0D9F"/>
    <w:rsid w:val="000F0E11"/>
    <w:rsid w:val="000F0E5C"/>
    <w:rsid w:val="000F0E79"/>
    <w:rsid w:val="000F0EDD"/>
    <w:rsid w:val="000F0EF5"/>
    <w:rsid w:val="000F0F71"/>
    <w:rsid w:val="000F0FC0"/>
    <w:rsid w:val="000F0FCF"/>
    <w:rsid w:val="000F0FFE"/>
    <w:rsid w:val="000F104C"/>
    <w:rsid w:val="000F116C"/>
    <w:rsid w:val="000F118E"/>
    <w:rsid w:val="000F11B9"/>
    <w:rsid w:val="000F1273"/>
    <w:rsid w:val="000F1296"/>
    <w:rsid w:val="000F13DC"/>
    <w:rsid w:val="000F14F9"/>
    <w:rsid w:val="000F15E1"/>
    <w:rsid w:val="000F15E4"/>
    <w:rsid w:val="000F15F8"/>
    <w:rsid w:val="000F16AC"/>
    <w:rsid w:val="000F179F"/>
    <w:rsid w:val="000F17E5"/>
    <w:rsid w:val="000F1854"/>
    <w:rsid w:val="000F19EF"/>
    <w:rsid w:val="000F1AB3"/>
    <w:rsid w:val="000F1B1A"/>
    <w:rsid w:val="000F1BBA"/>
    <w:rsid w:val="000F1C39"/>
    <w:rsid w:val="000F1C56"/>
    <w:rsid w:val="000F1C74"/>
    <w:rsid w:val="000F1C7D"/>
    <w:rsid w:val="000F1D0E"/>
    <w:rsid w:val="000F1D5F"/>
    <w:rsid w:val="000F1D7C"/>
    <w:rsid w:val="000F1E0A"/>
    <w:rsid w:val="000F1E2E"/>
    <w:rsid w:val="000F1E86"/>
    <w:rsid w:val="000F1F44"/>
    <w:rsid w:val="000F1F71"/>
    <w:rsid w:val="000F1F85"/>
    <w:rsid w:val="000F1F97"/>
    <w:rsid w:val="000F2097"/>
    <w:rsid w:val="000F2103"/>
    <w:rsid w:val="000F212A"/>
    <w:rsid w:val="000F225D"/>
    <w:rsid w:val="000F22AB"/>
    <w:rsid w:val="000F234C"/>
    <w:rsid w:val="000F23DA"/>
    <w:rsid w:val="000F251D"/>
    <w:rsid w:val="000F2608"/>
    <w:rsid w:val="000F2637"/>
    <w:rsid w:val="000F2648"/>
    <w:rsid w:val="000F2690"/>
    <w:rsid w:val="000F276F"/>
    <w:rsid w:val="000F27F0"/>
    <w:rsid w:val="000F280F"/>
    <w:rsid w:val="000F2AD4"/>
    <w:rsid w:val="000F2B1F"/>
    <w:rsid w:val="000F2C20"/>
    <w:rsid w:val="000F2C61"/>
    <w:rsid w:val="000F2C7B"/>
    <w:rsid w:val="000F2DC2"/>
    <w:rsid w:val="000F2E8F"/>
    <w:rsid w:val="000F2EEB"/>
    <w:rsid w:val="000F2FB6"/>
    <w:rsid w:val="000F2FC0"/>
    <w:rsid w:val="000F301F"/>
    <w:rsid w:val="000F3023"/>
    <w:rsid w:val="000F3079"/>
    <w:rsid w:val="000F315B"/>
    <w:rsid w:val="000F316D"/>
    <w:rsid w:val="000F32C2"/>
    <w:rsid w:val="000F32F5"/>
    <w:rsid w:val="000F33C7"/>
    <w:rsid w:val="000F340E"/>
    <w:rsid w:val="000F3467"/>
    <w:rsid w:val="000F35A9"/>
    <w:rsid w:val="000F3658"/>
    <w:rsid w:val="000F3660"/>
    <w:rsid w:val="000F3669"/>
    <w:rsid w:val="000F36AC"/>
    <w:rsid w:val="000F3704"/>
    <w:rsid w:val="000F37AD"/>
    <w:rsid w:val="000F37B0"/>
    <w:rsid w:val="000F37C8"/>
    <w:rsid w:val="000F383F"/>
    <w:rsid w:val="000F38BA"/>
    <w:rsid w:val="000F394D"/>
    <w:rsid w:val="000F3993"/>
    <w:rsid w:val="000F39AB"/>
    <w:rsid w:val="000F39B7"/>
    <w:rsid w:val="000F3BAB"/>
    <w:rsid w:val="000F3D20"/>
    <w:rsid w:val="000F3DF2"/>
    <w:rsid w:val="000F3E39"/>
    <w:rsid w:val="000F3F69"/>
    <w:rsid w:val="000F3F72"/>
    <w:rsid w:val="000F3F75"/>
    <w:rsid w:val="000F3F88"/>
    <w:rsid w:val="000F3FA2"/>
    <w:rsid w:val="000F3FB3"/>
    <w:rsid w:val="000F4072"/>
    <w:rsid w:val="000F4105"/>
    <w:rsid w:val="000F4146"/>
    <w:rsid w:val="000F4181"/>
    <w:rsid w:val="000F41E3"/>
    <w:rsid w:val="000F41E4"/>
    <w:rsid w:val="000F422A"/>
    <w:rsid w:val="000F4234"/>
    <w:rsid w:val="000F42F0"/>
    <w:rsid w:val="000F4314"/>
    <w:rsid w:val="000F4340"/>
    <w:rsid w:val="000F4349"/>
    <w:rsid w:val="000F43A1"/>
    <w:rsid w:val="000F43A2"/>
    <w:rsid w:val="000F4415"/>
    <w:rsid w:val="000F44B2"/>
    <w:rsid w:val="000F4503"/>
    <w:rsid w:val="000F452E"/>
    <w:rsid w:val="000F4535"/>
    <w:rsid w:val="000F457C"/>
    <w:rsid w:val="000F4651"/>
    <w:rsid w:val="000F46B3"/>
    <w:rsid w:val="000F46E2"/>
    <w:rsid w:val="000F477A"/>
    <w:rsid w:val="000F47C7"/>
    <w:rsid w:val="000F493A"/>
    <w:rsid w:val="000F496E"/>
    <w:rsid w:val="000F497F"/>
    <w:rsid w:val="000F49BF"/>
    <w:rsid w:val="000F4AB5"/>
    <w:rsid w:val="000F4B32"/>
    <w:rsid w:val="000F4B88"/>
    <w:rsid w:val="000F4BAF"/>
    <w:rsid w:val="000F4D7A"/>
    <w:rsid w:val="000F4E2D"/>
    <w:rsid w:val="000F4F8F"/>
    <w:rsid w:val="000F5070"/>
    <w:rsid w:val="000F508D"/>
    <w:rsid w:val="000F50BC"/>
    <w:rsid w:val="000F50C6"/>
    <w:rsid w:val="000F5183"/>
    <w:rsid w:val="000F51CA"/>
    <w:rsid w:val="000F52AD"/>
    <w:rsid w:val="000F52D3"/>
    <w:rsid w:val="000F52F7"/>
    <w:rsid w:val="000F5339"/>
    <w:rsid w:val="000F536D"/>
    <w:rsid w:val="000F5392"/>
    <w:rsid w:val="000F53AA"/>
    <w:rsid w:val="000F5452"/>
    <w:rsid w:val="000F54E7"/>
    <w:rsid w:val="000F5531"/>
    <w:rsid w:val="000F5679"/>
    <w:rsid w:val="000F5721"/>
    <w:rsid w:val="000F5802"/>
    <w:rsid w:val="000F58D8"/>
    <w:rsid w:val="000F58E5"/>
    <w:rsid w:val="000F5902"/>
    <w:rsid w:val="000F5A4E"/>
    <w:rsid w:val="000F5A51"/>
    <w:rsid w:val="000F5A89"/>
    <w:rsid w:val="000F5AE4"/>
    <w:rsid w:val="000F5BC3"/>
    <w:rsid w:val="000F5BCB"/>
    <w:rsid w:val="000F5CF0"/>
    <w:rsid w:val="000F5CFA"/>
    <w:rsid w:val="000F5D0C"/>
    <w:rsid w:val="000F5D12"/>
    <w:rsid w:val="000F5EAF"/>
    <w:rsid w:val="000F5EEC"/>
    <w:rsid w:val="000F5F02"/>
    <w:rsid w:val="000F5F06"/>
    <w:rsid w:val="000F6062"/>
    <w:rsid w:val="000F6125"/>
    <w:rsid w:val="000F61FA"/>
    <w:rsid w:val="000F6211"/>
    <w:rsid w:val="000F62BF"/>
    <w:rsid w:val="000F634E"/>
    <w:rsid w:val="000F63A5"/>
    <w:rsid w:val="000F644C"/>
    <w:rsid w:val="000F645F"/>
    <w:rsid w:val="000F646E"/>
    <w:rsid w:val="000F6489"/>
    <w:rsid w:val="000F649F"/>
    <w:rsid w:val="000F651F"/>
    <w:rsid w:val="000F653B"/>
    <w:rsid w:val="000F658F"/>
    <w:rsid w:val="000F65A0"/>
    <w:rsid w:val="000F65A5"/>
    <w:rsid w:val="000F6620"/>
    <w:rsid w:val="000F667C"/>
    <w:rsid w:val="000F6707"/>
    <w:rsid w:val="000F6729"/>
    <w:rsid w:val="000F6815"/>
    <w:rsid w:val="000F681A"/>
    <w:rsid w:val="000F688B"/>
    <w:rsid w:val="000F6895"/>
    <w:rsid w:val="000F690A"/>
    <w:rsid w:val="000F690F"/>
    <w:rsid w:val="000F692E"/>
    <w:rsid w:val="000F6A87"/>
    <w:rsid w:val="000F6ABA"/>
    <w:rsid w:val="000F6AC5"/>
    <w:rsid w:val="000F6B11"/>
    <w:rsid w:val="000F6B30"/>
    <w:rsid w:val="000F6B72"/>
    <w:rsid w:val="000F6B88"/>
    <w:rsid w:val="000F6B8F"/>
    <w:rsid w:val="000F6D57"/>
    <w:rsid w:val="000F6DE4"/>
    <w:rsid w:val="000F6E4D"/>
    <w:rsid w:val="000F6F2B"/>
    <w:rsid w:val="000F6F33"/>
    <w:rsid w:val="000F6F80"/>
    <w:rsid w:val="000F6FBF"/>
    <w:rsid w:val="000F6FFF"/>
    <w:rsid w:val="000F70F1"/>
    <w:rsid w:val="000F711A"/>
    <w:rsid w:val="000F713D"/>
    <w:rsid w:val="000F7195"/>
    <w:rsid w:val="000F726E"/>
    <w:rsid w:val="000F7282"/>
    <w:rsid w:val="000F72B0"/>
    <w:rsid w:val="000F72C6"/>
    <w:rsid w:val="000F7346"/>
    <w:rsid w:val="000F7398"/>
    <w:rsid w:val="000F7442"/>
    <w:rsid w:val="000F74C0"/>
    <w:rsid w:val="000F74ED"/>
    <w:rsid w:val="000F7535"/>
    <w:rsid w:val="000F7636"/>
    <w:rsid w:val="000F764E"/>
    <w:rsid w:val="000F76F5"/>
    <w:rsid w:val="000F7788"/>
    <w:rsid w:val="000F79BB"/>
    <w:rsid w:val="000F79FC"/>
    <w:rsid w:val="000F7A1C"/>
    <w:rsid w:val="000F7B0C"/>
    <w:rsid w:val="000F7BC6"/>
    <w:rsid w:val="000F7C6A"/>
    <w:rsid w:val="000F7C7C"/>
    <w:rsid w:val="000F7CBF"/>
    <w:rsid w:val="000F7D2D"/>
    <w:rsid w:val="000F7D9F"/>
    <w:rsid w:val="000F7DEC"/>
    <w:rsid w:val="000F7E09"/>
    <w:rsid w:val="000F7E17"/>
    <w:rsid w:val="000F7E22"/>
    <w:rsid w:val="000F7EC6"/>
    <w:rsid w:val="00100004"/>
    <w:rsid w:val="00100061"/>
    <w:rsid w:val="001000AD"/>
    <w:rsid w:val="001002D2"/>
    <w:rsid w:val="001002E0"/>
    <w:rsid w:val="00100308"/>
    <w:rsid w:val="001003D2"/>
    <w:rsid w:val="0010047A"/>
    <w:rsid w:val="00100533"/>
    <w:rsid w:val="00100639"/>
    <w:rsid w:val="00100646"/>
    <w:rsid w:val="0010065C"/>
    <w:rsid w:val="001006A1"/>
    <w:rsid w:val="001007A0"/>
    <w:rsid w:val="001007E8"/>
    <w:rsid w:val="00100831"/>
    <w:rsid w:val="0010083D"/>
    <w:rsid w:val="00100880"/>
    <w:rsid w:val="0010099A"/>
    <w:rsid w:val="001009AA"/>
    <w:rsid w:val="00100B85"/>
    <w:rsid w:val="00100C30"/>
    <w:rsid w:val="00100C3C"/>
    <w:rsid w:val="00100CD9"/>
    <w:rsid w:val="00100CFE"/>
    <w:rsid w:val="00100D34"/>
    <w:rsid w:val="00100DB0"/>
    <w:rsid w:val="00100DB4"/>
    <w:rsid w:val="00100DF4"/>
    <w:rsid w:val="00100E44"/>
    <w:rsid w:val="00100E45"/>
    <w:rsid w:val="00100EA6"/>
    <w:rsid w:val="00100EC1"/>
    <w:rsid w:val="00100FC6"/>
    <w:rsid w:val="00101068"/>
    <w:rsid w:val="001010BB"/>
    <w:rsid w:val="00101135"/>
    <w:rsid w:val="0010116E"/>
    <w:rsid w:val="001011A0"/>
    <w:rsid w:val="001011E5"/>
    <w:rsid w:val="00101281"/>
    <w:rsid w:val="00101299"/>
    <w:rsid w:val="001012B0"/>
    <w:rsid w:val="0010133B"/>
    <w:rsid w:val="00101368"/>
    <w:rsid w:val="001013A3"/>
    <w:rsid w:val="001013C6"/>
    <w:rsid w:val="001015E4"/>
    <w:rsid w:val="0010160B"/>
    <w:rsid w:val="0010163E"/>
    <w:rsid w:val="001016B4"/>
    <w:rsid w:val="001016F8"/>
    <w:rsid w:val="00101716"/>
    <w:rsid w:val="00101743"/>
    <w:rsid w:val="00101754"/>
    <w:rsid w:val="001017F7"/>
    <w:rsid w:val="0010185E"/>
    <w:rsid w:val="0010193D"/>
    <w:rsid w:val="0010198A"/>
    <w:rsid w:val="001019B8"/>
    <w:rsid w:val="00101A2E"/>
    <w:rsid w:val="00101A3C"/>
    <w:rsid w:val="00101A4F"/>
    <w:rsid w:val="00101AD5"/>
    <w:rsid w:val="00101AE6"/>
    <w:rsid w:val="00101B1C"/>
    <w:rsid w:val="00101BC9"/>
    <w:rsid w:val="00101BF6"/>
    <w:rsid w:val="00101C4C"/>
    <w:rsid w:val="00101D32"/>
    <w:rsid w:val="00101D59"/>
    <w:rsid w:val="00101D9D"/>
    <w:rsid w:val="00101EC5"/>
    <w:rsid w:val="00101EF0"/>
    <w:rsid w:val="00101FA9"/>
    <w:rsid w:val="00101FC1"/>
    <w:rsid w:val="00102251"/>
    <w:rsid w:val="001022A9"/>
    <w:rsid w:val="001023A6"/>
    <w:rsid w:val="0010242F"/>
    <w:rsid w:val="00102443"/>
    <w:rsid w:val="00102474"/>
    <w:rsid w:val="001024F8"/>
    <w:rsid w:val="0010265B"/>
    <w:rsid w:val="001027FD"/>
    <w:rsid w:val="0010280F"/>
    <w:rsid w:val="00102838"/>
    <w:rsid w:val="00102839"/>
    <w:rsid w:val="00102970"/>
    <w:rsid w:val="00102989"/>
    <w:rsid w:val="001029BE"/>
    <w:rsid w:val="001029FD"/>
    <w:rsid w:val="00102A5F"/>
    <w:rsid w:val="00102B0D"/>
    <w:rsid w:val="00102B60"/>
    <w:rsid w:val="00102C26"/>
    <w:rsid w:val="00102C47"/>
    <w:rsid w:val="00102CD2"/>
    <w:rsid w:val="00102CFE"/>
    <w:rsid w:val="00102D03"/>
    <w:rsid w:val="00102D56"/>
    <w:rsid w:val="00102DC2"/>
    <w:rsid w:val="00102E4F"/>
    <w:rsid w:val="00102E57"/>
    <w:rsid w:val="00102F19"/>
    <w:rsid w:val="00102F9F"/>
    <w:rsid w:val="00103003"/>
    <w:rsid w:val="001031D3"/>
    <w:rsid w:val="0010329A"/>
    <w:rsid w:val="00103357"/>
    <w:rsid w:val="0010335A"/>
    <w:rsid w:val="00103365"/>
    <w:rsid w:val="001033B2"/>
    <w:rsid w:val="00103458"/>
    <w:rsid w:val="0010349D"/>
    <w:rsid w:val="001034ED"/>
    <w:rsid w:val="0010357A"/>
    <w:rsid w:val="00103599"/>
    <w:rsid w:val="001035BD"/>
    <w:rsid w:val="00103627"/>
    <w:rsid w:val="00103644"/>
    <w:rsid w:val="00103714"/>
    <w:rsid w:val="00103722"/>
    <w:rsid w:val="001037E9"/>
    <w:rsid w:val="0010383A"/>
    <w:rsid w:val="0010389C"/>
    <w:rsid w:val="00103913"/>
    <w:rsid w:val="00103996"/>
    <w:rsid w:val="001039A8"/>
    <w:rsid w:val="001039F1"/>
    <w:rsid w:val="00103A0E"/>
    <w:rsid w:val="00103A58"/>
    <w:rsid w:val="00103AD1"/>
    <w:rsid w:val="00103B11"/>
    <w:rsid w:val="00103B49"/>
    <w:rsid w:val="00103B5B"/>
    <w:rsid w:val="00103BA9"/>
    <w:rsid w:val="00103BE1"/>
    <w:rsid w:val="00103BEE"/>
    <w:rsid w:val="00103C03"/>
    <w:rsid w:val="00103C61"/>
    <w:rsid w:val="00103D4C"/>
    <w:rsid w:val="00103D82"/>
    <w:rsid w:val="00103DC0"/>
    <w:rsid w:val="00103DF0"/>
    <w:rsid w:val="00103FE5"/>
    <w:rsid w:val="00104018"/>
    <w:rsid w:val="001040B4"/>
    <w:rsid w:val="0010422F"/>
    <w:rsid w:val="00104254"/>
    <w:rsid w:val="00104320"/>
    <w:rsid w:val="00104335"/>
    <w:rsid w:val="00104383"/>
    <w:rsid w:val="001043A7"/>
    <w:rsid w:val="0010446D"/>
    <w:rsid w:val="001044C6"/>
    <w:rsid w:val="001044CC"/>
    <w:rsid w:val="00104557"/>
    <w:rsid w:val="001045C0"/>
    <w:rsid w:val="00104616"/>
    <w:rsid w:val="00104623"/>
    <w:rsid w:val="0010463B"/>
    <w:rsid w:val="00104725"/>
    <w:rsid w:val="00104831"/>
    <w:rsid w:val="00104868"/>
    <w:rsid w:val="0010488E"/>
    <w:rsid w:val="00104AA9"/>
    <w:rsid w:val="00104AE7"/>
    <w:rsid w:val="00104B3A"/>
    <w:rsid w:val="00104B60"/>
    <w:rsid w:val="00104C6A"/>
    <w:rsid w:val="00104C93"/>
    <w:rsid w:val="00104C9A"/>
    <w:rsid w:val="00104CB4"/>
    <w:rsid w:val="00104CD3"/>
    <w:rsid w:val="00104D8B"/>
    <w:rsid w:val="00104E1E"/>
    <w:rsid w:val="00104EBD"/>
    <w:rsid w:val="00104F0E"/>
    <w:rsid w:val="00105049"/>
    <w:rsid w:val="00105076"/>
    <w:rsid w:val="0010509C"/>
    <w:rsid w:val="001050FF"/>
    <w:rsid w:val="0010519E"/>
    <w:rsid w:val="00105209"/>
    <w:rsid w:val="00105431"/>
    <w:rsid w:val="0010552A"/>
    <w:rsid w:val="0010555B"/>
    <w:rsid w:val="00105586"/>
    <w:rsid w:val="00105622"/>
    <w:rsid w:val="001056F2"/>
    <w:rsid w:val="001056F6"/>
    <w:rsid w:val="0010577B"/>
    <w:rsid w:val="0010590D"/>
    <w:rsid w:val="001059B2"/>
    <w:rsid w:val="00105A67"/>
    <w:rsid w:val="00105B54"/>
    <w:rsid w:val="00105BBC"/>
    <w:rsid w:val="00105BE8"/>
    <w:rsid w:val="00105C2E"/>
    <w:rsid w:val="00105C36"/>
    <w:rsid w:val="00105D04"/>
    <w:rsid w:val="00105D5A"/>
    <w:rsid w:val="00105D67"/>
    <w:rsid w:val="00105DA9"/>
    <w:rsid w:val="00105DF2"/>
    <w:rsid w:val="00105E2C"/>
    <w:rsid w:val="00105E39"/>
    <w:rsid w:val="00105F59"/>
    <w:rsid w:val="00105FEF"/>
    <w:rsid w:val="0010605F"/>
    <w:rsid w:val="00106114"/>
    <w:rsid w:val="00106168"/>
    <w:rsid w:val="001061C1"/>
    <w:rsid w:val="0010620D"/>
    <w:rsid w:val="00106250"/>
    <w:rsid w:val="001062EF"/>
    <w:rsid w:val="00106387"/>
    <w:rsid w:val="001063F7"/>
    <w:rsid w:val="00106427"/>
    <w:rsid w:val="001064B5"/>
    <w:rsid w:val="00106514"/>
    <w:rsid w:val="0010653A"/>
    <w:rsid w:val="0010654D"/>
    <w:rsid w:val="0010658D"/>
    <w:rsid w:val="001065AB"/>
    <w:rsid w:val="001065CA"/>
    <w:rsid w:val="00106629"/>
    <w:rsid w:val="00106704"/>
    <w:rsid w:val="00106771"/>
    <w:rsid w:val="001067E8"/>
    <w:rsid w:val="00106805"/>
    <w:rsid w:val="0010682C"/>
    <w:rsid w:val="00106837"/>
    <w:rsid w:val="00106941"/>
    <w:rsid w:val="0010694C"/>
    <w:rsid w:val="00106A2E"/>
    <w:rsid w:val="00106BCE"/>
    <w:rsid w:val="00106BD9"/>
    <w:rsid w:val="00106C15"/>
    <w:rsid w:val="00106D5D"/>
    <w:rsid w:val="00106E40"/>
    <w:rsid w:val="00106E75"/>
    <w:rsid w:val="00106ECE"/>
    <w:rsid w:val="00106EEA"/>
    <w:rsid w:val="00106EF7"/>
    <w:rsid w:val="00106F4B"/>
    <w:rsid w:val="00106F8E"/>
    <w:rsid w:val="00107081"/>
    <w:rsid w:val="0010713C"/>
    <w:rsid w:val="00107260"/>
    <w:rsid w:val="00107298"/>
    <w:rsid w:val="001073F5"/>
    <w:rsid w:val="001074E6"/>
    <w:rsid w:val="00107515"/>
    <w:rsid w:val="00107563"/>
    <w:rsid w:val="00107567"/>
    <w:rsid w:val="0010756B"/>
    <w:rsid w:val="0010756D"/>
    <w:rsid w:val="00107573"/>
    <w:rsid w:val="0010757B"/>
    <w:rsid w:val="001075A5"/>
    <w:rsid w:val="001075EE"/>
    <w:rsid w:val="00107673"/>
    <w:rsid w:val="00107826"/>
    <w:rsid w:val="001078D3"/>
    <w:rsid w:val="001078D6"/>
    <w:rsid w:val="00107909"/>
    <w:rsid w:val="001079AB"/>
    <w:rsid w:val="00107A13"/>
    <w:rsid w:val="00107A23"/>
    <w:rsid w:val="00107AC9"/>
    <w:rsid w:val="00107B17"/>
    <w:rsid w:val="00107B36"/>
    <w:rsid w:val="00107B55"/>
    <w:rsid w:val="00107CAF"/>
    <w:rsid w:val="00107CD4"/>
    <w:rsid w:val="00107CEB"/>
    <w:rsid w:val="00107D2E"/>
    <w:rsid w:val="00107D33"/>
    <w:rsid w:val="00107D9B"/>
    <w:rsid w:val="00107E13"/>
    <w:rsid w:val="00107E1A"/>
    <w:rsid w:val="00107E1C"/>
    <w:rsid w:val="00107E37"/>
    <w:rsid w:val="00107E4F"/>
    <w:rsid w:val="00107F0A"/>
    <w:rsid w:val="00107F37"/>
    <w:rsid w:val="00107F48"/>
    <w:rsid w:val="00107F49"/>
    <w:rsid w:val="00107F4E"/>
    <w:rsid w:val="00107F53"/>
    <w:rsid w:val="00107F6F"/>
    <w:rsid w:val="00110036"/>
    <w:rsid w:val="00110061"/>
    <w:rsid w:val="00110130"/>
    <w:rsid w:val="00110138"/>
    <w:rsid w:val="001101F3"/>
    <w:rsid w:val="00110311"/>
    <w:rsid w:val="00110360"/>
    <w:rsid w:val="00110386"/>
    <w:rsid w:val="00110419"/>
    <w:rsid w:val="0011041F"/>
    <w:rsid w:val="00110592"/>
    <w:rsid w:val="0011060E"/>
    <w:rsid w:val="00110614"/>
    <w:rsid w:val="00110623"/>
    <w:rsid w:val="00110632"/>
    <w:rsid w:val="00110654"/>
    <w:rsid w:val="0011066C"/>
    <w:rsid w:val="00110688"/>
    <w:rsid w:val="001107AB"/>
    <w:rsid w:val="001107DF"/>
    <w:rsid w:val="001108BE"/>
    <w:rsid w:val="00110A5C"/>
    <w:rsid w:val="00110BA8"/>
    <w:rsid w:val="00110BAD"/>
    <w:rsid w:val="00110C0B"/>
    <w:rsid w:val="00110C48"/>
    <w:rsid w:val="00110C62"/>
    <w:rsid w:val="00110C85"/>
    <w:rsid w:val="00110CB7"/>
    <w:rsid w:val="00110D69"/>
    <w:rsid w:val="00110DAA"/>
    <w:rsid w:val="00110E2D"/>
    <w:rsid w:val="00110F06"/>
    <w:rsid w:val="00110FC6"/>
    <w:rsid w:val="00111026"/>
    <w:rsid w:val="00111027"/>
    <w:rsid w:val="0011105B"/>
    <w:rsid w:val="00111067"/>
    <w:rsid w:val="00111073"/>
    <w:rsid w:val="00111075"/>
    <w:rsid w:val="0011114C"/>
    <w:rsid w:val="001111A0"/>
    <w:rsid w:val="001111D9"/>
    <w:rsid w:val="00111256"/>
    <w:rsid w:val="00111319"/>
    <w:rsid w:val="00111367"/>
    <w:rsid w:val="0011139C"/>
    <w:rsid w:val="001113A7"/>
    <w:rsid w:val="001113B4"/>
    <w:rsid w:val="001113D5"/>
    <w:rsid w:val="0011145B"/>
    <w:rsid w:val="0011150C"/>
    <w:rsid w:val="0011154B"/>
    <w:rsid w:val="0011158C"/>
    <w:rsid w:val="00111599"/>
    <w:rsid w:val="001115A7"/>
    <w:rsid w:val="001115EB"/>
    <w:rsid w:val="00111600"/>
    <w:rsid w:val="0011179A"/>
    <w:rsid w:val="001117A3"/>
    <w:rsid w:val="00111839"/>
    <w:rsid w:val="0011188D"/>
    <w:rsid w:val="001118A8"/>
    <w:rsid w:val="001118D0"/>
    <w:rsid w:val="001118F3"/>
    <w:rsid w:val="001119AD"/>
    <w:rsid w:val="00111A0E"/>
    <w:rsid w:val="00111A5C"/>
    <w:rsid w:val="00111A72"/>
    <w:rsid w:val="00111AAB"/>
    <w:rsid w:val="00111AD9"/>
    <w:rsid w:val="00111BE7"/>
    <w:rsid w:val="00111C26"/>
    <w:rsid w:val="00111C9E"/>
    <w:rsid w:val="00111CD1"/>
    <w:rsid w:val="00111D43"/>
    <w:rsid w:val="00111D73"/>
    <w:rsid w:val="00111D9D"/>
    <w:rsid w:val="00111DA7"/>
    <w:rsid w:val="00111DCF"/>
    <w:rsid w:val="00111EBA"/>
    <w:rsid w:val="00111ED2"/>
    <w:rsid w:val="00111EDD"/>
    <w:rsid w:val="00111F43"/>
    <w:rsid w:val="00111F7C"/>
    <w:rsid w:val="0011202B"/>
    <w:rsid w:val="00112072"/>
    <w:rsid w:val="00112119"/>
    <w:rsid w:val="00112122"/>
    <w:rsid w:val="0011216E"/>
    <w:rsid w:val="00112230"/>
    <w:rsid w:val="00112325"/>
    <w:rsid w:val="00112381"/>
    <w:rsid w:val="001123B6"/>
    <w:rsid w:val="001123C1"/>
    <w:rsid w:val="00112440"/>
    <w:rsid w:val="00112473"/>
    <w:rsid w:val="001124E1"/>
    <w:rsid w:val="001124EA"/>
    <w:rsid w:val="00112505"/>
    <w:rsid w:val="0011260C"/>
    <w:rsid w:val="0011266B"/>
    <w:rsid w:val="001126EE"/>
    <w:rsid w:val="00112710"/>
    <w:rsid w:val="00112722"/>
    <w:rsid w:val="001127DC"/>
    <w:rsid w:val="00112808"/>
    <w:rsid w:val="0011281A"/>
    <w:rsid w:val="00112842"/>
    <w:rsid w:val="00112886"/>
    <w:rsid w:val="001128BA"/>
    <w:rsid w:val="001128EF"/>
    <w:rsid w:val="0011296C"/>
    <w:rsid w:val="0011296D"/>
    <w:rsid w:val="001129C8"/>
    <w:rsid w:val="00112A20"/>
    <w:rsid w:val="00112A24"/>
    <w:rsid w:val="00112B24"/>
    <w:rsid w:val="00112B2A"/>
    <w:rsid w:val="00112B42"/>
    <w:rsid w:val="00112BCB"/>
    <w:rsid w:val="00112BD7"/>
    <w:rsid w:val="00112D4A"/>
    <w:rsid w:val="00112D66"/>
    <w:rsid w:val="00112D99"/>
    <w:rsid w:val="00112DA3"/>
    <w:rsid w:val="00112DB8"/>
    <w:rsid w:val="00112E77"/>
    <w:rsid w:val="00112ED7"/>
    <w:rsid w:val="00113027"/>
    <w:rsid w:val="00113075"/>
    <w:rsid w:val="0011307C"/>
    <w:rsid w:val="0011313F"/>
    <w:rsid w:val="001131CC"/>
    <w:rsid w:val="00113226"/>
    <w:rsid w:val="0011325A"/>
    <w:rsid w:val="0011327E"/>
    <w:rsid w:val="00113343"/>
    <w:rsid w:val="001133EE"/>
    <w:rsid w:val="00113409"/>
    <w:rsid w:val="00113458"/>
    <w:rsid w:val="0011354B"/>
    <w:rsid w:val="0011357C"/>
    <w:rsid w:val="001135CA"/>
    <w:rsid w:val="001135D2"/>
    <w:rsid w:val="001135E7"/>
    <w:rsid w:val="0011368C"/>
    <w:rsid w:val="00113725"/>
    <w:rsid w:val="00113748"/>
    <w:rsid w:val="0011375F"/>
    <w:rsid w:val="0011376A"/>
    <w:rsid w:val="001137B9"/>
    <w:rsid w:val="001137D6"/>
    <w:rsid w:val="001138D4"/>
    <w:rsid w:val="001138D5"/>
    <w:rsid w:val="001139DD"/>
    <w:rsid w:val="00113A1F"/>
    <w:rsid w:val="00113A24"/>
    <w:rsid w:val="00113A74"/>
    <w:rsid w:val="00113AD0"/>
    <w:rsid w:val="00113B6C"/>
    <w:rsid w:val="00113C03"/>
    <w:rsid w:val="00113C82"/>
    <w:rsid w:val="00113D3F"/>
    <w:rsid w:val="00113D87"/>
    <w:rsid w:val="00113DEB"/>
    <w:rsid w:val="00113E44"/>
    <w:rsid w:val="00113F0E"/>
    <w:rsid w:val="00113F90"/>
    <w:rsid w:val="00114046"/>
    <w:rsid w:val="0011408D"/>
    <w:rsid w:val="001140DA"/>
    <w:rsid w:val="00114174"/>
    <w:rsid w:val="00114281"/>
    <w:rsid w:val="00114284"/>
    <w:rsid w:val="00114320"/>
    <w:rsid w:val="00114372"/>
    <w:rsid w:val="0011439D"/>
    <w:rsid w:val="00114435"/>
    <w:rsid w:val="0011445C"/>
    <w:rsid w:val="001145AE"/>
    <w:rsid w:val="00114646"/>
    <w:rsid w:val="0011465C"/>
    <w:rsid w:val="001147A3"/>
    <w:rsid w:val="0011485C"/>
    <w:rsid w:val="00114872"/>
    <w:rsid w:val="001148F0"/>
    <w:rsid w:val="00114907"/>
    <w:rsid w:val="0011494C"/>
    <w:rsid w:val="0011495D"/>
    <w:rsid w:val="00114987"/>
    <w:rsid w:val="001149CB"/>
    <w:rsid w:val="001149F3"/>
    <w:rsid w:val="00114B5C"/>
    <w:rsid w:val="00114BF7"/>
    <w:rsid w:val="00114CC9"/>
    <w:rsid w:val="00114CCC"/>
    <w:rsid w:val="00114CE9"/>
    <w:rsid w:val="00114D47"/>
    <w:rsid w:val="00114E02"/>
    <w:rsid w:val="00115038"/>
    <w:rsid w:val="00115040"/>
    <w:rsid w:val="00115047"/>
    <w:rsid w:val="001150C2"/>
    <w:rsid w:val="001150F6"/>
    <w:rsid w:val="00115193"/>
    <w:rsid w:val="00115279"/>
    <w:rsid w:val="0011527B"/>
    <w:rsid w:val="00115343"/>
    <w:rsid w:val="001153A2"/>
    <w:rsid w:val="001153D7"/>
    <w:rsid w:val="0011543A"/>
    <w:rsid w:val="001154EF"/>
    <w:rsid w:val="001155A5"/>
    <w:rsid w:val="00115617"/>
    <w:rsid w:val="0011564E"/>
    <w:rsid w:val="001157DA"/>
    <w:rsid w:val="001158C3"/>
    <w:rsid w:val="001158C5"/>
    <w:rsid w:val="00115915"/>
    <w:rsid w:val="00115924"/>
    <w:rsid w:val="00115A53"/>
    <w:rsid w:val="00115A8D"/>
    <w:rsid w:val="00115AB2"/>
    <w:rsid w:val="00115ADA"/>
    <w:rsid w:val="00115B40"/>
    <w:rsid w:val="00115BB3"/>
    <w:rsid w:val="00115C18"/>
    <w:rsid w:val="00115D0E"/>
    <w:rsid w:val="00115DD7"/>
    <w:rsid w:val="00115DE4"/>
    <w:rsid w:val="00115EBF"/>
    <w:rsid w:val="00115EF4"/>
    <w:rsid w:val="00115F67"/>
    <w:rsid w:val="00115F6D"/>
    <w:rsid w:val="00115FCA"/>
    <w:rsid w:val="0011603B"/>
    <w:rsid w:val="00116142"/>
    <w:rsid w:val="001161B9"/>
    <w:rsid w:val="001161C9"/>
    <w:rsid w:val="0011624C"/>
    <w:rsid w:val="001162D1"/>
    <w:rsid w:val="00116315"/>
    <w:rsid w:val="001163AF"/>
    <w:rsid w:val="001163D7"/>
    <w:rsid w:val="001163D8"/>
    <w:rsid w:val="001163E4"/>
    <w:rsid w:val="001163E6"/>
    <w:rsid w:val="00116417"/>
    <w:rsid w:val="001164A1"/>
    <w:rsid w:val="001164A3"/>
    <w:rsid w:val="0011651A"/>
    <w:rsid w:val="0011651B"/>
    <w:rsid w:val="0011654D"/>
    <w:rsid w:val="0011658F"/>
    <w:rsid w:val="001165B5"/>
    <w:rsid w:val="00116661"/>
    <w:rsid w:val="0011671C"/>
    <w:rsid w:val="0011679E"/>
    <w:rsid w:val="00116823"/>
    <w:rsid w:val="00116839"/>
    <w:rsid w:val="0011688B"/>
    <w:rsid w:val="0011698D"/>
    <w:rsid w:val="001169AA"/>
    <w:rsid w:val="001169BD"/>
    <w:rsid w:val="001169F1"/>
    <w:rsid w:val="00116A2C"/>
    <w:rsid w:val="00116B64"/>
    <w:rsid w:val="00116B66"/>
    <w:rsid w:val="00116BC1"/>
    <w:rsid w:val="00116C79"/>
    <w:rsid w:val="00116C8F"/>
    <w:rsid w:val="00116D3C"/>
    <w:rsid w:val="00116DC2"/>
    <w:rsid w:val="00116E18"/>
    <w:rsid w:val="00116FBF"/>
    <w:rsid w:val="00117008"/>
    <w:rsid w:val="00117013"/>
    <w:rsid w:val="00117087"/>
    <w:rsid w:val="001170B8"/>
    <w:rsid w:val="0011711F"/>
    <w:rsid w:val="0011713E"/>
    <w:rsid w:val="00117159"/>
    <w:rsid w:val="0011717F"/>
    <w:rsid w:val="001171F5"/>
    <w:rsid w:val="0011722A"/>
    <w:rsid w:val="001174F7"/>
    <w:rsid w:val="00117514"/>
    <w:rsid w:val="0011752F"/>
    <w:rsid w:val="001175D6"/>
    <w:rsid w:val="001175E3"/>
    <w:rsid w:val="0011760E"/>
    <w:rsid w:val="00117636"/>
    <w:rsid w:val="001177CA"/>
    <w:rsid w:val="0011784C"/>
    <w:rsid w:val="001178A6"/>
    <w:rsid w:val="00117913"/>
    <w:rsid w:val="001179FD"/>
    <w:rsid w:val="00117A4A"/>
    <w:rsid w:val="00117A5E"/>
    <w:rsid w:val="00117A9E"/>
    <w:rsid w:val="00117AEC"/>
    <w:rsid w:val="00117B4A"/>
    <w:rsid w:val="00117BFA"/>
    <w:rsid w:val="00117CA1"/>
    <w:rsid w:val="00117DBA"/>
    <w:rsid w:val="00117E26"/>
    <w:rsid w:val="00117E3D"/>
    <w:rsid w:val="00117E90"/>
    <w:rsid w:val="00117EA5"/>
    <w:rsid w:val="00117EF0"/>
    <w:rsid w:val="00117F05"/>
    <w:rsid w:val="00117FD5"/>
    <w:rsid w:val="00117FF0"/>
    <w:rsid w:val="0012002D"/>
    <w:rsid w:val="0012006F"/>
    <w:rsid w:val="001200BA"/>
    <w:rsid w:val="001200E4"/>
    <w:rsid w:val="00120132"/>
    <w:rsid w:val="0012018A"/>
    <w:rsid w:val="001201BE"/>
    <w:rsid w:val="001201F0"/>
    <w:rsid w:val="00120296"/>
    <w:rsid w:val="0012031A"/>
    <w:rsid w:val="00120369"/>
    <w:rsid w:val="00120374"/>
    <w:rsid w:val="001203A5"/>
    <w:rsid w:val="001203E0"/>
    <w:rsid w:val="001204E8"/>
    <w:rsid w:val="0012055E"/>
    <w:rsid w:val="001205C3"/>
    <w:rsid w:val="001205CD"/>
    <w:rsid w:val="0012064A"/>
    <w:rsid w:val="00120651"/>
    <w:rsid w:val="00120660"/>
    <w:rsid w:val="0012068F"/>
    <w:rsid w:val="001206DC"/>
    <w:rsid w:val="0012073A"/>
    <w:rsid w:val="001207A2"/>
    <w:rsid w:val="001207B3"/>
    <w:rsid w:val="00120915"/>
    <w:rsid w:val="00120922"/>
    <w:rsid w:val="001209EE"/>
    <w:rsid w:val="00120A04"/>
    <w:rsid w:val="00120AF0"/>
    <w:rsid w:val="00120BFA"/>
    <w:rsid w:val="00120C79"/>
    <w:rsid w:val="00120CDC"/>
    <w:rsid w:val="00120DF7"/>
    <w:rsid w:val="00120E7E"/>
    <w:rsid w:val="00120F73"/>
    <w:rsid w:val="00120F87"/>
    <w:rsid w:val="00121007"/>
    <w:rsid w:val="00121019"/>
    <w:rsid w:val="0012104C"/>
    <w:rsid w:val="00121098"/>
    <w:rsid w:val="001210E2"/>
    <w:rsid w:val="00121139"/>
    <w:rsid w:val="00121287"/>
    <w:rsid w:val="0012136C"/>
    <w:rsid w:val="0012145B"/>
    <w:rsid w:val="001214FC"/>
    <w:rsid w:val="0012153E"/>
    <w:rsid w:val="00121555"/>
    <w:rsid w:val="00121653"/>
    <w:rsid w:val="00121666"/>
    <w:rsid w:val="00121676"/>
    <w:rsid w:val="001216BF"/>
    <w:rsid w:val="001216E2"/>
    <w:rsid w:val="00121755"/>
    <w:rsid w:val="0012178A"/>
    <w:rsid w:val="001218A7"/>
    <w:rsid w:val="001218B2"/>
    <w:rsid w:val="00121956"/>
    <w:rsid w:val="00121967"/>
    <w:rsid w:val="001219A4"/>
    <w:rsid w:val="001219C3"/>
    <w:rsid w:val="001219FB"/>
    <w:rsid w:val="00121A75"/>
    <w:rsid w:val="00121A97"/>
    <w:rsid w:val="00121BF2"/>
    <w:rsid w:val="00121C9F"/>
    <w:rsid w:val="00121CAE"/>
    <w:rsid w:val="00121CC4"/>
    <w:rsid w:val="00121D45"/>
    <w:rsid w:val="00121DD1"/>
    <w:rsid w:val="00121F73"/>
    <w:rsid w:val="00121F83"/>
    <w:rsid w:val="00121FE7"/>
    <w:rsid w:val="00121FEB"/>
    <w:rsid w:val="0012210C"/>
    <w:rsid w:val="001221E2"/>
    <w:rsid w:val="00122509"/>
    <w:rsid w:val="00122571"/>
    <w:rsid w:val="001225C8"/>
    <w:rsid w:val="001225DB"/>
    <w:rsid w:val="001225F5"/>
    <w:rsid w:val="0012268B"/>
    <w:rsid w:val="001226A0"/>
    <w:rsid w:val="001226C1"/>
    <w:rsid w:val="0012270C"/>
    <w:rsid w:val="00122735"/>
    <w:rsid w:val="00122777"/>
    <w:rsid w:val="0012287B"/>
    <w:rsid w:val="001228E6"/>
    <w:rsid w:val="001229CD"/>
    <w:rsid w:val="00122A00"/>
    <w:rsid w:val="00122A2F"/>
    <w:rsid w:val="00122A9A"/>
    <w:rsid w:val="00122AE9"/>
    <w:rsid w:val="00122B26"/>
    <w:rsid w:val="00122B51"/>
    <w:rsid w:val="00122C3C"/>
    <w:rsid w:val="00122C57"/>
    <w:rsid w:val="00122D06"/>
    <w:rsid w:val="00122D44"/>
    <w:rsid w:val="00122D48"/>
    <w:rsid w:val="00122D8D"/>
    <w:rsid w:val="00122DC2"/>
    <w:rsid w:val="00122E03"/>
    <w:rsid w:val="00122E1F"/>
    <w:rsid w:val="00122E69"/>
    <w:rsid w:val="00122E77"/>
    <w:rsid w:val="00122F03"/>
    <w:rsid w:val="00122F1D"/>
    <w:rsid w:val="00122F25"/>
    <w:rsid w:val="00122FA4"/>
    <w:rsid w:val="0012304C"/>
    <w:rsid w:val="00123097"/>
    <w:rsid w:val="001231AE"/>
    <w:rsid w:val="001232EE"/>
    <w:rsid w:val="00123304"/>
    <w:rsid w:val="0012333A"/>
    <w:rsid w:val="00123351"/>
    <w:rsid w:val="0012344B"/>
    <w:rsid w:val="00123463"/>
    <w:rsid w:val="001234C3"/>
    <w:rsid w:val="001234D2"/>
    <w:rsid w:val="00123516"/>
    <w:rsid w:val="00123584"/>
    <w:rsid w:val="0012361D"/>
    <w:rsid w:val="00123639"/>
    <w:rsid w:val="0012364A"/>
    <w:rsid w:val="0012366A"/>
    <w:rsid w:val="001236B8"/>
    <w:rsid w:val="001236F8"/>
    <w:rsid w:val="0012372A"/>
    <w:rsid w:val="0012372F"/>
    <w:rsid w:val="001237A3"/>
    <w:rsid w:val="00123836"/>
    <w:rsid w:val="00123868"/>
    <w:rsid w:val="001238E2"/>
    <w:rsid w:val="00123976"/>
    <w:rsid w:val="001239CA"/>
    <w:rsid w:val="001239E0"/>
    <w:rsid w:val="001239EE"/>
    <w:rsid w:val="00123A09"/>
    <w:rsid w:val="00123AC3"/>
    <w:rsid w:val="00123ADB"/>
    <w:rsid w:val="00123BE5"/>
    <w:rsid w:val="00123C20"/>
    <w:rsid w:val="00123C9C"/>
    <w:rsid w:val="00123CA4"/>
    <w:rsid w:val="00123CC2"/>
    <w:rsid w:val="00123D19"/>
    <w:rsid w:val="00123D78"/>
    <w:rsid w:val="00123D94"/>
    <w:rsid w:val="00123E7C"/>
    <w:rsid w:val="00123EE6"/>
    <w:rsid w:val="00123F01"/>
    <w:rsid w:val="00123F9D"/>
    <w:rsid w:val="00123FA9"/>
    <w:rsid w:val="0012403E"/>
    <w:rsid w:val="0012409A"/>
    <w:rsid w:val="001240D7"/>
    <w:rsid w:val="00124121"/>
    <w:rsid w:val="0012412D"/>
    <w:rsid w:val="001241F4"/>
    <w:rsid w:val="00124244"/>
    <w:rsid w:val="001242D9"/>
    <w:rsid w:val="0012435F"/>
    <w:rsid w:val="0012436D"/>
    <w:rsid w:val="0012440F"/>
    <w:rsid w:val="0012452B"/>
    <w:rsid w:val="00124564"/>
    <w:rsid w:val="001245DB"/>
    <w:rsid w:val="00124651"/>
    <w:rsid w:val="001246CE"/>
    <w:rsid w:val="00124761"/>
    <w:rsid w:val="0012477A"/>
    <w:rsid w:val="001247F8"/>
    <w:rsid w:val="0012482C"/>
    <w:rsid w:val="0012485A"/>
    <w:rsid w:val="0012496E"/>
    <w:rsid w:val="001249E1"/>
    <w:rsid w:val="00124B0A"/>
    <w:rsid w:val="00124B3E"/>
    <w:rsid w:val="00124C56"/>
    <w:rsid w:val="00124CC1"/>
    <w:rsid w:val="00124CD2"/>
    <w:rsid w:val="00124DD2"/>
    <w:rsid w:val="00124DDF"/>
    <w:rsid w:val="00124DFB"/>
    <w:rsid w:val="00124E17"/>
    <w:rsid w:val="00124E3A"/>
    <w:rsid w:val="00124EC2"/>
    <w:rsid w:val="00124ED4"/>
    <w:rsid w:val="00124F7D"/>
    <w:rsid w:val="00124F8B"/>
    <w:rsid w:val="00124FF7"/>
    <w:rsid w:val="00124FF8"/>
    <w:rsid w:val="00125002"/>
    <w:rsid w:val="0012504C"/>
    <w:rsid w:val="0012505C"/>
    <w:rsid w:val="00125068"/>
    <w:rsid w:val="001250D0"/>
    <w:rsid w:val="001250EE"/>
    <w:rsid w:val="00125122"/>
    <w:rsid w:val="00125192"/>
    <w:rsid w:val="0012521F"/>
    <w:rsid w:val="00125292"/>
    <w:rsid w:val="00125368"/>
    <w:rsid w:val="001253A7"/>
    <w:rsid w:val="001253BC"/>
    <w:rsid w:val="001253CC"/>
    <w:rsid w:val="001254B3"/>
    <w:rsid w:val="0012555C"/>
    <w:rsid w:val="001255A4"/>
    <w:rsid w:val="001255E5"/>
    <w:rsid w:val="00125641"/>
    <w:rsid w:val="00125651"/>
    <w:rsid w:val="00125699"/>
    <w:rsid w:val="001258E9"/>
    <w:rsid w:val="0012594B"/>
    <w:rsid w:val="0012599C"/>
    <w:rsid w:val="001259A4"/>
    <w:rsid w:val="00125A75"/>
    <w:rsid w:val="00125A9D"/>
    <w:rsid w:val="00125AAE"/>
    <w:rsid w:val="00125B66"/>
    <w:rsid w:val="00125C13"/>
    <w:rsid w:val="00125C2E"/>
    <w:rsid w:val="00125C96"/>
    <w:rsid w:val="00125CBB"/>
    <w:rsid w:val="00125CFA"/>
    <w:rsid w:val="00125D08"/>
    <w:rsid w:val="00125DA6"/>
    <w:rsid w:val="00125DF0"/>
    <w:rsid w:val="00125ECF"/>
    <w:rsid w:val="0012602D"/>
    <w:rsid w:val="00126059"/>
    <w:rsid w:val="00126089"/>
    <w:rsid w:val="00126132"/>
    <w:rsid w:val="001261AD"/>
    <w:rsid w:val="001262A0"/>
    <w:rsid w:val="001262E6"/>
    <w:rsid w:val="0012630E"/>
    <w:rsid w:val="0012642C"/>
    <w:rsid w:val="0012647A"/>
    <w:rsid w:val="0012649C"/>
    <w:rsid w:val="001264BF"/>
    <w:rsid w:val="001264C5"/>
    <w:rsid w:val="001264ED"/>
    <w:rsid w:val="00126501"/>
    <w:rsid w:val="00126516"/>
    <w:rsid w:val="00126527"/>
    <w:rsid w:val="001265EE"/>
    <w:rsid w:val="00126651"/>
    <w:rsid w:val="00126669"/>
    <w:rsid w:val="001266FB"/>
    <w:rsid w:val="00126750"/>
    <w:rsid w:val="0012678F"/>
    <w:rsid w:val="001268D5"/>
    <w:rsid w:val="001269B6"/>
    <w:rsid w:val="00126AA1"/>
    <w:rsid w:val="00126B60"/>
    <w:rsid w:val="00126B64"/>
    <w:rsid w:val="00126B9D"/>
    <w:rsid w:val="00126C15"/>
    <w:rsid w:val="00126C68"/>
    <w:rsid w:val="00126C87"/>
    <w:rsid w:val="00126E64"/>
    <w:rsid w:val="00126EA4"/>
    <w:rsid w:val="00126FF5"/>
    <w:rsid w:val="00127044"/>
    <w:rsid w:val="0012709F"/>
    <w:rsid w:val="001270F8"/>
    <w:rsid w:val="001270FD"/>
    <w:rsid w:val="00127193"/>
    <w:rsid w:val="001272D4"/>
    <w:rsid w:val="0012730C"/>
    <w:rsid w:val="00127376"/>
    <w:rsid w:val="00127425"/>
    <w:rsid w:val="00127436"/>
    <w:rsid w:val="00127451"/>
    <w:rsid w:val="00127474"/>
    <w:rsid w:val="00127555"/>
    <w:rsid w:val="001275E0"/>
    <w:rsid w:val="001277DF"/>
    <w:rsid w:val="00127822"/>
    <w:rsid w:val="0012785B"/>
    <w:rsid w:val="00127A01"/>
    <w:rsid w:val="00127A86"/>
    <w:rsid w:val="00127B0B"/>
    <w:rsid w:val="00127B52"/>
    <w:rsid w:val="00127B64"/>
    <w:rsid w:val="00127BB5"/>
    <w:rsid w:val="00127BFF"/>
    <w:rsid w:val="00127CC5"/>
    <w:rsid w:val="00127CC9"/>
    <w:rsid w:val="00127D04"/>
    <w:rsid w:val="00127D1D"/>
    <w:rsid w:val="00127D31"/>
    <w:rsid w:val="00127D59"/>
    <w:rsid w:val="00127DAD"/>
    <w:rsid w:val="00127E0F"/>
    <w:rsid w:val="00127E4B"/>
    <w:rsid w:val="00127EA7"/>
    <w:rsid w:val="00127F33"/>
    <w:rsid w:val="00127F92"/>
    <w:rsid w:val="00127F99"/>
    <w:rsid w:val="00127FA1"/>
    <w:rsid w:val="0013003A"/>
    <w:rsid w:val="001300F3"/>
    <w:rsid w:val="00130146"/>
    <w:rsid w:val="0013015C"/>
    <w:rsid w:val="001301AF"/>
    <w:rsid w:val="00130223"/>
    <w:rsid w:val="0013024F"/>
    <w:rsid w:val="001302CD"/>
    <w:rsid w:val="001302D6"/>
    <w:rsid w:val="00130428"/>
    <w:rsid w:val="00130432"/>
    <w:rsid w:val="00130450"/>
    <w:rsid w:val="0013058F"/>
    <w:rsid w:val="001305D1"/>
    <w:rsid w:val="00130606"/>
    <w:rsid w:val="00130721"/>
    <w:rsid w:val="00130727"/>
    <w:rsid w:val="0013080B"/>
    <w:rsid w:val="00130816"/>
    <w:rsid w:val="0013085E"/>
    <w:rsid w:val="0013087F"/>
    <w:rsid w:val="0013089E"/>
    <w:rsid w:val="001308CA"/>
    <w:rsid w:val="001308FE"/>
    <w:rsid w:val="00130949"/>
    <w:rsid w:val="00130AB9"/>
    <w:rsid w:val="00130BBF"/>
    <w:rsid w:val="00130BC2"/>
    <w:rsid w:val="00130BF7"/>
    <w:rsid w:val="00130C71"/>
    <w:rsid w:val="00130D64"/>
    <w:rsid w:val="00130D8A"/>
    <w:rsid w:val="00130DD4"/>
    <w:rsid w:val="00130EF2"/>
    <w:rsid w:val="00130F3F"/>
    <w:rsid w:val="00130F4A"/>
    <w:rsid w:val="00130F5E"/>
    <w:rsid w:val="00130FE5"/>
    <w:rsid w:val="001310D5"/>
    <w:rsid w:val="001311F6"/>
    <w:rsid w:val="001312D9"/>
    <w:rsid w:val="001312E1"/>
    <w:rsid w:val="0013134A"/>
    <w:rsid w:val="0013135D"/>
    <w:rsid w:val="00131364"/>
    <w:rsid w:val="00131491"/>
    <w:rsid w:val="001314BB"/>
    <w:rsid w:val="001314BF"/>
    <w:rsid w:val="001314C7"/>
    <w:rsid w:val="00131541"/>
    <w:rsid w:val="0013155F"/>
    <w:rsid w:val="001315F3"/>
    <w:rsid w:val="001315F7"/>
    <w:rsid w:val="00131676"/>
    <w:rsid w:val="00131694"/>
    <w:rsid w:val="001316BE"/>
    <w:rsid w:val="00131710"/>
    <w:rsid w:val="00131725"/>
    <w:rsid w:val="00131781"/>
    <w:rsid w:val="0013178E"/>
    <w:rsid w:val="0013187E"/>
    <w:rsid w:val="0013189E"/>
    <w:rsid w:val="001318D8"/>
    <w:rsid w:val="00131943"/>
    <w:rsid w:val="001319D2"/>
    <w:rsid w:val="001319DF"/>
    <w:rsid w:val="00131A03"/>
    <w:rsid w:val="00131AC8"/>
    <w:rsid w:val="00131B16"/>
    <w:rsid w:val="00131B7E"/>
    <w:rsid w:val="00131B9B"/>
    <w:rsid w:val="00131C51"/>
    <w:rsid w:val="00131CC8"/>
    <w:rsid w:val="00131D43"/>
    <w:rsid w:val="00131F35"/>
    <w:rsid w:val="00131F51"/>
    <w:rsid w:val="00131F68"/>
    <w:rsid w:val="00131FAF"/>
    <w:rsid w:val="001320B5"/>
    <w:rsid w:val="001320FA"/>
    <w:rsid w:val="0013215C"/>
    <w:rsid w:val="00132227"/>
    <w:rsid w:val="0013222D"/>
    <w:rsid w:val="00132273"/>
    <w:rsid w:val="00132294"/>
    <w:rsid w:val="00132373"/>
    <w:rsid w:val="00132393"/>
    <w:rsid w:val="001323C3"/>
    <w:rsid w:val="00132402"/>
    <w:rsid w:val="0013246B"/>
    <w:rsid w:val="001324D3"/>
    <w:rsid w:val="001324E3"/>
    <w:rsid w:val="001325D1"/>
    <w:rsid w:val="0013261B"/>
    <w:rsid w:val="00132640"/>
    <w:rsid w:val="00132668"/>
    <w:rsid w:val="00132717"/>
    <w:rsid w:val="00132718"/>
    <w:rsid w:val="00132815"/>
    <w:rsid w:val="0013281D"/>
    <w:rsid w:val="00132842"/>
    <w:rsid w:val="0013286C"/>
    <w:rsid w:val="00132980"/>
    <w:rsid w:val="00132987"/>
    <w:rsid w:val="001329D5"/>
    <w:rsid w:val="001329EC"/>
    <w:rsid w:val="00132A90"/>
    <w:rsid w:val="00132C18"/>
    <w:rsid w:val="00132E2F"/>
    <w:rsid w:val="00132E31"/>
    <w:rsid w:val="00132EB5"/>
    <w:rsid w:val="00132F03"/>
    <w:rsid w:val="00132F1E"/>
    <w:rsid w:val="00132F5F"/>
    <w:rsid w:val="00132F64"/>
    <w:rsid w:val="00132F7A"/>
    <w:rsid w:val="00133072"/>
    <w:rsid w:val="001330DA"/>
    <w:rsid w:val="001330FF"/>
    <w:rsid w:val="00133181"/>
    <w:rsid w:val="0013320E"/>
    <w:rsid w:val="0013333B"/>
    <w:rsid w:val="001333D3"/>
    <w:rsid w:val="001333D9"/>
    <w:rsid w:val="00133454"/>
    <w:rsid w:val="00133461"/>
    <w:rsid w:val="001334C1"/>
    <w:rsid w:val="001334CA"/>
    <w:rsid w:val="0013357F"/>
    <w:rsid w:val="001335C5"/>
    <w:rsid w:val="001336C9"/>
    <w:rsid w:val="001336D1"/>
    <w:rsid w:val="00133748"/>
    <w:rsid w:val="00133793"/>
    <w:rsid w:val="001337DA"/>
    <w:rsid w:val="00133827"/>
    <w:rsid w:val="001338B9"/>
    <w:rsid w:val="001338D4"/>
    <w:rsid w:val="00133953"/>
    <w:rsid w:val="00133990"/>
    <w:rsid w:val="001339CB"/>
    <w:rsid w:val="001339E9"/>
    <w:rsid w:val="00133A03"/>
    <w:rsid w:val="00133C28"/>
    <w:rsid w:val="00133C52"/>
    <w:rsid w:val="00133DB7"/>
    <w:rsid w:val="00133E09"/>
    <w:rsid w:val="00133E4F"/>
    <w:rsid w:val="00133FC7"/>
    <w:rsid w:val="00133FCF"/>
    <w:rsid w:val="00133FD1"/>
    <w:rsid w:val="00134012"/>
    <w:rsid w:val="00134024"/>
    <w:rsid w:val="00134031"/>
    <w:rsid w:val="0013406B"/>
    <w:rsid w:val="001340B0"/>
    <w:rsid w:val="00134124"/>
    <w:rsid w:val="0013419F"/>
    <w:rsid w:val="001341F0"/>
    <w:rsid w:val="00134208"/>
    <w:rsid w:val="00134227"/>
    <w:rsid w:val="00134318"/>
    <w:rsid w:val="00134345"/>
    <w:rsid w:val="00134379"/>
    <w:rsid w:val="00134450"/>
    <w:rsid w:val="001344FA"/>
    <w:rsid w:val="00134577"/>
    <w:rsid w:val="0013459B"/>
    <w:rsid w:val="00134623"/>
    <w:rsid w:val="00134632"/>
    <w:rsid w:val="001347DE"/>
    <w:rsid w:val="00134923"/>
    <w:rsid w:val="0013499E"/>
    <w:rsid w:val="001349A4"/>
    <w:rsid w:val="001349F5"/>
    <w:rsid w:val="00134AE4"/>
    <w:rsid w:val="00134BE3"/>
    <w:rsid w:val="00134C77"/>
    <w:rsid w:val="00134CDD"/>
    <w:rsid w:val="00134D03"/>
    <w:rsid w:val="00134D1D"/>
    <w:rsid w:val="00134D43"/>
    <w:rsid w:val="00134EE4"/>
    <w:rsid w:val="00134F57"/>
    <w:rsid w:val="00134F6D"/>
    <w:rsid w:val="0013501D"/>
    <w:rsid w:val="00135115"/>
    <w:rsid w:val="00135146"/>
    <w:rsid w:val="0013515D"/>
    <w:rsid w:val="001351F9"/>
    <w:rsid w:val="00135203"/>
    <w:rsid w:val="00135259"/>
    <w:rsid w:val="001352C9"/>
    <w:rsid w:val="001352F9"/>
    <w:rsid w:val="00135340"/>
    <w:rsid w:val="00135372"/>
    <w:rsid w:val="001353E1"/>
    <w:rsid w:val="001353F1"/>
    <w:rsid w:val="001353FA"/>
    <w:rsid w:val="00135453"/>
    <w:rsid w:val="0013549E"/>
    <w:rsid w:val="0013549F"/>
    <w:rsid w:val="001354A2"/>
    <w:rsid w:val="001354F2"/>
    <w:rsid w:val="001355D0"/>
    <w:rsid w:val="00135619"/>
    <w:rsid w:val="00135650"/>
    <w:rsid w:val="00135655"/>
    <w:rsid w:val="001356CB"/>
    <w:rsid w:val="001356EB"/>
    <w:rsid w:val="00135799"/>
    <w:rsid w:val="001357E6"/>
    <w:rsid w:val="0013581E"/>
    <w:rsid w:val="00135872"/>
    <w:rsid w:val="00135913"/>
    <w:rsid w:val="00135952"/>
    <w:rsid w:val="001359B4"/>
    <w:rsid w:val="001359E8"/>
    <w:rsid w:val="001359F5"/>
    <w:rsid w:val="00135A06"/>
    <w:rsid w:val="00135A1A"/>
    <w:rsid w:val="00135AFE"/>
    <w:rsid w:val="00135B04"/>
    <w:rsid w:val="00135B08"/>
    <w:rsid w:val="00135B74"/>
    <w:rsid w:val="00135BC2"/>
    <w:rsid w:val="00135DBB"/>
    <w:rsid w:val="00135DEF"/>
    <w:rsid w:val="00135E7B"/>
    <w:rsid w:val="00135E99"/>
    <w:rsid w:val="00135EE5"/>
    <w:rsid w:val="00135EF2"/>
    <w:rsid w:val="00135F14"/>
    <w:rsid w:val="00135F7C"/>
    <w:rsid w:val="00135FFB"/>
    <w:rsid w:val="00136140"/>
    <w:rsid w:val="001361E0"/>
    <w:rsid w:val="0013625E"/>
    <w:rsid w:val="001363B0"/>
    <w:rsid w:val="0013654A"/>
    <w:rsid w:val="00136556"/>
    <w:rsid w:val="0013658A"/>
    <w:rsid w:val="001365F8"/>
    <w:rsid w:val="001366A6"/>
    <w:rsid w:val="001366A8"/>
    <w:rsid w:val="0013678F"/>
    <w:rsid w:val="001367EE"/>
    <w:rsid w:val="00136832"/>
    <w:rsid w:val="00136836"/>
    <w:rsid w:val="0013683F"/>
    <w:rsid w:val="00136842"/>
    <w:rsid w:val="0013685B"/>
    <w:rsid w:val="0013686D"/>
    <w:rsid w:val="001368C9"/>
    <w:rsid w:val="001368DF"/>
    <w:rsid w:val="00136917"/>
    <w:rsid w:val="00136921"/>
    <w:rsid w:val="00136A9D"/>
    <w:rsid w:val="00136AC4"/>
    <w:rsid w:val="00136B47"/>
    <w:rsid w:val="00136BBC"/>
    <w:rsid w:val="00136BFC"/>
    <w:rsid w:val="00136C64"/>
    <w:rsid w:val="00136E9F"/>
    <w:rsid w:val="00136EAB"/>
    <w:rsid w:val="00136EF6"/>
    <w:rsid w:val="00136EFE"/>
    <w:rsid w:val="00136FB8"/>
    <w:rsid w:val="00136FBC"/>
    <w:rsid w:val="0013700C"/>
    <w:rsid w:val="00137084"/>
    <w:rsid w:val="001370E5"/>
    <w:rsid w:val="001371A1"/>
    <w:rsid w:val="001371A8"/>
    <w:rsid w:val="001371F9"/>
    <w:rsid w:val="00137358"/>
    <w:rsid w:val="001373AA"/>
    <w:rsid w:val="00137404"/>
    <w:rsid w:val="0013758E"/>
    <w:rsid w:val="001375CE"/>
    <w:rsid w:val="00137615"/>
    <w:rsid w:val="00137629"/>
    <w:rsid w:val="00137690"/>
    <w:rsid w:val="00137748"/>
    <w:rsid w:val="00137758"/>
    <w:rsid w:val="001377DE"/>
    <w:rsid w:val="001377FF"/>
    <w:rsid w:val="001378BF"/>
    <w:rsid w:val="001378C2"/>
    <w:rsid w:val="001378FB"/>
    <w:rsid w:val="00137905"/>
    <w:rsid w:val="00137908"/>
    <w:rsid w:val="001379A2"/>
    <w:rsid w:val="001379B1"/>
    <w:rsid w:val="001379C4"/>
    <w:rsid w:val="001379CB"/>
    <w:rsid w:val="00137AED"/>
    <w:rsid w:val="00137AF4"/>
    <w:rsid w:val="00137B2B"/>
    <w:rsid w:val="00137B73"/>
    <w:rsid w:val="00137B7C"/>
    <w:rsid w:val="00137BAC"/>
    <w:rsid w:val="00137C68"/>
    <w:rsid w:val="00137D8C"/>
    <w:rsid w:val="00137DB6"/>
    <w:rsid w:val="00137DE2"/>
    <w:rsid w:val="00137E95"/>
    <w:rsid w:val="00137EA0"/>
    <w:rsid w:val="00137EAE"/>
    <w:rsid w:val="00137F21"/>
    <w:rsid w:val="00137F60"/>
    <w:rsid w:val="00137F85"/>
    <w:rsid w:val="00137FFD"/>
    <w:rsid w:val="0014000B"/>
    <w:rsid w:val="00140066"/>
    <w:rsid w:val="0014014C"/>
    <w:rsid w:val="00140187"/>
    <w:rsid w:val="001402C6"/>
    <w:rsid w:val="0014043E"/>
    <w:rsid w:val="00140461"/>
    <w:rsid w:val="00140489"/>
    <w:rsid w:val="001404B8"/>
    <w:rsid w:val="00140558"/>
    <w:rsid w:val="0014061F"/>
    <w:rsid w:val="00140699"/>
    <w:rsid w:val="00140757"/>
    <w:rsid w:val="00140811"/>
    <w:rsid w:val="0014082C"/>
    <w:rsid w:val="001408BB"/>
    <w:rsid w:val="00140A97"/>
    <w:rsid w:val="00140AEB"/>
    <w:rsid w:val="00140B10"/>
    <w:rsid w:val="00140C6F"/>
    <w:rsid w:val="00140CDD"/>
    <w:rsid w:val="00140D8E"/>
    <w:rsid w:val="00140D95"/>
    <w:rsid w:val="00140DBA"/>
    <w:rsid w:val="00140DD6"/>
    <w:rsid w:val="00140DE9"/>
    <w:rsid w:val="00140E2B"/>
    <w:rsid w:val="00140EA8"/>
    <w:rsid w:val="00140F1C"/>
    <w:rsid w:val="00140F94"/>
    <w:rsid w:val="0014102B"/>
    <w:rsid w:val="00141139"/>
    <w:rsid w:val="00141160"/>
    <w:rsid w:val="0014117F"/>
    <w:rsid w:val="00141199"/>
    <w:rsid w:val="001411EA"/>
    <w:rsid w:val="0014125B"/>
    <w:rsid w:val="001412E8"/>
    <w:rsid w:val="001412FE"/>
    <w:rsid w:val="00141383"/>
    <w:rsid w:val="0014138F"/>
    <w:rsid w:val="001413B2"/>
    <w:rsid w:val="001413D9"/>
    <w:rsid w:val="001415A1"/>
    <w:rsid w:val="001415B1"/>
    <w:rsid w:val="00141628"/>
    <w:rsid w:val="00141794"/>
    <w:rsid w:val="00141849"/>
    <w:rsid w:val="001418D0"/>
    <w:rsid w:val="00141926"/>
    <w:rsid w:val="001419FC"/>
    <w:rsid w:val="001419FE"/>
    <w:rsid w:val="00141A20"/>
    <w:rsid w:val="00141A48"/>
    <w:rsid w:val="00141B79"/>
    <w:rsid w:val="00141BEF"/>
    <w:rsid w:val="00141C3F"/>
    <w:rsid w:val="00141CCD"/>
    <w:rsid w:val="00141D52"/>
    <w:rsid w:val="00141D9A"/>
    <w:rsid w:val="00141E45"/>
    <w:rsid w:val="00141E83"/>
    <w:rsid w:val="00141F2D"/>
    <w:rsid w:val="00141F3F"/>
    <w:rsid w:val="001420AE"/>
    <w:rsid w:val="001420C6"/>
    <w:rsid w:val="001420E8"/>
    <w:rsid w:val="00142112"/>
    <w:rsid w:val="00142147"/>
    <w:rsid w:val="0014217D"/>
    <w:rsid w:val="001421C0"/>
    <w:rsid w:val="001421F2"/>
    <w:rsid w:val="0014221C"/>
    <w:rsid w:val="00142416"/>
    <w:rsid w:val="001424B6"/>
    <w:rsid w:val="001424D2"/>
    <w:rsid w:val="00142506"/>
    <w:rsid w:val="00142687"/>
    <w:rsid w:val="001426FC"/>
    <w:rsid w:val="0014270B"/>
    <w:rsid w:val="00142740"/>
    <w:rsid w:val="00142783"/>
    <w:rsid w:val="00142785"/>
    <w:rsid w:val="00142796"/>
    <w:rsid w:val="00142798"/>
    <w:rsid w:val="001428BC"/>
    <w:rsid w:val="001428BD"/>
    <w:rsid w:val="00142931"/>
    <w:rsid w:val="00142A29"/>
    <w:rsid w:val="00142A63"/>
    <w:rsid w:val="00142A8C"/>
    <w:rsid w:val="00142B14"/>
    <w:rsid w:val="00142B4D"/>
    <w:rsid w:val="00142BCD"/>
    <w:rsid w:val="00142BE3"/>
    <w:rsid w:val="00142BFD"/>
    <w:rsid w:val="00142D91"/>
    <w:rsid w:val="00142D96"/>
    <w:rsid w:val="00142DE4"/>
    <w:rsid w:val="00143000"/>
    <w:rsid w:val="00143088"/>
    <w:rsid w:val="001430AF"/>
    <w:rsid w:val="001431C2"/>
    <w:rsid w:val="00143294"/>
    <w:rsid w:val="00143324"/>
    <w:rsid w:val="0014335E"/>
    <w:rsid w:val="00143399"/>
    <w:rsid w:val="0014350A"/>
    <w:rsid w:val="00143539"/>
    <w:rsid w:val="00143599"/>
    <w:rsid w:val="001435D4"/>
    <w:rsid w:val="001436A6"/>
    <w:rsid w:val="001436D6"/>
    <w:rsid w:val="00143777"/>
    <w:rsid w:val="00143784"/>
    <w:rsid w:val="00143795"/>
    <w:rsid w:val="001437F3"/>
    <w:rsid w:val="00143851"/>
    <w:rsid w:val="001438AB"/>
    <w:rsid w:val="0014392B"/>
    <w:rsid w:val="00143942"/>
    <w:rsid w:val="00143946"/>
    <w:rsid w:val="0014397C"/>
    <w:rsid w:val="001439E1"/>
    <w:rsid w:val="001439FC"/>
    <w:rsid w:val="00143A9A"/>
    <w:rsid w:val="00143B07"/>
    <w:rsid w:val="00143B0C"/>
    <w:rsid w:val="00143B71"/>
    <w:rsid w:val="00143BC2"/>
    <w:rsid w:val="00143BC8"/>
    <w:rsid w:val="00143C80"/>
    <w:rsid w:val="00143CAD"/>
    <w:rsid w:val="00143CDE"/>
    <w:rsid w:val="00143CF9"/>
    <w:rsid w:val="00143D19"/>
    <w:rsid w:val="00143D2C"/>
    <w:rsid w:val="00143D89"/>
    <w:rsid w:val="00143E8C"/>
    <w:rsid w:val="00143F17"/>
    <w:rsid w:val="00143F2D"/>
    <w:rsid w:val="00143F34"/>
    <w:rsid w:val="001440AE"/>
    <w:rsid w:val="00144294"/>
    <w:rsid w:val="001442F5"/>
    <w:rsid w:val="0014432F"/>
    <w:rsid w:val="00144330"/>
    <w:rsid w:val="00144403"/>
    <w:rsid w:val="00144433"/>
    <w:rsid w:val="00144521"/>
    <w:rsid w:val="00144536"/>
    <w:rsid w:val="001445AB"/>
    <w:rsid w:val="001445D0"/>
    <w:rsid w:val="001445D3"/>
    <w:rsid w:val="00144602"/>
    <w:rsid w:val="0014460B"/>
    <w:rsid w:val="00144637"/>
    <w:rsid w:val="001446C2"/>
    <w:rsid w:val="0014470D"/>
    <w:rsid w:val="0014471A"/>
    <w:rsid w:val="0014472D"/>
    <w:rsid w:val="00144738"/>
    <w:rsid w:val="0014487E"/>
    <w:rsid w:val="001448D5"/>
    <w:rsid w:val="001449B9"/>
    <w:rsid w:val="001449E7"/>
    <w:rsid w:val="00144A0F"/>
    <w:rsid w:val="00144AB6"/>
    <w:rsid w:val="00144B33"/>
    <w:rsid w:val="00144B9F"/>
    <w:rsid w:val="00144BEF"/>
    <w:rsid w:val="00144C86"/>
    <w:rsid w:val="00144CFE"/>
    <w:rsid w:val="00144D15"/>
    <w:rsid w:val="00144D23"/>
    <w:rsid w:val="00144E06"/>
    <w:rsid w:val="00144E2A"/>
    <w:rsid w:val="00144E45"/>
    <w:rsid w:val="00144EBA"/>
    <w:rsid w:val="00144F3E"/>
    <w:rsid w:val="00144F88"/>
    <w:rsid w:val="0014502E"/>
    <w:rsid w:val="00145047"/>
    <w:rsid w:val="0014506C"/>
    <w:rsid w:val="00145071"/>
    <w:rsid w:val="0014514F"/>
    <w:rsid w:val="00145174"/>
    <w:rsid w:val="0014519B"/>
    <w:rsid w:val="00145213"/>
    <w:rsid w:val="00145226"/>
    <w:rsid w:val="00145300"/>
    <w:rsid w:val="001453BF"/>
    <w:rsid w:val="00145504"/>
    <w:rsid w:val="001455B6"/>
    <w:rsid w:val="00145768"/>
    <w:rsid w:val="00145803"/>
    <w:rsid w:val="00145831"/>
    <w:rsid w:val="00145841"/>
    <w:rsid w:val="0014586C"/>
    <w:rsid w:val="0014587F"/>
    <w:rsid w:val="00145955"/>
    <w:rsid w:val="00145A3E"/>
    <w:rsid w:val="00145AC8"/>
    <w:rsid w:val="00145CA6"/>
    <w:rsid w:val="00145CD6"/>
    <w:rsid w:val="00145D26"/>
    <w:rsid w:val="00145D46"/>
    <w:rsid w:val="00145D5E"/>
    <w:rsid w:val="00145E00"/>
    <w:rsid w:val="00145E16"/>
    <w:rsid w:val="00145EFA"/>
    <w:rsid w:val="00145F40"/>
    <w:rsid w:val="00145F59"/>
    <w:rsid w:val="00145FF0"/>
    <w:rsid w:val="00146077"/>
    <w:rsid w:val="001460E2"/>
    <w:rsid w:val="00146116"/>
    <w:rsid w:val="0014613F"/>
    <w:rsid w:val="0014615A"/>
    <w:rsid w:val="0014616A"/>
    <w:rsid w:val="00146179"/>
    <w:rsid w:val="00146268"/>
    <w:rsid w:val="00146295"/>
    <w:rsid w:val="00146328"/>
    <w:rsid w:val="001463B0"/>
    <w:rsid w:val="001463D1"/>
    <w:rsid w:val="001463E5"/>
    <w:rsid w:val="001464A9"/>
    <w:rsid w:val="001464D6"/>
    <w:rsid w:val="00146562"/>
    <w:rsid w:val="00146594"/>
    <w:rsid w:val="0014677D"/>
    <w:rsid w:val="0014685C"/>
    <w:rsid w:val="001468D6"/>
    <w:rsid w:val="00146944"/>
    <w:rsid w:val="00146984"/>
    <w:rsid w:val="00146A30"/>
    <w:rsid w:val="00146BFA"/>
    <w:rsid w:val="00146C53"/>
    <w:rsid w:val="00146C6B"/>
    <w:rsid w:val="00146C6D"/>
    <w:rsid w:val="00146C7E"/>
    <w:rsid w:val="00146CD0"/>
    <w:rsid w:val="00146CE2"/>
    <w:rsid w:val="00146D97"/>
    <w:rsid w:val="00146E54"/>
    <w:rsid w:val="00146E83"/>
    <w:rsid w:val="00146E94"/>
    <w:rsid w:val="00146EB6"/>
    <w:rsid w:val="00146F5D"/>
    <w:rsid w:val="00146F7E"/>
    <w:rsid w:val="00147032"/>
    <w:rsid w:val="001470AC"/>
    <w:rsid w:val="001470D2"/>
    <w:rsid w:val="0014714A"/>
    <w:rsid w:val="0014724A"/>
    <w:rsid w:val="00147254"/>
    <w:rsid w:val="00147297"/>
    <w:rsid w:val="001474A7"/>
    <w:rsid w:val="001474B6"/>
    <w:rsid w:val="001474FE"/>
    <w:rsid w:val="00147562"/>
    <w:rsid w:val="00147654"/>
    <w:rsid w:val="001476D1"/>
    <w:rsid w:val="001476ED"/>
    <w:rsid w:val="00147709"/>
    <w:rsid w:val="0014775C"/>
    <w:rsid w:val="00147789"/>
    <w:rsid w:val="0014787E"/>
    <w:rsid w:val="00147887"/>
    <w:rsid w:val="001478C3"/>
    <w:rsid w:val="00147978"/>
    <w:rsid w:val="00147982"/>
    <w:rsid w:val="00147998"/>
    <w:rsid w:val="00147A40"/>
    <w:rsid w:val="00147A73"/>
    <w:rsid w:val="00147C72"/>
    <w:rsid w:val="00147D56"/>
    <w:rsid w:val="00147D86"/>
    <w:rsid w:val="00147DD3"/>
    <w:rsid w:val="00147DFB"/>
    <w:rsid w:val="00147E97"/>
    <w:rsid w:val="00147EFE"/>
    <w:rsid w:val="00147F29"/>
    <w:rsid w:val="00147F77"/>
    <w:rsid w:val="00147F8C"/>
    <w:rsid w:val="0015009F"/>
    <w:rsid w:val="001500AD"/>
    <w:rsid w:val="001500B9"/>
    <w:rsid w:val="001500C8"/>
    <w:rsid w:val="0015012A"/>
    <w:rsid w:val="00150141"/>
    <w:rsid w:val="001501AC"/>
    <w:rsid w:val="001501C0"/>
    <w:rsid w:val="001501F8"/>
    <w:rsid w:val="00150208"/>
    <w:rsid w:val="0015028C"/>
    <w:rsid w:val="001503A3"/>
    <w:rsid w:val="001503C1"/>
    <w:rsid w:val="00150486"/>
    <w:rsid w:val="001504D6"/>
    <w:rsid w:val="001504ED"/>
    <w:rsid w:val="001504F4"/>
    <w:rsid w:val="00150531"/>
    <w:rsid w:val="0015056F"/>
    <w:rsid w:val="00150610"/>
    <w:rsid w:val="0015061D"/>
    <w:rsid w:val="0015066A"/>
    <w:rsid w:val="00150690"/>
    <w:rsid w:val="0015069E"/>
    <w:rsid w:val="001506DD"/>
    <w:rsid w:val="001506EA"/>
    <w:rsid w:val="00150741"/>
    <w:rsid w:val="0015078A"/>
    <w:rsid w:val="001507C3"/>
    <w:rsid w:val="0015080B"/>
    <w:rsid w:val="0015084E"/>
    <w:rsid w:val="0015089B"/>
    <w:rsid w:val="0015093D"/>
    <w:rsid w:val="00150950"/>
    <w:rsid w:val="0015099D"/>
    <w:rsid w:val="001509B6"/>
    <w:rsid w:val="001509DA"/>
    <w:rsid w:val="00150B51"/>
    <w:rsid w:val="00150C03"/>
    <w:rsid w:val="00150C24"/>
    <w:rsid w:val="00150C31"/>
    <w:rsid w:val="00150C97"/>
    <w:rsid w:val="00150C99"/>
    <w:rsid w:val="00150CB5"/>
    <w:rsid w:val="00150CBB"/>
    <w:rsid w:val="00150CDB"/>
    <w:rsid w:val="00150CEF"/>
    <w:rsid w:val="00150D52"/>
    <w:rsid w:val="00150D7A"/>
    <w:rsid w:val="00150DA3"/>
    <w:rsid w:val="00150E0B"/>
    <w:rsid w:val="00150E1C"/>
    <w:rsid w:val="00150E55"/>
    <w:rsid w:val="00150E8E"/>
    <w:rsid w:val="00150EE4"/>
    <w:rsid w:val="00150FA1"/>
    <w:rsid w:val="00150FB1"/>
    <w:rsid w:val="00151004"/>
    <w:rsid w:val="001510F8"/>
    <w:rsid w:val="001511CB"/>
    <w:rsid w:val="00151272"/>
    <w:rsid w:val="00151296"/>
    <w:rsid w:val="00151306"/>
    <w:rsid w:val="00151369"/>
    <w:rsid w:val="0015145E"/>
    <w:rsid w:val="0015149C"/>
    <w:rsid w:val="001514A9"/>
    <w:rsid w:val="001514DF"/>
    <w:rsid w:val="001514ED"/>
    <w:rsid w:val="00151543"/>
    <w:rsid w:val="001515A1"/>
    <w:rsid w:val="001515BC"/>
    <w:rsid w:val="00151623"/>
    <w:rsid w:val="0015176A"/>
    <w:rsid w:val="0015176C"/>
    <w:rsid w:val="001517B0"/>
    <w:rsid w:val="001517D8"/>
    <w:rsid w:val="00151886"/>
    <w:rsid w:val="0015196A"/>
    <w:rsid w:val="00151A5D"/>
    <w:rsid w:val="00151A86"/>
    <w:rsid w:val="00151ADB"/>
    <w:rsid w:val="00151B0C"/>
    <w:rsid w:val="00151B85"/>
    <w:rsid w:val="00151C5C"/>
    <w:rsid w:val="00151C7F"/>
    <w:rsid w:val="00151CCE"/>
    <w:rsid w:val="00151D24"/>
    <w:rsid w:val="00151D27"/>
    <w:rsid w:val="00151DB6"/>
    <w:rsid w:val="00151DC3"/>
    <w:rsid w:val="00151DDE"/>
    <w:rsid w:val="00151E3F"/>
    <w:rsid w:val="00151FEF"/>
    <w:rsid w:val="0015209B"/>
    <w:rsid w:val="001520B2"/>
    <w:rsid w:val="00152169"/>
    <w:rsid w:val="001521EF"/>
    <w:rsid w:val="00152283"/>
    <w:rsid w:val="001522AA"/>
    <w:rsid w:val="00152319"/>
    <w:rsid w:val="0015231D"/>
    <w:rsid w:val="00152331"/>
    <w:rsid w:val="00152451"/>
    <w:rsid w:val="00152482"/>
    <w:rsid w:val="00152537"/>
    <w:rsid w:val="0015261C"/>
    <w:rsid w:val="00152673"/>
    <w:rsid w:val="001526B5"/>
    <w:rsid w:val="00152800"/>
    <w:rsid w:val="0015287E"/>
    <w:rsid w:val="001528B7"/>
    <w:rsid w:val="001528FC"/>
    <w:rsid w:val="00152952"/>
    <w:rsid w:val="00152957"/>
    <w:rsid w:val="00152995"/>
    <w:rsid w:val="00152A07"/>
    <w:rsid w:val="00152A2C"/>
    <w:rsid w:val="00152B51"/>
    <w:rsid w:val="00152B88"/>
    <w:rsid w:val="00152B9C"/>
    <w:rsid w:val="00152C2A"/>
    <w:rsid w:val="00152C39"/>
    <w:rsid w:val="00152C50"/>
    <w:rsid w:val="00152C67"/>
    <w:rsid w:val="00152C73"/>
    <w:rsid w:val="00152C85"/>
    <w:rsid w:val="00152D2A"/>
    <w:rsid w:val="00152DF3"/>
    <w:rsid w:val="00152E13"/>
    <w:rsid w:val="00152E7A"/>
    <w:rsid w:val="00152F1B"/>
    <w:rsid w:val="00152FA3"/>
    <w:rsid w:val="0015306C"/>
    <w:rsid w:val="0015310E"/>
    <w:rsid w:val="001532A0"/>
    <w:rsid w:val="001532B3"/>
    <w:rsid w:val="001532CD"/>
    <w:rsid w:val="0015330B"/>
    <w:rsid w:val="00153337"/>
    <w:rsid w:val="00153383"/>
    <w:rsid w:val="001535A1"/>
    <w:rsid w:val="001536F2"/>
    <w:rsid w:val="00153704"/>
    <w:rsid w:val="00153784"/>
    <w:rsid w:val="0015387A"/>
    <w:rsid w:val="001538F2"/>
    <w:rsid w:val="0015390B"/>
    <w:rsid w:val="001539AB"/>
    <w:rsid w:val="00153A2B"/>
    <w:rsid w:val="00153A35"/>
    <w:rsid w:val="00153ABC"/>
    <w:rsid w:val="00153ACF"/>
    <w:rsid w:val="00153B4C"/>
    <w:rsid w:val="00153B8C"/>
    <w:rsid w:val="00153B8E"/>
    <w:rsid w:val="00153BE6"/>
    <w:rsid w:val="00153BE7"/>
    <w:rsid w:val="00153C77"/>
    <w:rsid w:val="00153C89"/>
    <w:rsid w:val="00153CF8"/>
    <w:rsid w:val="00153D68"/>
    <w:rsid w:val="00153DA1"/>
    <w:rsid w:val="00153E05"/>
    <w:rsid w:val="00153E89"/>
    <w:rsid w:val="00153FC8"/>
    <w:rsid w:val="001540D1"/>
    <w:rsid w:val="00154237"/>
    <w:rsid w:val="0015428E"/>
    <w:rsid w:val="001542C8"/>
    <w:rsid w:val="001542CB"/>
    <w:rsid w:val="001542F2"/>
    <w:rsid w:val="0015437D"/>
    <w:rsid w:val="0015438B"/>
    <w:rsid w:val="0015439B"/>
    <w:rsid w:val="00154462"/>
    <w:rsid w:val="001544F0"/>
    <w:rsid w:val="00154520"/>
    <w:rsid w:val="001545AB"/>
    <w:rsid w:val="001545C0"/>
    <w:rsid w:val="001545C6"/>
    <w:rsid w:val="001545FE"/>
    <w:rsid w:val="00154646"/>
    <w:rsid w:val="0015476E"/>
    <w:rsid w:val="001547A4"/>
    <w:rsid w:val="001547F7"/>
    <w:rsid w:val="0015483F"/>
    <w:rsid w:val="001548C2"/>
    <w:rsid w:val="00154939"/>
    <w:rsid w:val="0015493B"/>
    <w:rsid w:val="00154958"/>
    <w:rsid w:val="001549AC"/>
    <w:rsid w:val="001549AF"/>
    <w:rsid w:val="00154BB1"/>
    <w:rsid w:val="00154C63"/>
    <w:rsid w:val="00154D13"/>
    <w:rsid w:val="00154DB5"/>
    <w:rsid w:val="00154E3D"/>
    <w:rsid w:val="00154EAB"/>
    <w:rsid w:val="00154EAC"/>
    <w:rsid w:val="00154F65"/>
    <w:rsid w:val="0015505C"/>
    <w:rsid w:val="0015506C"/>
    <w:rsid w:val="001550A8"/>
    <w:rsid w:val="001550D1"/>
    <w:rsid w:val="001550DB"/>
    <w:rsid w:val="00155100"/>
    <w:rsid w:val="00155105"/>
    <w:rsid w:val="00155139"/>
    <w:rsid w:val="001551B8"/>
    <w:rsid w:val="0015520D"/>
    <w:rsid w:val="0015522A"/>
    <w:rsid w:val="001552B1"/>
    <w:rsid w:val="001552D7"/>
    <w:rsid w:val="00155324"/>
    <w:rsid w:val="0015532F"/>
    <w:rsid w:val="001553A6"/>
    <w:rsid w:val="00155433"/>
    <w:rsid w:val="001554B4"/>
    <w:rsid w:val="001554B9"/>
    <w:rsid w:val="001554EF"/>
    <w:rsid w:val="00155507"/>
    <w:rsid w:val="0015551B"/>
    <w:rsid w:val="001555F2"/>
    <w:rsid w:val="00155619"/>
    <w:rsid w:val="0015562F"/>
    <w:rsid w:val="00155660"/>
    <w:rsid w:val="00155799"/>
    <w:rsid w:val="001557C7"/>
    <w:rsid w:val="001558DD"/>
    <w:rsid w:val="00155982"/>
    <w:rsid w:val="001559BA"/>
    <w:rsid w:val="001559CD"/>
    <w:rsid w:val="00155ABC"/>
    <w:rsid w:val="00155B2E"/>
    <w:rsid w:val="00155B8A"/>
    <w:rsid w:val="00155BDA"/>
    <w:rsid w:val="00155BE2"/>
    <w:rsid w:val="00155C4D"/>
    <w:rsid w:val="00155C82"/>
    <w:rsid w:val="00155D54"/>
    <w:rsid w:val="00155DA7"/>
    <w:rsid w:val="00155DBA"/>
    <w:rsid w:val="00155E0D"/>
    <w:rsid w:val="00155E12"/>
    <w:rsid w:val="00155E1F"/>
    <w:rsid w:val="00155EC7"/>
    <w:rsid w:val="00155F09"/>
    <w:rsid w:val="00155F3A"/>
    <w:rsid w:val="00155F45"/>
    <w:rsid w:val="00155FEC"/>
    <w:rsid w:val="001560AA"/>
    <w:rsid w:val="001560DF"/>
    <w:rsid w:val="00156371"/>
    <w:rsid w:val="001563D0"/>
    <w:rsid w:val="001563FE"/>
    <w:rsid w:val="00156515"/>
    <w:rsid w:val="0015657C"/>
    <w:rsid w:val="00156583"/>
    <w:rsid w:val="0015659C"/>
    <w:rsid w:val="001565DF"/>
    <w:rsid w:val="00156632"/>
    <w:rsid w:val="00156654"/>
    <w:rsid w:val="00156692"/>
    <w:rsid w:val="001566FA"/>
    <w:rsid w:val="00156707"/>
    <w:rsid w:val="0015675A"/>
    <w:rsid w:val="0015678C"/>
    <w:rsid w:val="001567AC"/>
    <w:rsid w:val="001568C2"/>
    <w:rsid w:val="001568E4"/>
    <w:rsid w:val="0015695D"/>
    <w:rsid w:val="0015695F"/>
    <w:rsid w:val="00156A95"/>
    <w:rsid w:val="00156BD0"/>
    <w:rsid w:val="00156C15"/>
    <w:rsid w:val="00156D1F"/>
    <w:rsid w:val="00156D44"/>
    <w:rsid w:val="00156F82"/>
    <w:rsid w:val="00157014"/>
    <w:rsid w:val="001570E5"/>
    <w:rsid w:val="00157131"/>
    <w:rsid w:val="001571AB"/>
    <w:rsid w:val="0015722C"/>
    <w:rsid w:val="00157308"/>
    <w:rsid w:val="0015730F"/>
    <w:rsid w:val="00157359"/>
    <w:rsid w:val="001573B0"/>
    <w:rsid w:val="001573B1"/>
    <w:rsid w:val="001574A7"/>
    <w:rsid w:val="001574E6"/>
    <w:rsid w:val="0015751D"/>
    <w:rsid w:val="001575B5"/>
    <w:rsid w:val="00157675"/>
    <w:rsid w:val="00157677"/>
    <w:rsid w:val="0015768D"/>
    <w:rsid w:val="001577A6"/>
    <w:rsid w:val="001577C5"/>
    <w:rsid w:val="00157812"/>
    <w:rsid w:val="00157886"/>
    <w:rsid w:val="00157A38"/>
    <w:rsid w:val="00157A66"/>
    <w:rsid w:val="00157B13"/>
    <w:rsid w:val="00157B85"/>
    <w:rsid w:val="00157BBB"/>
    <w:rsid w:val="00157C35"/>
    <w:rsid w:val="00157CC2"/>
    <w:rsid w:val="00157D09"/>
    <w:rsid w:val="00157D41"/>
    <w:rsid w:val="00157E58"/>
    <w:rsid w:val="00157E79"/>
    <w:rsid w:val="00160022"/>
    <w:rsid w:val="00160066"/>
    <w:rsid w:val="0016006C"/>
    <w:rsid w:val="0016011A"/>
    <w:rsid w:val="001601CC"/>
    <w:rsid w:val="00160205"/>
    <w:rsid w:val="00160226"/>
    <w:rsid w:val="00160279"/>
    <w:rsid w:val="001602BC"/>
    <w:rsid w:val="00160311"/>
    <w:rsid w:val="001603D8"/>
    <w:rsid w:val="0016048B"/>
    <w:rsid w:val="0016048D"/>
    <w:rsid w:val="001604A2"/>
    <w:rsid w:val="00160556"/>
    <w:rsid w:val="001605E1"/>
    <w:rsid w:val="00160646"/>
    <w:rsid w:val="00160676"/>
    <w:rsid w:val="00160688"/>
    <w:rsid w:val="0016069A"/>
    <w:rsid w:val="00160701"/>
    <w:rsid w:val="001607E6"/>
    <w:rsid w:val="00160829"/>
    <w:rsid w:val="00160903"/>
    <w:rsid w:val="0016094E"/>
    <w:rsid w:val="001609BD"/>
    <w:rsid w:val="001609DE"/>
    <w:rsid w:val="00160A55"/>
    <w:rsid w:val="00160A71"/>
    <w:rsid w:val="00160C24"/>
    <w:rsid w:val="00160C51"/>
    <w:rsid w:val="00160CB9"/>
    <w:rsid w:val="00160CC0"/>
    <w:rsid w:val="00160CD6"/>
    <w:rsid w:val="00160CD8"/>
    <w:rsid w:val="00160D03"/>
    <w:rsid w:val="00160D9E"/>
    <w:rsid w:val="00160EA4"/>
    <w:rsid w:val="00160F49"/>
    <w:rsid w:val="00160F5C"/>
    <w:rsid w:val="00160F77"/>
    <w:rsid w:val="00160FD2"/>
    <w:rsid w:val="0016100F"/>
    <w:rsid w:val="00161083"/>
    <w:rsid w:val="001610B9"/>
    <w:rsid w:val="00161136"/>
    <w:rsid w:val="0016119E"/>
    <w:rsid w:val="001611A0"/>
    <w:rsid w:val="001611B6"/>
    <w:rsid w:val="001611D1"/>
    <w:rsid w:val="00161207"/>
    <w:rsid w:val="001612A1"/>
    <w:rsid w:val="0016137E"/>
    <w:rsid w:val="0016139E"/>
    <w:rsid w:val="001613E1"/>
    <w:rsid w:val="0016141A"/>
    <w:rsid w:val="0016158E"/>
    <w:rsid w:val="00161612"/>
    <w:rsid w:val="00161633"/>
    <w:rsid w:val="00161669"/>
    <w:rsid w:val="001616D2"/>
    <w:rsid w:val="00161705"/>
    <w:rsid w:val="00161719"/>
    <w:rsid w:val="0016172C"/>
    <w:rsid w:val="00161734"/>
    <w:rsid w:val="0016176D"/>
    <w:rsid w:val="001617A4"/>
    <w:rsid w:val="0016184F"/>
    <w:rsid w:val="0016199A"/>
    <w:rsid w:val="00161A53"/>
    <w:rsid w:val="00161A9F"/>
    <w:rsid w:val="00161B3F"/>
    <w:rsid w:val="00161B61"/>
    <w:rsid w:val="00161B84"/>
    <w:rsid w:val="00161BBD"/>
    <w:rsid w:val="00161EBC"/>
    <w:rsid w:val="00162015"/>
    <w:rsid w:val="0016203D"/>
    <w:rsid w:val="0016208A"/>
    <w:rsid w:val="001620D4"/>
    <w:rsid w:val="00162100"/>
    <w:rsid w:val="001621AF"/>
    <w:rsid w:val="001621BF"/>
    <w:rsid w:val="001621C1"/>
    <w:rsid w:val="001621DB"/>
    <w:rsid w:val="00162236"/>
    <w:rsid w:val="001622CD"/>
    <w:rsid w:val="001623BE"/>
    <w:rsid w:val="001623D2"/>
    <w:rsid w:val="00162432"/>
    <w:rsid w:val="001624E5"/>
    <w:rsid w:val="00162502"/>
    <w:rsid w:val="0016257D"/>
    <w:rsid w:val="00162581"/>
    <w:rsid w:val="00162645"/>
    <w:rsid w:val="00162678"/>
    <w:rsid w:val="00162774"/>
    <w:rsid w:val="001627EC"/>
    <w:rsid w:val="001628BD"/>
    <w:rsid w:val="001628E8"/>
    <w:rsid w:val="00162912"/>
    <w:rsid w:val="001629B1"/>
    <w:rsid w:val="001629C8"/>
    <w:rsid w:val="00162ABC"/>
    <w:rsid w:val="00162B8E"/>
    <w:rsid w:val="00162C35"/>
    <w:rsid w:val="00162C57"/>
    <w:rsid w:val="00162C7B"/>
    <w:rsid w:val="00162C96"/>
    <w:rsid w:val="00162D58"/>
    <w:rsid w:val="00162D6C"/>
    <w:rsid w:val="00162D9D"/>
    <w:rsid w:val="00162DD3"/>
    <w:rsid w:val="00162EA1"/>
    <w:rsid w:val="00162F06"/>
    <w:rsid w:val="00162F6B"/>
    <w:rsid w:val="00162F6E"/>
    <w:rsid w:val="00163076"/>
    <w:rsid w:val="0016338A"/>
    <w:rsid w:val="001635E1"/>
    <w:rsid w:val="00163615"/>
    <w:rsid w:val="00163638"/>
    <w:rsid w:val="00163649"/>
    <w:rsid w:val="00163652"/>
    <w:rsid w:val="001636DE"/>
    <w:rsid w:val="0016375C"/>
    <w:rsid w:val="00163791"/>
    <w:rsid w:val="001637BC"/>
    <w:rsid w:val="0016382B"/>
    <w:rsid w:val="001638F6"/>
    <w:rsid w:val="0016393F"/>
    <w:rsid w:val="00163955"/>
    <w:rsid w:val="001639B6"/>
    <w:rsid w:val="001639C7"/>
    <w:rsid w:val="001639EA"/>
    <w:rsid w:val="001639FC"/>
    <w:rsid w:val="00163A80"/>
    <w:rsid w:val="00163AB1"/>
    <w:rsid w:val="00163B25"/>
    <w:rsid w:val="00163B81"/>
    <w:rsid w:val="00163BE9"/>
    <w:rsid w:val="00163CC1"/>
    <w:rsid w:val="00163DEE"/>
    <w:rsid w:val="00163E88"/>
    <w:rsid w:val="00163E9B"/>
    <w:rsid w:val="00163F0D"/>
    <w:rsid w:val="00163F42"/>
    <w:rsid w:val="001640D2"/>
    <w:rsid w:val="0016412F"/>
    <w:rsid w:val="001642A1"/>
    <w:rsid w:val="0016438B"/>
    <w:rsid w:val="00164496"/>
    <w:rsid w:val="001644DF"/>
    <w:rsid w:val="001644EA"/>
    <w:rsid w:val="0016457B"/>
    <w:rsid w:val="001645CB"/>
    <w:rsid w:val="001645CE"/>
    <w:rsid w:val="00164601"/>
    <w:rsid w:val="00164619"/>
    <w:rsid w:val="00164720"/>
    <w:rsid w:val="0016473A"/>
    <w:rsid w:val="0016474A"/>
    <w:rsid w:val="00164755"/>
    <w:rsid w:val="001647A5"/>
    <w:rsid w:val="0016487B"/>
    <w:rsid w:val="001648CF"/>
    <w:rsid w:val="00164936"/>
    <w:rsid w:val="00164978"/>
    <w:rsid w:val="001649A1"/>
    <w:rsid w:val="00164A17"/>
    <w:rsid w:val="00164A19"/>
    <w:rsid w:val="00164A2D"/>
    <w:rsid w:val="00164B2B"/>
    <w:rsid w:val="00164B5D"/>
    <w:rsid w:val="00164BCB"/>
    <w:rsid w:val="00164BCD"/>
    <w:rsid w:val="00164C01"/>
    <w:rsid w:val="00164D68"/>
    <w:rsid w:val="00164E26"/>
    <w:rsid w:val="00164E32"/>
    <w:rsid w:val="00164E4F"/>
    <w:rsid w:val="00164E84"/>
    <w:rsid w:val="00164E86"/>
    <w:rsid w:val="00164EC4"/>
    <w:rsid w:val="00164EDB"/>
    <w:rsid w:val="00164FCD"/>
    <w:rsid w:val="00164FDA"/>
    <w:rsid w:val="001650E8"/>
    <w:rsid w:val="00165172"/>
    <w:rsid w:val="0016517A"/>
    <w:rsid w:val="0016518F"/>
    <w:rsid w:val="001651B9"/>
    <w:rsid w:val="001651BC"/>
    <w:rsid w:val="001651CF"/>
    <w:rsid w:val="0016526D"/>
    <w:rsid w:val="001652AE"/>
    <w:rsid w:val="00165355"/>
    <w:rsid w:val="0016535A"/>
    <w:rsid w:val="00165473"/>
    <w:rsid w:val="00165487"/>
    <w:rsid w:val="001654EE"/>
    <w:rsid w:val="00165507"/>
    <w:rsid w:val="001655FE"/>
    <w:rsid w:val="0016569C"/>
    <w:rsid w:val="001656A0"/>
    <w:rsid w:val="00165751"/>
    <w:rsid w:val="00165770"/>
    <w:rsid w:val="00165783"/>
    <w:rsid w:val="0016578D"/>
    <w:rsid w:val="001657DE"/>
    <w:rsid w:val="0016581D"/>
    <w:rsid w:val="001658DB"/>
    <w:rsid w:val="0016597D"/>
    <w:rsid w:val="001659E8"/>
    <w:rsid w:val="00165A87"/>
    <w:rsid w:val="00165A9E"/>
    <w:rsid w:val="00165B20"/>
    <w:rsid w:val="00165B3F"/>
    <w:rsid w:val="00165B5F"/>
    <w:rsid w:val="00165B60"/>
    <w:rsid w:val="00165BB1"/>
    <w:rsid w:val="00165BD3"/>
    <w:rsid w:val="00165D83"/>
    <w:rsid w:val="00165E33"/>
    <w:rsid w:val="00165E41"/>
    <w:rsid w:val="00165E5D"/>
    <w:rsid w:val="00165E9B"/>
    <w:rsid w:val="00165EAA"/>
    <w:rsid w:val="00165EC0"/>
    <w:rsid w:val="00165EE8"/>
    <w:rsid w:val="00165F46"/>
    <w:rsid w:val="00165F72"/>
    <w:rsid w:val="00166088"/>
    <w:rsid w:val="00166096"/>
    <w:rsid w:val="001660AE"/>
    <w:rsid w:val="0016614A"/>
    <w:rsid w:val="0016614E"/>
    <w:rsid w:val="0016616B"/>
    <w:rsid w:val="001661A5"/>
    <w:rsid w:val="001661FD"/>
    <w:rsid w:val="0016627E"/>
    <w:rsid w:val="001662D1"/>
    <w:rsid w:val="001662D5"/>
    <w:rsid w:val="00166341"/>
    <w:rsid w:val="001663AD"/>
    <w:rsid w:val="00166401"/>
    <w:rsid w:val="0016640A"/>
    <w:rsid w:val="0016643D"/>
    <w:rsid w:val="00166498"/>
    <w:rsid w:val="001665A0"/>
    <w:rsid w:val="001665C3"/>
    <w:rsid w:val="0016669F"/>
    <w:rsid w:val="001666E2"/>
    <w:rsid w:val="00166750"/>
    <w:rsid w:val="001668D5"/>
    <w:rsid w:val="001668FF"/>
    <w:rsid w:val="001669E2"/>
    <w:rsid w:val="00166A04"/>
    <w:rsid w:val="00166A68"/>
    <w:rsid w:val="00166A8B"/>
    <w:rsid w:val="00166AC5"/>
    <w:rsid w:val="00166ACE"/>
    <w:rsid w:val="00166ACF"/>
    <w:rsid w:val="00166B1B"/>
    <w:rsid w:val="00166B4C"/>
    <w:rsid w:val="00166B60"/>
    <w:rsid w:val="00166B6D"/>
    <w:rsid w:val="00166BD7"/>
    <w:rsid w:val="00166C73"/>
    <w:rsid w:val="00166D28"/>
    <w:rsid w:val="00166D44"/>
    <w:rsid w:val="00166DCA"/>
    <w:rsid w:val="00166E03"/>
    <w:rsid w:val="00166E24"/>
    <w:rsid w:val="00166EE2"/>
    <w:rsid w:val="00166EF6"/>
    <w:rsid w:val="00166F75"/>
    <w:rsid w:val="0016702D"/>
    <w:rsid w:val="00167035"/>
    <w:rsid w:val="00167045"/>
    <w:rsid w:val="001670B2"/>
    <w:rsid w:val="001670F3"/>
    <w:rsid w:val="00167146"/>
    <w:rsid w:val="0016715C"/>
    <w:rsid w:val="001671F7"/>
    <w:rsid w:val="0016732B"/>
    <w:rsid w:val="00167331"/>
    <w:rsid w:val="00167390"/>
    <w:rsid w:val="0016740C"/>
    <w:rsid w:val="00167489"/>
    <w:rsid w:val="001674E3"/>
    <w:rsid w:val="001674FF"/>
    <w:rsid w:val="00167539"/>
    <w:rsid w:val="0016755E"/>
    <w:rsid w:val="00167579"/>
    <w:rsid w:val="00167643"/>
    <w:rsid w:val="001676A7"/>
    <w:rsid w:val="0016777F"/>
    <w:rsid w:val="00167781"/>
    <w:rsid w:val="001677AA"/>
    <w:rsid w:val="001677DA"/>
    <w:rsid w:val="001677FE"/>
    <w:rsid w:val="00167844"/>
    <w:rsid w:val="00167845"/>
    <w:rsid w:val="0016786F"/>
    <w:rsid w:val="00167968"/>
    <w:rsid w:val="001679B7"/>
    <w:rsid w:val="001679BE"/>
    <w:rsid w:val="001679E8"/>
    <w:rsid w:val="00167A0F"/>
    <w:rsid w:val="00167A52"/>
    <w:rsid w:val="00167A64"/>
    <w:rsid w:val="00167B7D"/>
    <w:rsid w:val="00167C01"/>
    <w:rsid w:val="00167C5B"/>
    <w:rsid w:val="00167E1A"/>
    <w:rsid w:val="00167E30"/>
    <w:rsid w:val="00167E9B"/>
    <w:rsid w:val="00167EC4"/>
    <w:rsid w:val="00167EC9"/>
    <w:rsid w:val="00167F22"/>
    <w:rsid w:val="00167FDE"/>
    <w:rsid w:val="0017000F"/>
    <w:rsid w:val="00170037"/>
    <w:rsid w:val="001700BA"/>
    <w:rsid w:val="00170132"/>
    <w:rsid w:val="0017013C"/>
    <w:rsid w:val="0017016A"/>
    <w:rsid w:val="001702FC"/>
    <w:rsid w:val="00170309"/>
    <w:rsid w:val="00170365"/>
    <w:rsid w:val="00170418"/>
    <w:rsid w:val="0017045F"/>
    <w:rsid w:val="00170494"/>
    <w:rsid w:val="001704A0"/>
    <w:rsid w:val="001705A0"/>
    <w:rsid w:val="001705C0"/>
    <w:rsid w:val="001706CE"/>
    <w:rsid w:val="00170717"/>
    <w:rsid w:val="00170733"/>
    <w:rsid w:val="001707A0"/>
    <w:rsid w:val="00170822"/>
    <w:rsid w:val="00170929"/>
    <w:rsid w:val="00170964"/>
    <w:rsid w:val="00170A38"/>
    <w:rsid w:val="00170A40"/>
    <w:rsid w:val="00170AA7"/>
    <w:rsid w:val="00170AC9"/>
    <w:rsid w:val="00170AD5"/>
    <w:rsid w:val="00170AFE"/>
    <w:rsid w:val="00170B33"/>
    <w:rsid w:val="00170B88"/>
    <w:rsid w:val="00170C85"/>
    <w:rsid w:val="00170C8E"/>
    <w:rsid w:val="00170C97"/>
    <w:rsid w:val="00170CAC"/>
    <w:rsid w:val="00170CC5"/>
    <w:rsid w:val="00170E67"/>
    <w:rsid w:val="00170E79"/>
    <w:rsid w:val="00170EAE"/>
    <w:rsid w:val="00170ED6"/>
    <w:rsid w:val="00170F6B"/>
    <w:rsid w:val="00170F85"/>
    <w:rsid w:val="00170FCA"/>
    <w:rsid w:val="00170FCD"/>
    <w:rsid w:val="00171008"/>
    <w:rsid w:val="0017102E"/>
    <w:rsid w:val="001710C5"/>
    <w:rsid w:val="00171198"/>
    <w:rsid w:val="001711D5"/>
    <w:rsid w:val="001711F9"/>
    <w:rsid w:val="0017121F"/>
    <w:rsid w:val="00171237"/>
    <w:rsid w:val="001712B2"/>
    <w:rsid w:val="0017131B"/>
    <w:rsid w:val="001713AC"/>
    <w:rsid w:val="001713E0"/>
    <w:rsid w:val="001713E9"/>
    <w:rsid w:val="0017141C"/>
    <w:rsid w:val="00171453"/>
    <w:rsid w:val="0017173A"/>
    <w:rsid w:val="001717A2"/>
    <w:rsid w:val="001717E5"/>
    <w:rsid w:val="001718C6"/>
    <w:rsid w:val="001718CC"/>
    <w:rsid w:val="00171948"/>
    <w:rsid w:val="00171AC3"/>
    <w:rsid w:val="00171B1E"/>
    <w:rsid w:val="00171B31"/>
    <w:rsid w:val="00171B8D"/>
    <w:rsid w:val="00171D6D"/>
    <w:rsid w:val="00171DFD"/>
    <w:rsid w:val="00171E12"/>
    <w:rsid w:val="00171F17"/>
    <w:rsid w:val="00171FD4"/>
    <w:rsid w:val="0017204C"/>
    <w:rsid w:val="00172081"/>
    <w:rsid w:val="00172091"/>
    <w:rsid w:val="001720AD"/>
    <w:rsid w:val="001720F6"/>
    <w:rsid w:val="00172139"/>
    <w:rsid w:val="0017215A"/>
    <w:rsid w:val="001721E3"/>
    <w:rsid w:val="0017220C"/>
    <w:rsid w:val="00172214"/>
    <w:rsid w:val="00172222"/>
    <w:rsid w:val="001722C2"/>
    <w:rsid w:val="001722CF"/>
    <w:rsid w:val="0017231F"/>
    <w:rsid w:val="00172388"/>
    <w:rsid w:val="001723E5"/>
    <w:rsid w:val="00172499"/>
    <w:rsid w:val="001724B3"/>
    <w:rsid w:val="00172536"/>
    <w:rsid w:val="001725E9"/>
    <w:rsid w:val="001725EC"/>
    <w:rsid w:val="00172653"/>
    <w:rsid w:val="001726C8"/>
    <w:rsid w:val="00172746"/>
    <w:rsid w:val="001727DF"/>
    <w:rsid w:val="00172867"/>
    <w:rsid w:val="0017288B"/>
    <w:rsid w:val="00172901"/>
    <w:rsid w:val="00172A16"/>
    <w:rsid w:val="00172A4E"/>
    <w:rsid w:val="00172A7C"/>
    <w:rsid w:val="00172AD1"/>
    <w:rsid w:val="00172B8F"/>
    <w:rsid w:val="00172C94"/>
    <w:rsid w:val="00172D5F"/>
    <w:rsid w:val="00172E76"/>
    <w:rsid w:val="00172F3A"/>
    <w:rsid w:val="00172F3B"/>
    <w:rsid w:val="00172FBD"/>
    <w:rsid w:val="001730C4"/>
    <w:rsid w:val="0017312A"/>
    <w:rsid w:val="0017316B"/>
    <w:rsid w:val="001732D2"/>
    <w:rsid w:val="0017333B"/>
    <w:rsid w:val="001733EF"/>
    <w:rsid w:val="001733FD"/>
    <w:rsid w:val="00173418"/>
    <w:rsid w:val="001734A3"/>
    <w:rsid w:val="0017356B"/>
    <w:rsid w:val="001735C7"/>
    <w:rsid w:val="0017368F"/>
    <w:rsid w:val="00173691"/>
    <w:rsid w:val="00173780"/>
    <w:rsid w:val="0017381D"/>
    <w:rsid w:val="0017383C"/>
    <w:rsid w:val="0017384B"/>
    <w:rsid w:val="00173874"/>
    <w:rsid w:val="001738CE"/>
    <w:rsid w:val="001738DF"/>
    <w:rsid w:val="00173913"/>
    <w:rsid w:val="00173970"/>
    <w:rsid w:val="00173A84"/>
    <w:rsid w:val="00173A9C"/>
    <w:rsid w:val="00173BE8"/>
    <w:rsid w:val="00173C24"/>
    <w:rsid w:val="00173CF9"/>
    <w:rsid w:val="00173D10"/>
    <w:rsid w:val="00173DC9"/>
    <w:rsid w:val="00173E7B"/>
    <w:rsid w:val="00174018"/>
    <w:rsid w:val="0017408B"/>
    <w:rsid w:val="00174133"/>
    <w:rsid w:val="00174140"/>
    <w:rsid w:val="001741CE"/>
    <w:rsid w:val="00174309"/>
    <w:rsid w:val="0017432B"/>
    <w:rsid w:val="00174357"/>
    <w:rsid w:val="001743B9"/>
    <w:rsid w:val="001743C2"/>
    <w:rsid w:val="00174472"/>
    <w:rsid w:val="00174550"/>
    <w:rsid w:val="001745AD"/>
    <w:rsid w:val="001745D7"/>
    <w:rsid w:val="001747E1"/>
    <w:rsid w:val="001747FB"/>
    <w:rsid w:val="0017480F"/>
    <w:rsid w:val="00174857"/>
    <w:rsid w:val="001748A8"/>
    <w:rsid w:val="001748B7"/>
    <w:rsid w:val="00174921"/>
    <w:rsid w:val="00174965"/>
    <w:rsid w:val="0017497B"/>
    <w:rsid w:val="001749B2"/>
    <w:rsid w:val="001749CB"/>
    <w:rsid w:val="001749F2"/>
    <w:rsid w:val="00174A09"/>
    <w:rsid w:val="00174A4C"/>
    <w:rsid w:val="00174AF1"/>
    <w:rsid w:val="00174B35"/>
    <w:rsid w:val="00174BA8"/>
    <w:rsid w:val="00174C8D"/>
    <w:rsid w:val="00174CE0"/>
    <w:rsid w:val="00174CE2"/>
    <w:rsid w:val="00174CE7"/>
    <w:rsid w:val="00174D3F"/>
    <w:rsid w:val="00174DFA"/>
    <w:rsid w:val="00174E61"/>
    <w:rsid w:val="00174E92"/>
    <w:rsid w:val="00174EBF"/>
    <w:rsid w:val="00174ED8"/>
    <w:rsid w:val="00174EE8"/>
    <w:rsid w:val="00174EF4"/>
    <w:rsid w:val="00174F89"/>
    <w:rsid w:val="00174FDD"/>
    <w:rsid w:val="0017503C"/>
    <w:rsid w:val="0017505B"/>
    <w:rsid w:val="001750CB"/>
    <w:rsid w:val="0017511B"/>
    <w:rsid w:val="001753F4"/>
    <w:rsid w:val="00175493"/>
    <w:rsid w:val="00175568"/>
    <w:rsid w:val="0017558A"/>
    <w:rsid w:val="0017562F"/>
    <w:rsid w:val="0017575B"/>
    <w:rsid w:val="00175785"/>
    <w:rsid w:val="001757CB"/>
    <w:rsid w:val="001757F9"/>
    <w:rsid w:val="00175897"/>
    <w:rsid w:val="001758B5"/>
    <w:rsid w:val="00175966"/>
    <w:rsid w:val="001759D3"/>
    <w:rsid w:val="00175A38"/>
    <w:rsid w:val="00175A44"/>
    <w:rsid w:val="00175ACB"/>
    <w:rsid w:val="00175AED"/>
    <w:rsid w:val="00175BF6"/>
    <w:rsid w:val="00175CD5"/>
    <w:rsid w:val="00175D02"/>
    <w:rsid w:val="00175D51"/>
    <w:rsid w:val="00175D6A"/>
    <w:rsid w:val="00175D74"/>
    <w:rsid w:val="00175DA0"/>
    <w:rsid w:val="00175DE8"/>
    <w:rsid w:val="00175F13"/>
    <w:rsid w:val="00175F3A"/>
    <w:rsid w:val="00176063"/>
    <w:rsid w:val="001760D9"/>
    <w:rsid w:val="0017630F"/>
    <w:rsid w:val="00176358"/>
    <w:rsid w:val="00176392"/>
    <w:rsid w:val="001763B0"/>
    <w:rsid w:val="001763B8"/>
    <w:rsid w:val="00176445"/>
    <w:rsid w:val="00176481"/>
    <w:rsid w:val="00176528"/>
    <w:rsid w:val="00176748"/>
    <w:rsid w:val="0017684E"/>
    <w:rsid w:val="0017689A"/>
    <w:rsid w:val="001768DA"/>
    <w:rsid w:val="00176910"/>
    <w:rsid w:val="00176917"/>
    <w:rsid w:val="0017695F"/>
    <w:rsid w:val="00176B5D"/>
    <w:rsid w:val="00176BA1"/>
    <w:rsid w:val="00176BF8"/>
    <w:rsid w:val="00176C17"/>
    <w:rsid w:val="00176CFB"/>
    <w:rsid w:val="00176D3F"/>
    <w:rsid w:val="00176D7B"/>
    <w:rsid w:val="00176DAC"/>
    <w:rsid w:val="00176E85"/>
    <w:rsid w:val="00176E96"/>
    <w:rsid w:val="00176F27"/>
    <w:rsid w:val="00176FB7"/>
    <w:rsid w:val="00177033"/>
    <w:rsid w:val="00177095"/>
    <w:rsid w:val="001771C8"/>
    <w:rsid w:val="001772DC"/>
    <w:rsid w:val="00177327"/>
    <w:rsid w:val="00177376"/>
    <w:rsid w:val="00177421"/>
    <w:rsid w:val="00177482"/>
    <w:rsid w:val="00177495"/>
    <w:rsid w:val="00177517"/>
    <w:rsid w:val="0017756E"/>
    <w:rsid w:val="001775BC"/>
    <w:rsid w:val="001775D2"/>
    <w:rsid w:val="001776C2"/>
    <w:rsid w:val="001776DC"/>
    <w:rsid w:val="001777D4"/>
    <w:rsid w:val="00177835"/>
    <w:rsid w:val="00177836"/>
    <w:rsid w:val="00177855"/>
    <w:rsid w:val="00177875"/>
    <w:rsid w:val="001778DC"/>
    <w:rsid w:val="001778E3"/>
    <w:rsid w:val="001778E6"/>
    <w:rsid w:val="00177931"/>
    <w:rsid w:val="00177958"/>
    <w:rsid w:val="00177A98"/>
    <w:rsid w:val="00177AE6"/>
    <w:rsid w:val="00177B19"/>
    <w:rsid w:val="00177B48"/>
    <w:rsid w:val="00177B97"/>
    <w:rsid w:val="00177C25"/>
    <w:rsid w:val="00177C62"/>
    <w:rsid w:val="00177D01"/>
    <w:rsid w:val="00177D26"/>
    <w:rsid w:val="00177D3A"/>
    <w:rsid w:val="00177D66"/>
    <w:rsid w:val="00177DB2"/>
    <w:rsid w:val="00177E30"/>
    <w:rsid w:val="00177E72"/>
    <w:rsid w:val="00177E7D"/>
    <w:rsid w:val="00177F25"/>
    <w:rsid w:val="00180032"/>
    <w:rsid w:val="001800D1"/>
    <w:rsid w:val="00180161"/>
    <w:rsid w:val="001801CD"/>
    <w:rsid w:val="00180377"/>
    <w:rsid w:val="001803C5"/>
    <w:rsid w:val="001803E2"/>
    <w:rsid w:val="001803E3"/>
    <w:rsid w:val="001804AF"/>
    <w:rsid w:val="0018056A"/>
    <w:rsid w:val="001806C7"/>
    <w:rsid w:val="0018076D"/>
    <w:rsid w:val="001807E7"/>
    <w:rsid w:val="001808ED"/>
    <w:rsid w:val="0018099B"/>
    <w:rsid w:val="00180A33"/>
    <w:rsid w:val="00180AD1"/>
    <w:rsid w:val="00180AE3"/>
    <w:rsid w:val="00180B29"/>
    <w:rsid w:val="00180B6F"/>
    <w:rsid w:val="00180B77"/>
    <w:rsid w:val="00180C1C"/>
    <w:rsid w:val="00180CAE"/>
    <w:rsid w:val="00180D11"/>
    <w:rsid w:val="00180D47"/>
    <w:rsid w:val="00180E6E"/>
    <w:rsid w:val="00180E73"/>
    <w:rsid w:val="00180EB0"/>
    <w:rsid w:val="00180FAC"/>
    <w:rsid w:val="0018104A"/>
    <w:rsid w:val="0018109C"/>
    <w:rsid w:val="001810C4"/>
    <w:rsid w:val="001810F3"/>
    <w:rsid w:val="001810F9"/>
    <w:rsid w:val="00181203"/>
    <w:rsid w:val="00181249"/>
    <w:rsid w:val="00181253"/>
    <w:rsid w:val="0018131D"/>
    <w:rsid w:val="00181355"/>
    <w:rsid w:val="00181364"/>
    <w:rsid w:val="001813E9"/>
    <w:rsid w:val="00181438"/>
    <w:rsid w:val="00181440"/>
    <w:rsid w:val="00181496"/>
    <w:rsid w:val="001815F2"/>
    <w:rsid w:val="00181620"/>
    <w:rsid w:val="00181664"/>
    <w:rsid w:val="0018172E"/>
    <w:rsid w:val="0018178B"/>
    <w:rsid w:val="00181890"/>
    <w:rsid w:val="00181934"/>
    <w:rsid w:val="001819DD"/>
    <w:rsid w:val="001819F1"/>
    <w:rsid w:val="00181ABC"/>
    <w:rsid w:val="00181AC2"/>
    <w:rsid w:val="00181B1C"/>
    <w:rsid w:val="00181B42"/>
    <w:rsid w:val="00181BA5"/>
    <w:rsid w:val="00181C41"/>
    <w:rsid w:val="00181C65"/>
    <w:rsid w:val="00181C9B"/>
    <w:rsid w:val="00181CBB"/>
    <w:rsid w:val="00181CE4"/>
    <w:rsid w:val="00181D48"/>
    <w:rsid w:val="00181E14"/>
    <w:rsid w:val="0018202A"/>
    <w:rsid w:val="0018202D"/>
    <w:rsid w:val="001820CE"/>
    <w:rsid w:val="0018219D"/>
    <w:rsid w:val="001821C6"/>
    <w:rsid w:val="0018220B"/>
    <w:rsid w:val="001822A1"/>
    <w:rsid w:val="0018230C"/>
    <w:rsid w:val="0018230D"/>
    <w:rsid w:val="00182319"/>
    <w:rsid w:val="0018234B"/>
    <w:rsid w:val="001823D1"/>
    <w:rsid w:val="001824B4"/>
    <w:rsid w:val="001824CD"/>
    <w:rsid w:val="001824D5"/>
    <w:rsid w:val="0018262D"/>
    <w:rsid w:val="00182734"/>
    <w:rsid w:val="00182740"/>
    <w:rsid w:val="0018279A"/>
    <w:rsid w:val="00182879"/>
    <w:rsid w:val="0018293A"/>
    <w:rsid w:val="00182945"/>
    <w:rsid w:val="001829EF"/>
    <w:rsid w:val="00182A74"/>
    <w:rsid w:val="00182AA3"/>
    <w:rsid w:val="00182BB2"/>
    <w:rsid w:val="00182C2B"/>
    <w:rsid w:val="00182CA3"/>
    <w:rsid w:val="00182CAA"/>
    <w:rsid w:val="00182D0D"/>
    <w:rsid w:val="00182DE7"/>
    <w:rsid w:val="00182DF9"/>
    <w:rsid w:val="00182E23"/>
    <w:rsid w:val="00182E45"/>
    <w:rsid w:val="00182E5C"/>
    <w:rsid w:val="00182E72"/>
    <w:rsid w:val="00182F03"/>
    <w:rsid w:val="00182F44"/>
    <w:rsid w:val="00182FE8"/>
    <w:rsid w:val="00183059"/>
    <w:rsid w:val="001830A8"/>
    <w:rsid w:val="001830B5"/>
    <w:rsid w:val="001830EE"/>
    <w:rsid w:val="00183249"/>
    <w:rsid w:val="0018325B"/>
    <w:rsid w:val="00183310"/>
    <w:rsid w:val="0018331E"/>
    <w:rsid w:val="00183337"/>
    <w:rsid w:val="00183361"/>
    <w:rsid w:val="00183374"/>
    <w:rsid w:val="00183375"/>
    <w:rsid w:val="001833E0"/>
    <w:rsid w:val="0018354F"/>
    <w:rsid w:val="0018357B"/>
    <w:rsid w:val="001835C1"/>
    <w:rsid w:val="00183622"/>
    <w:rsid w:val="00183673"/>
    <w:rsid w:val="001836BF"/>
    <w:rsid w:val="0018370C"/>
    <w:rsid w:val="0018371D"/>
    <w:rsid w:val="0018376F"/>
    <w:rsid w:val="0018378D"/>
    <w:rsid w:val="001837AC"/>
    <w:rsid w:val="001837AD"/>
    <w:rsid w:val="0018389D"/>
    <w:rsid w:val="001838F8"/>
    <w:rsid w:val="00183915"/>
    <w:rsid w:val="00183918"/>
    <w:rsid w:val="00183965"/>
    <w:rsid w:val="00183B0D"/>
    <w:rsid w:val="00183B5A"/>
    <w:rsid w:val="00183C54"/>
    <w:rsid w:val="00183D42"/>
    <w:rsid w:val="00183D99"/>
    <w:rsid w:val="00183F18"/>
    <w:rsid w:val="00183F2C"/>
    <w:rsid w:val="00183F5C"/>
    <w:rsid w:val="00183F94"/>
    <w:rsid w:val="0018400E"/>
    <w:rsid w:val="00184063"/>
    <w:rsid w:val="0018418A"/>
    <w:rsid w:val="00184229"/>
    <w:rsid w:val="0018426A"/>
    <w:rsid w:val="001842AF"/>
    <w:rsid w:val="001842FB"/>
    <w:rsid w:val="00184399"/>
    <w:rsid w:val="001843C6"/>
    <w:rsid w:val="0018446D"/>
    <w:rsid w:val="001844DF"/>
    <w:rsid w:val="0018450D"/>
    <w:rsid w:val="00184531"/>
    <w:rsid w:val="00184565"/>
    <w:rsid w:val="00184588"/>
    <w:rsid w:val="00184661"/>
    <w:rsid w:val="00184713"/>
    <w:rsid w:val="001847C6"/>
    <w:rsid w:val="00184817"/>
    <w:rsid w:val="00184829"/>
    <w:rsid w:val="0018482D"/>
    <w:rsid w:val="00184856"/>
    <w:rsid w:val="001848AF"/>
    <w:rsid w:val="001848F6"/>
    <w:rsid w:val="00184999"/>
    <w:rsid w:val="00184AC2"/>
    <w:rsid w:val="00184CA2"/>
    <w:rsid w:val="00184CF6"/>
    <w:rsid w:val="00184D3A"/>
    <w:rsid w:val="00184D47"/>
    <w:rsid w:val="00184D79"/>
    <w:rsid w:val="00184D80"/>
    <w:rsid w:val="00184DBD"/>
    <w:rsid w:val="00184E65"/>
    <w:rsid w:val="0018501A"/>
    <w:rsid w:val="0018513F"/>
    <w:rsid w:val="00185183"/>
    <w:rsid w:val="001851E4"/>
    <w:rsid w:val="00185282"/>
    <w:rsid w:val="001852F3"/>
    <w:rsid w:val="0018533F"/>
    <w:rsid w:val="00185364"/>
    <w:rsid w:val="00185477"/>
    <w:rsid w:val="0018547B"/>
    <w:rsid w:val="00185616"/>
    <w:rsid w:val="00185688"/>
    <w:rsid w:val="00185696"/>
    <w:rsid w:val="0018576E"/>
    <w:rsid w:val="0018577A"/>
    <w:rsid w:val="00185795"/>
    <w:rsid w:val="001857E2"/>
    <w:rsid w:val="001858B5"/>
    <w:rsid w:val="00185961"/>
    <w:rsid w:val="00185A1D"/>
    <w:rsid w:val="00185A91"/>
    <w:rsid w:val="00185A9C"/>
    <w:rsid w:val="00185AE3"/>
    <w:rsid w:val="00185B05"/>
    <w:rsid w:val="00185B39"/>
    <w:rsid w:val="00185B47"/>
    <w:rsid w:val="00185B7A"/>
    <w:rsid w:val="00185C30"/>
    <w:rsid w:val="00185D5E"/>
    <w:rsid w:val="00185E1F"/>
    <w:rsid w:val="00185E27"/>
    <w:rsid w:val="00185E85"/>
    <w:rsid w:val="00185F58"/>
    <w:rsid w:val="00185F89"/>
    <w:rsid w:val="00185F97"/>
    <w:rsid w:val="00185FC2"/>
    <w:rsid w:val="001860F4"/>
    <w:rsid w:val="001862B5"/>
    <w:rsid w:val="001862D1"/>
    <w:rsid w:val="001862F8"/>
    <w:rsid w:val="00186328"/>
    <w:rsid w:val="00186340"/>
    <w:rsid w:val="00186366"/>
    <w:rsid w:val="00186441"/>
    <w:rsid w:val="00186598"/>
    <w:rsid w:val="00186654"/>
    <w:rsid w:val="0018673E"/>
    <w:rsid w:val="00186746"/>
    <w:rsid w:val="00186748"/>
    <w:rsid w:val="001867E9"/>
    <w:rsid w:val="00186849"/>
    <w:rsid w:val="00186962"/>
    <w:rsid w:val="0018696E"/>
    <w:rsid w:val="00186A16"/>
    <w:rsid w:val="00186A23"/>
    <w:rsid w:val="00186AC0"/>
    <w:rsid w:val="00186B29"/>
    <w:rsid w:val="00186B40"/>
    <w:rsid w:val="00186B95"/>
    <w:rsid w:val="00186BA5"/>
    <w:rsid w:val="00186C53"/>
    <w:rsid w:val="00186C62"/>
    <w:rsid w:val="00186CFF"/>
    <w:rsid w:val="00186D97"/>
    <w:rsid w:val="00186DD2"/>
    <w:rsid w:val="00186E29"/>
    <w:rsid w:val="00186ED8"/>
    <w:rsid w:val="00186F18"/>
    <w:rsid w:val="00186FEE"/>
    <w:rsid w:val="00187006"/>
    <w:rsid w:val="00187035"/>
    <w:rsid w:val="0018703D"/>
    <w:rsid w:val="00187072"/>
    <w:rsid w:val="0018708B"/>
    <w:rsid w:val="001870BF"/>
    <w:rsid w:val="00187177"/>
    <w:rsid w:val="00187179"/>
    <w:rsid w:val="00187184"/>
    <w:rsid w:val="001871A5"/>
    <w:rsid w:val="001871CB"/>
    <w:rsid w:val="0018725F"/>
    <w:rsid w:val="001872A4"/>
    <w:rsid w:val="001872C3"/>
    <w:rsid w:val="001872C9"/>
    <w:rsid w:val="00187334"/>
    <w:rsid w:val="0018733B"/>
    <w:rsid w:val="001873CE"/>
    <w:rsid w:val="001873DC"/>
    <w:rsid w:val="00187423"/>
    <w:rsid w:val="0018752C"/>
    <w:rsid w:val="0018759B"/>
    <w:rsid w:val="0018760B"/>
    <w:rsid w:val="00187621"/>
    <w:rsid w:val="0018765B"/>
    <w:rsid w:val="0018771A"/>
    <w:rsid w:val="00187838"/>
    <w:rsid w:val="0018785F"/>
    <w:rsid w:val="00187879"/>
    <w:rsid w:val="00187896"/>
    <w:rsid w:val="0018797F"/>
    <w:rsid w:val="001879A0"/>
    <w:rsid w:val="001879D9"/>
    <w:rsid w:val="00187A6D"/>
    <w:rsid w:val="00187AEA"/>
    <w:rsid w:val="00187B28"/>
    <w:rsid w:val="00187B5D"/>
    <w:rsid w:val="00187B6E"/>
    <w:rsid w:val="00187BB1"/>
    <w:rsid w:val="00187CBD"/>
    <w:rsid w:val="00187CC2"/>
    <w:rsid w:val="00187D89"/>
    <w:rsid w:val="00187E1A"/>
    <w:rsid w:val="00187E45"/>
    <w:rsid w:val="00187E7A"/>
    <w:rsid w:val="00187E7E"/>
    <w:rsid w:val="00187F30"/>
    <w:rsid w:val="00190001"/>
    <w:rsid w:val="00190045"/>
    <w:rsid w:val="00190057"/>
    <w:rsid w:val="00190103"/>
    <w:rsid w:val="00190120"/>
    <w:rsid w:val="00190325"/>
    <w:rsid w:val="0019038E"/>
    <w:rsid w:val="00190390"/>
    <w:rsid w:val="001903C7"/>
    <w:rsid w:val="0019043F"/>
    <w:rsid w:val="00190477"/>
    <w:rsid w:val="0019049C"/>
    <w:rsid w:val="001905D6"/>
    <w:rsid w:val="00190678"/>
    <w:rsid w:val="00190695"/>
    <w:rsid w:val="001906C2"/>
    <w:rsid w:val="00190704"/>
    <w:rsid w:val="00190729"/>
    <w:rsid w:val="00190857"/>
    <w:rsid w:val="00190977"/>
    <w:rsid w:val="0019098C"/>
    <w:rsid w:val="001909C5"/>
    <w:rsid w:val="001909C9"/>
    <w:rsid w:val="001909D2"/>
    <w:rsid w:val="001909D4"/>
    <w:rsid w:val="00190AB8"/>
    <w:rsid w:val="00190ADB"/>
    <w:rsid w:val="00190AF3"/>
    <w:rsid w:val="00190B0F"/>
    <w:rsid w:val="00190B11"/>
    <w:rsid w:val="00190B1B"/>
    <w:rsid w:val="00190B35"/>
    <w:rsid w:val="00190B5D"/>
    <w:rsid w:val="00190C67"/>
    <w:rsid w:val="00190C86"/>
    <w:rsid w:val="00190C91"/>
    <w:rsid w:val="00190D5C"/>
    <w:rsid w:val="00190D6F"/>
    <w:rsid w:val="00190DD3"/>
    <w:rsid w:val="00190E2A"/>
    <w:rsid w:val="00190E5E"/>
    <w:rsid w:val="00190E60"/>
    <w:rsid w:val="00190FEA"/>
    <w:rsid w:val="00191011"/>
    <w:rsid w:val="00191081"/>
    <w:rsid w:val="00191115"/>
    <w:rsid w:val="00191213"/>
    <w:rsid w:val="001912B4"/>
    <w:rsid w:val="001912BC"/>
    <w:rsid w:val="001912F7"/>
    <w:rsid w:val="0019150D"/>
    <w:rsid w:val="00191533"/>
    <w:rsid w:val="001915D4"/>
    <w:rsid w:val="00191620"/>
    <w:rsid w:val="001916A5"/>
    <w:rsid w:val="00191739"/>
    <w:rsid w:val="00191754"/>
    <w:rsid w:val="001917A2"/>
    <w:rsid w:val="00191934"/>
    <w:rsid w:val="00191A8F"/>
    <w:rsid w:val="00191AC8"/>
    <w:rsid w:val="00191B54"/>
    <w:rsid w:val="00191C41"/>
    <w:rsid w:val="00191C86"/>
    <w:rsid w:val="00191CAB"/>
    <w:rsid w:val="00191CAC"/>
    <w:rsid w:val="00191D4A"/>
    <w:rsid w:val="00191DF3"/>
    <w:rsid w:val="00191E44"/>
    <w:rsid w:val="00191E66"/>
    <w:rsid w:val="00191F79"/>
    <w:rsid w:val="00191FB4"/>
    <w:rsid w:val="00192007"/>
    <w:rsid w:val="00192058"/>
    <w:rsid w:val="0019205D"/>
    <w:rsid w:val="00192127"/>
    <w:rsid w:val="00192220"/>
    <w:rsid w:val="00192223"/>
    <w:rsid w:val="001922C6"/>
    <w:rsid w:val="001922D6"/>
    <w:rsid w:val="001923A7"/>
    <w:rsid w:val="001923B7"/>
    <w:rsid w:val="00192423"/>
    <w:rsid w:val="00192602"/>
    <w:rsid w:val="00192609"/>
    <w:rsid w:val="00192624"/>
    <w:rsid w:val="0019262B"/>
    <w:rsid w:val="00192631"/>
    <w:rsid w:val="0019263C"/>
    <w:rsid w:val="001927D1"/>
    <w:rsid w:val="0019294E"/>
    <w:rsid w:val="0019298F"/>
    <w:rsid w:val="001929B7"/>
    <w:rsid w:val="001929FA"/>
    <w:rsid w:val="00192A58"/>
    <w:rsid w:val="00192AC6"/>
    <w:rsid w:val="00192B67"/>
    <w:rsid w:val="00192BFF"/>
    <w:rsid w:val="00192C19"/>
    <w:rsid w:val="00192C85"/>
    <w:rsid w:val="00192E2F"/>
    <w:rsid w:val="00192E66"/>
    <w:rsid w:val="00192F4E"/>
    <w:rsid w:val="00192FB0"/>
    <w:rsid w:val="00193076"/>
    <w:rsid w:val="001930BD"/>
    <w:rsid w:val="001930E6"/>
    <w:rsid w:val="00193118"/>
    <w:rsid w:val="0019316A"/>
    <w:rsid w:val="0019322C"/>
    <w:rsid w:val="0019327E"/>
    <w:rsid w:val="00193288"/>
    <w:rsid w:val="001932D5"/>
    <w:rsid w:val="001932D7"/>
    <w:rsid w:val="001932F2"/>
    <w:rsid w:val="00193565"/>
    <w:rsid w:val="001935AC"/>
    <w:rsid w:val="0019364C"/>
    <w:rsid w:val="00193654"/>
    <w:rsid w:val="0019367E"/>
    <w:rsid w:val="001936DE"/>
    <w:rsid w:val="001937FA"/>
    <w:rsid w:val="00193895"/>
    <w:rsid w:val="001938D4"/>
    <w:rsid w:val="00193928"/>
    <w:rsid w:val="001939B6"/>
    <w:rsid w:val="001939D1"/>
    <w:rsid w:val="001939E7"/>
    <w:rsid w:val="00193A12"/>
    <w:rsid w:val="00193A17"/>
    <w:rsid w:val="00193A8D"/>
    <w:rsid w:val="00193ABF"/>
    <w:rsid w:val="00193B37"/>
    <w:rsid w:val="00193B5C"/>
    <w:rsid w:val="00193BE1"/>
    <w:rsid w:val="00193BEA"/>
    <w:rsid w:val="00193C0A"/>
    <w:rsid w:val="00193C35"/>
    <w:rsid w:val="00193C78"/>
    <w:rsid w:val="00193CBC"/>
    <w:rsid w:val="00193D65"/>
    <w:rsid w:val="00193EEF"/>
    <w:rsid w:val="00193F16"/>
    <w:rsid w:val="00193F43"/>
    <w:rsid w:val="00193F89"/>
    <w:rsid w:val="00194069"/>
    <w:rsid w:val="0019416B"/>
    <w:rsid w:val="00194197"/>
    <w:rsid w:val="001941D0"/>
    <w:rsid w:val="0019420F"/>
    <w:rsid w:val="0019421C"/>
    <w:rsid w:val="001942C6"/>
    <w:rsid w:val="001942E6"/>
    <w:rsid w:val="00194369"/>
    <w:rsid w:val="00194401"/>
    <w:rsid w:val="001944D3"/>
    <w:rsid w:val="001944EF"/>
    <w:rsid w:val="0019451C"/>
    <w:rsid w:val="00194617"/>
    <w:rsid w:val="0019461B"/>
    <w:rsid w:val="0019462C"/>
    <w:rsid w:val="00194753"/>
    <w:rsid w:val="001947D5"/>
    <w:rsid w:val="001947E3"/>
    <w:rsid w:val="00194832"/>
    <w:rsid w:val="0019484A"/>
    <w:rsid w:val="00194901"/>
    <w:rsid w:val="0019498C"/>
    <w:rsid w:val="00194991"/>
    <w:rsid w:val="00194AB9"/>
    <w:rsid w:val="00194AD1"/>
    <w:rsid w:val="00194ADB"/>
    <w:rsid w:val="00194B8A"/>
    <w:rsid w:val="00194B94"/>
    <w:rsid w:val="00194BDD"/>
    <w:rsid w:val="00194BE6"/>
    <w:rsid w:val="00194C28"/>
    <w:rsid w:val="00194C62"/>
    <w:rsid w:val="00194C8B"/>
    <w:rsid w:val="00194C9B"/>
    <w:rsid w:val="00194CCB"/>
    <w:rsid w:val="00194CEE"/>
    <w:rsid w:val="00194D58"/>
    <w:rsid w:val="00194E89"/>
    <w:rsid w:val="00194EB0"/>
    <w:rsid w:val="00194ED3"/>
    <w:rsid w:val="00194EFB"/>
    <w:rsid w:val="00194F44"/>
    <w:rsid w:val="00194F58"/>
    <w:rsid w:val="00194F70"/>
    <w:rsid w:val="00194FB2"/>
    <w:rsid w:val="00194FBB"/>
    <w:rsid w:val="00194FCD"/>
    <w:rsid w:val="00195052"/>
    <w:rsid w:val="001950C9"/>
    <w:rsid w:val="001950DE"/>
    <w:rsid w:val="00195121"/>
    <w:rsid w:val="00195221"/>
    <w:rsid w:val="001952B9"/>
    <w:rsid w:val="00195366"/>
    <w:rsid w:val="00195388"/>
    <w:rsid w:val="001953ED"/>
    <w:rsid w:val="001953FB"/>
    <w:rsid w:val="0019543E"/>
    <w:rsid w:val="00195492"/>
    <w:rsid w:val="001954AA"/>
    <w:rsid w:val="00195572"/>
    <w:rsid w:val="0019558D"/>
    <w:rsid w:val="001955A4"/>
    <w:rsid w:val="001955AB"/>
    <w:rsid w:val="001956BE"/>
    <w:rsid w:val="0019575E"/>
    <w:rsid w:val="001957CF"/>
    <w:rsid w:val="00195846"/>
    <w:rsid w:val="001958C8"/>
    <w:rsid w:val="00195934"/>
    <w:rsid w:val="0019596A"/>
    <w:rsid w:val="00195A13"/>
    <w:rsid w:val="00195A5B"/>
    <w:rsid w:val="00195AAC"/>
    <w:rsid w:val="00195B38"/>
    <w:rsid w:val="00195B95"/>
    <w:rsid w:val="00195BE6"/>
    <w:rsid w:val="00195BEA"/>
    <w:rsid w:val="00195C6F"/>
    <w:rsid w:val="00195D57"/>
    <w:rsid w:val="00195D5C"/>
    <w:rsid w:val="00195DA2"/>
    <w:rsid w:val="00195DD2"/>
    <w:rsid w:val="00195E84"/>
    <w:rsid w:val="00195EC2"/>
    <w:rsid w:val="00195FEB"/>
    <w:rsid w:val="00195FEF"/>
    <w:rsid w:val="0019604A"/>
    <w:rsid w:val="00196147"/>
    <w:rsid w:val="001961A4"/>
    <w:rsid w:val="001961AE"/>
    <w:rsid w:val="00196244"/>
    <w:rsid w:val="00196313"/>
    <w:rsid w:val="0019637D"/>
    <w:rsid w:val="00196387"/>
    <w:rsid w:val="001963F5"/>
    <w:rsid w:val="0019644F"/>
    <w:rsid w:val="0019645D"/>
    <w:rsid w:val="001964C0"/>
    <w:rsid w:val="001964F3"/>
    <w:rsid w:val="00196515"/>
    <w:rsid w:val="0019655A"/>
    <w:rsid w:val="001965A7"/>
    <w:rsid w:val="00196642"/>
    <w:rsid w:val="00196673"/>
    <w:rsid w:val="00196674"/>
    <w:rsid w:val="0019670E"/>
    <w:rsid w:val="00196778"/>
    <w:rsid w:val="001967BC"/>
    <w:rsid w:val="001967E7"/>
    <w:rsid w:val="00196823"/>
    <w:rsid w:val="00196856"/>
    <w:rsid w:val="001968DD"/>
    <w:rsid w:val="0019690C"/>
    <w:rsid w:val="00196916"/>
    <w:rsid w:val="00196933"/>
    <w:rsid w:val="001969BE"/>
    <w:rsid w:val="00196A67"/>
    <w:rsid w:val="00196AC0"/>
    <w:rsid w:val="00196B10"/>
    <w:rsid w:val="00196B2B"/>
    <w:rsid w:val="00196BC0"/>
    <w:rsid w:val="00196C07"/>
    <w:rsid w:val="00196C18"/>
    <w:rsid w:val="00196D15"/>
    <w:rsid w:val="00196D37"/>
    <w:rsid w:val="00196D4A"/>
    <w:rsid w:val="00196E01"/>
    <w:rsid w:val="00196EB0"/>
    <w:rsid w:val="00196EFD"/>
    <w:rsid w:val="00196F3B"/>
    <w:rsid w:val="00196FEE"/>
    <w:rsid w:val="00196FFB"/>
    <w:rsid w:val="001970C7"/>
    <w:rsid w:val="00197145"/>
    <w:rsid w:val="00197192"/>
    <w:rsid w:val="001971FB"/>
    <w:rsid w:val="00197232"/>
    <w:rsid w:val="0019723E"/>
    <w:rsid w:val="001972BE"/>
    <w:rsid w:val="00197400"/>
    <w:rsid w:val="0019748E"/>
    <w:rsid w:val="001975AE"/>
    <w:rsid w:val="001977E6"/>
    <w:rsid w:val="00197849"/>
    <w:rsid w:val="001978A7"/>
    <w:rsid w:val="001978CD"/>
    <w:rsid w:val="001978EE"/>
    <w:rsid w:val="00197960"/>
    <w:rsid w:val="0019799B"/>
    <w:rsid w:val="00197A1A"/>
    <w:rsid w:val="00197A2A"/>
    <w:rsid w:val="00197A70"/>
    <w:rsid w:val="00197A86"/>
    <w:rsid w:val="00197B13"/>
    <w:rsid w:val="00197B27"/>
    <w:rsid w:val="00197BC9"/>
    <w:rsid w:val="00197C01"/>
    <w:rsid w:val="00197C8F"/>
    <w:rsid w:val="00197CA3"/>
    <w:rsid w:val="00197D16"/>
    <w:rsid w:val="00197DFC"/>
    <w:rsid w:val="00197E2F"/>
    <w:rsid w:val="00197EC0"/>
    <w:rsid w:val="00197F03"/>
    <w:rsid w:val="00197F05"/>
    <w:rsid w:val="00197FB8"/>
    <w:rsid w:val="0019C3CF"/>
    <w:rsid w:val="001A004E"/>
    <w:rsid w:val="001A007C"/>
    <w:rsid w:val="001A0197"/>
    <w:rsid w:val="001A01A0"/>
    <w:rsid w:val="001A02E8"/>
    <w:rsid w:val="001A038E"/>
    <w:rsid w:val="001A0419"/>
    <w:rsid w:val="001A042A"/>
    <w:rsid w:val="001A0434"/>
    <w:rsid w:val="001A04B4"/>
    <w:rsid w:val="001A04CE"/>
    <w:rsid w:val="001A054C"/>
    <w:rsid w:val="001A05D7"/>
    <w:rsid w:val="001A064E"/>
    <w:rsid w:val="001A0660"/>
    <w:rsid w:val="001A06A7"/>
    <w:rsid w:val="001A06FB"/>
    <w:rsid w:val="001A07E7"/>
    <w:rsid w:val="001A0811"/>
    <w:rsid w:val="001A081A"/>
    <w:rsid w:val="001A08CC"/>
    <w:rsid w:val="001A0970"/>
    <w:rsid w:val="001A0995"/>
    <w:rsid w:val="001A09AA"/>
    <w:rsid w:val="001A09DF"/>
    <w:rsid w:val="001A0A98"/>
    <w:rsid w:val="001A0B9F"/>
    <w:rsid w:val="001A0C12"/>
    <w:rsid w:val="001A0C64"/>
    <w:rsid w:val="001A0C87"/>
    <w:rsid w:val="001A0C92"/>
    <w:rsid w:val="001A0CC4"/>
    <w:rsid w:val="001A0CEE"/>
    <w:rsid w:val="001A0D49"/>
    <w:rsid w:val="001A0E1B"/>
    <w:rsid w:val="001A0EC8"/>
    <w:rsid w:val="001A0F00"/>
    <w:rsid w:val="001A0F03"/>
    <w:rsid w:val="001A0F7B"/>
    <w:rsid w:val="001A0FD9"/>
    <w:rsid w:val="001A0FFF"/>
    <w:rsid w:val="001A1063"/>
    <w:rsid w:val="001A108E"/>
    <w:rsid w:val="001A10A8"/>
    <w:rsid w:val="001A10B3"/>
    <w:rsid w:val="001A1183"/>
    <w:rsid w:val="001A12D0"/>
    <w:rsid w:val="001A12D5"/>
    <w:rsid w:val="001A12DE"/>
    <w:rsid w:val="001A131E"/>
    <w:rsid w:val="001A133E"/>
    <w:rsid w:val="001A1368"/>
    <w:rsid w:val="001A1414"/>
    <w:rsid w:val="001A145D"/>
    <w:rsid w:val="001A1470"/>
    <w:rsid w:val="001A1478"/>
    <w:rsid w:val="001A14AC"/>
    <w:rsid w:val="001A14B0"/>
    <w:rsid w:val="001A14B5"/>
    <w:rsid w:val="001A14F5"/>
    <w:rsid w:val="001A1519"/>
    <w:rsid w:val="001A15D5"/>
    <w:rsid w:val="001A166C"/>
    <w:rsid w:val="001A173A"/>
    <w:rsid w:val="001A1844"/>
    <w:rsid w:val="001A1897"/>
    <w:rsid w:val="001A194D"/>
    <w:rsid w:val="001A198A"/>
    <w:rsid w:val="001A199C"/>
    <w:rsid w:val="001A19C5"/>
    <w:rsid w:val="001A1A61"/>
    <w:rsid w:val="001A1AB4"/>
    <w:rsid w:val="001A1B94"/>
    <w:rsid w:val="001A1BC4"/>
    <w:rsid w:val="001A1BCD"/>
    <w:rsid w:val="001A1C29"/>
    <w:rsid w:val="001A1CBD"/>
    <w:rsid w:val="001A1CC3"/>
    <w:rsid w:val="001A1E11"/>
    <w:rsid w:val="001A1E25"/>
    <w:rsid w:val="001A1E45"/>
    <w:rsid w:val="001A1EBD"/>
    <w:rsid w:val="001A1EDE"/>
    <w:rsid w:val="001A1F6A"/>
    <w:rsid w:val="001A1FB7"/>
    <w:rsid w:val="001A1FEA"/>
    <w:rsid w:val="001A1FF0"/>
    <w:rsid w:val="001A2042"/>
    <w:rsid w:val="001A20A6"/>
    <w:rsid w:val="001A2134"/>
    <w:rsid w:val="001A2369"/>
    <w:rsid w:val="001A253F"/>
    <w:rsid w:val="001A2591"/>
    <w:rsid w:val="001A25C4"/>
    <w:rsid w:val="001A26EE"/>
    <w:rsid w:val="001A2771"/>
    <w:rsid w:val="001A2799"/>
    <w:rsid w:val="001A27A6"/>
    <w:rsid w:val="001A2850"/>
    <w:rsid w:val="001A28F7"/>
    <w:rsid w:val="001A2995"/>
    <w:rsid w:val="001A29E6"/>
    <w:rsid w:val="001A2A26"/>
    <w:rsid w:val="001A2A72"/>
    <w:rsid w:val="001A2B88"/>
    <w:rsid w:val="001A2BBF"/>
    <w:rsid w:val="001A2BC6"/>
    <w:rsid w:val="001A2C22"/>
    <w:rsid w:val="001A2C72"/>
    <w:rsid w:val="001A2CBE"/>
    <w:rsid w:val="001A2D46"/>
    <w:rsid w:val="001A2DDB"/>
    <w:rsid w:val="001A2DFF"/>
    <w:rsid w:val="001A2E15"/>
    <w:rsid w:val="001A2E38"/>
    <w:rsid w:val="001A2E4D"/>
    <w:rsid w:val="001A2E70"/>
    <w:rsid w:val="001A2ECE"/>
    <w:rsid w:val="001A2EF7"/>
    <w:rsid w:val="001A2F7D"/>
    <w:rsid w:val="001A2F81"/>
    <w:rsid w:val="001A307E"/>
    <w:rsid w:val="001A30F3"/>
    <w:rsid w:val="001A31AA"/>
    <w:rsid w:val="001A31EA"/>
    <w:rsid w:val="001A3278"/>
    <w:rsid w:val="001A335C"/>
    <w:rsid w:val="001A338B"/>
    <w:rsid w:val="001A33DF"/>
    <w:rsid w:val="001A3467"/>
    <w:rsid w:val="001A348A"/>
    <w:rsid w:val="001A349E"/>
    <w:rsid w:val="001A3500"/>
    <w:rsid w:val="001A352D"/>
    <w:rsid w:val="001A35A0"/>
    <w:rsid w:val="001A36B5"/>
    <w:rsid w:val="001A371B"/>
    <w:rsid w:val="001A372C"/>
    <w:rsid w:val="001A374D"/>
    <w:rsid w:val="001A3881"/>
    <w:rsid w:val="001A389B"/>
    <w:rsid w:val="001A3958"/>
    <w:rsid w:val="001A396F"/>
    <w:rsid w:val="001A3971"/>
    <w:rsid w:val="001A3973"/>
    <w:rsid w:val="001A39CC"/>
    <w:rsid w:val="001A3A59"/>
    <w:rsid w:val="001A3A8B"/>
    <w:rsid w:val="001A3B32"/>
    <w:rsid w:val="001A3B46"/>
    <w:rsid w:val="001A3BA6"/>
    <w:rsid w:val="001A3C2B"/>
    <w:rsid w:val="001A3C64"/>
    <w:rsid w:val="001A3CB7"/>
    <w:rsid w:val="001A3D5B"/>
    <w:rsid w:val="001A3DE6"/>
    <w:rsid w:val="001A3E69"/>
    <w:rsid w:val="001A3E71"/>
    <w:rsid w:val="001A3E86"/>
    <w:rsid w:val="001A3ECA"/>
    <w:rsid w:val="001A3F5F"/>
    <w:rsid w:val="001A3F7D"/>
    <w:rsid w:val="001A4030"/>
    <w:rsid w:val="001A405E"/>
    <w:rsid w:val="001A4096"/>
    <w:rsid w:val="001A40BC"/>
    <w:rsid w:val="001A40BD"/>
    <w:rsid w:val="001A40F5"/>
    <w:rsid w:val="001A412E"/>
    <w:rsid w:val="001A413C"/>
    <w:rsid w:val="001A4211"/>
    <w:rsid w:val="001A4274"/>
    <w:rsid w:val="001A42AD"/>
    <w:rsid w:val="001A42BE"/>
    <w:rsid w:val="001A435C"/>
    <w:rsid w:val="001A4439"/>
    <w:rsid w:val="001A4462"/>
    <w:rsid w:val="001A4488"/>
    <w:rsid w:val="001A456B"/>
    <w:rsid w:val="001A4593"/>
    <w:rsid w:val="001A462E"/>
    <w:rsid w:val="001A463F"/>
    <w:rsid w:val="001A4750"/>
    <w:rsid w:val="001A475B"/>
    <w:rsid w:val="001A4767"/>
    <w:rsid w:val="001A4768"/>
    <w:rsid w:val="001A4794"/>
    <w:rsid w:val="001A47E6"/>
    <w:rsid w:val="001A481B"/>
    <w:rsid w:val="001A4976"/>
    <w:rsid w:val="001A499A"/>
    <w:rsid w:val="001A4A28"/>
    <w:rsid w:val="001A4B52"/>
    <w:rsid w:val="001A4C3E"/>
    <w:rsid w:val="001A4C43"/>
    <w:rsid w:val="001A4D7A"/>
    <w:rsid w:val="001A4DAA"/>
    <w:rsid w:val="001A4E1B"/>
    <w:rsid w:val="001A4EA0"/>
    <w:rsid w:val="001A4F10"/>
    <w:rsid w:val="001A4F36"/>
    <w:rsid w:val="001A4FB5"/>
    <w:rsid w:val="001A50D9"/>
    <w:rsid w:val="001A5118"/>
    <w:rsid w:val="001A514A"/>
    <w:rsid w:val="001A5159"/>
    <w:rsid w:val="001A5189"/>
    <w:rsid w:val="001A51C4"/>
    <w:rsid w:val="001A51F2"/>
    <w:rsid w:val="001A5208"/>
    <w:rsid w:val="001A527E"/>
    <w:rsid w:val="001A528C"/>
    <w:rsid w:val="001A5298"/>
    <w:rsid w:val="001A52E9"/>
    <w:rsid w:val="001A537B"/>
    <w:rsid w:val="001A53AF"/>
    <w:rsid w:val="001A53B4"/>
    <w:rsid w:val="001A53C5"/>
    <w:rsid w:val="001A5458"/>
    <w:rsid w:val="001A54D5"/>
    <w:rsid w:val="001A54EA"/>
    <w:rsid w:val="001A54ED"/>
    <w:rsid w:val="001A5576"/>
    <w:rsid w:val="001A566A"/>
    <w:rsid w:val="001A567C"/>
    <w:rsid w:val="001A5681"/>
    <w:rsid w:val="001A56A1"/>
    <w:rsid w:val="001A5714"/>
    <w:rsid w:val="001A5762"/>
    <w:rsid w:val="001A577D"/>
    <w:rsid w:val="001A57A6"/>
    <w:rsid w:val="001A57C5"/>
    <w:rsid w:val="001A57D2"/>
    <w:rsid w:val="001A585B"/>
    <w:rsid w:val="001A587C"/>
    <w:rsid w:val="001A5925"/>
    <w:rsid w:val="001A5929"/>
    <w:rsid w:val="001A5960"/>
    <w:rsid w:val="001A59EE"/>
    <w:rsid w:val="001A5A17"/>
    <w:rsid w:val="001A5A44"/>
    <w:rsid w:val="001A5A60"/>
    <w:rsid w:val="001A5A86"/>
    <w:rsid w:val="001A5AA5"/>
    <w:rsid w:val="001A5B1D"/>
    <w:rsid w:val="001A5B4C"/>
    <w:rsid w:val="001A5BAB"/>
    <w:rsid w:val="001A5BFF"/>
    <w:rsid w:val="001A5C18"/>
    <w:rsid w:val="001A5C62"/>
    <w:rsid w:val="001A5C69"/>
    <w:rsid w:val="001A5CC1"/>
    <w:rsid w:val="001A5CC6"/>
    <w:rsid w:val="001A5D09"/>
    <w:rsid w:val="001A5D4A"/>
    <w:rsid w:val="001A5D4E"/>
    <w:rsid w:val="001A5D5A"/>
    <w:rsid w:val="001A5EE5"/>
    <w:rsid w:val="001A5F05"/>
    <w:rsid w:val="001A5F09"/>
    <w:rsid w:val="001A5FCC"/>
    <w:rsid w:val="001A6001"/>
    <w:rsid w:val="001A60C1"/>
    <w:rsid w:val="001A6128"/>
    <w:rsid w:val="001A6135"/>
    <w:rsid w:val="001A6137"/>
    <w:rsid w:val="001A6155"/>
    <w:rsid w:val="001A6168"/>
    <w:rsid w:val="001A61C3"/>
    <w:rsid w:val="001A623C"/>
    <w:rsid w:val="001A62E7"/>
    <w:rsid w:val="001A62F5"/>
    <w:rsid w:val="001A63A4"/>
    <w:rsid w:val="001A6463"/>
    <w:rsid w:val="001A654F"/>
    <w:rsid w:val="001A6671"/>
    <w:rsid w:val="001A66E2"/>
    <w:rsid w:val="001A676D"/>
    <w:rsid w:val="001A6795"/>
    <w:rsid w:val="001A683F"/>
    <w:rsid w:val="001A6884"/>
    <w:rsid w:val="001A6A18"/>
    <w:rsid w:val="001A6A57"/>
    <w:rsid w:val="001A6AD7"/>
    <w:rsid w:val="001A6B53"/>
    <w:rsid w:val="001A6D83"/>
    <w:rsid w:val="001A6D87"/>
    <w:rsid w:val="001A6DFA"/>
    <w:rsid w:val="001A6F19"/>
    <w:rsid w:val="001A6F36"/>
    <w:rsid w:val="001A6F7D"/>
    <w:rsid w:val="001A6FB6"/>
    <w:rsid w:val="001A6FCC"/>
    <w:rsid w:val="001A6FD4"/>
    <w:rsid w:val="001A6FDB"/>
    <w:rsid w:val="001A7075"/>
    <w:rsid w:val="001A71A7"/>
    <w:rsid w:val="001A7248"/>
    <w:rsid w:val="001A7281"/>
    <w:rsid w:val="001A72B4"/>
    <w:rsid w:val="001A72C8"/>
    <w:rsid w:val="001A7401"/>
    <w:rsid w:val="001A7404"/>
    <w:rsid w:val="001A74C0"/>
    <w:rsid w:val="001A751B"/>
    <w:rsid w:val="001A75E9"/>
    <w:rsid w:val="001A7657"/>
    <w:rsid w:val="001A77F1"/>
    <w:rsid w:val="001A781A"/>
    <w:rsid w:val="001A781F"/>
    <w:rsid w:val="001A78C2"/>
    <w:rsid w:val="001A78C5"/>
    <w:rsid w:val="001A7996"/>
    <w:rsid w:val="001A79BF"/>
    <w:rsid w:val="001A7A35"/>
    <w:rsid w:val="001A7A67"/>
    <w:rsid w:val="001A7A78"/>
    <w:rsid w:val="001A7A95"/>
    <w:rsid w:val="001A7A9E"/>
    <w:rsid w:val="001A7AB5"/>
    <w:rsid w:val="001A7AB9"/>
    <w:rsid w:val="001A7AC1"/>
    <w:rsid w:val="001A7B34"/>
    <w:rsid w:val="001A7B67"/>
    <w:rsid w:val="001A7B8A"/>
    <w:rsid w:val="001A7BDE"/>
    <w:rsid w:val="001A7BF7"/>
    <w:rsid w:val="001A7C61"/>
    <w:rsid w:val="001A7CB8"/>
    <w:rsid w:val="001A7CE5"/>
    <w:rsid w:val="001A7DD7"/>
    <w:rsid w:val="001A7E1A"/>
    <w:rsid w:val="001A7F09"/>
    <w:rsid w:val="001A7F6B"/>
    <w:rsid w:val="001B004F"/>
    <w:rsid w:val="001B00B8"/>
    <w:rsid w:val="001B019C"/>
    <w:rsid w:val="001B02F7"/>
    <w:rsid w:val="001B0343"/>
    <w:rsid w:val="001B034E"/>
    <w:rsid w:val="001B0351"/>
    <w:rsid w:val="001B0371"/>
    <w:rsid w:val="001B0394"/>
    <w:rsid w:val="001B03C2"/>
    <w:rsid w:val="001B03C7"/>
    <w:rsid w:val="001B047E"/>
    <w:rsid w:val="001B04A8"/>
    <w:rsid w:val="001B04F5"/>
    <w:rsid w:val="001B052F"/>
    <w:rsid w:val="001B0546"/>
    <w:rsid w:val="001B0548"/>
    <w:rsid w:val="001B059E"/>
    <w:rsid w:val="001B05ED"/>
    <w:rsid w:val="001B0617"/>
    <w:rsid w:val="001B0707"/>
    <w:rsid w:val="001B07B1"/>
    <w:rsid w:val="001B07D1"/>
    <w:rsid w:val="001B08A3"/>
    <w:rsid w:val="001B0918"/>
    <w:rsid w:val="001B0A71"/>
    <w:rsid w:val="001B0B13"/>
    <w:rsid w:val="001B0C0E"/>
    <w:rsid w:val="001B0C1A"/>
    <w:rsid w:val="001B0DE7"/>
    <w:rsid w:val="001B0E2A"/>
    <w:rsid w:val="001B0F30"/>
    <w:rsid w:val="001B0F63"/>
    <w:rsid w:val="001B0F99"/>
    <w:rsid w:val="001B0FC9"/>
    <w:rsid w:val="001B106D"/>
    <w:rsid w:val="001B1074"/>
    <w:rsid w:val="001B10A8"/>
    <w:rsid w:val="001B10BA"/>
    <w:rsid w:val="001B10C1"/>
    <w:rsid w:val="001B10DF"/>
    <w:rsid w:val="001B10EE"/>
    <w:rsid w:val="001B1251"/>
    <w:rsid w:val="001B13AC"/>
    <w:rsid w:val="001B144F"/>
    <w:rsid w:val="001B1501"/>
    <w:rsid w:val="001B1551"/>
    <w:rsid w:val="001B1740"/>
    <w:rsid w:val="001B1761"/>
    <w:rsid w:val="001B1848"/>
    <w:rsid w:val="001B1861"/>
    <w:rsid w:val="001B1893"/>
    <w:rsid w:val="001B18ED"/>
    <w:rsid w:val="001B1914"/>
    <w:rsid w:val="001B199A"/>
    <w:rsid w:val="001B19AA"/>
    <w:rsid w:val="001B1B04"/>
    <w:rsid w:val="001B1B20"/>
    <w:rsid w:val="001B1B43"/>
    <w:rsid w:val="001B1C3A"/>
    <w:rsid w:val="001B1C57"/>
    <w:rsid w:val="001B1C8F"/>
    <w:rsid w:val="001B1CAC"/>
    <w:rsid w:val="001B1CF2"/>
    <w:rsid w:val="001B1DE2"/>
    <w:rsid w:val="001B1DF5"/>
    <w:rsid w:val="001B1EAE"/>
    <w:rsid w:val="001B1F34"/>
    <w:rsid w:val="001B1F58"/>
    <w:rsid w:val="001B1FBB"/>
    <w:rsid w:val="001B1FDA"/>
    <w:rsid w:val="001B1FFD"/>
    <w:rsid w:val="001B203B"/>
    <w:rsid w:val="001B203E"/>
    <w:rsid w:val="001B2063"/>
    <w:rsid w:val="001B2074"/>
    <w:rsid w:val="001B213D"/>
    <w:rsid w:val="001B218E"/>
    <w:rsid w:val="001B21E9"/>
    <w:rsid w:val="001B2220"/>
    <w:rsid w:val="001B2261"/>
    <w:rsid w:val="001B2265"/>
    <w:rsid w:val="001B227C"/>
    <w:rsid w:val="001B2311"/>
    <w:rsid w:val="001B23AE"/>
    <w:rsid w:val="001B23DF"/>
    <w:rsid w:val="001B2457"/>
    <w:rsid w:val="001B24CF"/>
    <w:rsid w:val="001B2577"/>
    <w:rsid w:val="001B2622"/>
    <w:rsid w:val="001B2636"/>
    <w:rsid w:val="001B263F"/>
    <w:rsid w:val="001B2672"/>
    <w:rsid w:val="001B273B"/>
    <w:rsid w:val="001B278D"/>
    <w:rsid w:val="001B2947"/>
    <w:rsid w:val="001B2960"/>
    <w:rsid w:val="001B296A"/>
    <w:rsid w:val="001B298A"/>
    <w:rsid w:val="001B29E2"/>
    <w:rsid w:val="001B2A1C"/>
    <w:rsid w:val="001B2A62"/>
    <w:rsid w:val="001B2A8B"/>
    <w:rsid w:val="001B2AA4"/>
    <w:rsid w:val="001B2B7A"/>
    <w:rsid w:val="001B2C70"/>
    <w:rsid w:val="001B2CDC"/>
    <w:rsid w:val="001B2D3E"/>
    <w:rsid w:val="001B2D8D"/>
    <w:rsid w:val="001B2DB3"/>
    <w:rsid w:val="001B2DED"/>
    <w:rsid w:val="001B2EB8"/>
    <w:rsid w:val="001B2EB9"/>
    <w:rsid w:val="001B2ECB"/>
    <w:rsid w:val="001B300B"/>
    <w:rsid w:val="001B30C8"/>
    <w:rsid w:val="001B3103"/>
    <w:rsid w:val="001B3165"/>
    <w:rsid w:val="001B31D5"/>
    <w:rsid w:val="001B3294"/>
    <w:rsid w:val="001B329E"/>
    <w:rsid w:val="001B3304"/>
    <w:rsid w:val="001B33EA"/>
    <w:rsid w:val="001B3424"/>
    <w:rsid w:val="001B3451"/>
    <w:rsid w:val="001B3625"/>
    <w:rsid w:val="001B3700"/>
    <w:rsid w:val="001B3725"/>
    <w:rsid w:val="001B37C4"/>
    <w:rsid w:val="001B37DD"/>
    <w:rsid w:val="001B37E7"/>
    <w:rsid w:val="001B38C9"/>
    <w:rsid w:val="001B38DD"/>
    <w:rsid w:val="001B3918"/>
    <w:rsid w:val="001B391E"/>
    <w:rsid w:val="001B3987"/>
    <w:rsid w:val="001B39C6"/>
    <w:rsid w:val="001B3A9E"/>
    <w:rsid w:val="001B3AF0"/>
    <w:rsid w:val="001B3BBB"/>
    <w:rsid w:val="001B3BCE"/>
    <w:rsid w:val="001B3C32"/>
    <w:rsid w:val="001B3C90"/>
    <w:rsid w:val="001B3D03"/>
    <w:rsid w:val="001B3D80"/>
    <w:rsid w:val="001B3DB4"/>
    <w:rsid w:val="001B3DC6"/>
    <w:rsid w:val="001B3EF1"/>
    <w:rsid w:val="001B3EF3"/>
    <w:rsid w:val="001B3FAA"/>
    <w:rsid w:val="001B40E4"/>
    <w:rsid w:val="001B4137"/>
    <w:rsid w:val="001B41F7"/>
    <w:rsid w:val="001B4278"/>
    <w:rsid w:val="001B4290"/>
    <w:rsid w:val="001B429B"/>
    <w:rsid w:val="001B429F"/>
    <w:rsid w:val="001B42E1"/>
    <w:rsid w:val="001B4354"/>
    <w:rsid w:val="001B435F"/>
    <w:rsid w:val="001B43D8"/>
    <w:rsid w:val="001B43E4"/>
    <w:rsid w:val="001B443B"/>
    <w:rsid w:val="001B445D"/>
    <w:rsid w:val="001B446B"/>
    <w:rsid w:val="001B453F"/>
    <w:rsid w:val="001B4543"/>
    <w:rsid w:val="001B4597"/>
    <w:rsid w:val="001B474D"/>
    <w:rsid w:val="001B4758"/>
    <w:rsid w:val="001B47C1"/>
    <w:rsid w:val="001B47C8"/>
    <w:rsid w:val="001B47E5"/>
    <w:rsid w:val="001B4859"/>
    <w:rsid w:val="001B48D2"/>
    <w:rsid w:val="001B494C"/>
    <w:rsid w:val="001B496D"/>
    <w:rsid w:val="001B4A68"/>
    <w:rsid w:val="001B4B5D"/>
    <w:rsid w:val="001B4C3E"/>
    <w:rsid w:val="001B4DAC"/>
    <w:rsid w:val="001B4DEA"/>
    <w:rsid w:val="001B4DF8"/>
    <w:rsid w:val="001B4E3B"/>
    <w:rsid w:val="001B4EA4"/>
    <w:rsid w:val="001B4EBC"/>
    <w:rsid w:val="001B4EE1"/>
    <w:rsid w:val="001B4F6A"/>
    <w:rsid w:val="001B4FA5"/>
    <w:rsid w:val="001B50A5"/>
    <w:rsid w:val="001B50B2"/>
    <w:rsid w:val="001B50C6"/>
    <w:rsid w:val="001B5154"/>
    <w:rsid w:val="001B526E"/>
    <w:rsid w:val="001B531D"/>
    <w:rsid w:val="001B532E"/>
    <w:rsid w:val="001B533F"/>
    <w:rsid w:val="001B537F"/>
    <w:rsid w:val="001B53B9"/>
    <w:rsid w:val="001B5402"/>
    <w:rsid w:val="001B5414"/>
    <w:rsid w:val="001B55F7"/>
    <w:rsid w:val="001B5648"/>
    <w:rsid w:val="001B5666"/>
    <w:rsid w:val="001B56BE"/>
    <w:rsid w:val="001B56CA"/>
    <w:rsid w:val="001B5745"/>
    <w:rsid w:val="001B5746"/>
    <w:rsid w:val="001B5769"/>
    <w:rsid w:val="001B5776"/>
    <w:rsid w:val="001B579B"/>
    <w:rsid w:val="001B5869"/>
    <w:rsid w:val="001B591F"/>
    <w:rsid w:val="001B595E"/>
    <w:rsid w:val="001B5AC8"/>
    <w:rsid w:val="001B5AEE"/>
    <w:rsid w:val="001B5B10"/>
    <w:rsid w:val="001B5B88"/>
    <w:rsid w:val="001B5BB2"/>
    <w:rsid w:val="001B5D41"/>
    <w:rsid w:val="001B5D93"/>
    <w:rsid w:val="001B5E31"/>
    <w:rsid w:val="001B5E42"/>
    <w:rsid w:val="001B5E5D"/>
    <w:rsid w:val="001B5EF6"/>
    <w:rsid w:val="001B5FD1"/>
    <w:rsid w:val="001B6091"/>
    <w:rsid w:val="001B60B6"/>
    <w:rsid w:val="001B6169"/>
    <w:rsid w:val="001B62E1"/>
    <w:rsid w:val="001B62E4"/>
    <w:rsid w:val="001B62F8"/>
    <w:rsid w:val="001B62FD"/>
    <w:rsid w:val="001B62FF"/>
    <w:rsid w:val="001B6364"/>
    <w:rsid w:val="001B63C0"/>
    <w:rsid w:val="001B63C8"/>
    <w:rsid w:val="001B6414"/>
    <w:rsid w:val="001B6431"/>
    <w:rsid w:val="001B6447"/>
    <w:rsid w:val="001B64A1"/>
    <w:rsid w:val="001B64D0"/>
    <w:rsid w:val="001B65E3"/>
    <w:rsid w:val="001B65E9"/>
    <w:rsid w:val="001B65EB"/>
    <w:rsid w:val="001B66E4"/>
    <w:rsid w:val="001B673E"/>
    <w:rsid w:val="001B677E"/>
    <w:rsid w:val="001B67B8"/>
    <w:rsid w:val="001B67F5"/>
    <w:rsid w:val="001B6850"/>
    <w:rsid w:val="001B6884"/>
    <w:rsid w:val="001B68F9"/>
    <w:rsid w:val="001B693A"/>
    <w:rsid w:val="001B6A7B"/>
    <w:rsid w:val="001B6B0B"/>
    <w:rsid w:val="001B6B81"/>
    <w:rsid w:val="001B6C3E"/>
    <w:rsid w:val="001B6D00"/>
    <w:rsid w:val="001B6D35"/>
    <w:rsid w:val="001B6D9F"/>
    <w:rsid w:val="001B6E24"/>
    <w:rsid w:val="001B6F05"/>
    <w:rsid w:val="001B6F35"/>
    <w:rsid w:val="001B6F7B"/>
    <w:rsid w:val="001B7055"/>
    <w:rsid w:val="001B7062"/>
    <w:rsid w:val="001B70AD"/>
    <w:rsid w:val="001B70E4"/>
    <w:rsid w:val="001B710E"/>
    <w:rsid w:val="001B71F9"/>
    <w:rsid w:val="001B7328"/>
    <w:rsid w:val="001B7333"/>
    <w:rsid w:val="001B7345"/>
    <w:rsid w:val="001B738F"/>
    <w:rsid w:val="001B7412"/>
    <w:rsid w:val="001B7441"/>
    <w:rsid w:val="001B761D"/>
    <w:rsid w:val="001B76E6"/>
    <w:rsid w:val="001B7710"/>
    <w:rsid w:val="001B7744"/>
    <w:rsid w:val="001B7813"/>
    <w:rsid w:val="001B7821"/>
    <w:rsid w:val="001B78C7"/>
    <w:rsid w:val="001B791A"/>
    <w:rsid w:val="001B791B"/>
    <w:rsid w:val="001B79AD"/>
    <w:rsid w:val="001B7A1E"/>
    <w:rsid w:val="001B7ACB"/>
    <w:rsid w:val="001B7B03"/>
    <w:rsid w:val="001B7B9B"/>
    <w:rsid w:val="001B7C52"/>
    <w:rsid w:val="001B7CD2"/>
    <w:rsid w:val="001B7D35"/>
    <w:rsid w:val="001B7D74"/>
    <w:rsid w:val="001B7D77"/>
    <w:rsid w:val="001B7D98"/>
    <w:rsid w:val="001B7E34"/>
    <w:rsid w:val="001B7E7A"/>
    <w:rsid w:val="001B7F65"/>
    <w:rsid w:val="001B7FE8"/>
    <w:rsid w:val="001C0038"/>
    <w:rsid w:val="001C00C9"/>
    <w:rsid w:val="001C0130"/>
    <w:rsid w:val="001C0132"/>
    <w:rsid w:val="001C0147"/>
    <w:rsid w:val="001C01A9"/>
    <w:rsid w:val="001C01AC"/>
    <w:rsid w:val="001C0209"/>
    <w:rsid w:val="001C023A"/>
    <w:rsid w:val="001C034E"/>
    <w:rsid w:val="001C0364"/>
    <w:rsid w:val="001C0370"/>
    <w:rsid w:val="001C0497"/>
    <w:rsid w:val="001C04B1"/>
    <w:rsid w:val="001C0520"/>
    <w:rsid w:val="001C06C0"/>
    <w:rsid w:val="001C0738"/>
    <w:rsid w:val="001C0779"/>
    <w:rsid w:val="001C07CB"/>
    <w:rsid w:val="001C08B2"/>
    <w:rsid w:val="001C08E6"/>
    <w:rsid w:val="001C0914"/>
    <w:rsid w:val="001C0922"/>
    <w:rsid w:val="001C094E"/>
    <w:rsid w:val="001C097D"/>
    <w:rsid w:val="001C0AF3"/>
    <w:rsid w:val="001C0B1B"/>
    <w:rsid w:val="001C0B35"/>
    <w:rsid w:val="001C0BB2"/>
    <w:rsid w:val="001C0BC0"/>
    <w:rsid w:val="001C0C31"/>
    <w:rsid w:val="001C0C55"/>
    <w:rsid w:val="001C0D0A"/>
    <w:rsid w:val="001C0D0B"/>
    <w:rsid w:val="001C0D1F"/>
    <w:rsid w:val="001C0D27"/>
    <w:rsid w:val="001C0D87"/>
    <w:rsid w:val="001C0E07"/>
    <w:rsid w:val="001C0E14"/>
    <w:rsid w:val="001C0E16"/>
    <w:rsid w:val="001C0E3D"/>
    <w:rsid w:val="001C0F62"/>
    <w:rsid w:val="001C106D"/>
    <w:rsid w:val="001C1098"/>
    <w:rsid w:val="001C1143"/>
    <w:rsid w:val="001C11A3"/>
    <w:rsid w:val="001C11AD"/>
    <w:rsid w:val="001C127E"/>
    <w:rsid w:val="001C12EA"/>
    <w:rsid w:val="001C12F5"/>
    <w:rsid w:val="001C1382"/>
    <w:rsid w:val="001C13A1"/>
    <w:rsid w:val="001C13F4"/>
    <w:rsid w:val="001C141F"/>
    <w:rsid w:val="001C1494"/>
    <w:rsid w:val="001C14AA"/>
    <w:rsid w:val="001C14CA"/>
    <w:rsid w:val="001C14CB"/>
    <w:rsid w:val="001C15B0"/>
    <w:rsid w:val="001C15C2"/>
    <w:rsid w:val="001C15F0"/>
    <w:rsid w:val="001C15F4"/>
    <w:rsid w:val="001C163A"/>
    <w:rsid w:val="001C1760"/>
    <w:rsid w:val="001C1795"/>
    <w:rsid w:val="001C17A9"/>
    <w:rsid w:val="001C1808"/>
    <w:rsid w:val="001C180E"/>
    <w:rsid w:val="001C189E"/>
    <w:rsid w:val="001C18C6"/>
    <w:rsid w:val="001C18F8"/>
    <w:rsid w:val="001C1973"/>
    <w:rsid w:val="001C19B7"/>
    <w:rsid w:val="001C19C8"/>
    <w:rsid w:val="001C1A5A"/>
    <w:rsid w:val="001C1AB8"/>
    <w:rsid w:val="001C1AE3"/>
    <w:rsid w:val="001C1B37"/>
    <w:rsid w:val="001C1B65"/>
    <w:rsid w:val="001C1B78"/>
    <w:rsid w:val="001C1C50"/>
    <w:rsid w:val="001C1C85"/>
    <w:rsid w:val="001C1D03"/>
    <w:rsid w:val="001C1DC6"/>
    <w:rsid w:val="001C1DDF"/>
    <w:rsid w:val="001C1DFD"/>
    <w:rsid w:val="001C1E59"/>
    <w:rsid w:val="001C1F73"/>
    <w:rsid w:val="001C1F83"/>
    <w:rsid w:val="001C1FDC"/>
    <w:rsid w:val="001C203F"/>
    <w:rsid w:val="001C2164"/>
    <w:rsid w:val="001C2195"/>
    <w:rsid w:val="001C21CE"/>
    <w:rsid w:val="001C225D"/>
    <w:rsid w:val="001C2260"/>
    <w:rsid w:val="001C2274"/>
    <w:rsid w:val="001C22C5"/>
    <w:rsid w:val="001C22C9"/>
    <w:rsid w:val="001C22D5"/>
    <w:rsid w:val="001C239D"/>
    <w:rsid w:val="001C23B3"/>
    <w:rsid w:val="001C253E"/>
    <w:rsid w:val="001C2546"/>
    <w:rsid w:val="001C2549"/>
    <w:rsid w:val="001C25D9"/>
    <w:rsid w:val="001C2608"/>
    <w:rsid w:val="001C260B"/>
    <w:rsid w:val="001C2667"/>
    <w:rsid w:val="001C2734"/>
    <w:rsid w:val="001C276A"/>
    <w:rsid w:val="001C278B"/>
    <w:rsid w:val="001C28A5"/>
    <w:rsid w:val="001C28EC"/>
    <w:rsid w:val="001C2975"/>
    <w:rsid w:val="001C2980"/>
    <w:rsid w:val="001C2A25"/>
    <w:rsid w:val="001C2A4F"/>
    <w:rsid w:val="001C2A63"/>
    <w:rsid w:val="001C2AB2"/>
    <w:rsid w:val="001C2BC6"/>
    <w:rsid w:val="001C2C8F"/>
    <w:rsid w:val="001C2CD3"/>
    <w:rsid w:val="001C2CDC"/>
    <w:rsid w:val="001C2CFB"/>
    <w:rsid w:val="001C2D0C"/>
    <w:rsid w:val="001C2E25"/>
    <w:rsid w:val="001C2F95"/>
    <w:rsid w:val="001C2F9B"/>
    <w:rsid w:val="001C300B"/>
    <w:rsid w:val="001C30AF"/>
    <w:rsid w:val="001C30B5"/>
    <w:rsid w:val="001C30D8"/>
    <w:rsid w:val="001C312E"/>
    <w:rsid w:val="001C316F"/>
    <w:rsid w:val="001C320A"/>
    <w:rsid w:val="001C3244"/>
    <w:rsid w:val="001C3269"/>
    <w:rsid w:val="001C3277"/>
    <w:rsid w:val="001C3331"/>
    <w:rsid w:val="001C33A0"/>
    <w:rsid w:val="001C3407"/>
    <w:rsid w:val="001C3494"/>
    <w:rsid w:val="001C34E2"/>
    <w:rsid w:val="001C34E8"/>
    <w:rsid w:val="001C3540"/>
    <w:rsid w:val="001C358E"/>
    <w:rsid w:val="001C364D"/>
    <w:rsid w:val="001C364E"/>
    <w:rsid w:val="001C37AF"/>
    <w:rsid w:val="001C3869"/>
    <w:rsid w:val="001C38D6"/>
    <w:rsid w:val="001C3AFD"/>
    <w:rsid w:val="001C3B38"/>
    <w:rsid w:val="001C3B83"/>
    <w:rsid w:val="001C3D41"/>
    <w:rsid w:val="001C3E2F"/>
    <w:rsid w:val="001C3EBA"/>
    <w:rsid w:val="001C3EF1"/>
    <w:rsid w:val="001C4026"/>
    <w:rsid w:val="001C4128"/>
    <w:rsid w:val="001C4176"/>
    <w:rsid w:val="001C42E2"/>
    <w:rsid w:val="001C430A"/>
    <w:rsid w:val="001C4334"/>
    <w:rsid w:val="001C441E"/>
    <w:rsid w:val="001C444A"/>
    <w:rsid w:val="001C4475"/>
    <w:rsid w:val="001C458E"/>
    <w:rsid w:val="001C45D6"/>
    <w:rsid w:val="001C4625"/>
    <w:rsid w:val="001C4636"/>
    <w:rsid w:val="001C4637"/>
    <w:rsid w:val="001C4655"/>
    <w:rsid w:val="001C4683"/>
    <w:rsid w:val="001C46B8"/>
    <w:rsid w:val="001C46D8"/>
    <w:rsid w:val="001C4739"/>
    <w:rsid w:val="001C4758"/>
    <w:rsid w:val="001C479C"/>
    <w:rsid w:val="001C47A6"/>
    <w:rsid w:val="001C484A"/>
    <w:rsid w:val="001C492D"/>
    <w:rsid w:val="001C495B"/>
    <w:rsid w:val="001C49C2"/>
    <w:rsid w:val="001C4A2A"/>
    <w:rsid w:val="001C4B77"/>
    <w:rsid w:val="001C4BCF"/>
    <w:rsid w:val="001C4CB8"/>
    <w:rsid w:val="001C4CD5"/>
    <w:rsid w:val="001C4D4C"/>
    <w:rsid w:val="001C4DA1"/>
    <w:rsid w:val="001C4E4A"/>
    <w:rsid w:val="001C4E7D"/>
    <w:rsid w:val="001C4F2E"/>
    <w:rsid w:val="001C4F7E"/>
    <w:rsid w:val="001C4FA8"/>
    <w:rsid w:val="001C4FD2"/>
    <w:rsid w:val="001C4FF6"/>
    <w:rsid w:val="001C5035"/>
    <w:rsid w:val="001C5058"/>
    <w:rsid w:val="001C518B"/>
    <w:rsid w:val="001C5204"/>
    <w:rsid w:val="001C5291"/>
    <w:rsid w:val="001C5301"/>
    <w:rsid w:val="001C535A"/>
    <w:rsid w:val="001C53F3"/>
    <w:rsid w:val="001C53FD"/>
    <w:rsid w:val="001C5432"/>
    <w:rsid w:val="001C54AE"/>
    <w:rsid w:val="001C54DC"/>
    <w:rsid w:val="001C554C"/>
    <w:rsid w:val="001C55AF"/>
    <w:rsid w:val="001C55CB"/>
    <w:rsid w:val="001C565E"/>
    <w:rsid w:val="001C56A0"/>
    <w:rsid w:val="001C57A0"/>
    <w:rsid w:val="001C57FD"/>
    <w:rsid w:val="001C582A"/>
    <w:rsid w:val="001C5838"/>
    <w:rsid w:val="001C5978"/>
    <w:rsid w:val="001C59A3"/>
    <w:rsid w:val="001C5B21"/>
    <w:rsid w:val="001C5B49"/>
    <w:rsid w:val="001C5BDB"/>
    <w:rsid w:val="001C5BE3"/>
    <w:rsid w:val="001C5C22"/>
    <w:rsid w:val="001C5CEB"/>
    <w:rsid w:val="001C5D27"/>
    <w:rsid w:val="001C5E80"/>
    <w:rsid w:val="001C5E83"/>
    <w:rsid w:val="001C5EBE"/>
    <w:rsid w:val="001C5ECB"/>
    <w:rsid w:val="001C5ED8"/>
    <w:rsid w:val="001C5EDF"/>
    <w:rsid w:val="001C5EFE"/>
    <w:rsid w:val="001C5F13"/>
    <w:rsid w:val="001C60A3"/>
    <w:rsid w:val="001C60CA"/>
    <w:rsid w:val="001C60D0"/>
    <w:rsid w:val="001C616C"/>
    <w:rsid w:val="001C61B7"/>
    <w:rsid w:val="001C61BA"/>
    <w:rsid w:val="001C61C7"/>
    <w:rsid w:val="001C6215"/>
    <w:rsid w:val="001C6396"/>
    <w:rsid w:val="001C63C9"/>
    <w:rsid w:val="001C63D5"/>
    <w:rsid w:val="001C63D9"/>
    <w:rsid w:val="001C64A1"/>
    <w:rsid w:val="001C64CA"/>
    <w:rsid w:val="001C6574"/>
    <w:rsid w:val="001C65EB"/>
    <w:rsid w:val="001C662D"/>
    <w:rsid w:val="001C66C5"/>
    <w:rsid w:val="001C66EB"/>
    <w:rsid w:val="001C678A"/>
    <w:rsid w:val="001C685A"/>
    <w:rsid w:val="001C68A5"/>
    <w:rsid w:val="001C68AA"/>
    <w:rsid w:val="001C68BC"/>
    <w:rsid w:val="001C68C0"/>
    <w:rsid w:val="001C692C"/>
    <w:rsid w:val="001C698B"/>
    <w:rsid w:val="001C69A5"/>
    <w:rsid w:val="001C69AC"/>
    <w:rsid w:val="001C6A3E"/>
    <w:rsid w:val="001C6AAA"/>
    <w:rsid w:val="001C6B73"/>
    <w:rsid w:val="001C6BA7"/>
    <w:rsid w:val="001C6C25"/>
    <w:rsid w:val="001C6C2E"/>
    <w:rsid w:val="001C6C40"/>
    <w:rsid w:val="001C6CB8"/>
    <w:rsid w:val="001C6CFF"/>
    <w:rsid w:val="001C6D01"/>
    <w:rsid w:val="001C6DF9"/>
    <w:rsid w:val="001C6F1E"/>
    <w:rsid w:val="001C7007"/>
    <w:rsid w:val="001C70AB"/>
    <w:rsid w:val="001C7100"/>
    <w:rsid w:val="001C7120"/>
    <w:rsid w:val="001C71AB"/>
    <w:rsid w:val="001C71E0"/>
    <w:rsid w:val="001C71E2"/>
    <w:rsid w:val="001C7235"/>
    <w:rsid w:val="001C72B5"/>
    <w:rsid w:val="001C736D"/>
    <w:rsid w:val="001C7395"/>
    <w:rsid w:val="001C73B8"/>
    <w:rsid w:val="001C7497"/>
    <w:rsid w:val="001C74A0"/>
    <w:rsid w:val="001C74BA"/>
    <w:rsid w:val="001C757E"/>
    <w:rsid w:val="001C75A5"/>
    <w:rsid w:val="001C768B"/>
    <w:rsid w:val="001C76FC"/>
    <w:rsid w:val="001C7717"/>
    <w:rsid w:val="001C77A5"/>
    <w:rsid w:val="001C793B"/>
    <w:rsid w:val="001C7943"/>
    <w:rsid w:val="001C79F4"/>
    <w:rsid w:val="001C79FF"/>
    <w:rsid w:val="001C7A53"/>
    <w:rsid w:val="001C7C4E"/>
    <w:rsid w:val="001C7C69"/>
    <w:rsid w:val="001C7CF7"/>
    <w:rsid w:val="001C7E46"/>
    <w:rsid w:val="001C7E51"/>
    <w:rsid w:val="001C7FC4"/>
    <w:rsid w:val="001D0005"/>
    <w:rsid w:val="001D0091"/>
    <w:rsid w:val="001D0106"/>
    <w:rsid w:val="001D01B6"/>
    <w:rsid w:val="001D025B"/>
    <w:rsid w:val="001D0326"/>
    <w:rsid w:val="001D03FB"/>
    <w:rsid w:val="001D0426"/>
    <w:rsid w:val="001D0481"/>
    <w:rsid w:val="001D0489"/>
    <w:rsid w:val="001D04C1"/>
    <w:rsid w:val="001D0525"/>
    <w:rsid w:val="001D055E"/>
    <w:rsid w:val="001D058A"/>
    <w:rsid w:val="001D060C"/>
    <w:rsid w:val="001D06F0"/>
    <w:rsid w:val="001D072D"/>
    <w:rsid w:val="001D0754"/>
    <w:rsid w:val="001D0770"/>
    <w:rsid w:val="001D07B4"/>
    <w:rsid w:val="001D0824"/>
    <w:rsid w:val="001D0888"/>
    <w:rsid w:val="001D088F"/>
    <w:rsid w:val="001D08BE"/>
    <w:rsid w:val="001D08C2"/>
    <w:rsid w:val="001D08FD"/>
    <w:rsid w:val="001D0911"/>
    <w:rsid w:val="001D093C"/>
    <w:rsid w:val="001D09EC"/>
    <w:rsid w:val="001D0A1E"/>
    <w:rsid w:val="001D0A1F"/>
    <w:rsid w:val="001D0B0B"/>
    <w:rsid w:val="001D0B67"/>
    <w:rsid w:val="001D0B72"/>
    <w:rsid w:val="001D0C34"/>
    <w:rsid w:val="001D0CB7"/>
    <w:rsid w:val="001D0D71"/>
    <w:rsid w:val="001D0DD2"/>
    <w:rsid w:val="001D0E2E"/>
    <w:rsid w:val="001D0F3B"/>
    <w:rsid w:val="001D0F65"/>
    <w:rsid w:val="001D0FFE"/>
    <w:rsid w:val="001D108C"/>
    <w:rsid w:val="001D10E0"/>
    <w:rsid w:val="001D10F0"/>
    <w:rsid w:val="001D11DD"/>
    <w:rsid w:val="001D11DF"/>
    <w:rsid w:val="001D122F"/>
    <w:rsid w:val="001D129A"/>
    <w:rsid w:val="001D1305"/>
    <w:rsid w:val="001D1334"/>
    <w:rsid w:val="001D1374"/>
    <w:rsid w:val="001D14BB"/>
    <w:rsid w:val="001D150C"/>
    <w:rsid w:val="001D153C"/>
    <w:rsid w:val="001D1585"/>
    <w:rsid w:val="001D1593"/>
    <w:rsid w:val="001D15E1"/>
    <w:rsid w:val="001D15F6"/>
    <w:rsid w:val="001D165E"/>
    <w:rsid w:val="001D168C"/>
    <w:rsid w:val="001D1785"/>
    <w:rsid w:val="001D1853"/>
    <w:rsid w:val="001D193E"/>
    <w:rsid w:val="001D19DC"/>
    <w:rsid w:val="001D1A50"/>
    <w:rsid w:val="001D1A97"/>
    <w:rsid w:val="001D1AE9"/>
    <w:rsid w:val="001D1C2C"/>
    <w:rsid w:val="001D1C91"/>
    <w:rsid w:val="001D1CBB"/>
    <w:rsid w:val="001D1DB7"/>
    <w:rsid w:val="001D1DC2"/>
    <w:rsid w:val="001D1DDE"/>
    <w:rsid w:val="001D1EC7"/>
    <w:rsid w:val="001D1ED0"/>
    <w:rsid w:val="001D1F89"/>
    <w:rsid w:val="001D1F8F"/>
    <w:rsid w:val="001D1FF1"/>
    <w:rsid w:val="001D2044"/>
    <w:rsid w:val="001D210E"/>
    <w:rsid w:val="001D2158"/>
    <w:rsid w:val="001D2205"/>
    <w:rsid w:val="001D2217"/>
    <w:rsid w:val="001D225D"/>
    <w:rsid w:val="001D22A9"/>
    <w:rsid w:val="001D23A1"/>
    <w:rsid w:val="001D23B2"/>
    <w:rsid w:val="001D23EC"/>
    <w:rsid w:val="001D23F6"/>
    <w:rsid w:val="001D247E"/>
    <w:rsid w:val="001D2513"/>
    <w:rsid w:val="001D254E"/>
    <w:rsid w:val="001D2795"/>
    <w:rsid w:val="001D2916"/>
    <w:rsid w:val="001D2985"/>
    <w:rsid w:val="001D2A1E"/>
    <w:rsid w:val="001D2A43"/>
    <w:rsid w:val="001D2AA2"/>
    <w:rsid w:val="001D2AB2"/>
    <w:rsid w:val="001D2B68"/>
    <w:rsid w:val="001D2B9E"/>
    <w:rsid w:val="001D2BF3"/>
    <w:rsid w:val="001D2BFE"/>
    <w:rsid w:val="001D2C3A"/>
    <w:rsid w:val="001D2C64"/>
    <w:rsid w:val="001D2DD8"/>
    <w:rsid w:val="001D2DED"/>
    <w:rsid w:val="001D2E03"/>
    <w:rsid w:val="001D2EBB"/>
    <w:rsid w:val="001D2ECC"/>
    <w:rsid w:val="001D2F3F"/>
    <w:rsid w:val="001D2F59"/>
    <w:rsid w:val="001D2FF8"/>
    <w:rsid w:val="001D3132"/>
    <w:rsid w:val="001D31F2"/>
    <w:rsid w:val="001D3255"/>
    <w:rsid w:val="001D3315"/>
    <w:rsid w:val="001D3417"/>
    <w:rsid w:val="001D34DB"/>
    <w:rsid w:val="001D3502"/>
    <w:rsid w:val="001D3532"/>
    <w:rsid w:val="001D358A"/>
    <w:rsid w:val="001D360D"/>
    <w:rsid w:val="001D364E"/>
    <w:rsid w:val="001D368A"/>
    <w:rsid w:val="001D368D"/>
    <w:rsid w:val="001D36C2"/>
    <w:rsid w:val="001D39C2"/>
    <w:rsid w:val="001D3A19"/>
    <w:rsid w:val="001D3C1F"/>
    <w:rsid w:val="001D3C6C"/>
    <w:rsid w:val="001D3C74"/>
    <w:rsid w:val="001D3D76"/>
    <w:rsid w:val="001D3D92"/>
    <w:rsid w:val="001D3E19"/>
    <w:rsid w:val="001D3E6C"/>
    <w:rsid w:val="001D3EDC"/>
    <w:rsid w:val="001D3F3A"/>
    <w:rsid w:val="001D3F6E"/>
    <w:rsid w:val="001D3FB9"/>
    <w:rsid w:val="001D4042"/>
    <w:rsid w:val="001D4143"/>
    <w:rsid w:val="001D41BA"/>
    <w:rsid w:val="001D4228"/>
    <w:rsid w:val="001D42B5"/>
    <w:rsid w:val="001D44AD"/>
    <w:rsid w:val="001D44DC"/>
    <w:rsid w:val="001D4531"/>
    <w:rsid w:val="001D4571"/>
    <w:rsid w:val="001D45BD"/>
    <w:rsid w:val="001D45FA"/>
    <w:rsid w:val="001D45FB"/>
    <w:rsid w:val="001D4632"/>
    <w:rsid w:val="001D46FD"/>
    <w:rsid w:val="001D474D"/>
    <w:rsid w:val="001D4765"/>
    <w:rsid w:val="001D47B5"/>
    <w:rsid w:val="001D48F4"/>
    <w:rsid w:val="001D491C"/>
    <w:rsid w:val="001D4A62"/>
    <w:rsid w:val="001D4A7D"/>
    <w:rsid w:val="001D4B95"/>
    <w:rsid w:val="001D4BA6"/>
    <w:rsid w:val="001D4BAA"/>
    <w:rsid w:val="001D4C34"/>
    <w:rsid w:val="001D4CA7"/>
    <w:rsid w:val="001D4D46"/>
    <w:rsid w:val="001D4DE2"/>
    <w:rsid w:val="001D4DE3"/>
    <w:rsid w:val="001D4DF4"/>
    <w:rsid w:val="001D4E5B"/>
    <w:rsid w:val="001D4F93"/>
    <w:rsid w:val="001D504B"/>
    <w:rsid w:val="001D50D1"/>
    <w:rsid w:val="001D50F2"/>
    <w:rsid w:val="001D5172"/>
    <w:rsid w:val="001D517E"/>
    <w:rsid w:val="001D52D8"/>
    <w:rsid w:val="001D52EB"/>
    <w:rsid w:val="001D52F1"/>
    <w:rsid w:val="001D535C"/>
    <w:rsid w:val="001D5375"/>
    <w:rsid w:val="001D53D4"/>
    <w:rsid w:val="001D541B"/>
    <w:rsid w:val="001D546A"/>
    <w:rsid w:val="001D54B7"/>
    <w:rsid w:val="001D54F1"/>
    <w:rsid w:val="001D5609"/>
    <w:rsid w:val="001D5634"/>
    <w:rsid w:val="001D5642"/>
    <w:rsid w:val="001D5664"/>
    <w:rsid w:val="001D56D0"/>
    <w:rsid w:val="001D5725"/>
    <w:rsid w:val="001D580E"/>
    <w:rsid w:val="001D5854"/>
    <w:rsid w:val="001D5896"/>
    <w:rsid w:val="001D58C2"/>
    <w:rsid w:val="001D58CE"/>
    <w:rsid w:val="001D5A2F"/>
    <w:rsid w:val="001D5A54"/>
    <w:rsid w:val="001D5ACE"/>
    <w:rsid w:val="001D5B03"/>
    <w:rsid w:val="001D5B43"/>
    <w:rsid w:val="001D5BF0"/>
    <w:rsid w:val="001D5C4C"/>
    <w:rsid w:val="001D5C83"/>
    <w:rsid w:val="001D5C9A"/>
    <w:rsid w:val="001D5CAB"/>
    <w:rsid w:val="001D5D0F"/>
    <w:rsid w:val="001D5D7F"/>
    <w:rsid w:val="001D5DDF"/>
    <w:rsid w:val="001D5E18"/>
    <w:rsid w:val="001D5ED3"/>
    <w:rsid w:val="001D5F5E"/>
    <w:rsid w:val="001D5FA3"/>
    <w:rsid w:val="001D5FDC"/>
    <w:rsid w:val="001D602A"/>
    <w:rsid w:val="001D6094"/>
    <w:rsid w:val="001D60BC"/>
    <w:rsid w:val="001D615D"/>
    <w:rsid w:val="001D616F"/>
    <w:rsid w:val="001D61A5"/>
    <w:rsid w:val="001D61AC"/>
    <w:rsid w:val="001D61C1"/>
    <w:rsid w:val="001D628F"/>
    <w:rsid w:val="001D62A8"/>
    <w:rsid w:val="001D62B2"/>
    <w:rsid w:val="001D635D"/>
    <w:rsid w:val="001D635E"/>
    <w:rsid w:val="001D639B"/>
    <w:rsid w:val="001D63A2"/>
    <w:rsid w:val="001D63C7"/>
    <w:rsid w:val="001D63FB"/>
    <w:rsid w:val="001D64FE"/>
    <w:rsid w:val="001D6521"/>
    <w:rsid w:val="001D6531"/>
    <w:rsid w:val="001D6672"/>
    <w:rsid w:val="001D66F2"/>
    <w:rsid w:val="001D6704"/>
    <w:rsid w:val="001D6795"/>
    <w:rsid w:val="001D67A1"/>
    <w:rsid w:val="001D6924"/>
    <w:rsid w:val="001D6933"/>
    <w:rsid w:val="001D696B"/>
    <w:rsid w:val="001D6A7F"/>
    <w:rsid w:val="001D6A8C"/>
    <w:rsid w:val="001D6B0E"/>
    <w:rsid w:val="001D6BA9"/>
    <w:rsid w:val="001D6C27"/>
    <w:rsid w:val="001D6C2A"/>
    <w:rsid w:val="001D6CCF"/>
    <w:rsid w:val="001D6D13"/>
    <w:rsid w:val="001D6DEF"/>
    <w:rsid w:val="001D6E66"/>
    <w:rsid w:val="001D6EDA"/>
    <w:rsid w:val="001D7011"/>
    <w:rsid w:val="001D7029"/>
    <w:rsid w:val="001D7072"/>
    <w:rsid w:val="001D7176"/>
    <w:rsid w:val="001D718E"/>
    <w:rsid w:val="001D7190"/>
    <w:rsid w:val="001D722D"/>
    <w:rsid w:val="001D7289"/>
    <w:rsid w:val="001D72D0"/>
    <w:rsid w:val="001D731D"/>
    <w:rsid w:val="001D734A"/>
    <w:rsid w:val="001D7383"/>
    <w:rsid w:val="001D73C0"/>
    <w:rsid w:val="001D73E5"/>
    <w:rsid w:val="001D740D"/>
    <w:rsid w:val="001D7416"/>
    <w:rsid w:val="001D7432"/>
    <w:rsid w:val="001D74EC"/>
    <w:rsid w:val="001D7507"/>
    <w:rsid w:val="001D750B"/>
    <w:rsid w:val="001D751D"/>
    <w:rsid w:val="001D7560"/>
    <w:rsid w:val="001D75D6"/>
    <w:rsid w:val="001D75E4"/>
    <w:rsid w:val="001D763B"/>
    <w:rsid w:val="001D7652"/>
    <w:rsid w:val="001D76EA"/>
    <w:rsid w:val="001D773F"/>
    <w:rsid w:val="001D7783"/>
    <w:rsid w:val="001D77CC"/>
    <w:rsid w:val="001D7819"/>
    <w:rsid w:val="001D7845"/>
    <w:rsid w:val="001D789E"/>
    <w:rsid w:val="001D797E"/>
    <w:rsid w:val="001D7A74"/>
    <w:rsid w:val="001D7AF8"/>
    <w:rsid w:val="001D7BAE"/>
    <w:rsid w:val="001D7BE0"/>
    <w:rsid w:val="001D7C71"/>
    <w:rsid w:val="001D7CEA"/>
    <w:rsid w:val="001D7DEF"/>
    <w:rsid w:val="001D7E67"/>
    <w:rsid w:val="001D7E87"/>
    <w:rsid w:val="001D7EF7"/>
    <w:rsid w:val="001D7F67"/>
    <w:rsid w:val="001D7F78"/>
    <w:rsid w:val="001D7FB4"/>
    <w:rsid w:val="001D7FB7"/>
    <w:rsid w:val="001D7FBA"/>
    <w:rsid w:val="001E0029"/>
    <w:rsid w:val="001E008C"/>
    <w:rsid w:val="001E008E"/>
    <w:rsid w:val="001E00AF"/>
    <w:rsid w:val="001E00BD"/>
    <w:rsid w:val="001E00EE"/>
    <w:rsid w:val="001E0146"/>
    <w:rsid w:val="001E016A"/>
    <w:rsid w:val="001E0298"/>
    <w:rsid w:val="001E02F2"/>
    <w:rsid w:val="001E03CF"/>
    <w:rsid w:val="001E03F6"/>
    <w:rsid w:val="001E0420"/>
    <w:rsid w:val="001E043F"/>
    <w:rsid w:val="001E0501"/>
    <w:rsid w:val="001E0522"/>
    <w:rsid w:val="001E057F"/>
    <w:rsid w:val="001E060E"/>
    <w:rsid w:val="001E0636"/>
    <w:rsid w:val="001E064D"/>
    <w:rsid w:val="001E06AD"/>
    <w:rsid w:val="001E06EE"/>
    <w:rsid w:val="001E0705"/>
    <w:rsid w:val="001E078B"/>
    <w:rsid w:val="001E07D9"/>
    <w:rsid w:val="001E080B"/>
    <w:rsid w:val="001E0898"/>
    <w:rsid w:val="001E09B9"/>
    <w:rsid w:val="001E09E3"/>
    <w:rsid w:val="001E0ACA"/>
    <w:rsid w:val="001E0AE6"/>
    <w:rsid w:val="001E0B98"/>
    <w:rsid w:val="001E0BA4"/>
    <w:rsid w:val="001E0BB0"/>
    <w:rsid w:val="001E0BB8"/>
    <w:rsid w:val="001E0CB1"/>
    <w:rsid w:val="001E0CC6"/>
    <w:rsid w:val="001E0CD4"/>
    <w:rsid w:val="001E0D12"/>
    <w:rsid w:val="001E0DC6"/>
    <w:rsid w:val="001E0E03"/>
    <w:rsid w:val="001E0E12"/>
    <w:rsid w:val="001E0EB1"/>
    <w:rsid w:val="001E0F27"/>
    <w:rsid w:val="001E0F8D"/>
    <w:rsid w:val="001E0FA8"/>
    <w:rsid w:val="001E0FCC"/>
    <w:rsid w:val="001E1004"/>
    <w:rsid w:val="001E1032"/>
    <w:rsid w:val="001E118A"/>
    <w:rsid w:val="001E11C0"/>
    <w:rsid w:val="001E12D0"/>
    <w:rsid w:val="001E1390"/>
    <w:rsid w:val="001E13C8"/>
    <w:rsid w:val="001E1414"/>
    <w:rsid w:val="001E14C8"/>
    <w:rsid w:val="001E173E"/>
    <w:rsid w:val="001E17C7"/>
    <w:rsid w:val="001E17D2"/>
    <w:rsid w:val="001E1A62"/>
    <w:rsid w:val="001E1A90"/>
    <w:rsid w:val="001E1B3C"/>
    <w:rsid w:val="001E1B97"/>
    <w:rsid w:val="001E1B99"/>
    <w:rsid w:val="001E1C07"/>
    <w:rsid w:val="001E1C2B"/>
    <w:rsid w:val="001E1CCB"/>
    <w:rsid w:val="001E1DB0"/>
    <w:rsid w:val="001E1DC9"/>
    <w:rsid w:val="001E2061"/>
    <w:rsid w:val="001E207F"/>
    <w:rsid w:val="001E2083"/>
    <w:rsid w:val="001E2153"/>
    <w:rsid w:val="001E2186"/>
    <w:rsid w:val="001E21B6"/>
    <w:rsid w:val="001E224B"/>
    <w:rsid w:val="001E23C0"/>
    <w:rsid w:val="001E23C4"/>
    <w:rsid w:val="001E23D3"/>
    <w:rsid w:val="001E23F8"/>
    <w:rsid w:val="001E24BE"/>
    <w:rsid w:val="001E24C6"/>
    <w:rsid w:val="001E24F9"/>
    <w:rsid w:val="001E254C"/>
    <w:rsid w:val="001E2553"/>
    <w:rsid w:val="001E25A7"/>
    <w:rsid w:val="001E25B6"/>
    <w:rsid w:val="001E26A8"/>
    <w:rsid w:val="001E26B0"/>
    <w:rsid w:val="001E273B"/>
    <w:rsid w:val="001E27F4"/>
    <w:rsid w:val="001E27FD"/>
    <w:rsid w:val="001E281B"/>
    <w:rsid w:val="001E2897"/>
    <w:rsid w:val="001E2925"/>
    <w:rsid w:val="001E2928"/>
    <w:rsid w:val="001E292A"/>
    <w:rsid w:val="001E2940"/>
    <w:rsid w:val="001E2980"/>
    <w:rsid w:val="001E298B"/>
    <w:rsid w:val="001E2B56"/>
    <w:rsid w:val="001E2C53"/>
    <w:rsid w:val="001E2CB0"/>
    <w:rsid w:val="001E2CF4"/>
    <w:rsid w:val="001E2D34"/>
    <w:rsid w:val="001E2DE3"/>
    <w:rsid w:val="001E2E0F"/>
    <w:rsid w:val="001E2EA0"/>
    <w:rsid w:val="001E2EC8"/>
    <w:rsid w:val="001E2ED3"/>
    <w:rsid w:val="001E2EE9"/>
    <w:rsid w:val="001E2F27"/>
    <w:rsid w:val="001E2FBE"/>
    <w:rsid w:val="001E2FD4"/>
    <w:rsid w:val="001E2FFB"/>
    <w:rsid w:val="001E3063"/>
    <w:rsid w:val="001E311C"/>
    <w:rsid w:val="001E31D1"/>
    <w:rsid w:val="001E3207"/>
    <w:rsid w:val="001E3253"/>
    <w:rsid w:val="001E3280"/>
    <w:rsid w:val="001E3474"/>
    <w:rsid w:val="001E351B"/>
    <w:rsid w:val="001E353B"/>
    <w:rsid w:val="001E35D4"/>
    <w:rsid w:val="001E36AC"/>
    <w:rsid w:val="001E3780"/>
    <w:rsid w:val="001E37F2"/>
    <w:rsid w:val="001E3855"/>
    <w:rsid w:val="001E3867"/>
    <w:rsid w:val="001E394F"/>
    <w:rsid w:val="001E3971"/>
    <w:rsid w:val="001E39B7"/>
    <w:rsid w:val="001E39CF"/>
    <w:rsid w:val="001E3B1B"/>
    <w:rsid w:val="001E3C24"/>
    <w:rsid w:val="001E3C95"/>
    <w:rsid w:val="001E3ED9"/>
    <w:rsid w:val="001E3EF0"/>
    <w:rsid w:val="001E3F31"/>
    <w:rsid w:val="001E3F6B"/>
    <w:rsid w:val="001E3FCF"/>
    <w:rsid w:val="001E3FE5"/>
    <w:rsid w:val="001E3FF2"/>
    <w:rsid w:val="001E40DB"/>
    <w:rsid w:val="001E41A6"/>
    <w:rsid w:val="001E41AF"/>
    <w:rsid w:val="001E41B0"/>
    <w:rsid w:val="001E41BA"/>
    <w:rsid w:val="001E4228"/>
    <w:rsid w:val="001E434C"/>
    <w:rsid w:val="001E4350"/>
    <w:rsid w:val="001E437A"/>
    <w:rsid w:val="001E43A7"/>
    <w:rsid w:val="001E43FB"/>
    <w:rsid w:val="001E450C"/>
    <w:rsid w:val="001E4542"/>
    <w:rsid w:val="001E4544"/>
    <w:rsid w:val="001E4545"/>
    <w:rsid w:val="001E456B"/>
    <w:rsid w:val="001E458B"/>
    <w:rsid w:val="001E45D2"/>
    <w:rsid w:val="001E45D9"/>
    <w:rsid w:val="001E4651"/>
    <w:rsid w:val="001E4674"/>
    <w:rsid w:val="001E4846"/>
    <w:rsid w:val="001E4868"/>
    <w:rsid w:val="001E496C"/>
    <w:rsid w:val="001E4979"/>
    <w:rsid w:val="001E49A0"/>
    <w:rsid w:val="001E49D4"/>
    <w:rsid w:val="001E4A8A"/>
    <w:rsid w:val="001E4AF5"/>
    <w:rsid w:val="001E4B2E"/>
    <w:rsid w:val="001E4B39"/>
    <w:rsid w:val="001E4B4E"/>
    <w:rsid w:val="001E4BC5"/>
    <w:rsid w:val="001E4BE8"/>
    <w:rsid w:val="001E4BEA"/>
    <w:rsid w:val="001E4BEC"/>
    <w:rsid w:val="001E4BF1"/>
    <w:rsid w:val="001E4D44"/>
    <w:rsid w:val="001E4D5A"/>
    <w:rsid w:val="001E4DC2"/>
    <w:rsid w:val="001E4DC4"/>
    <w:rsid w:val="001E4DE1"/>
    <w:rsid w:val="001E4EA1"/>
    <w:rsid w:val="001E4EDC"/>
    <w:rsid w:val="001E4F82"/>
    <w:rsid w:val="001E4FA6"/>
    <w:rsid w:val="001E5111"/>
    <w:rsid w:val="001E51C7"/>
    <w:rsid w:val="001E51CC"/>
    <w:rsid w:val="001E51FC"/>
    <w:rsid w:val="001E5267"/>
    <w:rsid w:val="001E52A9"/>
    <w:rsid w:val="001E52B3"/>
    <w:rsid w:val="001E530D"/>
    <w:rsid w:val="001E5326"/>
    <w:rsid w:val="001E53D6"/>
    <w:rsid w:val="001E5448"/>
    <w:rsid w:val="001E544E"/>
    <w:rsid w:val="001E5470"/>
    <w:rsid w:val="001E54AC"/>
    <w:rsid w:val="001E5538"/>
    <w:rsid w:val="001E554D"/>
    <w:rsid w:val="001E5589"/>
    <w:rsid w:val="001E5596"/>
    <w:rsid w:val="001E5599"/>
    <w:rsid w:val="001E55AD"/>
    <w:rsid w:val="001E5630"/>
    <w:rsid w:val="001E5639"/>
    <w:rsid w:val="001E567C"/>
    <w:rsid w:val="001E5793"/>
    <w:rsid w:val="001E58F7"/>
    <w:rsid w:val="001E5946"/>
    <w:rsid w:val="001E5978"/>
    <w:rsid w:val="001E5AF0"/>
    <w:rsid w:val="001E5B47"/>
    <w:rsid w:val="001E5B76"/>
    <w:rsid w:val="001E5BFD"/>
    <w:rsid w:val="001E5C20"/>
    <w:rsid w:val="001E5C56"/>
    <w:rsid w:val="001E5C66"/>
    <w:rsid w:val="001E5CF8"/>
    <w:rsid w:val="001E5D04"/>
    <w:rsid w:val="001E5DAE"/>
    <w:rsid w:val="001E5EBF"/>
    <w:rsid w:val="001E5EE0"/>
    <w:rsid w:val="001E5F43"/>
    <w:rsid w:val="001E60B1"/>
    <w:rsid w:val="001E60E3"/>
    <w:rsid w:val="001E6194"/>
    <w:rsid w:val="001E6199"/>
    <w:rsid w:val="001E61F6"/>
    <w:rsid w:val="001E6208"/>
    <w:rsid w:val="001E6209"/>
    <w:rsid w:val="001E620D"/>
    <w:rsid w:val="001E6322"/>
    <w:rsid w:val="001E6356"/>
    <w:rsid w:val="001E637F"/>
    <w:rsid w:val="001E648A"/>
    <w:rsid w:val="001E6501"/>
    <w:rsid w:val="001E6538"/>
    <w:rsid w:val="001E6553"/>
    <w:rsid w:val="001E65F0"/>
    <w:rsid w:val="001E6828"/>
    <w:rsid w:val="001E682F"/>
    <w:rsid w:val="001E68E5"/>
    <w:rsid w:val="001E68EC"/>
    <w:rsid w:val="001E68FC"/>
    <w:rsid w:val="001E6915"/>
    <w:rsid w:val="001E6944"/>
    <w:rsid w:val="001E695F"/>
    <w:rsid w:val="001E69E7"/>
    <w:rsid w:val="001E6A4F"/>
    <w:rsid w:val="001E6A5E"/>
    <w:rsid w:val="001E6ADF"/>
    <w:rsid w:val="001E6AFE"/>
    <w:rsid w:val="001E6BC1"/>
    <w:rsid w:val="001E6BE2"/>
    <w:rsid w:val="001E6C41"/>
    <w:rsid w:val="001E6E30"/>
    <w:rsid w:val="001E6E55"/>
    <w:rsid w:val="001E6F72"/>
    <w:rsid w:val="001E6F7F"/>
    <w:rsid w:val="001E70B6"/>
    <w:rsid w:val="001E70F5"/>
    <w:rsid w:val="001E7204"/>
    <w:rsid w:val="001E7207"/>
    <w:rsid w:val="001E7228"/>
    <w:rsid w:val="001E73D4"/>
    <w:rsid w:val="001E74C5"/>
    <w:rsid w:val="001E74E1"/>
    <w:rsid w:val="001E75AB"/>
    <w:rsid w:val="001E7639"/>
    <w:rsid w:val="001E7702"/>
    <w:rsid w:val="001E7763"/>
    <w:rsid w:val="001E777F"/>
    <w:rsid w:val="001E7784"/>
    <w:rsid w:val="001E7907"/>
    <w:rsid w:val="001E7952"/>
    <w:rsid w:val="001E7971"/>
    <w:rsid w:val="001E79C9"/>
    <w:rsid w:val="001E79FE"/>
    <w:rsid w:val="001E7ABD"/>
    <w:rsid w:val="001E7ADA"/>
    <w:rsid w:val="001E7BE4"/>
    <w:rsid w:val="001E7D46"/>
    <w:rsid w:val="001E7D55"/>
    <w:rsid w:val="001E7DEE"/>
    <w:rsid w:val="001E7E2E"/>
    <w:rsid w:val="001E7E3D"/>
    <w:rsid w:val="001E7E66"/>
    <w:rsid w:val="001E7EA8"/>
    <w:rsid w:val="001E7EC2"/>
    <w:rsid w:val="001E7EDA"/>
    <w:rsid w:val="001E7F4D"/>
    <w:rsid w:val="001F00FF"/>
    <w:rsid w:val="001F02CF"/>
    <w:rsid w:val="001F030B"/>
    <w:rsid w:val="001F0324"/>
    <w:rsid w:val="001F0331"/>
    <w:rsid w:val="001F0363"/>
    <w:rsid w:val="001F0365"/>
    <w:rsid w:val="001F03BF"/>
    <w:rsid w:val="001F0432"/>
    <w:rsid w:val="001F0454"/>
    <w:rsid w:val="001F0473"/>
    <w:rsid w:val="001F04CF"/>
    <w:rsid w:val="001F051A"/>
    <w:rsid w:val="001F053F"/>
    <w:rsid w:val="001F058F"/>
    <w:rsid w:val="001F05AC"/>
    <w:rsid w:val="001F05D0"/>
    <w:rsid w:val="001F05D1"/>
    <w:rsid w:val="001F0630"/>
    <w:rsid w:val="001F0636"/>
    <w:rsid w:val="001F0666"/>
    <w:rsid w:val="001F0672"/>
    <w:rsid w:val="001F067F"/>
    <w:rsid w:val="001F06A3"/>
    <w:rsid w:val="001F06D7"/>
    <w:rsid w:val="001F0713"/>
    <w:rsid w:val="001F082F"/>
    <w:rsid w:val="001F0855"/>
    <w:rsid w:val="001F0897"/>
    <w:rsid w:val="001F08A3"/>
    <w:rsid w:val="001F090A"/>
    <w:rsid w:val="001F0955"/>
    <w:rsid w:val="001F09FB"/>
    <w:rsid w:val="001F0A91"/>
    <w:rsid w:val="001F0AF1"/>
    <w:rsid w:val="001F0B2E"/>
    <w:rsid w:val="001F0B92"/>
    <w:rsid w:val="001F0BB4"/>
    <w:rsid w:val="001F0BCE"/>
    <w:rsid w:val="001F0C97"/>
    <w:rsid w:val="001F0CE4"/>
    <w:rsid w:val="001F0DD6"/>
    <w:rsid w:val="001F0DE9"/>
    <w:rsid w:val="001F0E3A"/>
    <w:rsid w:val="001F0E6D"/>
    <w:rsid w:val="001F0E93"/>
    <w:rsid w:val="001F0EB7"/>
    <w:rsid w:val="001F0F31"/>
    <w:rsid w:val="001F0F5A"/>
    <w:rsid w:val="001F0F78"/>
    <w:rsid w:val="001F0F96"/>
    <w:rsid w:val="001F0F9B"/>
    <w:rsid w:val="001F103F"/>
    <w:rsid w:val="001F1049"/>
    <w:rsid w:val="001F105D"/>
    <w:rsid w:val="001F1074"/>
    <w:rsid w:val="001F1081"/>
    <w:rsid w:val="001F10F2"/>
    <w:rsid w:val="001F111A"/>
    <w:rsid w:val="001F1177"/>
    <w:rsid w:val="001F11F0"/>
    <w:rsid w:val="001F1265"/>
    <w:rsid w:val="001F12C2"/>
    <w:rsid w:val="001F132A"/>
    <w:rsid w:val="001F13F3"/>
    <w:rsid w:val="001F1413"/>
    <w:rsid w:val="001F1480"/>
    <w:rsid w:val="001F1541"/>
    <w:rsid w:val="001F158E"/>
    <w:rsid w:val="001F15B2"/>
    <w:rsid w:val="001F15B9"/>
    <w:rsid w:val="001F1605"/>
    <w:rsid w:val="001F16CF"/>
    <w:rsid w:val="001F1703"/>
    <w:rsid w:val="001F171B"/>
    <w:rsid w:val="001F1798"/>
    <w:rsid w:val="001F17CC"/>
    <w:rsid w:val="001F1888"/>
    <w:rsid w:val="001F188B"/>
    <w:rsid w:val="001F18A1"/>
    <w:rsid w:val="001F18C7"/>
    <w:rsid w:val="001F1972"/>
    <w:rsid w:val="001F19C4"/>
    <w:rsid w:val="001F1AA1"/>
    <w:rsid w:val="001F1ADD"/>
    <w:rsid w:val="001F1B29"/>
    <w:rsid w:val="001F1CF4"/>
    <w:rsid w:val="001F1D78"/>
    <w:rsid w:val="001F1DCA"/>
    <w:rsid w:val="001F1EB7"/>
    <w:rsid w:val="001F1EB9"/>
    <w:rsid w:val="001F1ECD"/>
    <w:rsid w:val="001F1F0A"/>
    <w:rsid w:val="001F1F4B"/>
    <w:rsid w:val="001F1FD7"/>
    <w:rsid w:val="001F20A3"/>
    <w:rsid w:val="001F2186"/>
    <w:rsid w:val="001F21BC"/>
    <w:rsid w:val="001F2213"/>
    <w:rsid w:val="001F222B"/>
    <w:rsid w:val="001F22D8"/>
    <w:rsid w:val="001F2327"/>
    <w:rsid w:val="001F2437"/>
    <w:rsid w:val="001F2446"/>
    <w:rsid w:val="001F248B"/>
    <w:rsid w:val="001F25CC"/>
    <w:rsid w:val="001F2672"/>
    <w:rsid w:val="001F2927"/>
    <w:rsid w:val="001F2965"/>
    <w:rsid w:val="001F29D6"/>
    <w:rsid w:val="001F29FF"/>
    <w:rsid w:val="001F2A5A"/>
    <w:rsid w:val="001F2B0E"/>
    <w:rsid w:val="001F2B80"/>
    <w:rsid w:val="001F2B88"/>
    <w:rsid w:val="001F2BBD"/>
    <w:rsid w:val="001F2BF9"/>
    <w:rsid w:val="001F2C4A"/>
    <w:rsid w:val="001F2C64"/>
    <w:rsid w:val="001F2CDF"/>
    <w:rsid w:val="001F2D2A"/>
    <w:rsid w:val="001F2D64"/>
    <w:rsid w:val="001F2EA2"/>
    <w:rsid w:val="001F2EA5"/>
    <w:rsid w:val="001F2F31"/>
    <w:rsid w:val="001F2F4B"/>
    <w:rsid w:val="001F2FD1"/>
    <w:rsid w:val="001F3024"/>
    <w:rsid w:val="001F305A"/>
    <w:rsid w:val="001F30AD"/>
    <w:rsid w:val="001F30C0"/>
    <w:rsid w:val="001F3174"/>
    <w:rsid w:val="001F32BD"/>
    <w:rsid w:val="001F3320"/>
    <w:rsid w:val="001F3381"/>
    <w:rsid w:val="001F3391"/>
    <w:rsid w:val="001F3420"/>
    <w:rsid w:val="001F3460"/>
    <w:rsid w:val="001F3486"/>
    <w:rsid w:val="001F34B4"/>
    <w:rsid w:val="001F3523"/>
    <w:rsid w:val="001F3548"/>
    <w:rsid w:val="001F3559"/>
    <w:rsid w:val="001F356B"/>
    <w:rsid w:val="001F35E7"/>
    <w:rsid w:val="001F3640"/>
    <w:rsid w:val="001F3642"/>
    <w:rsid w:val="001F364E"/>
    <w:rsid w:val="001F3660"/>
    <w:rsid w:val="001F36A3"/>
    <w:rsid w:val="001F3767"/>
    <w:rsid w:val="001F37D0"/>
    <w:rsid w:val="001F38A1"/>
    <w:rsid w:val="001F394C"/>
    <w:rsid w:val="001F395B"/>
    <w:rsid w:val="001F39A7"/>
    <w:rsid w:val="001F39BC"/>
    <w:rsid w:val="001F3A04"/>
    <w:rsid w:val="001F3A60"/>
    <w:rsid w:val="001F3B3D"/>
    <w:rsid w:val="001F3BD3"/>
    <w:rsid w:val="001F3BE0"/>
    <w:rsid w:val="001F3BF6"/>
    <w:rsid w:val="001F3C42"/>
    <w:rsid w:val="001F3C9B"/>
    <w:rsid w:val="001F3CE9"/>
    <w:rsid w:val="001F3E00"/>
    <w:rsid w:val="001F3EC8"/>
    <w:rsid w:val="001F3F89"/>
    <w:rsid w:val="001F3FA2"/>
    <w:rsid w:val="001F3FB2"/>
    <w:rsid w:val="001F4031"/>
    <w:rsid w:val="001F4033"/>
    <w:rsid w:val="001F403B"/>
    <w:rsid w:val="001F4044"/>
    <w:rsid w:val="001F4077"/>
    <w:rsid w:val="001F417A"/>
    <w:rsid w:val="001F4267"/>
    <w:rsid w:val="001F4306"/>
    <w:rsid w:val="001F434F"/>
    <w:rsid w:val="001F4353"/>
    <w:rsid w:val="001F43FE"/>
    <w:rsid w:val="001F4493"/>
    <w:rsid w:val="001F4517"/>
    <w:rsid w:val="001F4543"/>
    <w:rsid w:val="001F4622"/>
    <w:rsid w:val="001F4703"/>
    <w:rsid w:val="001F477D"/>
    <w:rsid w:val="001F4798"/>
    <w:rsid w:val="001F480E"/>
    <w:rsid w:val="001F497F"/>
    <w:rsid w:val="001F4A43"/>
    <w:rsid w:val="001F4BD7"/>
    <w:rsid w:val="001F4C25"/>
    <w:rsid w:val="001F4C28"/>
    <w:rsid w:val="001F4C2D"/>
    <w:rsid w:val="001F4DAE"/>
    <w:rsid w:val="001F4DCF"/>
    <w:rsid w:val="001F4F08"/>
    <w:rsid w:val="001F5055"/>
    <w:rsid w:val="001F50F5"/>
    <w:rsid w:val="001F5149"/>
    <w:rsid w:val="001F5247"/>
    <w:rsid w:val="001F5253"/>
    <w:rsid w:val="001F52AD"/>
    <w:rsid w:val="001F52E0"/>
    <w:rsid w:val="001F5322"/>
    <w:rsid w:val="001F53EC"/>
    <w:rsid w:val="001F54E1"/>
    <w:rsid w:val="001F5544"/>
    <w:rsid w:val="001F5592"/>
    <w:rsid w:val="001F55A8"/>
    <w:rsid w:val="001F56A3"/>
    <w:rsid w:val="001F56B0"/>
    <w:rsid w:val="001F5741"/>
    <w:rsid w:val="001F57A4"/>
    <w:rsid w:val="001F57B2"/>
    <w:rsid w:val="001F57C6"/>
    <w:rsid w:val="001F5808"/>
    <w:rsid w:val="001F5936"/>
    <w:rsid w:val="001F5A12"/>
    <w:rsid w:val="001F5A5C"/>
    <w:rsid w:val="001F5AA1"/>
    <w:rsid w:val="001F5C0E"/>
    <w:rsid w:val="001F5C70"/>
    <w:rsid w:val="001F5CD8"/>
    <w:rsid w:val="001F5D01"/>
    <w:rsid w:val="001F5D9A"/>
    <w:rsid w:val="001F5DE5"/>
    <w:rsid w:val="001F5E66"/>
    <w:rsid w:val="001F5E83"/>
    <w:rsid w:val="001F5E91"/>
    <w:rsid w:val="001F5EB7"/>
    <w:rsid w:val="001F5F16"/>
    <w:rsid w:val="001F5FD6"/>
    <w:rsid w:val="001F5FD9"/>
    <w:rsid w:val="001F5FF3"/>
    <w:rsid w:val="001F621E"/>
    <w:rsid w:val="001F633F"/>
    <w:rsid w:val="001F6400"/>
    <w:rsid w:val="001F640F"/>
    <w:rsid w:val="001F6487"/>
    <w:rsid w:val="001F64C4"/>
    <w:rsid w:val="001F6628"/>
    <w:rsid w:val="001F672C"/>
    <w:rsid w:val="001F673F"/>
    <w:rsid w:val="001F6786"/>
    <w:rsid w:val="001F67BD"/>
    <w:rsid w:val="001F67E0"/>
    <w:rsid w:val="001F67FE"/>
    <w:rsid w:val="001F6807"/>
    <w:rsid w:val="001F686E"/>
    <w:rsid w:val="001F68D5"/>
    <w:rsid w:val="001F691C"/>
    <w:rsid w:val="001F692B"/>
    <w:rsid w:val="001F6993"/>
    <w:rsid w:val="001F69C4"/>
    <w:rsid w:val="001F6A36"/>
    <w:rsid w:val="001F6A44"/>
    <w:rsid w:val="001F6B0B"/>
    <w:rsid w:val="001F6B8A"/>
    <w:rsid w:val="001F6C78"/>
    <w:rsid w:val="001F6E10"/>
    <w:rsid w:val="001F6E5C"/>
    <w:rsid w:val="001F6E9C"/>
    <w:rsid w:val="001F6F83"/>
    <w:rsid w:val="001F70DE"/>
    <w:rsid w:val="001F711D"/>
    <w:rsid w:val="001F720C"/>
    <w:rsid w:val="001F720F"/>
    <w:rsid w:val="001F7392"/>
    <w:rsid w:val="001F73BE"/>
    <w:rsid w:val="001F73D1"/>
    <w:rsid w:val="001F73DA"/>
    <w:rsid w:val="001F746E"/>
    <w:rsid w:val="001F746F"/>
    <w:rsid w:val="001F74C8"/>
    <w:rsid w:val="001F7525"/>
    <w:rsid w:val="001F756D"/>
    <w:rsid w:val="001F75D0"/>
    <w:rsid w:val="001F75FE"/>
    <w:rsid w:val="001F767C"/>
    <w:rsid w:val="001F786A"/>
    <w:rsid w:val="001F78FD"/>
    <w:rsid w:val="001F7910"/>
    <w:rsid w:val="001F7962"/>
    <w:rsid w:val="001F797B"/>
    <w:rsid w:val="001F797E"/>
    <w:rsid w:val="001F79AD"/>
    <w:rsid w:val="001F7A65"/>
    <w:rsid w:val="001F7AD4"/>
    <w:rsid w:val="001F7BDC"/>
    <w:rsid w:val="001F7CD7"/>
    <w:rsid w:val="001F7D9E"/>
    <w:rsid w:val="001F7DEC"/>
    <w:rsid w:val="001F7E0D"/>
    <w:rsid w:val="001F7E16"/>
    <w:rsid w:val="001F7E65"/>
    <w:rsid w:val="001F7FA4"/>
    <w:rsid w:val="001F7FC1"/>
    <w:rsid w:val="001F7FD5"/>
    <w:rsid w:val="001F7FDA"/>
    <w:rsid w:val="001F7FF0"/>
    <w:rsid w:val="001F8584"/>
    <w:rsid w:val="0020004C"/>
    <w:rsid w:val="00200074"/>
    <w:rsid w:val="0020008F"/>
    <w:rsid w:val="00200136"/>
    <w:rsid w:val="00200287"/>
    <w:rsid w:val="002002F7"/>
    <w:rsid w:val="0020031F"/>
    <w:rsid w:val="00200322"/>
    <w:rsid w:val="00200392"/>
    <w:rsid w:val="0020039A"/>
    <w:rsid w:val="0020049E"/>
    <w:rsid w:val="00200569"/>
    <w:rsid w:val="0020057E"/>
    <w:rsid w:val="00200625"/>
    <w:rsid w:val="0020064D"/>
    <w:rsid w:val="0020067B"/>
    <w:rsid w:val="00200686"/>
    <w:rsid w:val="002006B2"/>
    <w:rsid w:val="002006D2"/>
    <w:rsid w:val="00200748"/>
    <w:rsid w:val="00200767"/>
    <w:rsid w:val="00200786"/>
    <w:rsid w:val="002007E6"/>
    <w:rsid w:val="00200938"/>
    <w:rsid w:val="00200994"/>
    <w:rsid w:val="002009AA"/>
    <w:rsid w:val="002009C5"/>
    <w:rsid w:val="002009D3"/>
    <w:rsid w:val="00200AF8"/>
    <w:rsid w:val="00200B22"/>
    <w:rsid w:val="00200BD8"/>
    <w:rsid w:val="00200C31"/>
    <w:rsid w:val="00200C46"/>
    <w:rsid w:val="00200CD8"/>
    <w:rsid w:val="00200D01"/>
    <w:rsid w:val="00200D7B"/>
    <w:rsid w:val="00200E1E"/>
    <w:rsid w:val="00200E9C"/>
    <w:rsid w:val="00200F1D"/>
    <w:rsid w:val="00200F2C"/>
    <w:rsid w:val="00200F74"/>
    <w:rsid w:val="00200FC0"/>
    <w:rsid w:val="00200FFA"/>
    <w:rsid w:val="0020101D"/>
    <w:rsid w:val="0020109B"/>
    <w:rsid w:val="0020113D"/>
    <w:rsid w:val="002011E1"/>
    <w:rsid w:val="00201214"/>
    <w:rsid w:val="00201275"/>
    <w:rsid w:val="002012A0"/>
    <w:rsid w:val="002013F1"/>
    <w:rsid w:val="00201414"/>
    <w:rsid w:val="00201435"/>
    <w:rsid w:val="0020146A"/>
    <w:rsid w:val="002015D8"/>
    <w:rsid w:val="002015DB"/>
    <w:rsid w:val="0020172B"/>
    <w:rsid w:val="0020188F"/>
    <w:rsid w:val="00201895"/>
    <w:rsid w:val="00201943"/>
    <w:rsid w:val="00201A15"/>
    <w:rsid w:val="00201A35"/>
    <w:rsid w:val="00201ABD"/>
    <w:rsid w:val="00201AE9"/>
    <w:rsid w:val="00201B8D"/>
    <w:rsid w:val="00201BD0"/>
    <w:rsid w:val="00201C26"/>
    <w:rsid w:val="00201C3F"/>
    <w:rsid w:val="00201CFD"/>
    <w:rsid w:val="00201D12"/>
    <w:rsid w:val="00201DB2"/>
    <w:rsid w:val="00201EBA"/>
    <w:rsid w:val="00201EFF"/>
    <w:rsid w:val="00201FC4"/>
    <w:rsid w:val="00201FC5"/>
    <w:rsid w:val="002020D5"/>
    <w:rsid w:val="00202117"/>
    <w:rsid w:val="002021C0"/>
    <w:rsid w:val="002021EA"/>
    <w:rsid w:val="002022BF"/>
    <w:rsid w:val="0020237D"/>
    <w:rsid w:val="002023C4"/>
    <w:rsid w:val="00202407"/>
    <w:rsid w:val="00202490"/>
    <w:rsid w:val="0020249B"/>
    <w:rsid w:val="002024E6"/>
    <w:rsid w:val="00202581"/>
    <w:rsid w:val="002025AE"/>
    <w:rsid w:val="002025E2"/>
    <w:rsid w:val="002025E8"/>
    <w:rsid w:val="00202608"/>
    <w:rsid w:val="00202766"/>
    <w:rsid w:val="002028DE"/>
    <w:rsid w:val="00202964"/>
    <w:rsid w:val="00202A3C"/>
    <w:rsid w:val="00202A82"/>
    <w:rsid w:val="00202AAB"/>
    <w:rsid w:val="00202ACC"/>
    <w:rsid w:val="00202ACF"/>
    <w:rsid w:val="00202AD1"/>
    <w:rsid w:val="00202AEE"/>
    <w:rsid w:val="00202B17"/>
    <w:rsid w:val="00202C3E"/>
    <w:rsid w:val="00202DFC"/>
    <w:rsid w:val="00202F1B"/>
    <w:rsid w:val="00202F24"/>
    <w:rsid w:val="00202FDA"/>
    <w:rsid w:val="002031C9"/>
    <w:rsid w:val="002031F7"/>
    <w:rsid w:val="0020321B"/>
    <w:rsid w:val="0020334A"/>
    <w:rsid w:val="00203378"/>
    <w:rsid w:val="00203471"/>
    <w:rsid w:val="002034C6"/>
    <w:rsid w:val="002034DD"/>
    <w:rsid w:val="0020375F"/>
    <w:rsid w:val="00203771"/>
    <w:rsid w:val="00203829"/>
    <w:rsid w:val="0020382C"/>
    <w:rsid w:val="00203878"/>
    <w:rsid w:val="0020389F"/>
    <w:rsid w:val="002038C0"/>
    <w:rsid w:val="00203931"/>
    <w:rsid w:val="00203A77"/>
    <w:rsid w:val="00203ADC"/>
    <w:rsid w:val="00203B07"/>
    <w:rsid w:val="00203B9C"/>
    <w:rsid w:val="00203BB0"/>
    <w:rsid w:val="00203C87"/>
    <w:rsid w:val="00203CD7"/>
    <w:rsid w:val="00203CE8"/>
    <w:rsid w:val="00203D15"/>
    <w:rsid w:val="00203DE2"/>
    <w:rsid w:val="00203F49"/>
    <w:rsid w:val="00203F9D"/>
    <w:rsid w:val="00203FF3"/>
    <w:rsid w:val="00204031"/>
    <w:rsid w:val="00204152"/>
    <w:rsid w:val="00204170"/>
    <w:rsid w:val="00204225"/>
    <w:rsid w:val="00204262"/>
    <w:rsid w:val="00204268"/>
    <w:rsid w:val="0020426C"/>
    <w:rsid w:val="002042C1"/>
    <w:rsid w:val="002042C2"/>
    <w:rsid w:val="002042E2"/>
    <w:rsid w:val="002043D7"/>
    <w:rsid w:val="0020446A"/>
    <w:rsid w:val="0020449F"/>
    <w:rsid w:val="0020456C"/>
    <w:rsid w:val="0020457A"/>
    <w:rsid w:val="0020458C"/>
    <w:rsid w:val="002045B3"/>
    <w:rsid w:val="002045D1"/>
    <w:rsid w:val="002046CB"/>
    <w:rsid w:val="002046D4"/>
    <w:rsid w:val="002046D5"/>
    <w:rsid w:val="002046E4"/>
    <w:rsid w:val="0020473A"/>
    <w:rsid w:val="00204779"/>
    <w:rsid w:val="00204782"/>
    <w:rsid w:val="0020479A"/>
    <w:rsid w:val="0020481E"/>
    <w:rsid w:val="0020482B"/>
    <w:rsid w:val="00204853"/>
    <w:rsid w:val="00204901"/>
    <w:rsid w:val="0020491C"/>
    <w:rsid w:val="0020497C"/>
    <w:rsid w:val="00204A27"/>
    <w:rsid w:val="00204A65"/>
    <w:rsid w:val="00204AA2"/>
    <w:rsid w:val="00204B2E"/>
    <w:rsid w:val="00204B76"/>
    <w:rsid w:val="00204D8F"/>
    <w:rsid w:val="00204DF0"/>
    <w:rsid w:val="00204E68"/>
    <w:rsid w:val="00204F0C"/>
    <w:rsid w:val="00204F19"/>
    <w:rsid w:val="00204F59"/>
    <w:rsid w:val="00205020"/>
    <w:rsid w:val="00205038"/>
    <w:rsid w:val="0020505B"/>
    <w:rsid w:val="0020523D"/>
    <w:rsid w:val="0020524F"/>
    <w:rsid w:val="0020526D"/>
    <w:rsid w:val="00205296"/>
    <w:rsid w:val="00205316"/>
    <w:rsid w:val="0020539D"/>
    <w:rsid w:val="002053A5"/>
    <w:rsid w:val="0020546C"/>
    <w:rsid w:val="0020549C"/>
    <w:rsid w:val="00205527"/>
    <w:rsid w:val="00205582"/>
    <w:rsid w:val="002055AD"/>
    <w:rsid w:val="002056B6"/>
    <w:rsid w:val="002056C4"/>
    <w:rsid w:val="00205709"/>
    <w:rsid w:val="0020572E"/>
    <w:rsid w:val="0020577D"/>
    <w:rsid w:val="002057EE"/>
    <w:rsid w:val="0020589C"/>
    <w:rsid w:val="002058BD"/>
    <w:rsid w:val="00205937"/>
    <w:rsid w:val="0020596C"/>
    <w:rsid w:val="0020599E"/>
    <w:rsid w:val="002059F7"/>
    <w:rsid w:val="00205A55"/>
    <w:rsid w:val="00205AF3"/>
    <w:rsid w:val="00205BB8"/>
    <w:rsid w:val="00205BC9"/>
    <w:rsid w:val="00205BE4"/>
    <w:rsid w:val="00205C70"/>
    <w:rsid w:val="00205C73"/>
    <w:rsid w:val="00205CE4"/>
    <w:rsid w:val="00205D55"/>
    <w:rsid w:val="00205D5B"/>
    <w:rsid w:val="00205D70"/>
    <w:rsid w:val="00205DDE"/>
    <w:rsid w:val="00205E60"/>
    <w:rsid w:val="00205E6D"/>
    <w:rsid w:val="00205F3B"/>
    <w:rsid w:val="00205F66"/>
    <w:rsid w:val="00205F68"/>
    <w:rsid w:val="00206019"/>
    <w:rsid w:val="00206020"/>
    <w:rsid w:val="00206072"/>
    <w:rsid w:val="0020607F"/>
    <w:rsid w:val="00206147"/>
    <w:rsid w:val="002061A3"/>
    <w:rsid w:val="002061D6"/>
    <w:rsid w:val="002061F1"/>
    <w:rsid w:val="002061FE"/>
    <w:rsid w:val="0020620D"/>
    <w:rsid w:val="00206232"/>
    <w:rsid w:val="002062EE"/>
    <w:rsid w:val="002062F4"/>
    <w:rsid w:val="00206398"/>
    <w:rsid w:val="00206404"/>
    <w:rsid w:val="0020659A"/>
    <w:rsid w:val="0020659F"/>
    <w:rsid w:val="0020662D"/>
    <w:rsid w:val="00206672"/>
    <w:rsid w:val="00206702"/>
    <w:rsid w:val="00206769"/>
    <w:rsid w:val="00206818"/>
    <w:rsid w:val="00206870"/>
    <w:rsid w:val="002068A9"/>
    <w:rsid w:val="002068BF"/>
    <w:rsid w:val="002068DA"/>
    <w:rsid w:val="002068F3"/>
    <w:rsid w:val="0020693E"/>
    <w:rsid w:val="00206994"/>
    <w:rsid w:val="002069FE"/>
    <w:rsid w:val="00206A52"/>
    <w:rsid w:val="00206AF3"/>
    <w:rsid w:val="00206B6F"/>
    <w:rsid w:val="00206BB0"/>
    <w:rsid w:val="00206C62"/>
    <w:rsid w:val="00206D22"/>
    <w:rsid w:val="00206D44"/>
    <w:rsid w:val="00206D4B"/>
    <w:rsid w:val="00206D79"/>
    <w:rsid w:val="00206E45"/>
    <w:rsid w:val="00206E7D"/>
    <w:rsid w:val="00206E8B"/>
    <w:rsid w:val="00206E9C"/>
    <w:rsid w:val="00206EC7"/>
    <w:rsid w:val="00206EEB"/>
    <w:rsid w:val="00206F05"/>
    <w:rsid w:val="00206F12"/>
    <w:rsid w:val="00206F3A"/>
    <w:rsid w:val="0020723E"/>
    <w:rsid w:val="0020725F"/>
    <w:rsid w:val="0020735C"/>
    <w:rsid w:val="002073B5"/>
    <w:rsid w:val="002073CD"/>
    <w:rsid w:val="00207611"/>
    <w:rsid w:val="002076D6"/>
    <w:rsid w:val="00207709"/>
    <w:rsid w:val="0020773A"/>
    <w:rsid w:val="00207793"/>
    <w:rsid w:val="00207894"/>
    <w:rsid w:val="002078BE"/>
    <w:rsid w:val="00207A76"/>
    <w:rsid w:val="00207AD3"/>
    <w:rsid w:val="00207BDB"/>
    <w:rsid w:val="00207C81"/>
    <w:rsid w:val="00207CDC"/>
    <w:rsid w:val="00207D08"/>
    <w:rsid w:val="00207DCB"/>
    <w:rsid w:val="00207EA6"/>
    <w:rsid w:val="00207FB5"/>
    <w:rsid w:val="00207FCE"/>
    <w:rsid w:val="00207FF6"/>
    <w:rsid w:val="0021005E"/>
    <w:rsid w:val="002101E6"/>
    <w:rsid w:val="00210205"/>
    <w:rsid w:val="00210226"/>
    <w:rsid w:val="00210262"/>
    <w:rsid w:val="00210373"/>
    <w:rsid w:val="002103C7"/>
    <w:rsid w:val="0021040B"/>
    <w:rsid w:val="00210493"/>
    <w:rsid w:val="002104C5"/>
    <w:rsid w:val="00210538"/>
    <w:rsid w:val="0021059E"/>
    <w:rsid w:val="0021065F"/>
    <w:rsid w:val="0021068B"/>
    <w:rsid w:val="002106BB"/>
    <w:rsid w:val="00210725"/>
    <w:rsid w:val="00210783"/>
    <w:rsid w:val="002107A2"/>
    <w:rsid w:val="002107DE"/>
    <w:rsid w:val="002107F0"/>
    <w:rsid w:val="00210975"/>
    <w:rsid w:val="00210A15"/>
    <w:rsid w:val="00210AF0"/>
    <w:rsid w:val="00210AF3"/>
    <w:rsid w:val="00210C02"/>
    <w:rsid w:val="00210C09"/>
    <w:rsid w:val="00210C74"/>
    <w:rsid w:val="00210D54"/>
    <w:rsid w:val="00210E6B"/>
    <w:rsid w:val="00210EA4"/>
    <w:rsid w:val="00210EBC"/>
    <w:rsid w:val="00210EC1"/>
    <w:rsid w:val="00211026"/>
    <w:rsid w:val="00211093"/>
    <w:rsid w:val="00211165"/>
    <w:rsid w:val="002111A1"/>
    <w:rsid w:val="002111DD"/>
    <w:rsid w:val="002111EC"/>
    <w:rsid w:val="00211209"/>
    <w:rsid w:val="002112AE"/>
    <w:rsid w:val="00211315"/>
    <w:rsid w:val="0021136D"/>
    <w:rsid w:val="0021146A"/>
    <w:rsid w:val="002114A1"/>
    <w:rsid w:val="002114D4"/>
    <w:rsid w:val="0021151E"/>
    <w:rsid w:val="0021161D"/>
    <w:rsid w:val="00211816"/>
    <w:rsid w:val="00211832"/>
    <w:rsid w:val="00211882"/>
    <w:rsid w:val="002118D4"/>
    <w:rsid w:val="002119AE"/>
    <w:rsid w:val="002119C5"/>
    <w:rsid w:val="002119CC"/>
    <w:rsid w:val="002119DC"/>
    <w:rsid w:val="00211ABD"/>
    <w:rsid w:val="00211BF8"/>
    <w:rsid w:val="00211C5D"/>
    <w:rsid w:val="00211CA0"/>
    <w:rsid w:val="00211CC9"/>
    <w:rsid w:val="00211D1E"/>
    <w:rsid w:val="00211D44"/>
    <w:rsid w:val="00211D62"/>
    <w:rsid w:val="00211E2E"/>
    <w:rsid w:val="00211E84"/>
    <w:rsid w:val="00211EE1"/>
    <w:rsid w:val="00211F47"/>
    <w:rsid w:val="00212017"/>
    <w:rsid w:val="002120DD"/>
    <w:rsid w:val="00212125"/>
    <w:rsid w:val="00212153"/>
    <w:rsid w:val="00212183"/>
    <w:rsid w:val="002121C5"/>
    <w:rsid w:val="002121C8"/>
    <w:rsid w:val="002121FF"/>
    <w:rsid w:val="00212299"/>
    <w:rsid w:val="002122D9"/>
    <w:rsid w:val="002122FA"/>
    <w:rsid w:val="00212344"/>
    <w:rsid w:val="002125D1"/>
    <w:rsid w:val="002125FD"/>
    <w:rsid w:val="00212616"/>
    <w:rsid w:val="0021269D"/>
    <w:rsid w:val="002126E5"/>
    <w:rsid w:val="0021272B"/>
    <w:rsid w:val="00212836"/>
    <w:rsid w:val="00212897"/>
    <w:rsid w:val="0021289D"/>
    <w:rsid w:val="002128B6"/>
    <w:rsid w:val="0021295E"/>
    <w:rsid w:val="002129D8"/>
    <w:rsid w:val="002129F3"/>
    <w:rsid w:val="00212B0B"/>
    <w:rsid w:val="00212B47"/>
    <w:rsid w:val="00212B55"/>
    <w:rsid w:val="00212B5A"/>
    <w:rsid w:val="00212B63"/>
    <w:rsid w:val="00212B84"/>
    <w:rsid w:val="00212BD0"/>
    <w:rsid w:val="00212BE1"/>
    <w:rsid w:val="00212BF5"/>
    <w:rsid w:val="00212C9E"/>
    <w:rsid w:val="00212CD2"/>
    <w:rsid w:val="00212D63"/>
    <w:rsid w:val="00212D9C"/>
    <w:rsid w:val="00212DE4"/>
    <w:rsid w:val="00212EAC"/>
    <w:rsid w:val="00212FBC"/>
    <w:rsid w:val="00212FE4"/>
    <w:rsid w:val="00213161"/>
    <w:rsid w:val="0021318F"/>
    <w:rsid w:val="00213290"/>
    <w:rsid w:val="002132F6"/>
    <w:rsid w:val="00213390"/>
    <w:rsid w:val="002133E4"/>
    <w:rsid w:val="00213451"/>
    <w:rsid w:val="002134B7"/>
    <w:rsid w:val="002134C8"/>
    <w:rsid w:val="002134D9"/>
    <w:rsid w:val="00213501"/>
    <w:rsid w:val="0021359B"/>
    <w:rsid w:val="002135BD"/>
    <w:rsid w:val="00213699"/>
    <w:rsid w:val="00213753"/>
    <w:rsid w:val="0021376C"/>
    <w:rsid w:val="00213783"/>
    <w:rsid w:val="00213809"/>
    <w:rsid w:val="002139F4"/>
    <w:rsid w:val="002139FA"/>
    <w:rsid w:val="00213AEC"/>
    <w:rsid w:val="00213AF0"/>
    <w:rsid w:val="00213B99"/>
    <w:rsid w:val="00213BA4"/>
    <w:rsid w:val="00213BEA"/>
    <w:rsid w:val="00213D01"/>
    <w:rsid w:val="00213DB4"/>
    <w:rsid w:val="00213DBA"/>
    <w:rsid w:val="00213E11"/>
    <w:rsid w:val="00213E16"/>
    <w:rsid w:val="00213E40"/>
    <w:rsid w:val="00213E54"/>
    <w:rsid w:val="00213EAB"/>
    <w:rsid w:val="00213EB2"/>
    <w:rsid w:val="00213ED1"/>
    <w:rsid w:val="00213F65"/>
    <w:rsid w:val="00214002"/>
    <w:rsid w:val="00214097"/>
    <w:rsid w:val="002140EE"/>
    <w:rsid w:val="002140F1"/>
    <w:rsid w:val="002141A0"/>
    <w:rsid w:val="0021424C"/>
    <w:rsid w:val="00214409"/>
    <w:rsid w:val="00214422"/>
    <w:rsid w:val="002144A0"/>
    <w:rsid w:val="002144B7"/>
    <w:rsid w:val="002144EF"/>
    <w:rsid w:val="00214501"/>
    <w:rsid w:val="002145C5"/>
    <w:rsid w:val="00214695"/>
    <w:rsid w:val="0021469D"/>
    <w:rsid w:val="002146B8"/>
    <w:rsid w:val="00214755"/>
    <w:rsid w:val="0021484C"/>
    <w:rsid w:val="00214880"/>
    <w:rsid w:val="002148C7"/>
    <w:rsid w:val="0021491F"/>
    <w:rsid w:val="0021495F"/>
    <w:rsid w:val="00214985"/>
    <w:rsid w:val="00214AD9"/>
    <w:rsid w:val="00214B30"/>
    <w:rsid w:val="00214BC5"/>
    <w:rsid w:val="00214C7F"/>
    <w:rsid w:val="00214D0A"/>
    <w:rsid w:val="00214E72"/>
    <w:rsid w:val="00214FC8"/>
    <w:rsid w:val="0021507B"/>
    <w:rsid w:val="002150B2"/>
    <w:rsid w:val="0021517E"/>
    <w:rsid w:val="0021518A"/>
    <w:rsid w:val="00215236"/>
    <w:rsid w:val="00215256"/>
    <w:rsid w:val="00215302"/>
    <w:rsid w:val="00215369"/>
    <w:rsid w:val="002153DC"/>
    <w:rsid w:val="00215414"/>
    <w:rsid w:val="00215492"/>
    <w:rsid w:val="002154D5"/>
    <w:rsid w:val="0021550A"/>
    <w:rsid w:val="002155A3"/>
    <w:rsid w:val="0021567F"/>
    <w:rsid w:val="002156E1"/>
    <w:rsid w:val="00215743"/>
    <w:rsid w:val="00215758"/>
    <w:rsid w:val="002157AA"/>
    <w:rsid w:val="0021580C"/>
    <w:rsid w:val="00215870"/>
    <w:rsid w:val="002158C5"/>
    <w:rsid w:val="00215947"/>
    <w:rsid w:val="00215953"/>
    <w:rsid w:val="0021596B"/>
    <w:rsid w:val="0021599F"/>
    <w:rsid w:val="002159D5"/>
    <w:rsid w:val="002159EF"/>
    <w:rsid w:val="00215A41"/>
    <w:rsid w:val="00215AEF"/>
    <w:rsid w:val="00215DEA"/>
    <w:rsid w:val="00215EE4"/>
    <w:rsid w:val="00215EFC"/>
    <w:rsid w:val="00215F82"/>
    <w:rsid w:val="00215FEA"/>
    <w:rsid w:val="00216026"/>
    <w:rsid w:val="0021611D"/>
    <w:rsid w:val="00216156"/>
    <w:rsid w:val="00216243"/>
    <w:rsid w:val="00216263"/>
    <w:rsid w:val="002162C2"/>
    <w:rsid w:val="002162E2"/>
    <w:rsid w:val="00216444"/>
    <w:rsid w:val="00216482"/>
    <w:rsid w:val="00216516"/>
    <w:rsid w:val="0021658D"/>
    <w:rsid w:val="002165CE"/>
    <w:rsid w:val="00216618"/>
    <w:rsid w:val="0021665D"/>
    <w:rsid w:val="002166A3"/>
    <w:rsid w:val="00216775"/>
    <w:rsid w:val="002167B9"/>
    <w:rsid w:val="002167DE"/>
    <w:rsid w:val="00216814"/>
    <w:rsid w:val="00216822"/>
    <w:rsid w:val="002168C4"/>
    <w:rsid w:val="002168D3"/>
    <w:rsid w:val="0021695B"/>
    <w:rsid w:val="00216961"/>
    <w:rsid w:val="00216978"/>
    <w:rsid w:val="00216990"/>
    <w:rsid w:val="002169B8"/>
    <w:rsid w:val="00216A8A"/>
    <w:rsid w:val="00216B7E"/>
    <w:rsid w:val="00216CB8"/>
    <w:rsid w:val="00216D1D"/>
    <w:rsid w:val="00216D4B"/>
    <w:rsid w:val="00216EAC"/>
    <w:rsid w:val="00216EDF"/>
    <w:rsid w:val="00216F1D"/>
    <w:rsid w:val="00216FFF"/>
    <w:rsid w:val="0021701A"/>
    <w:rsid w:val="00217026"/>
    <w:rsid w:val="00217050"/>
    <w:rsid w:val="00217096"/>
    <w:rsid w:val="002170BC"/>
    <w:rsid w:val="0021714C"/>
    <w:rsid w:val="00217153"/>
    <w:rsid w:val="00217178"/>
    <w:rsid w:val="002171D3"/>
    <w:rsid w:val="0021724E"/>
    <w:rsid w:val="002172A2"/>
    <w:rsid w:val="002172AF"/>
    <w:rsid w:val="002172C3"/>
    <w:rsid w:val="0021733A"/>
    <w:rsid w:val="0021735D"/>
    <w:rsid w:val="0021738B"/>
    <w:rsid w:val="00217463"/>
    <w:rsid w:val="00217474"/>
    <w:rsid w:val="002174B2"/>
    <w:rsid w:val="002174CD"/>
    <w:rsid w:val="002174D8"/>
    <w:rsid w:val="002174D9"/>
    <w:rsid w:val="0021757C"/>
    <w:rsid w:val="00217591"/>
    <w:rsid w:val="002175D2"/>
    <w:rsid w:val="0021768F"/>
    <w:rsid w:val="0021770E"/>
    <w:rsid w:val="00217749"/>
    <w:rsid w:val="002177AF"/>
    <w:rsid w:val="00217821"/>
    <w:rsid w:val="00217823"/>
    <w:rsid w:val="0021785F"/>
    <w:rsid w:val="0021789C"/>
    <w:rsid w:val="00217903"/>
    <w:rsid w:val="00217970"/>
    <w:rsid w:val="00217986"/>
    <w:rsid w:val="00217990"/>
    <w:rsid w:val="002179CE"/>
    <w:rsid w:val="002179E2"/>
    <w:rsid w:val="00217A61"/>
    <w:rsid w:val="00217B18"/>
    <w:rsid w:val="00217B2D"/>
    <w:rsid w:val="00217D2B"/>
    <w:rsid w:val="00217D84"/>
    <w:rsid w:val="00217DDF"/>
    <w:rsid w:val="00217DE1"/>
    <w:rsid w:val="00217E2C"/>
    <w:rsid w:val="00217E47"/>
    <w:rsid w:val="00217F2F"/>
    <w:rsid w:val="00217F5A"/>
    <w:rsid w:val="00217F84"/>
    <w:rsid w:val="00217FAD"/>
    <w:rsid w:val="00217FB5"/>
    <w:rsid w:val="00220023"/>
    <w:rsid w:val="00220037"/>
    <w:rsid w:val="00220181"/>
    <w:rsid w:val="00220381"/>
    <w:rsid w:val="002203BD"/>
    <w:rsid w:val="002203F7"/>
    <w:rsid w:val="002203FD"/>
    <w:rsid w:val="002203FF"/>
    <w:rsid w:val="00220427"/>
    <w:rsid w:val="00220436"/>
    <w:rsid w:val="0022052C"/>
    <w:rsid w:val="00220535"/>
    <w:rsid w:val="002205ED"/>
    <w:rsid w:val="002205F1"/>
    <w:rsid w:val="00220694"/>
    <w:rsid w:val="002206B5"/>
    <w:rsid w:val="002206BA"/>
    <w:rsid w:val="002206ED"/>
    <w:rsid w:val="00220717"/>
    <w:rsid w:val="00220799"/>
    <w:rsid w:val="0022083E"/>
    <w:rsid w:val="002208E3"/>
    <w:rsid w:val="002208FA"/>
    <w:rsid w:val="0022094C"/>
    <w:rsid w:val="00220974"/>
    <w:rsid w:val="0022099A"/>
    <w:rsid w:val="00220A54"/>
    <w:rsid w:val="00220A9A"/>
    <w:rsid w:val="00220B20"/>
    <w:rsid w:val="00220BAC"/>
    <w:rsid w:val="00220CA9"/>
    <w:rsid w:val="00220DB3"/>
    <w:rsid w:val="00220E1B"/>
    <w:rsid w:val="00220EBA"/>
    <w:rsid w:val="00220EDA"/>
    <w:rsid w:val="00220EF9"/>
    <w:rsid w:val="00220F5C"/>
    <w:rsid w:val="00220F73"/>
    <w:rsid w:val="00220FEE"/>
    <w:rsid w:val="002210AE"/>
    <w:rsid w:val="002210B6"/>
    <w:rsid w:val="00221107"/>
    <w:rsid w:val="0022119C"/>
    <w:rsid w:val="0022137A"/>
    <w:rsid w:val="002213B6"/>
    <w:rsid w:val="00221476"/>
    <w:rsid w:val="00221479"/>
    <w:rsid w:val="002216D6"/>
    <w:rsid w:val="00221701"/>
    <w:rsid w:val="0022174A"/>
    <w:rsid w:val="00221774"/>
    <w:rsid w:val="002217AF"/>
    <w:rsid w:val="00221807"/>
    <w:rsid w:val="00221818"/>
    <w:rsid w:val="00221895"/>
    <w:rsid w:val="00221900"/>
    <w:rsid w:val="00221919"/>
    <w:rsid w:val="002219AD"/>
    <w:rsid w:val="00221AB8"/>
    <w:rsid w:val="00221B70"/>
    <w:rsid w:val="00221BC8"/>
    <w:rsid w:val="00221C79"/>
    <w:rsid w:val="00221C8E"/>
    <w:rsid w:val="00221D14"/>
    <w:rsid w:val="00221D7C"/>
    <w:rsid w:val="00221DD7"/>
    <w:rsid w:val="00221E06"/>
    <w:rsid w:val="00221E7F"/>
    <w:rsid w:val="00221E8A"/>
    <w:rsid w:val="00221E95"/>
    <w:rsid w:val="00221E9D"/>
    <w:rsid w:val="00221F33"/>
    <w:rsid w:val="00222034"/>
    <w:rsid w:val="002220CD"/>
    <w:rsid w:val="00222146"/>
    <w:rsid w:val="00222154"/>
    <w:rsid w:val="0022215E"/>
    <w:rsid w:val="0022216C"/>
    <w:rsid w:val="00222173"/>
    <w:rsid w:val="002221A7"/>
    <w:rsid w:val="00222243"/>
    <w:rsid w:val="0022231C"/>
    <w:rsid w:val="0022234A"/>
    <w:rsid w:val="002223C8"/>
    <w:rsid w:val="002223E1"/>
    <w:rsid w:val="00222431"/>
    <w:rsid w:val="002224B0"/>
    <w:rsid w:val="00222524"/>
    <w:rsid w:val="00222542"/>
    <w:rsid w:val="002225CB"/>
    <w:rsid w:val="0022271C"/>
    <w:rsid w:val="0022276E"/>
    <w:rsid w:val="002228D1"/>
    <w:rsid w:val="0022292D"/>
    <w:rsid w:val="002229C8"/>
    <w:rsid w:val="002229F5"/>
    <w:rsid w:val="00222A75"/>
    <w:rsid w:val="00222AC7"/>
    <w:rsid w:val="00222B90"/>
    <w:rsid w:val="00222CA4"/>
    <w:rsid w:val="00222CFD"/>
    <w:rsid w:val="00222DA3"/>
    <w:rsid w:val="00222DC0"/>
    <w:rsid w:val="00222DF3"/>
    <w:rsid w:val="00222E87"/>
    <w:rsid w:val="00222EB5"/>
    <w:rsid w:val="00222EFF"/>
    <w:rsid w:val="00222FF2"/>
    <w:rsid w:val="00223025"/>
    <w:rsid w:val="0022303E"/>
    <w:rsid w:val="00223072"/>
    <w:rsid w:val="002230C5"/>
    <w:rsid w:val="002230F4"/>
    <w:rsid w:val="00223163"/>
    <w:rsid w:val="00223180"/>
    <w:rsid w:val="00223197"/>
    <w:rsid w:val="0022324D"/>
    <w:rsid w:val="00223293"/>
    <w:rsid w:val="0022341E"/>
    <w:rsid w:val="00223422"/>
    <w:rsid w:val="00223441"/>
    <w:rsid w:val="00223464"/>
    <w:rsid w:val="002234BA"/>
    <w:rsid w:val="00223588"/>
    <w:rsid w:val="00223667"/>
    <w:rsid w:val="0022366D"/>
    <w:rsid w:val="00223708"/>
    <w:rsid w:val="00223775"/>
    <w:rsid w:val="0022377A"/>
    <w:rsid w:val="002237E5"/>
    <w:rsid w:val="002237EC"/>
    <w:rsid w:val="0022384B"/>
    <w:rsid w:val="002238A8"/>
    <w:rsid w:val="002238C3"/>
    <w:rsid w:val="00223910"/>
    <w:rsid w:val="00223953"/>
    <w:rsid w:val="0022397A"/>
    <w:rsid w:val="0022399D"/>
    <w:rsid w:val="00223A46"/>
    <w:rsid w:val="00223AE2"/>
    <w:rsid w:val="00223AFB"/>
    <w:rsid w:val="00223B23"/>
    <w:rsid w:val="00223B7D"/>
    <w:rsid w:val="00223BA7"/>
    <w:rsid w:val="00223C14"/>
    <w:rsid w:val="00223C66"/>
    <w:rsid w:val="00223D27"/>
    <w:rsid w:val="00223D42"/>
    <w:rsid w:val="00223D68"/>
    <w:rsid w:val="00223DB4"/>
    <w:rsid w:val="00223DBF"/>
    <w:rsid w:val="00223EB2"/>
    <w:rsid w:val="00223EF7"/>
    <w:rsid w:val="00223F4F"/>
    <w:rsid w:val="00223F9C"/>
    <w:rsid w:val="00224095"/>
    <w:rsid w:val="0022409E"/>
    <w:rsid w:val="0022419B"/>
    <w:rsid w:val="002241B6"/>
    <w:rsid w:val="002242FA"/>
    <w:rsid w:val="0022431E"/>
    <w:rsid w:val="00224375"/>
    <w:rsid w:val="00224390"/>
    <w:rsid w:val="002243C1"/>
    <w:rsid w:val="0022441E"/>
    <w:rsid w:val="00224448"/>
    <w:rsid w:val="002244C9"/>
    <w:rsid w:val="002245C8"/>
    <w:rsid w:val="002245E7"/>
    <w:rsid w:val="0022468B"/>
    <w:rsid w:val="00224745"/>
    <w:rsid w:val="002247E9"/>
    <w:rsid w:val="002248E5"/>
    <w:rsid w:val="0022497F"/>
    <w:rsid w:val="00224987"/>
    <w:rsid w:val="002249F7"/>
    <w:rsid w:val="00224AD8"/>
    <w:rsid w:val="00224AE1"/>
    <w:rsid w:val="00224B29"/>
    <w:rsid w:val="00224BCC"/>
    <w:rsid w:val="00224CBB"/>
    <w:rsid w:val="00224CCB"/>
    <w:rsid w:val="00224CE9"/>
    <w:rsid w:val="00224D2B"/>
    <w:rsid w:val="00224D46"/>
    <w:rsid w:val="00224DAF"/>
    <w:rsid w:val="00224DBF"/>
    <w:rsid w:val="00224DD2"/>
    <w:rsid w:val="00224DE8"/>
    <w:rsid w:val="00224DFF"/>
    <w:rsid w:val="00224E0E"/>
    <w:rsid w:val="00224E5E"/>
    <w:rsid w:val="00224ED3"/>
    <w:rsid w:val="00224EF4"/>
    <w:rsid w:val="00224F9B"/>
    <w:rsid w:val="00225128"/>
    <w:rsid w:val="0022514F"/>
    <w:rsid w:val="00225166"/>
    <w:rsid w:val="00225206"/>
    <w:rsid w:val="0022526D"/>
    <w:rsid w:val="002252AA"/>
    <w:rsid w:val="002252F5"/>
    <w:rsid w:val="00225389"/>
    <w:rsid w:val="00225450"/>
    <w:rsid w:val="0022549A"/>
    <w:rsid w:val="00225512"/>
    <w:rsid w:val="0022556E"/>
    <w:rsid w:val="002255E7"/>
    <w:rsid w:val="0022562F"/>
    <w:rsid w:val="0022565D"/>
    <w:rsid w:val="0022567C"/>
    <w:rsid w:val="002257B2"/>
    <w:rsid w:val="002257F8"/>
    <w:rsid w:val="0022581D"/>
    <w:rsid w:val="00225831"/>
    <w:rsid w:val="0022589F"/>
    <w:rsid w:val="00225931"/>
    <w:rsid w:val="00225943"/>
    <w:rsid w:val="00225946"/>
    <w:rsid w:val="0022597E"/>
    <w:rsid w:val="002259C2"/>
    <w:rsid w:val="002259E9"/>
    <w:rsid w:val="00225AE5"/>
    <w:rsid w:val="00225BC5"/>
    <w:rsid w:val="00225C04"/>
    <w:rsid w:val="00225C1D"/>
    <w:rsid w:val="00225C4A"/>
    <w:rsid w:val="00225CCD"/>
    <w:rsid w:val="00225D9F"/>
    <w:rsid w:val="00225DAB"/>
    <w:rsid w:val="00225DEA"/>
    <w:rsid w:val="00225E50"/>
    <w:rsid w:val="00225E98"/>
    <w:rsid w:val="00225ED5"/>
    <w:rsid w:val="00225F0B"/>
    <w:rsid w:val="00225F3B"/>
    <w:rsid w:val="00225F74"/>
    <w:rsid w:val="0022604A"/>
    <w:rsid w:val="0022610B"/>
    <w:rsid w:val="0022613C"/>
    <w:rsid w:val="00226202"/>
    <w:rsid w:val="00226258"/>
    <w:rsid w:val="002263A6"/>
    <w:rsid w:val="00226422"/>
    <w:rsid w:val="00226585"/>
    <w:rsid w:val="002265F9"/>
    <w:rsid w:val="002266BA"/>
    <w:rsid w:val="002267B4"/>
    <w:rsid w:val="0022689E"/>
    <w:rsid w:val="00226909"/>
    <w:rsid w:val="0022693D"/>
    <w:rsid w:val="00226977"/>
    <w:rsid w:val="00226AC5"/>
    <w:rsid w:val="00226B5F"/>
    <w:rsid w:val="00226BC0"/>
    <w:rsid w:val="00226C8D"/>
    <w:rsid w:val="00226D55"/>
    <w:rsid w:val="00226DA5"/>
    <w:rsid w:val="00226E26"/>
    <w:rsid w:val="00226E7C"/>
    <w:rsid w:val="0022703A"/>
    <w:rsid w:val="0022709B"/>
    <w:rsid w:val="0022710B"/>
    <w:rsid w:val="0022721F"/>
    <w:rsid w:val="0022722E"/>
    <w:rsid w:val="00227253"/>
    <w:rsid w:val="00227319"/>
    <w:rsid w:val="002273A4"/>
    <w:rsid w:val="0022756A"/>
    <w:rsid w:val="00227572"/>
    <w:rsid w:val="0022766D"/>
    <w:rsid w:val="002276FE"/>
    <w:rsid w:val="00227920"/>
    <w:rsid w:val="00227940"/>
    <w:rsid w:val="0022797B"/>
    <w:rsid w:val="0022797D"/>
    <w:rsid w:val="002279A0"/>
    <w:rsid w:val="00227A32"/>
    <w:rsid w:val="00227A59"/>
    <w:rsid w:val="00227A5B"/>
    <w:rsid w:val="00227AC4"/>
    <w:rsid w:val="00227ADC"/>
    <w:rsid w:val="00227B1D"/>
    <w:rsid w:val="00227CA3"/>
    <w:rsid w:val="00227CBB"/>
    <w:rsid w:val="00227D61"/>
    <w:rsid w:val="00227D96"/>
    <w:rsid w:val="00227DCC"/>
    <w:rsid w:val="00227E03"/>
    <w:rsid w:val="00227E30"/>
    <w:rsid w:val="00227E90"/>
    <w:rsid w:val="00227F69"/>
    <w:rsid w:val="00227F7A"/>
    <w:rsid w:val="00227FD6"/>
    <w:rsid w:val="00230090"/>
    <w:rsid w:val="00230199"/>
    <w:rsid w:val="002301A1"/>
    <w:rsid w:val="002301D5"/>
    <w:rsid w:val="0023025F"/>
    <w:rsid w:val="002302AA"/>
    <w:rsid w:val="002302B0"/>
    <w:rsid w:val="002302C6"/>
    <w:rsid w:val="002302EC"/>
    <w:rsid w:val="0023037A"/>
    <w:rsid w:val="002303B1"/>
    <w:rsid w:val="002303F2"/>
    <w:rsid w:val="00230510"/>
    <w:rsid w:val="0023053E"/>
    <w:rsid w:val="0023060C"/>
    <w:rsid w:val="00230620"/>
    <w:rsid w:val="002306A1"/>
    <w:rsid w:val="002306C0"/>
    <w:rsid w:val="0023074A"/>
    <w:rsid w:val="00230756"/>
    <w:rsid w:val="002307CA"/>
    <w:rsid w:val="0023084A"/>
    <w:rsid w:val="00230863"/>
    <w:rsid w:val="00230867"/>
    <w:rsid w:val="0023086B"/>
    <w:rsid w:val="002308E2"/>
    <w:rsid w:val="00230A28"/>
    <w:rsid w:val="00230A4D"/>
    <w:rsid w:val="00230C5A"/>
    <w:rsid w:val="00230CA9"/>
    <w:rsid w:val="00230D3C"/>
    <w:rsid w:val="00230DF6"/>
    <w:rsid w:val="00230ED7"/>
    <w:rsid w:val="00230FA8"/>
    <w:rsid w:val="00230FC3"/>
    <w:rsid w:val="0023101F"/>
    <w:rsid w:val="0023105F"/>
    <w:rsid w:val="00231087"/>
    <w:rsid w:val="002310D8"/>
    <w:rsid w:val="002311AD"/>
    <w:rsid w:val="0023124C"/>
    <w:rsid w:val="002312A1"/>
    <w:rsid w:val="002312B0"/>
    <w:rsid w:val="00231356"/>
    <w:rsid w:val="00231394"/>
    <w:rsid w:val="002313E4"/>
    <w:rsid w:val="0023140A"/>
    <w:rsid w:val="0023142E"/>
    <w:rsid w:val="00231484"/>
    <w:rsid w:val="002314E2"/>
    <w:rsid w:val="00231504"/>
    <w:rsid w:val="0023156C"/>
    <w:rsid w:val="00231659"/>
    <w:rsid w:val="00231671"/>
    <w:rsid w:val="0023172F"/>
    <w:rsid w:val="00231759"/>
    <w:rsid w:val="00231812"/>
    <w:rsid w:val="0023193F"/>
    <w:rsid w:val="00231973"/>
    <w:rsid w:val="00231979"/>
    <w:rsid w:val="002319A3"/>
    <w:rsid w:val="002319BC"/>
    <w:rsid w:val="002319CE"/>
    <w:rsid w:val="00231A2D"/>
    <w:rsid w:val="00231A62"/>
    <w:rsid w:val="00231AC7"/>
    <w:rsid w:val="00231AF2"/>
    <w:rsid w:val="00231BE1"/>
    <w:rsid w:val="00231D11"/>
    <w:rsid w:val="00231DF2"/>
    <w:rsid w:val="00231E16"/>
    <w:rsid w:val="00231E2F"/>
    <w:rsid w:val="00231E73"/>
    <w:rsid w:val="00231F0C"/>
    <w:rsid w:val="00231F39"/>
    <w:rsid w:val="00231F75"/>
    <w:rsid w:val="00231FCF"/>
    <w:rsid w:val="00232103"/>
    <w:rsid w:val="00232151"/>
    <w:rsid w:val="00232163"/>
    <w:rsid w:val="0023227C"/>
    <w:rsid w:val="0023232B"/>
    <w:rsid w:val="0023236B"/>
    <w:rsid w:val="00232552"/>
    <w:rsid w:val="002325C3"/>
    <w:rsid w:val="002325E6"/>
    <w:rsid w:val="00232604"/>
    <w:rsid w:val="0023267F"/>
    <w:rsid w:val="00232877"/>
    <w:rsid w:val="002328F7"/>
    <w:rsid w:val="00232987"/>
    <w:rsid w:val="00232A0F"/>
    <w:rsid w:val="00232ADC"/>
    <w:rsid w:val="00232B37"/>
    <w:rsid w:val="00232B46"/>
    <w:rsid w:val="00232B57"/>
    <w:rsid w:val="00232B90"/>
    <w:rsid w:val="00232BCF"/>
    <w:rsid w:val="00232E33"/>
    <w:rsid w:val="00232E65"/>
    <w:rsid w:val="00232E81"/>
    <w:rsid w:val="00232EA0"/>
    <w:rsid w:val="00232F34"/>
    <w:rsid w:val="00232F47"/>
    <w:rsid w:val="00232F87"/>
    <w:rsid w:val="00232F8E"/>
    <w:rsid w:val="00232FB4"/>
    <w:rsid w:val="00232FF1"/>
    <w:rsid w:val="002331FE"/>
    <w:rsid w:val="00233246"/>
    <w:rsid w:val="00233270"/>
    <w:rsid w:val="002332B0"/>
    <w:rsid w:val="002332B6"/>
    <w:rsid w:val="00233361"/>
    <w:rsid w:val="002333C2"/>
    <w:rsid w:val="002333C9"/>
    <w:rsid w:val="0023350C"/>
    <w:rsid w:val="00233516"/>
    <w:rsid w:val="002336FF"/>
    <w:rsid w:val="00233744"/>
    <w:rsid w:val="00233787"/>
    <w:rsid w:val="002337D8"/>
    <w:rsid w:val="00233814"/>
    <w:rsid w:val="0023384D"/>
    <w:rsid w:val="00233A19"/>
    <w:rsid w:val="00233AAB"/>
    <w:rsid w:val="00233AEF"/>
    <w:rsid w:val="00233BBA"/>
    <w:rsid w:val="00233CD7"/>
    <w:rsid w:val="00233CDB"/>
    <w:rsid w:val="00233D24"/>
    <w:rsid w:val="00233D39"/>
    <w:rsid w:val="00233D43"/>
    <w:rsid w:val="00233D74"/>
    <w:rsid w:val="00233F3C"/>
    <w:rsid w:val="00233F43"/>
    <w:rsid w:val="00233FCF"/>
    <w:rsid w:val="00234004"/>
    <w:rsid w:val="0023406D"/>
    <w:rsid w:val="00234087"/>
    <w:rsid w:val="002340A4"/>
    <w:rsid w:val="002340B5"/>
    <w:rsid w:val="002340E0"/>
    <w:rsid w:val="0023419A"/>
    <w:rsid w:val="002342B6"/>
    <w:rsid w:val="002342FB"/>
    <w:rsid w:val="00234349"/>
    <w:rsid w:val="00234358"/>
    <w:rsid w:val="00234379"/>
    <w:rsid w:val="002343EC"/>
    <w:rsid w:val="00234456"/>
    <w:rsid w:val="00234457"/>
    <w:rsid w:val="002344C9"/>
    <w:rsid w:val="0023450F"/>
    <w:rsid w:val="0023451F"/>
    <w:rsid w:val="00234543"/>
    <w:rsid w:val="002345C9"/>
    <w:rsid w:val="00234640"/>
    <w:rsid w:val="00234658"/>
    <w:rsid w:val="0023466C"/>
    <w:rsid w:val="002346A1"/>
    <w:rsid w:val="002346AB"/>
    <w:rsid w:val="00234794"/>
    <w:rsid w:val="00234843"/>
    <w:rsid w:val="00234950"/>
    <w:rsid w:val="00234992"/>
    <w:rsid w:val="0023499B"/>
    <w:rsid w:val="002349EB"/>
    <w:rsid w:val="00234A6A"/>
    <w:rsid w:val="00234B10"/>
    <w:rsid w:val="00234B2E"/>
    <w:rsid w:val="00234BFC"/>
    <w:rsid w:val="00234C08"/>
    <w:rsid w:val="00234D52"/>
    <w:rsid w:val="00234D5D"/>
    <w:rsid w:val="00234D89"/>
    <w:rsid w:val="00234E1E"/>
    <w:rsid w:val="00234E31"/>
    <w:rsid w:val="00234EA0"/>
    <w:rsid w:val="00234EBC"/>
    <w:rsid w:val="00235014"/>
    <w:rsid w:val="0023507E"/>
    <w:rsid w:val="0023519D"/>
    <w:rsid w:val="002351BA"/>
    <w:rsid w:val="002353C9"/>
    <w:rsid w:val="002353E9"/>
    <w:rsid w:val="0023542D"/>
    <w:rsid w:val="0023548A"/>
    <w:rsid w:val="002354C4"/>
    <w:rsid w:val="002354C9"/>
    <w:rsid w:val="002354F0"/>
    <w:rsid w:val="002354FB"/>
    <w:rsid w:val="0023554D"/>
    <w:rsid w:val="0023556D"/>
    <w:rsid w:val="00235762"/>
    <w:rsid w:val="002357F2"/>
    <w:rsid w:val="002359AC"/>
    <w:rsid w:val="002359F1"/>
    <w:rsid w:val="002359F2"/>
    <w:rsid w:val="00235A8F"/>
    <w:rsid w:val="00235BA9"/>
    <w:rsid w:val="00235BEE"/>
    <w:rsid w:val="00235C94"/>
    <w:rsid w:val="00235D95"/>
    <w:rsid w:val="00235DCD"/>
    <w:rsid w:val="00235DE4"/>
    <w:rsid w:val="00235E0A"/>
    <w:rsid w:val="00235E52"/>
    <w:rsid w:val="00235EDA"/>
    <w:rsid w:val="00235F00"/>
    <w:rsid w:val="00235F54"/>
    <w:rsid w:val="00236055"/>
    <w:rsid w:val="00236154"/>
    <w:rsid w:val="0023617B"/>
    <w:rsid w:val="002361D3"/>
    <w:rsid w:val="0023626B"/>
    <w:rsid w:val="0023627E"/>
    <w:rsid w:val="00236334"/>
    <w:rsid w:val="0023639A"/>
    <w:rsid w:val="00236429"/>
    <w:rsid w:val="00236444"/>
    <w:rsid w:val="002364EA"/>
    <w:rsid w:val="0023652C"/>
    <w:rsid w:val="002365AB"/>
    <w:rsid w:val="002366D8"/>
    <w:rsid w:val="0023671C"/>
    <w:rsid w:val="00236722"/>
    <w:rsid w:val="002367DA"/>
    <w:rsid w:val="002367E8"/>
    <w:rsid w:val="00236832"/>
    <w:rsid w:val="002368BF"/>
    <w:rsid w:val="00236901"/>
    <w:rsid w:val="00236988"/>
    <w:rsid w:val="00236A3F"/>
    <w:rsid w:val="00236A95"/>
    <w:rsid w:val="00236AB6"/>
    <w:rsid w:val="00236AC9"/>
    <w:rsid w:val="00236AF3"/>
    <w:rsid w:val="00236B0A"/>
    <w:rsid w:val="00236C5D"/>
    <w:rsid w:val="00236CCF"/>
    <w:rsid w:val="00236D3A"/>
    <w:rsid w:val="00236DA5"/>
    <w:rsid w:val="00236E02"/>
    <w:rsid w:val="00236E11"/>
    <w:rsid w:val="00236E50"/>
    <w:rsid w:val="00236E58"/>
    <w:rsid w:val="00236EB1"/>
    <w:rsid w:val="00236EFC"/>
    <w:rsid w:val="00236F4F"/>
    <w:rsid w:val="00236F5D"/>
    <w:rsid w:val="00236F7B"/>
    <w:rsid w:val="00236F95"/>
    <w:rsid w:val="0023700E"/>
    <w:rsid w:val="0023703B"/>
    <w:rsid w:val="002371CD"/>
    <w:rsid w:val="00237268"/>
    <w:rsid w:val="00237274"/>
    <w:rsid w:val="002372BA"/>
    <w:rsid w:val="002373A5"/>
    <w:rsid w:val="0023746E"/>
    <w:rsid w:val="00237497"/>
    <w:rsid w:val="002374EE"/>
    <w:rsid w:val="00237501"/>
    <w:rsid w:val="00237521"/>
    <w:rsid w:val="0023752B"/>
    <w:rsid w:val="00237535"/>
    <w:rsid w:val="00237607"/>
    <w:rsid w:val="002377B2"/>
    <w:rsid w:val="00237899"/>
    <w:rsid w:val="002379BA"/>
    <w:rsid w:val="00237B13"/>
    <w:rsid w:val="00237B18"/>
    <w:rsid w:val="00237B4A"/>
    <w:rsid w:val="00237BE3"/>
    <w:rsid w:val="00237C3D"/>
    <w:rsid w:val="00237C65"/>
    <w:rsid w:val="00237DFB"/>
    <w:rsid w:val="00237E82"/>
    <w:rsid w:val="00237EF7"/>
    <w:rsid w:val="00237EFB"/>
    <w:rsid w:val="00240058"/>
    <w:rsid w:val="002400A1"/>
    <w:rsid w:val="00240183"/>
    <w:rsid w:val="002401B4"/>
    <w:rsid w:val="002401DC"/>
    <w:rsid w:val="0024026D"/>
    <w:rsid w:val="00240270"/>
    <w:rsid w:val="0024037B"/>
    <w:rsid w:val="0024038B"/>
    <w:rsid w:val="0024057D"/>
    <w:rsid w:val="002405FE"/>
    <w:rsid w:val="0024061D"/>
    <w:rsid w:val="00240674"/>
    <w:rsid w:val="00240754"/>
    <w:rsid w:val="00240876"/>
    <w:rsid w:val="0024088E"/>
    <w:rsid w:val="0024090A"/>
    <w:rsid w:val="002409B8"/>
    <w:rsid w:val="00240A9A"/>
    <w:rsid w:val="00240B99"/>
    <w:rsid w:val="00240C37"/>
    <w:rsid w:val="00240C5D"/>
    <w:rsid w:val="00240C6A"/>
    <w:rsid w:val="00240C70"/>
    <w:rsid w:val="00240CA3"/>
    <w:rsid w:val="00240CDF"/>
    <w:rsid w:val="00240D17"/>
    <w:rsid w:val="00240D58"/>
    <w:rsid w:val="00240DEF"/>
    <w:rsid w:val="00240E25"/>
    <w:rsid w:val="00240E46"/>
    <w:rsid w:val="00240F23"/>
    <w:rsid w:val="00240FA5"/>
    <w:rsid w:val="0024100B"/>
    <w:rsid w:val="002410F7"/>
    <w:rsid w:val="00241122"/>
    <w:rsid w:val="0024113D"/>
    <w:rsid w:val="002411DD"/>
    <w:rsid w:val="00241207"/>
    <w:rsid w:val="00241216"/>
    <w:rsid w:val="00241309"/>
    <w:rsid w:val="00241343"/>
    <w:rsid w:val="002413BB"/>
    <w:rsid w:val="00241436"/>
    <w:rsid w:val="002414DF"/>
    <w:rsid w:val="002414F7"/>
    <w:rsid w:val="00241527"/>
    <w:rsid w:val="00241550"/>
    <w:rsid w:val="0024160F"/>
    <w:rsid w:val="0024166C"/>
    <w:rsid w:val="00241688"/>
    <w:rsid w:val="00241696"/>
    <w:rsid w:val="00241726"/>
    <w:rsid w:val="00241743"/>
    <w:rsid w:val="00241791"/>
    <w:rsid w:val="002417E6"/>
    <w:rsid w:val="0024184E"/>
    <w:rsid w:val="00241856"/>
    <w:rsid w:val="002418EA"/>
    <w:rsid w:val="002419B0"/>
    <w:rsid w:val="00241B1A"/>
    <w:rsid w:val="00241BC0"/>
    <w:rsid w:val="00241C96"/>
    <w:rsid w:val="00241D16"/>
    <w:rsid w:val="00241EBD"/>
    <w:rsid w:val="00241F93"/>
    <w:rsid w:val="00241FD8"/>
    <w:rsid w:val="00241FF0"/>
    <w:rsid w:val="00242003"/>
    <w:rsid w:val="002420C2"/>
    <w:rsid w:val="002420D3"/>
    <w:rsid w:val="0024212A"/>
    <w:rsid w:val="00242233"/>
    <w:rsid w:val="00242259"/>
    <w:rsid w:val="0024229B"/>
    <w:rsid w:val="0024239D"/>
    <w:rsid w:val="002423E3"/>
    <w:rsid w:val="0024246C"/>
    <w:rsid w:val="002424FA"/>
    <w:rsid w:val="0024252D"/>
    <w:rsid w:val="002425C2"/>
    <w:rsid w:val="002425E8"/>
    <w:rsid w:val="00242642"/>
    <w:rsid w:val="00242688"/>
    <w:rsid w:val="0024268E"/>
    <w:rsid w:val="002426E2"/>
    <w:rsid w:val="0024270E"/>
    <w:rsid w:val="002427A1"/>
    <w:rsid w:val="002427BD"/>
    <w:rsid w:val="0024289C"/>
    <w:rsid w:val="0024295C"/>
    <w:rsid w:val="00242972"/>
    <w:rsid w:val="00242A10"/>
    <w:rsid w:val="00242A25"/>
    <w:rsid w:val="00242A5B"/>
    <w:rsid w:val="00242A7E"/>
    <w:rsid w:val="00242AD7"/>
    <w:rsid w:val="00242B16"/>
    <w:rsid w:val="00242B30"/>
    <w:rsid w:val="00242B40"/>
    <w:rsid w:val="00242B4C"/>
    <w:rsid w:val="00242BF5"/>
    <w:rsid w:val="00242C0D"/>
    <w:rsid w:val="00242CE9"/>
    <w:rsid w:val="00242D1A"/>
    <w:rsid w:val="00242D2E"/>
    <w:rsid w:val="00242D3D"/>
    <w:rsid w:val="00242D5B"/>
    <w:rsid w:val="00242D8B"/>
    <w:rsid w:val="00242DC8"/>
    <w:rsid w:val="00242E01"/>
    <w:rsid w:val="00242E29"/>
    <w:rsid w:val="00242E8D"/>
    <w:rsid w:val="00242F53"/>
    <w:rsid w:val="00242FC3"/>
    <w:rsid w:val="00243001"/>
    <w:rsid w:val="00243061"/>
    <w:rsid w:val="002430C1"/>
    <w:rsid w:val="002432D6"/>
    <w:rsid w:val="002432E3"/>
    <w:rsid w:val="00243353"/>
    <w:rsid w:val="00243371"/>
    <w:rsid w:val="002433DC"/>
    <w:rsid w:val="00243401"/>
    <w:rsid w:val="00243410"/>
    <w:rsid w:val="0024341A"/>
    <w:rsid w:val="0024362C"/>
    <w:rsid w:val="00243659"/>
    <w:rsid w:val="00243770"/>
    <w:rsid w:val="002437F9"/>
    <w:rsid w:val="002437FA"/>
    <w:rsid w:val="0024385D"/>
    <w:rsid w:val="00243869"/>
    <w:rsid w:val="002438A0"/>
    <w:rsid w:val="0024390D"/>
    <w:rsid w:val="00243927"/>
    <w:rsid w:val="00243936"/>
    <w:rsid w:val="002439E4"/>
    <w:rsid w:val="00243A35"/>
    <w:rsid w:val="00243A3C"/>
    <w:rsid w:val="00243A84"/>
    <w:rsid w:val="00243B08"/>
    <w:rsid w:val="00243B15"/>
    <w:rsid w:val="00243B66"/>
    <w:rsid w:val="00243BD7"/>
    <w:rsid w:val="00243C67"/>
    <w:rsid w:val="00243CCE"/>
    <w:rsid w:val="00243D4B"/>
    <w:rsid w:val="00243EA3"/>
    <w:rsid w:val="00243FE8"/>
    <w:rsid w:val="0024405E"/>
    <w:rsid w:val="002440E9"/>
    <w:rsid w:val="00244177"/>
    <w:rsid w:val="0024418F"/>
    <w:rsid w:val="002441E9"/>
    <w:rsid w:val="00244277"/>
    <w:rsid w:val="00244365"/>
    <w:rsid w:val="00244439"/>
    <w:rsid w:val="0024443C"/>
    <w:rsid w:val="0024451B"/>
    <w:rsid w:val="00244564"/>
    <w:rsid w:val="00244580"/>
    <w:rsid w:val="0024459E"/>
    <w:rsid w:val="002445A1"/>
    <w:rsid w:val="002445BF"/>
    <w:rsid w:val="0024462D"/>
    <w:rsid w:val="0024466F"/>
    <w:rsid w:val="00244690"/>
    <w:rsid w:val="002446F0"/>
    <w:rsid w:val="0024475C"/>
    <w:rsid w:val="00244861"/>
    <w:rsid w:val="002448B4"/>
    <w:rsid w:val="002448B8"/>
    <w:rsid w:val="002449C8"/>
    <w:rsid w:val="00244A57"/>
    <w:rsid w:val="00244A5D"/>
    <w:rsid w:val="00244A9A"/>
    <w:rsid w:val="00244AE1"/>
    <w:rsid w:val="00244AF8"/>
    <w:rsid w:val="00244C8B"/>
    <w:rsid w:val="00244CB7"/>
    <w:rsid w:val="00244CEC"/>
    <w:rsid w:val="00244D47"/>
    <w:rsid w:val="00244DB6"/>
    <w:rsid w:val="00244DC4"/>
    <w:rsid w:val="00244E5D"/>
    <w:rsid w:val="00244E92"/>
    <w:rsid w:val="00244EC7"/>
    <w:rsid w:val="00245248"/>
    <w:rsid w:val="00245270"/>
    <w:rsid w:val="002452E4"/>
    <w:rsid w:val="002452FB"/>
    <w:rsid w:val="00245315"/>
    <w:rsid w:val="002453D7"/>
    <w:rsid w:val="00245427"/>
    <w:rsid w:val="00245502"/>
    <w:rsid w:val="0024551F"/>
    <w:rsid w:val="00245599"/>
    <w:rsid w:val="00245797"/>
    <w:rsid w:val="002457AB"/>
    <w:rsid w:val="002457F8"/>
    <w:rsid w:val="00245841"/>
    <w:rsid w:val="0024592B"/>
    <w:rsid w:val="00245936"/>
    <w:rsid w:val="0024597D"/>
    <w:rsid w:val="00245995"/>
    <w:rsid w:val="002459BF"/>
    <w:rsid w:val="002459FF"/>
    <w:rsid w:val="00245A94"/>
    <w:rsid w:val="00245C47"/>
    <w:rsid w:val="00245CCE"/>
    <w:rsid w:val="00245D34"/>
    <w:rsid w:val="00245D40"/>
    <w:rsid w:val="00245DEB"/>
    <w:rsid w:val="00245E9B"/>
    <w:rsid w:val="00245E9E"/>
    <w:rsid w:val="00245F48"/>
    <w:rsid w:val="00245F51"/>
    <w:rsid w:val="00245FCF"/>
    <w:rsid w:val="00245FF7"/>
    <w:rsid w:val="002460A4"/>
    <w:rsid w:val="002460D0"/>
    <w:rsid w:val="00246118"/>
    <w:rsid w:val="00246123"/>
    <w:rsid w:val="00246134"/>
    <w:rsid w:val="00246247"/>
    <w:rsid w:val="002462FC"/>
    <w:rsid w:val="00246321"/>
    <w:rsid w:val="00246341"/>
    <w:rsid w:val="0024638F"/>
    <w:rsid w:val="002463D9"/>
    <w:rsid w:val="0024640D"/>
    <w:rsid w:val="0024646D"/>
    <w:rsid w:val="002464A6"/>
    <w:rsid w:val="002464A9"/>
    <w:rsid w:val="002464F1"/>
    <w:rsid w:val="00246517"/>
    <w:rsid w:val="00246533"/>
    <w:rsid w:val="0024653A"/>
    <w:rsid w:val="0024657C"/>
    <w:rsid w:val="002465D9"/>
    <w:rsid w:val="00246629"/>
    <w:rsid w:val="00246697"/>
    <w:rsid w:val="0024669A"/>
    <w:rsid w:val="002466A6"/>
    <w:rsid w:val="002466CC"/>
    <w:rsid w:val="0024675B"/>
    <w:rsid w:val="00246789"/>
    <w:rsid w:val="0024679E"/>
    <w:rsid w:val="0024683B"/>
    <w:rsid w:val="00246904"/>
    <w:rsid w:val="00246963"/>
    <w:rsid w:val="00246A15"/>
    <w:rsid w:val="00246A95"/>
    <w:rsid w:val="00246AE9"/>
    <w:rsid w:val="00246B39"/>
    <w:rsid w:val="00246B87"/>
    <w:rsid w:val="00246BB1"/>
    <w:rsid w:val="00246BCB"/>
    <w:rsid w:val="00246C06"/>
    <w:rsid w:val="00246C47"/>
    <w:rsid w:val="00246C9C"/>
    <w:rsid w:val="00246CF3"/>
    <w:rsid w:val="00246E1B"/>
    <w:rsid w:val="00246E41"/>
    <w:rsid w:val="00246E6A"/>
    <w:rsid w:val="00246E78"/>
    <w:rsid w:val="00246EB6"/>
    <w:rsid w:val="00246EBC"/>
    <w:rsid w:val="00246FD1"/>
    <w:rsid w:val="00247094"/>
    <w:rsid w:val="002470F6"/>
    <w:rsid w:val="00247160"/>
    <w:rsid w:val="0024717B"/>
    <w:rsid w:val="002471A3"/>
    <w:rsid w:val="002471AA"/>
    <w:rsid w:val="002471D7"/>
    <w:rsid w:val="002471E2"/>
    <w:rsid w:val="0024730D"/>
    <w:rsid w:val="0024732C"/>
    <w:rsid w:val="0024732F"/>
    <w:rsid w:val="002474C6"/>
    <w:rsid w:val="0024756C"/>
    <w:rsid w:val="00247635"/>
    <w:rsid w:val="00247659"/>
    <w:rsid w:val="0024769D"/>
    <w:rsid w:val="00247726"/>
    <w:rsid w:val="0024773E"/>
    <w:rsid w:val="00247741"/>
    <w:rsid w:val="002477B4"/>
    <w:rsid w:val="002478EC"/>
    <w:rsid w:val="002479C6"/>
    <w:rsid w:val="002479D8"/>
    <w:rsid w:val="00247A2B"/>
    <w:rsid w:val="00247A3E"/>
    <w:rsid w:val="00247A47"/>
    <w:rsid w:val="00247ACA"/>
    <w:rsid w:val="00247B23"/>
    <w:rsid w:val="00247B3F"/>
    <w:rsid w:val="00247B62"/>
    <w:rsid w:val="00247BC7"/>
    <w:rsid w:val="00247C48"/>
    <w:rsid w:val="00247C4C"/>
    <w:rsid w:val="00247CC7"/>
    <w:rsid w:val="00247D02"/>
    <w:rsid w:val="00247D1B"/>
    <w:rsid w:val="00247D23"/>
    <w:rsid w:val="00247DD5"/>
    <w:rsid w:val="00247E55"/>
    <w:rsid w:val="00247F4A"/>
    <w:rsid w:val="00250009"/>
    <w:rsid w:val="00250037"/>
    <w:rsid w:val="00250064"/>
    <w:rsid w:val="002500EC"/>
    <w:rsid w:val="002500EF"/>
    <w:rsid w:val="00250146"/>
    <w:rsid w:val="00250160"/>
    <w:rsid w:val="00250185"/>
    <w:rsid w:val="002501D5"/>
    <w:rsid w:val="0025022E"/>
    <w:rsid w:val="002502CC"/>
    <w:rsid w:val="0025034D"/>
    <w:rsid w:val="00250373"/>
    <w:rsid w:val="00250419"/>
    <w:rsid w:val="00250466"/>
    <w:rsid w:val="002504C0"/>
    <w:rsid w:val="002504C3"/>
    <w:rsid w:val="002504F4"/>
    <w:rsid w:val="00250508"/>
    <w:rsid w:val="00250519"/>
    <w:rsid w:val="0025056A"/>
    <w:rsid w:val="002505A9"/>
    <w:rsid w:val="0025062C"/>
    <w:rsid w:val="002506EE"/>
    <w:rsid w:val="002506FE"/>
    <w:rsid w:val="002507F6"/>
    <w:rsid w:val="00250838"/>
    <w:rsid w:val="00250844"/>
    <w:rsid w:val="0025088E"/>
    <w:rsid w:val="002508A5"/>
    <w:rsid w:val="0025091F"/>
    <w:rsid w:val="0025095A"/>
    <w:rsid w:val="002509B4"/>
    <w:rsid w:val="002509F7"/>
    <w:rsid w:val="00250BAF"/>
    <w:rsid w:val="00250C4F"/>
    <w:rsid w:val="00250C61"/>
    <w:rsid w:val="00250C69"/>
    <w:rsid w:val="00250C89"/>
    <w:rsid w:val="00250C9F"/>
    <w:rsid w:val="00250D0C"/>
    <w:rsid w:val="00250D12"/>
    <w:rsid w:val="00250D1C"/>
    <w:rsid w:val="00250D43"/>
    <w:rsid w:val="00250D64"/>
    <w:rsid w:val="00250DF9"/>
    <w:rsid w:val="00250E5B"/>
    <w:rsid w:val="00250E5F"/>
    <w:rsid w:val="00250E67"/>
    <w:rsid w:val="00250EFB"/>
    <w:rsid w:val="00251088"/>
    <w:rsid w:val="002510B4"/>
    <w:rsid w:val="002510F9"/>
    <w:rsid w:val="00251179"/>
    <w:rsid w:val="002511E2"/>
    <w:rsid w:val="0025134E"/>
    <w:rsid w:val="002513A4"/>
    <w:rsid w:val="0025145A"/>
    <w:rsid w:val="0025146F"/>
    <w:rsid w:val="002514F4"/>
    <w:rsid w:val="00251505"/>
    <w:rsid w:val="002515F7"/>
    <w:rsid w:val="0025163D"/>
    <w:rsid w:val="002516F7"/>
    <w:rsid w:val="0025171A"/>
    <w:rsid w:val="00251768"/>
    <w:rsid w:val="002517C9"/>
    <w:rsid w:val="00251865"/>
    <w:rsid w:val="002518B7"/>
    <w:rsid w:val="0025191E"/>
    <w:rsid w:val="0025194B"/>
    <w:rsid w:val="0025197C"/>
    <w:rsid w:val="00251A26"/>
    <w:rsid w:val="00251A82"/>
    <w:rsid w:val="00251A88"/>
    <w:rsid w:val="00251B4F"/>
    <w:rsid w:val="00251B63"/>
    <w:rsid w:val="00251C0D"/>
    <w:rsid w:val="00251C58"/>
    <w:rsid w:val="00251CC4"/>
    <w:rsid w:val="00251CE2"/>
    <w:rsid w:val="00251D35"/>
    <w:rsid w:val="00251D87"/>
    <w:rsid w:val="00251DA3"/>
    <w:rsid w:val="00251DCE"/>
    <w:rsid w:val="00251E77"/>
    <w:rsid w:val="00251E95"/>
    <w:rsid w:val="00251F29"/>
    <w:rsid w:val="00251F7F"/>
    <w:rsid w:val="00251F84"/>
    <w:rsid w:val="00251FA9"/>
    <w:rsid w:val="00251FD5"/>
    <w:rsid w:val="00252082"/>
    <w:rsid w:val="002520CC"/>
    <w:rsid w:val="002520E4"/>
    <w:rsid w:val="002520EC"/>
    <w:rsid w:val="00252114"/>
    <w:rsid w:val="00252123"/>
    <w:rsid w:val="0025213A"/>
    <w:rsid w:val="002521A7"/>
    <w:rsid w:val="002522DB"/>
    <w:rsid w:val="00252341"/>
    <w:rsid w:val="002523CD"/>
    <w:rsid w:val="0025244D"/>
    <w:rsid w:val="00252456"/>
    <w:rsid w:val="00252458"/>
    <w:rsid w:val="00252471"/>
    <w:rsid w:val="0025250C"/>
    <w:rsid w:val="0025256C"/>
    <w:rsid w:val="00252635"/>
    <w:rsid w:val="00252717"/>
    <w:rsid w:val="00252728"/>
    <w:rsid w:val="0025273F"/>
    <w:rsid w:val="00252763"/>
    <w:rsid w:val="002528FD"/>
    <w:rsid w:val="00252A4C"/>
    <w:rsid w:val="00252A7A"/>
    <w:rsid w:val="00252AA7"/>
    <w:rsid w:val="00252ABA"/>
    <w:rsid w:val="00252B40"/>
    <w:rsid w:val="00252BAB"/>
    <w:rsid w:val="00252CA4"/>
    <w:rsid w:val="00252CC2"/>
    <w:rsid w:val="00252CDB"/>
    <w:rsid w:val="00252D41"/>
    <w:rsid w:val="00252DA6"/>
    <w:rsid w:val="00252DD3"/>
    <w:rsid w:val="00252E10"/>
    <w:rsid w:val="00252E68"/>
    <w:rsid w:val="00252F43"/>
    <w:rsid w:val="00253028"/>
    <w:rsid w:val="00253036"/>
    <w:rsid w:val="00253066"/>
    <w:rsid w:val="0025309A"/>
    <w:rsid w:val="00253100"/>
    <w:rsid w:val="00253147"/>
    <w:rsid w:val="0025314F"/>
    <w:rsid w:val="0025318F"/>
    <w:rsid w:val="0025324D"/>
    <w:rsid w:val="0025335A"/>
    <w:rsid w:val="00253382"/>
    <w:rsid w:val="002533DD"/>
    <w:rsid w:val="00253483"/>
    <w:rsid w:val="00253601"/>
    <w:rsid w:val="00253636"/>
    <w:rsid w:val="0025364B"/>
    <w:rsid w:val="002538CD"/>
    <w:rsid w:val="00253A28"/>
    <w:rsid w:val="00253A4C"/>
    <w:rsid w:val="00253A9D"/>
    <w:rsid w:val="00253AF7"/>
    <w:rsid w:val="00253B2F"/>
    <w:rsid w:val="00253B3A"/>
    <w:rsid w:val="00253BAF"/>
    <w:rsid w:val="00253C06"/>
    <w:rsid w:val="00253C33"/>
    <w:rsid w:val="00253D9B"/>
    <w:rsid w:val="00253E0A"/>
    <w:rsid w:val="00253E1F"/>
    <w:rsid w:val="00253E3F"/>
    <w:rsid w:val="00253F55"/>
    <w:rsid w:val="00253FC2"/>
    <w:rsid w:val="002540A5"/>
    <w:rsid w:val="002540A9"/>
    <w:rsid w:val="002540AC"/>
    <w:rsid w:val="002540ED"/>
    <w:rsid w:val="00254127"/>
    <w:rsid w:val="00254136"/>
    <w:rsid w:val="00254184"/>
    <w:rsid w:val="00254188"/>
    <w:rsid w:val="00254291"/>
    <w:rsid w:val="0025437B"/>
    <w:rsid w:val="0025450A"/>
    <w:rsid w:val="00254512"/>
    <w:rsid w:val="0025466A"/>
    <w:rsid w:val="0025471C"/>
    <w:rsid w:val="00254750"/>
    <w:rsid w:val="00254805"/>
    <w:rsid w:val="00254869"/>
    <w:rsid w:val="00254885"/>
    <w:rsid w:val="002548BC"/>
    <w:rsid w:val="002548DE"/>
    <w:rsid w:val="0025491E"/>
    <w:rsid w:val="002549AD"/>
    <w:rsid w:val="00254ABB"/>
    <w:rsid w:val="00254B6C"/>
    <w:rsid w:val="00254B90"/>
    <w:rsid w:val="00254C54"/>
    <w:rsid w:val="00254C7B"/>
    <w:rsid w:val="00254D4D"/>
    <w:rsid w:val="00254EAD"/>
    <w:rsid w:val="00254F1E"/>
    <w:rsid w:val="00254F6F"/>
    <w:rsid w:val="00254F99"/>
    <w:rsid w:val="00254FA2"/>
    <w:rsid w:val="0025506C"/>
    <w:rsid w:val="00255084"/>
    <w:rsid w:val="002550BD"/>
    <w:rsid w:val="00255117"/>
    <w:rsid w:val="00255157"/>
    <w:rsid w:val="00255204"/>
    <w:rsid w:val="00255279"/>
    <w:rsid w:val="002552BE"/>
    <w:rsid w:val="0025535D"/>
    <w:rsid w:val="0025536E"/>
    <w:rsid w:val="00255375"/>
    <w:rsid w:val="00255383"/>
    <w:rsid w:val="002553BE"/>
    <w:rsid w:val="002554CD"/>
    <w:rsid w:val="002555C5"/>
    <w:rsid w:val="00255606"/>
    <w:rsid w:val="00255658"/>
    <w:rsid w:val="0025571B"/>
    <w:rsid w:val="00255744"/>
    <w:rsid w:val="002557E7"/>
    <w:rsid w:val="002558E0"/>
    <w:rsid w:val="00255950"/>
    <w:rsid w:val="00255963"/>
    <w:rsid w:val="002559B4"/>
    <w:rsid w:val="002559BB"/>
    <w:rsid w:val="00255A3B"/>
    <w:rsid w:val="00255A53"/>
    <w:rsid w:val="00255A5B"/>
    <w:rsid w:val="00255AC1"/>
    <w:rsid w:val="00255AC2"/>
    <w:rsid w:val="00255B05"/>
    <w:rsid w:val="00255BE3"/>
    <w:rsid w:val="00255C3C"/>
    <w:rsid w:val="00255C95"/>
    <w:rsid w:val="00255CD0"/>
    <w:rsid w:val="00255D5C"/>
    <w:rsid w:val="00255D9C"/>
    <w:rsid w:val="00255ED9"/>
    <w:rsid w:val="00255F06"/>
    <w:rsid w:val="00255F2C"/>
    <w:rsid w:val="00255F70"/>
    <w:rsid w:val="00255FE8"/>
    <w:rsid w:val="0025611A"/>
    <w:rsid w:val="0025615C"/>
    <w:rsid w:val="00256162"/>
    <w:rsid w:val="002561A6"/>
    <w:rsid w:val="0025630E"/>
    <w:rsid w:val="00256314"/>
    <w:rsid w:val="00256342"/>
    <w:rsid w:val="002563DF"/>
    <w:rsid w:val="00256421"/>
    <w:rsid w:val="0025648F"/>
    <w:rsid w:val="0025652B"/>
    <w:rsid w:val="00256645"/>
    <w:rsid w:val="002566A0"/>
    <w:rsid w:val="0025678E"/>
    <w:rsid w:val="0025683E"/>
    <w:rsid w:val="0025687A"/>
    <w:rsid w:val="00256901"/>
    <w:rsid w:val="00256971"/>
    <w:rsid w:val="002569B9"/>
    <w:rsid w:val="002569DD"/>
    <w:rsid w:val="002569F3"/>
    <w:rsid w:val="00256A1C"/>
    <w:rsid w:val="00256A40"/>
    <w:rsid w:val="00256A6E"/>
    <w:rsid w:val="00256A9A"/>
    <w:rsid w:val="00256ABD"/>
    <w:rsid w:val="00256BF3"/>
    <w:rsid w:val="00256C39"/>
    <w:rsid w:val="00256C75"/>
    <w:rsid w:val="00256CEA"/>
    <w:rsid w:val="00256D24"/>
    <w:rsid w:val="00256D39"/>
    <w:rsid w:val="00256D61"/>
    <w:rsid w:val="00256E22"/>
    <w:rsid w:val="00256E26"/>
    <w:rsid w:val="00256E3D"/>
    <w:rsid w:val="00256E76"/>
    <w:rsid w:val="00256E7C"/>
    <w:rsid w:val="00256E7F"/>
    <w:rsid w:val="00256E91"/>
    <w:rsid w:val="00256F11"/>
    <w:rsid w:val="00256FA0"/>
    <w:rsid w:val="00257012"/>
    <w:rsid w:val="00257050"/>
    <w:rsid w:val="00257183"/>
    <w:rsid w:val="00257198"/>
    <w:rsid w:val="0025724C"/>
    <w:rsid w:val="0025728A"/>
    <w:rsid w:val="002573F7"/>
    <w:rsid w:val="0025741A"/>
    <w:rsid w:val="0025746D"/>
    <w:rsid w:val="002574D8"/>
    <w:rsid w:val="0025757A"/>
    <w:rsid w:val="002575AA"/>
    <w:rsid w:val="00257661"/>
    <w:rsid w:val="00257681"/>
    <w:rsid w:val="002576BD"/>
    <w:rsid w:val="0025770B"/>
    <w:rsid w:val="00257893"/>
    <w:rsid w:val="0025789F"/>
    <w:rsid w:val="002578A8"/>
    <w:rsid w:val="002579C8"/>
    <w:rsid w:val="002579D2"/>
    <w:rsid w:val="002579DB"/>
    <w:rsid w:val="00257ABC"/>
    <w:rsid w:val="00257AD1"/>
    <w:rsid w:val="00257ADE"/>
    <w:rsid w:val="00257AF0"/>
    <w:rsid w:val="00257B03"/>
    <w:rsid w:val="00257B3B"/>
    <w:rsid w:val="00257BC7"/>
    <w:rsid w:val="00257C3C"/>
    <w:rsid w:val="00257C7B"/>
    <w:rsid w:val="00257C96"/>
    <w:rsid w:val="00257CAE"/>
    <w:rsid w:val="00257D17"/>
    <w:rsid w:val="00257D27"/>
    <w:rsid w:val="00257D2F"/>
    <w:rsid w:val="00257E5A"/>
    <w:rsid w:val="00257E63"/>
    <w:rsid w:val="00257EC2"/>
    <w:rsid w:val="00257EDA"/>
    <w:rsid w:val="00257F24"/>
    <w:rsid w:val="00257FB9"/>
    <w:rsid w:val="0026001E"/>
    <w:rsid w:val="002600D4"/>
    <w:rsid w:val="00260150"/>
    <w:rsid w:val="002601B6"/>
    <w:rsid w:val="0026030F"/>
    <w:rsid w:val="00260310"/>
    <w:rsid w:val="00260353"/>
    <w:rsid w:val="002603D4"/>
    <w:rsid w:val="00260403"/>
    <w:rsid w:val="00260432"/>
    <w:rsid w:val="00260515"/>
    <w:rsid w:val="0026058C"/>
    <w:rsid w:val="002605A8"/>
    <w:rsid w:val="00260610"/>
    <w:rsid w:val="0026065B"/>
    <w:rsid w:val="002606AF"/>
    <w:rsid w:val="002606D7"/>
    <w:rsid w:val="00260785"/>
    <w:rsid w:val="002608CE"/>
    <w:rsid w:val="0026092A"/>
    <w:rsid w:val="0026093E"/>
    <w:rsid w:val="00260A9F"/>
    <w:rsid w:val="00260AAF"/>
    <w:rsid w:val="00260B62"/>
    <w:rsid w:val="00260BEA"/>
    <w:rsid w:val="00260C0E"/>
    <w:rsid w:val="00260C3B"/>
    <w:rsid w:val="00260DD0"/>
    <w:rsid w:val="00260E2C"/>
    <w:rsid w:val="00260E61"/>
    <w:rsid w:val="00260E8D"/>
    <w:rsid w:val="00260EF8"/>
    <w:rsid w:val="00260FED"/>
    <w:rsid w:val="00260FFF"/>
    <w:rsid w:val="00261021"/>
    <w:rsid w:val="00261040"/>
    <w:rsid w:val="00261054"/>
    <w:rsid w:val="00261065"/>
    <w:rsid w:val="0026106F"/>
    <w:rsid w:val="002610FF"/>
    <w:rsid w:val="00261119"/>
    <w:rsid w:val="00261130"/>
    <w:rsid w:val="00261175"/>
    <w:rsid w:val="002611AB"/>
    <w:rsid w:val="002611B2"/>
    <w:rsid w:val="002611D1"/>
    <w:rsid w:val="0026121E"/>
    <w:rsid w:val="00261227"/>
    <w:rsid w:val="00261228"/>
    <w:rsid w:val="0026128C"/>
    <w:rsid w:val="002612B5"/>
    <w:rsid w:val="002612B7"/>
    <w:rsid w:val="002612C2"/>
    <w:rsid w:val="002612C6"/>
    <w:rsid w:val="00261304"/>
    <w:rsid w:val="002613CB"/>
    <w:rsid w:val="00261438"/>
    <w:rsid w:val="0026148D"/>
    <w:rsid w:val="002614F6"/>
    <w:rsid w:val="00261531"/>
    <w:rsid w:val="00261637"/>
    <w:rsid w:val="0026163E"/>
    <w:rsid w:val="0026170E"/>
    <w:rsid w:val="00261730"/>
    <w:rsid w:val="002617EB"/>
    <w:rsid w:val="002617F8"/>
    <w:rsid w:val="00261870"/>
    <w:rsid w:val="00261881"/>
    <w:rsid w:val="00261883"/>
    <w:rsid w:val="002618BD"/>
    <w:rsid w:val="00261959"/>
    <w:rsid w:val="0026198A"/>
    <w:rsid w:val="00261A28"/>
    <w:rsid w:val="00261AC0"/>
    <w:rsid w:val="00261C4A"/>
    <w:rsid w:val="00261C76"/>
    <w:rsid w:val="00261E42"/>
    <w:rsid w:val="00261EBA"/>
    <w:rsid w:val="00261EC5"/>
    <w:rsid w:val="00262038"/>
    <w:rsid w:val="00262071"/>
    <w:rsid w:val="00262079"/>
    <w:rsid w:val="00262098"/>
    <w:rsid w:val="002620BE"/>
    <w:rsid w:val="00262120"/>
    <w:rsid w:val="0026216A"/>
    <w:rsid w:val="002621A1"/>
    <w:rsid w:val="002621A7"/>
    <w:rsid w:val="002622A3"/>
    <w:rsid w:val="002622C5"/>
    <w:rsid w:val="002622D4"/>
    <w:rsid w:val="00262305"/>
    <w:rsid w:val="0026234E"/>
    <w:rsid w:val="0026235C"/>
    <w:rsid w:val="0026238B"/>
    <w:rsid w:val="002623AE"/>
    <w:rsid w:val="002623DE"/>
    <w:rsid w:val="002624CA"/>
    <w:rsid w:val="00262565"/>
    <w:rsid w:val="002625EE"/>
    <w:rsid w:val="0026285C"/>
    <w:rsid w:val="00262885"/>
    <w:rsid w:val="00262894"/>
    <w:rsid w:val="00262905"/>
    <w:rsid w:val="00262937"/>
    <w:rsid w:val="0026294C"/>
    <w:rsid w:val="00262951"/>
    <w:rsid w:val="00262A11"/>
    <w:rsid w:val="00262A84"/>
    <w:rsid w:val="00262AC7"/>
    <w:rsid w:val="00262AD9"/>
    <w:rsid w:val="00262BF0"/>
    <w:rsid w:val="00262C2F"/>
    <w:rsid w:val="00262C54"/>
    <w:rsid w:val="00262CBA"/>
    <w:rsid w:val="00262D22"/>
    <w:rsid w:val="00262D6F"/>
    <w:rsid w:val="00262D71"/>
    <w:rsid w:val="00262DBF"/>
    <w:rsid w:val="00262E08"/>
    <w:rsid w:val="00262F81"/>
    <w:rsid w:val="00262FB2"/>
    <w:rsid w:val="00262FC8"/>
    <w:rsid w:val="002630A7"/>
    <w:rsid w:val="00263184"/>
    <w:rsid w:val="00263307"/>
    <w:rsid w:val="00263326"/>
    <w:rsid w:val="00263373"/>
    <w:rsid w:val="002633A0"/>
    <w:rsid w:val="0026342D"/>
    <w:rsid w:val="00263446"/>
    <w:rsid w:val="00263545"/>
    <w:rsid w:val="002635CB"/>
    <w:rsid w:val="00263644"/>
    <w:rsid w:val="002636E2"/>
    <w:rsid w:val="00263710"/>
    <w:rsid w:val="002637E1"/>
    <w:rsid w:val="0026389E"/>
    <w:rsid w:val="002638F8"/>
    <w:rsid w:val="00263A00"/>
    <w:rsid w:val="00263A73"/>
    <w:rsid w:val="00263A95"/>
    <w:rsid w:val="00263AA3"/>
    <w:rsid w:val="00263BC2"/>
    <w:rsid w:val="00263BC8"/>
    <w:rsid w:val="00263BCE"/>
    <w:rsid w:val="00263BE7"/>
    <w:rsid w:val="00263C1B"/>
    <w:rsid w:val="00263C53"/>
    <w:rsid w:val="00263CA1"/>
    <w:rsid w:val="00263CED"/>
    <w:rsid w:val="00263D86"/>
    <w:rsid w:val="00263D93"/>
    <w:rsid w:val="00263F4C"/>
    <w:rsid w:val="00263FC5"/>
    <w:rsid w:val="00264068"/>
    <w:rsid w:val="00264090"/>
    <w:rsid w:val="002640B5"/>
    <w:rsid w:val="002640D7"/>
    <w:rsid w:val="0026419D"/>
    <w:rsid w:val="00264202"/>
    <w:rsid w:val="00264295"/>
    <w:rsid w:val="0026435B"/>
    <w:rsid w:val="002643CD"/>
    <w:rsid w:val="002643D3"/>
    <w:rsid w:val="00264476"/>
    <w:rsid w:val="0026456E"/>
    <w:rsid w:val="00264574"/>
    <w:rsid w:val="00264613"/>
    <w:rsid w:val="00264620"/>
    <w:rsid w:val="002646FF"/>
    <w:rsid w:val="0026475A"/>
    <w:rsid w:val="00264781"/>
    <w:rsid w:val="002647A9"/>
    <w:rsid w:val="002647C1"/>
    <w:rsid w:val="002647D9"/>
    <w:rsid w:val="002649D1"/>
    <w:rsid w:val="00264A1C"/>
    <w:rsid w:val="00264A28"/>
    <w:rsid w:val="00264B39"/>
    <w:rsid w:val="00264BA7"/>
    <w:rsid w:val="00264E9A"/>
    <w:rsid w:val="00264F14"/>
    <w:rsid w:val="00264F1B"/>
    <w:rsid w:val="00264F48"/>
    <w:rsid w:val="00264F6B"/>
    <w:rsid w:val="00265026"/>
    <w:rsid w:val="00265066"/>
    <w:rsid w:val="002651BA"/>
    <w:rsid w:val="0026528F"/>
    <w:rsid w:val="002652C4"/>
    <w:rsid w:val="00265312"/>
    <w:rsid w:val="002653AF"/>
    <w:rsid w:val="002653E8"/>
    <w:rsid w:val="0026545A"/>
    <w:rsid w:val="0026549A"/>
    <w:rsid w:val="002655EA"/>
    <w:rsid w:val="00265771"/>
    <w:rsid w:val="002657D5"/>
    <w:rsid w:val="002657E4"/>
    <w:rsid w:val="002657E8"/>
    <w:rsid w:val="00265812"/>
    <w:rsid w:val="00265874"/>
    <w:rsid w:val="002658CF"/>
    <w:rsid w:val="002658E2"/>
    <w:rsid w:val="00265955"/>
    <w:rsid w:val="002659AA"/>
    <w:rsid w:val="00265AEB"/>
    <w:rsid w:val="00265BE2"/>
    <w:rsid w:val="00265BEA"/>
    <w:rsid w:val="00265C41"/>
    <w:rsid w:val="00265C93"/>
    <w:rsid w:val="00265CC5"/>
    <w:rsid w:val="00265D02"/>
    <w:rsid w:val="00265D66"/>
    <w:rsid w:val="00265E6D"/>
    <w:rsid w:val="00265E7B"/>
    <w:rsid w:val="00265EA4"/>
    <w:rsid w:val="00265F88"/>
    <w:rsid w:val="00266048"/>
    <w:rsid w:val="00266148"/>
    <w:rsid w:val="00266232"/>
    <w:rsid w:val="0026623A"/>
    <w:rsid w:val="00266251"/>
    <w:rsid w:val="002662F2"/>
    <w:rsid w:val="00266354"/>
    <w:rsid w:val="00266363"/>
    <w:rsid w:val="00266440"/>
    <w:rsid w:val="002664C5"/>
    <w:rsid w:val="002664DB"/>
    <w:rsid w:val="002664F8"/>
    <w:rsid w:val="00266509"/>
    <w:rsid w:val="0026650B"/>
    <w:rsid w:val="00266546"/>
    <w:rsid w:val="00266574"/>
    <w:rsid w:val="00266580"/>
    <w:rsid w:val="0026665D"/>
    <w:rsid w:val="00266710"/>
    <w:rsid w:val="0026672E"/>
    <w:rsid w:val="0026681C"/>
    <w:rsid w:val="00266851"/>
    <w:rsid w:val="0026689C"/>
    <w:rsid w:val="00266901"/>
    <w:rsid w:val="0026693B"/>
    <w:rsid w:val="0026699B"/>
    <w:rsid w:val="002669A1"/>
    <w:rsid w:val="00266AF0"/>
    <w:rsid w:val="00266B07"/>
    <w:rsid w:val="00266B3D"/>
    <w:rsid w:val="00266C14"/>
    <w:rsid w:val="00266C1B"/>
    <w:rsid w:val="00266CDD"/>
    <w:rsid w:val="00266D92"/>
    <w:rsid w:val="00266E08"/>
    <w:rsid w:val="00266E36"/>
    <w:rsid w:val="00266E37"/>
    <w:rsid w:val="00266ED6"/>
    <w:rsid w:val="00266EDC"/>
    <w:rsid w:val="00266EE2"/>
    <w:rsid w:val="00266F1C"/>
    <w:rsid w:val="00266F93"/>
    <w:rsid w:val="00267002"/>
    <w:rsid w:val="00267282"/>
    <w:rsid w:val="002672D6"/>
    <w:rsid w:val="0026736D"/>
    <w:rsid w:val="00267385"/>
    <w:rsid w:val="002673F1"/>
    <w:rsid w:val="0026751E"/>
    <w:rsid w:val="0026754B"/>
    <w:rsid w:val="00267582"/>
    <w:rsid w:val="002675A9"/>
    <w:rsid w:val="00267706"/>
    <w:rsid w:val="002677CA"/>
    <w:rsid w:val="002678E0"/>
    <w:rsid w:val="00267988"/>
    <w:rsid w:val="00267A32"/>
    <w:rsid w:val="00267ABB"/>
    <w:rsid w:val="00267AE7"/>
    <w:rsid w:val="00267AE9"/>
    <w:rsid w:val="00267B5C"/>
    <w:rsid w:val="00267B84"/>
    <w:rsid w:val="00267BC2"/>
    <w:rsid w:val="00267BCF"/>
    <w:rsid w:val="00267C6E"/>
    <w:rsid w:val="00267C8F"/>
    <w:rsid w:val="00267E09"/>
    <w:rsid w:val="00267E39"/>
    <w:rsid w:val="00267E7B"/>
    <w:rsid w:val="00267E9C"/>
    <w:rsid w:val="00267EA9"/>
    <w:rsid w:val="00267EAC"/>
    <w:rsid w:val="00267EC7"/>
    <w:rsid w:val="00267EC9"/>
    <w:rsid w:val="00267F65"/>
    <w:rsid w:val="0027004F"/>
    <w:rsid w:val="0027005B"/>
    <w:rsid w:val="002700D9"/>
    <w:rsid w:val="00270100"/>
    <w:rsid w:val="00270136"/>
    <w:rsid w:val="00270157"/>
    <w:rsid w:val="002701D5"/>
    <w:rsid w:val="002703C4"/>
    <w:rsid w:val="002704D2"/>
    <w:rsid w:val="002704F3"/>
    <w:rsid w:val="0027057D"/>
    <w:rsid w:val="00270598"/>
    <w:rsid w:val="002705A7"/>
    <w:rsid w:val="0027064F"/>
    <w:rsid w:val="00270658"/>
    <w:rsid w:val="0027066D"/>
    <w:rsid w:val="002706ED"/>
    <w:rsid w:val="00270942"/>
    <w:rsid w:val="002709F2"/>
    <w:rsid w:val="00270A5B"/>
    <w:rsid w:val="00270AA1"/>
    <w:rsid w:val="00270B6D"/>
    <w:rsid w:val="00270CBF"/>
    <w:rsid w:val="00270D20"/>
    <w:rsid w:val="00270D55"/>
    <w:rsid w:val="00270D9B"/>
    <w:rsid w:val="00270DB2"/>
    <w:rsid w:val="00270DF0"/>
    <w:rsid w:val="00270E10"/>
    <w:rsid w:val="00270E66"/>
    <w:rsid w:val="00270E95"/>
    <w:rsid w:val="00270F2D"/>
    <w:rsid w:val="00270F69"/>
    <w:rsid w:val="00270FA6"/>
    <w:rsid w:val="00270FE9"/>
    <w:rsid w:val="00270FF0"/>
    <w:rsid w:val="00270FF9"/>
    <w:rsid w:val="0027104A"/>
    <w:rsid w:val="00271059"/>
    <w:rsid w:val="002711B6"/>
    <w:rsid w:val="002711CF"/>
    <w:rsid w:val="00271201"/>
    <w:rsid w:val="00271238"/>
    <w:rsid w:val="0027125A"/>
    <w:rsid w:val="00271280"/>
    <w:rsid w:val="00271298"/>
    <w:rsid w:val="002712A6"/>
    <w:rsid w:val="0027139F"/>
    <w:rsid w:val="00271437"/>
    <w:rsid w:val="002714B8"/>
    <w:rsid w:val="002714BB"/>
    <w:rsid w:val="0027154D"/>
    <w:rsid w:val="00271615"/>
    <w:rsid w:val="00271650"/>
    <w:rsid w:val="00271693"/>
    <w:rsid w:val="002716AD"/>
    <w:rsid w:val="00271823"/>
    <w:rsid w:val="002718BA"/>
    <w:rsid w:val="0027197F"/>
    <w:rsid w:val="002719FB"/>
    <w:rsid w:val="00271A18"/>
    <w:rsid w:val="00271A19"/>
    <w:rsid w:val="00271A8B"/>
    <w:rsid w:val="00271A9D"/>
    <w:rsid w:val="00271AD3"/>
    <w:rsid w:val="00271B19"/>
    <w:rsid w:val="00271B4F"/>
    <w:rsid w:val="00271B74"/>
    <w:rsid w:val="00271BFF"/>
    <w:rsid w:val="00271CCA"/>
    <w:rsid w:val="00271D2E"/>
    <w:rsid w:val="00271D48"/>
    <w:rsid w:val="00271D9D"/>
    <w:rsid w:val="00271DC0"/>
    <w:rsid w:val="00271DC2"/>
    <w:rsid w:val="00271DD3"/>
    <w:rsid w:val="00271E00"/>
    <w:rsid w:val="00271E5C"/>
    <w:rsid w:val="00271EEA"/>
    <w:rsid w:val="00271F08"/>
    <w:rsid w:val="00271F93"/>
    <w:rsid w:val="00271FB0"/>
    <w:rsid w:val="00272022"/>
    <w:rsid w:val="002720BA"/>
    <w:rsid w:val="0027211C"/>
    <w:rsid w:val="0027211D"/>
    <w:rsid w:val="002721E1"/>
    <w:rsid w:val="00272294"/>
    <w:rsid w:val="002722A3"/>
    <w:rsid w:val="002722C6"/>
    <w:rsid w:val="00272305"/>
    <w:rsid w:val="00272344"/>
    <w:rsid w:val="00272428"/>
    <w:rsid w:val="002724DA"/>
    <w:rsid w:val="002724EA"/>
    <w:rsid w:val="00272532"/>
    <w:rsid w:val="00272545"/>
    <w:rsid w:val="00272556"/>
    <w:rsid w:val="00272578"/>
    <w:rsid w:val="002725EE"/>
    <w:rsid w:val="00272668"/>
    <w:rsid w:val="002726C4"/>
    <w:rsid w:val="00272722"/>
    <w:rsid w:val="0027275E"/>
    <w:rsid w:val="0027279E"/>
    <w:rsid w:val="002727B1"/>
    <w:rsid w:val="0027289E"/>
    <w:rsid w:val="002728A2"/>
    <w:rsid w:val="0027292B"/>
    <w:rsid w:val="00272A45"/>
    <w:rsid w:val="00272AE0"/>
    <w:rsid w:val="00272B80"/>
    <w:rsid w:val="00272B94"/>
    <w:rsid w:val="00272CD4"/>
    <w:rsid w:val="00272EB0"/>
    <w:rsid w:val="00272ED8"/>
    <w:rsid w:val="00272EE1"/>
    <w:rsid w:val="00272F04"/>
    <w:rsid w:val="00272F90"/>
    <w:rsid w:val="00272F99"/>
    <w:rsid w:val="00273022"/>
    <w:rsid w:val="0027305A"/>
    <w:rsid w:val="0027309B"/>
    <w:rsid w:val="002730FA"/>
    <w:rsid w:val="00273171"/>
    <w:rsid w:val="00273192"/>
    <w:rsid w:val="002731AB"/>
    <w:rsid w:val="002731AD"/>
    <w:rsid w:val="00273291"/>
    <w:rsid w:val="00273427"/>
    <w:rsid w:val="002735B2"/>
    <w:rsid w:val="0027360A"/>
    <w:rsid w:val="0027363E"/>
    <w:rsid w:val="00273662"/>
    <w:rsid w:val="00273668"/>
    <w:rsid w:val="0027366F"/>
    <w:rsid w:val="00273730"/>
    <w:rsid w:val="0027380E"/>
    <w:rsid w:val="00273816"/>
    <w:rsid w:val="002738EE"/>
    <w:rsid w:val="00273950"/>
    <w:rsid w:val="0027396A"/>
    <w:rsid w:val="002739AF"/>
    <w:rsid w:val="00273A2E"/>
    <w:rsid w:val="00273ADA"/>
    <w:rsid w:val="00273B8F"/>
    <w:rsid w:val="00273BD5"/>
    <w:rsid w:val="00273BF5"/>
    <w:rsid w:val="00273C75"/>
    <w:rsid w:val="00273C7F"/>
    <w:rsid w:val="00273D05"/>
    <w:rsid w:val="00273D7B"/>
    <w:rsid w:val="00273D88"/>
    <w:rsid w:val="00273DE5"/>
    <w:rsid w:val="00273E02"/>
    <w:rsid w:val="00273E25"/>
    <w:rsid w:val="00273E5C"/>
    <w:rsid w:val="00273F92"/>
    <w:rsid w:val="00274009"/>
    <w:rsid w:val="00274070"/>
    <w:rsid w:val="002740C2"/>
    <w:rsid w:val="00274101"/>
    <w:rsid w:val="00274113"/>
    <w:rsid w:val="002742F1"/>
    <w:rsid w:val="002742F3"/>
    <w:rsid w:val="002742F6"/>
    <w:rsid w:val="00274382"/>
    <w:rsid w:val="00274478"/>
    <w:rsid w:val="002744CD"/>
    <w:rsid w:val="002744E3"/>
    <w:rsid w:val="00274571"/>
    <w:rsid w:val="002745EB"/>
    <w:rsid w:val="002746A1"/>
    <w:rsid w:val="002746BE"/>
    <w:rsid w:val="002746F9"/>
    <w:rsid w:val="00274782"/>
    <w:rsid w:val="00274792"/>
    <w:rsid w:val="002747E0"/>
    <w:rsid w:val="0027484E"/>
    <w:rsid w:val="00274888"/>
    <w:rsid w:val="002748E4"/>
    <w:rsid w:val="0027493E"/>
    <w:rsid w:val="002749A0"/>
    <w:rsid w:val="00274A75"/>
    <w:rsid w:val="00274B02"/>
    <w:rsid w:val="00274C31"/>
    <w:rsid w:val="00274C58"/>
    <w:rsid w:val="00274D53"/>
    <w:rsid w:val="00274DD8"/>
    <w:rsid w:val="00274DFA"/>
    <w:rsid w:val="00274EE1"/>
    <w:rsid w:val="00274F05"/>
    <w:rsid w:val="00274F13"/>
    <w:rsid w:val="00274F3E"/>
    <w:rsid w:val="00274F51"/>
    <w:rsid w:val="00274FE4"/>
    <w:rsid w:val="0027506B"/>
    <w:rsid w:val="00275093"/>
    <w:rsid w:val="0027509C"/>
    <w:rsid w:val="00275141"/>
    <w:rsid w:val="0027514A"/>
    <w:rsid w:val="0027523F"/>
    <w:rsid w:val="00275253"/>
    <w:rsid w:val="002752C0"/>
    <w:rsid w:val="002752CF"/>
    <w:rsid w:val="00275442"/>
    <w:rsid w:val="00275462"/>
    <w:rsid w:val="00275467"/>
    <w:rsid w:val="0027549D"/>
    <w:rsid w:val="002754D9"/>
    <w:rsid w:val="002754E0"/>
    <w:rsid w:val="00275545"/>
    <w:rsid w:val="002756DF"/>
    <w:rsid w:val="00275795"/>
    <w:rsid w:val="002757B5"/>
    <w:rsid w:val="00275831"/>
    <w:rsid w:val="00275871"/>
    <w:rsid w:val="00275893"/>
    <w:rsid w:val="002758AD"/>
    <w:rsid w:val="00275940"/>
    <w:rsid w:val="00275943"/>
    <w:rsid w:val="00275944"/>
    <w:rsid w:val="0027598B"/>
    <w:rsid w:val="0027599E"/>
    <w:rsid w:val="002759D2"/>
    <w:rsid w:val="00275B6A"/>
    <w:rsid w:val="00275BA1"/>
    <w:rsid w:val="00275C2C"/>
    <w:rsid w:val="00275C81"/>
    <w:rsid w:val="00275E1C"/>
    <w:rsid w:val="00275E51"/>
    <w:rsid w:val="00275E75"/>
    <w:rsid w:val="00275FA1"/>
    <w:rsid w:val="00275FED"/>
    <w:rsid w:val="00275FEE"/>
    <w:rsid w:val="00276025"/>
    <w:rsid w:val="0027609D"/>
    <w:rsid w:val="00276111"/>
    <w:rsid w:val="0027622B"/>
    <w:rsid w:val="00276240"/>
    <w:rsid w:val="00276251"/>
    <w:rsid w:val="00276282"/>
    <w:rsid w:val="002762B3"/>
    <w:rsid w:val="002762F2"/>
    <w:rsid w:val="002764AA"/>
    <w:rsid w:val="00276563"/>
    <w:rsid w:val="002765CA"/>
    <w:rsid w:val="002765CB"/>
    <w:rsid w:val="002765ED"/>
    <w:rsid w:val="002766AA"/>
    <w:rsid w:val="0027672D"/>
    <w:rsid w:val="00276741"/>
    <w:rsid w:val="002767D8"/>
    <w:rsid w:val="0027685E"/>
    <w:rsid w:val="002768FF"/>
    <w:rsid w:val="00276900"/>
    <w:rsid w:val="0027691E"/>
    <w:rsid w:val="002769E5"/>
    <w:rsid w:val="002769E9"/>
    <w:rsid w:val="00276B30"/>
    <w:rsid w:val="00276B97"/>
    <w:rsid w:val="00276CDA"/>
    <w:rsid w:val="00276D79"/>
    <w:rsid w:val="00276D96"/>
    <w:rsid w:val="00276E04"/>
    <w:rsid w:val="00276E1C"/>
    <w:rsid w:val="00276E65"/>
    <w:rsid w:val="00276E71"/>
    <w:rsid w:val="00276EC4"/>
    <w:rsid w:val="00276EFF"/>
    <w:rsid w:val="00276F11"/>
    <w:rsid w:val="00276F12"/>
    <w:rsid w:val="00277140"/>
    <w:rsid w:val="0027723A"/>
    <w:rsid w:val="00277339"/>
    <w:rsid w:val="00277384"/>
    <w:rsid w:val="00277422"/>
    <w:rsid w:val="00277544"/>
    <w:rsid w:val="00277556"/>
    <w:rsid w:val="0027762A"/>
    <w:rsid w:val="00277643"/>
    <w:rsid w:val="002776BC"/>
    <w:rsid w:val="002776C1"/>
    <w:rsid w:val="00277743"/>
    <w:rsid w:val="00277808"/>
    <w:rsid w:val="0027797C"/>
    <w:rsid w:val="00277A5D"/>
    <w:rsid w:val="00277A7F"/>
    <w:rsid w:val="00277ADE"/>
    <w:rsid w:val="00277B9E"/>
    <w:rsid w:val="00277D32"/>
    <w:rsid w:val="00277D59"/>
    <w:rsid w:val="00277D65"/>
    <w:rsid w:val="00277DF1"/>
    <w:rsid w:val="00277DF4"/>
    <w:rsid w:val="00277E5D"/>
    <w:rsid w:val="00277EAC"/>
    <w:rsid w:val="00277F25"/>
    <w:rsid w:val="00277FB1"/>
    <w:rsid w:val="00280040"/>
    <w:rsid w:val="0028007F"/>
    <w:rsid w:val="00280106"/>
    <w:rsid w:val="0028014C"/>
    <w:rsid w:val="00280170"/>
    <w:rsid w:val="00280185"/>
    <w:rsid w:val="002801B8"/>
    <w:rsid w:val="002801D0"/>
    <w:rsid w:val="0028021C"/>
    <w:rsid w:val="002802B1"/>
    <w:rsid w:val="002802F2"/>
    <w:rsid w:val="0028031A"/>
    <w:rsid w:val="0028031F"/>
    <w:rsid w:val="00280371"/>
    <w:rsid w:val="00280373"/>
    <w:rsid w:val="002803A4"/>
    <w:rsid w:val="002803B8"/>
    <w:rsid w:val="00280414"/>
    <w:rsid w:val="00280429"/>
    <w:rsid w:val="002804A6"/>
    <w:rsid w:val="002804DE"/>
    <w:rsid w:val="002804E3"/>
    <w:rsid w:val="002804F1"/>
    <w:rsid w:val="0028050F"/>
    <w:rsid w:val="0028056D"/>
    <w:rsid w:val="002805AE"/>
    <w:rsid w:val="00280672"/>
    <w:rsid w:val="0028067E"/>
    <w:rsid w:val="00280699"/>
    <w:rsid w:val="0028070E"/>
    <w:rsid w:val="002807E2"/>
    <w:rsid w:val="002807FE"/>
    <w:rsid w:val="002808ED"/>
    <w:rsid w:val="00280965"/>
    <w:rsid w:val="00280992"/>
    <w:rsid w:val="002809AA"/>
    <w:rsid w:val="00280A01"/>
    <w:rsid w:val="00280B10"/>
    <w:rsid w:val="00280B61"/>
    <w:rsid w:val="00280D0C"/>
    <w:rsid w:val="00280E7A"/>
    <w:rsid w:val="00280E91"/>
    <w:rsid w:val="00280E99"/>
    <w:rsid w:val="00280EDE"/>
    <w:rsid w:val="002810B7"/>
    <w:rsid w:val="002810B8"/>
    <w:rsid w:val="002810E8"/>
    <w:rsid w:val="0028111E"/>
    <w:rsid w:val="002811A5"/>
    <w:rsid w:val="0028121F"/>
    <w:rsid w:val="00281346"/>
    <w:rsid w:val="0028149B"/>
    <w:rsid w:val="002814D7"/>
    <w:rsid w:val="002814EA"/>
    <w:rsid w:val="00281539"/>
    <w:rsid w:val="0028157F"/>
    <w:rsid w:val="0028165E"/>
    <w:rsid w:val="002819A1"/>
    <w:rsid w:val="00281A72"/>
    <w:rsid w:val="00281AA2"/>
    <w:rsid w:val="00281B06"/>
    <w:rsid w:val="00281B1F"/>
    <w:rsid w:val="00281C5D"/>
    <w:rsid w:val="00281C67"/>
    <w:rsid w:val="00281CA9"/>
    <w:rsid w:val="00281D36"/>
    <w:rsid w:val="00281D72"/>
    <w:rsid w:val="00281DCF"/>
    <w:rsid w:val="00281E2E"/>
    <w:rsid w:val="00281E34"/>
    <w:rsid w:val="00281EC8"/>
    <w:rsid w:val="00281ECA"/>
    <w:rsid w:val="00281F62"/>
    <w:rsid w:val="00281F76"/>
    <w:rsid w:val="00281F89"/>
    <w:rsid w:val="00281FF4"/>
    <w:rsid w:val="00282052"/>
    <w:rsid w:val="0028206B"/>
    <w:rsid w:val="002820F4"/>
    <w:rsid w:val="0028214B"/>
    <w:rsid w:val="00282187"/>
    <w:rsid w:val="002821E0"/>
    <w:rsid w:val="0028222A"/>
    <w:rsid w:val="0028229C"/>
    <w:rsid w:val="00282337"/>
    <w:rsid w:val="0028237B"/>
    <w:rsid w:val="002823AF"/>
    <w:rsid w:val="002823CA"/>
    <w:rsid w:val="00282405"/>
    <w:rsid w:val="00282630"/>
    <w:rsid w:val="002826B0"/>
    <w:rsid w:val="002826B1"/>
    <w:rsid w:val="002826ED"/>
    <w:rsid w:val="002827AE"/>
    <w:rsid w:val="002827CB"/>
    <w:rsid w:val="002829F1"/>
    <w:rsid w:val="00282AE5"/>
    <w:rsid w:val="00282AEF"/>
    <w:rsid w:val="00282B3F"/>
    <w:rsid w:val="00282C5F"/>
    <w:rsid w:val="00282D3F"/>
    <w:rsid w:val="00282F55"/>
    <w:rsid w:val="00283058"/>
    <w:rsid w:val="0028305C"/>
    <w:rsid w:val="00283081"/>
    <w:rsid w:val="002830C3"/>
    <w:rsid w:val="0028318C"/>
    <w:rsid w:val="002831A2"/>
    <w:rsid w:val="002831C2"/>
    <w:rsid w:val="0028328D"/>
    <w:rsid w:val="00283317"/>
    <w:rsid w:val="00283395"/>
    <w:rsid w:val="002833C8"/>
    <w:rsid w:val="0028347C"/>
    <w:rsid w:val="0028354F"/>
    <w:rsid w:val="00283638"/>
    <w:rsid w:val="00283671"/>
    <w:rsid w:val="002836A9"/>
    <w:rsid w:val="0028371B"/>
    <w:rsid w:val="00283753"/>
    <w:rsid w:val="002837B7"/>
    <w:rsid w:val="00283880"/>
    <w:rsid w:val="002838AD"/>
    <w:rsid w:val="002838F1"/>
    <w:rsid w:val="0028392C"/>
    <w:rsid w:val="00283962"/>
    <w:rsid w:val="002839B1"/>
    <w:rsid w:val="002839C3"/>
    <w:rsid w:val="00283A55"/>
    <w:rsid w:val="00283ADB"/>
    <w:rsid w:val="00283B13"/>
    <w:rsid w:val="00283B21"/>
    <w:rsid w:val="00283B50"/>
    <w:rsid w:val="00283C36"/>
    <w:rsid w:val="00283CFD"/>
    <w:rsid w:val="00283D49"/>
    <w:rsid w:val="00283D50"/>
    <w:rsid w:val="00283DFD"/>
    <w:rsid w:val="00283E49"/>
    <w:rsid w:val="00283F78"/>
    <w:rsid w:val="00283FD5"/>
    <w:rsid w:val="00283FE1"/>
    <w:rsid w:val="0028410B"/>
    <w:rsid w:val="00284112"/>
    <w:rsid w:val="00284203"/>
    <w:rsid w:val="00284222"/>
    <w:rsid w:val="00284270"/>
    <w:rsid w:val="0028430B"/>
    <w:rsid w:val="0028432D"/>
    <w:rsid w:val="002843E6"/>
    <w:rsid w:val="00284431"/>
    <w:rsid w:val="00284471"/>
    <w:rsid w:val="0028448D"/>
    <w:rsid w:val="0028449F"/>
    <w:rsid w:val="0028456E"/>
    <w:rsid w:val="002846A1"/>
    <w:rsid w:val="00284765"/>
    <w:rsid w:val="0028478E"/>
    <w:rsid w:val="0028480C"/>
    <w:rsid w:val="00284864"/>
    <w:rsid w:val="002848C1"/>
    <w:rsid w:val="002848C5"/>
    <w:rsid w:val="00284982"/>
    <w:rsid w:val="0028498B"/>
    <w:rsid w:val="00284A39"/>
    <w:rsid w:val="00284B3A"/>
    <w:rsid w:val="00284B88"/>
    <w:rsid w:val="00284C53"/>
    <w:rsid w:val="00284CDE"/>
    <w:rsid w:val="00284D0B"/>
    <w:rsid w:val="00284E27"/>
    <w:rsid w:val="00284E62"/>
    <w:rsid w:val="00284F3B"/>
    <w:rsid w:val="00284F59"/>
    <w:rsid w:val="0028502C"/>
    <w:rsid w:val="00285081"/>
    <w:rsid w:val="002850C3"/>
    <w:rsid w:val="002850E0"/>
    <w:rsid w:val="00285192"/>
    <w:rsid w:val="00285194"/>
    <w:rsid w:val="002851A7"/>
    <w:rsid w:val="002851AC"/>
    <w:rsid w:val="00285227"/>
    <w:rsid w:val="00285231"/>
    <w:rsid w:val="002852DF"/>
    <w:rsid w:val="00285378"/>
    <w:rsid w:val="00285409"/>
    <w:rsid w:val="00285411"/>
    <w:rsid w:val="002855E8"/>
    <w:rsid w:val="00285660"/>
    <w:rsid w:val="002856F3"/>
    <w:rsid w:val="0028570F"/>
    <w:rsid w:val="00285717"/>
    <w:rsid w:val="00285759"/>
    <w:rsid w:val="0028576E"/>
    <w:rsid w:val="002857AF"/>
    <w:rsid w:val="002857FD"/>
    <w:rsid w:val="0028584C"/>
    <w:rsid w:val="00285866"/>
    <w:rsid w:val="002858EE"/>
    <w:rsid w:val="00285962"/>
    <w:rsid w:val="00285970"/>
    <w:rsid w:val="002859DF"/>
    <w:rsid w:val="00285A08"/>
    <w:rsid w:val="00285AC4"/>
    <w:rsid w:val="00285AF1"/>
    <w:rsid w:val="00285B1B"/>
    <w:rsid w:val="00285B27"/>
    <w:rsid w:val="00285B3E"/>
    <w:rsid w:val="00285B86"/>
    <w:rsid w:val="00285BE4"/>
    <w:rsid w:val="00285C3E"/>
    <w:rsid w:val="00285D4A"/>
    <w:rsid w:val="00285D76"/>
    <w:rsid w:val="00285E8B"/>
    <w:rsid w:val="00285F92"/>
    <w:rsid w:val="00286068"/>
    <w:rsid w:val="00286081"/>
    <w:rsid w:val="002860E7"/>
    <w:rsid w:val="00286167"/>
    <w:rsid w:val="00286176"/>
    <w:rsid w:val="0028624C"/>
    <w:rsid w:val="002862CB"/>
    <w:rsid w:val="00286367"/>
    <w:rsid w:val="002863DD"/>
    <w:rsid w:val="00286415"/>
    <w:rsid w:val="00286425"/>
    <w:rsid w:val="0028645F"/>
    <w:rsid w:val="00286576"/>
    <w:rsid w:val="002866D9"/>
    <w:rsid w:val="00286749"/>
    <w:rsid w:val="002867A9"/>
    <w:rsid w:val="002867E0"/>
    <w:rsid w:val="00286839"/>
    <w:rsid w:val="00286920"/>
    <w:rsid w:val="00286973"/>
    <w:rsid w:val="002869D8"/>
    <w:rsid w:val="00286A6F"/>
    <w:rsid w:val="00286A94"/>
    <w:rsid w:val="00286BB5"/>
    <w:rsid w:val="00286BC7"/>
    <w:rsid w:val="00286C1A"/>
    <w:rsid w:val="00286D33"/>
    <w:rsid w:val="00286D37"/>
    <w:rsid w:val="00286DE1"/>
    <w:rsid w:val="00286DEC"/>
    <w:rsid w:val="00286E11"/>
    <w:rsid w:val="00286E47"/>
    <w:rsid w:val="00286E4F"/>
    <w:rsid w:val="00286E8E"/>
    <w:rsid w:val="00286EBB"/>
    <w:rsid w:val="00286EFD"/>
    <w:rsid w:val="00286F12"/>
    <w:rsid w:val="00287020"/>
    <w:rsid w:val="00287117"/>
    <w:rsid w:val="0028711E"/>
    <w:rsid w:val="002871E4"/>
    <w:rsid w:val="002871FC"/>
    <w:rsid w:val="00287221"/>
    <w:rsid w:val="0028722B"/>
    <w:rsid w:val="0028722D"/>
    <w:rsid w:val="002872EC"/>
    <w:rsid w:val="00287307"/>
    <w:rsid w:val="0028730A"/>
    <w:rsid w:val="0028733B"/>
    <w:rsid w:val="0028733D"/>
    <w:rsid w:val="0028735A"/>
    <w:rsid w:val="0028745F"/>
    <w:rsid w:val="0028768E"/>
    <w:rsid w:val="002876A0"/>
    <w:rsid w:val="00287701"/>
    <w:rsid w:val="0028781F"/>
    <w:rsid w:val="00287871"/>
    <w:rsid w:val="002878B3"/>
    <w:rsid w:val="002879A6"/>
    <w:rsid w:val="002879DF"/>
    <w:rsid w:val="00287A09"/>
    <w:rsid w:val="00287ADE"/>
    <w:rsid w:val="00287B9D"/>
    <w:rsid w:val="00287BAE"/>
    <w:rsid w:val="00287BF1"/>
    <w:rsid w:val="00287C2F"/>
    <w:rsid w:val="00287CBB"/>
    <w:rsid w:val="00287CC1"/>
    <w:rsid w:val="00287CCA"/>
    <w:rsid w:val="00287CE2"/>
    <w:rsid w:val="00287D16"/>
    <w:rsid w:val="00287D4B"/>
    <w:rsid w:val="00287D66"/>
    <w:rsid w:val="00287DD8"/>
    <w:rsid w:val="00287E09"/>
    <w:rsid w:val="00287E47"/>
    <w:rsid w:val="00287E4F"/>
    <w:rsid w:val="00287E62"/>
    <w:rsid w:val="00290014"/>
    <w:rsid w:val="0029016B"/>
    <w:rsid w:val="002901C3"/>
    <w:rsid w:val="002901DC"/>
    <w:rsid w:val="002901FD"/>
    <w:rsid w:val="00290225"/>
    <w:rsid w:val="002902FF"/>
    <w:rsid w:val="0029043C"/>
    <w:rsid w:val="002904C7"/>
    <w:rsid w:val="00290596"/>
    <w:rsid w:val="0029073E"/>
    <w:rsid w:val="0029076A"/>
    <w:rsid w:val="002907C7"/>
    <w:rsid w:val="002907C9"/>
    <w:rsid w:val="002908A0"/>
    <w:rsid w:val="002908D2"/>
    <w:rsid w:val="00290943"/>
    <w:rsid w:val="00290BF3"/>
    <w:rsid w:val="00290CEB"/>
    <w:rsid w:val="00290D07"/>
    <w:rsid w:val="00290FC5"/>
    <w:rsid w:val="0029103B"/>
    <w:rsid w:val="00291059"/>
    <w:rsid w:val="0029114C"/>
    <w:rsid w:val="002912CF"/>
    <w:rsid w:val="0029136B"/>
    <w:rsid w:val="002913EA"/>
    <w:rsid w:val="002914E2"/>
    <w:rsid w:val="0029150E"/>
    <w:rsid w:val="00291644"/>
    <w:rsid w:val="00291685"/>
    <w:rsid w:val="00291784"/>
    <w:rsid w:val="002918AA"/>
    <w:rsid w:val="002918D3"/>
    <w:rsid w:val="00291934"/>
    <w:rsid w:val="00291AAD"/>
    <w:rsid w:val="00291AAE"/>
    <w:rsid w:val="00291B50"/>
    <w:rsid w:val="00291B7E"/>
    <w:rsid w:val="00291C40"/>
    <w:rsid w:val="00291C69"/>
    <w:rsid w:val="00291C7F"/>
    <w:rsid w:val="00291D10"/>
    <w:rsid w:val="00291DD8"/>
    <w:rsid w:val="00291DE9"/>
    <w:rsid w:val="00291DFB"/>
    <w:rsid w:val="00291E50"/>
    <w:rsid w:val="00291E8F"/>
    <w:rsid w:val="00291EA1"/>
    <w:rsid w:val="00291EFB"/>
    <w:rsid w:val="00291F51"/>
    <w:rsid w:val="00291F88"/>
    <w:rsid w:val="0029203C"/>
    <w:rsid w:val="00292099"/>
    <w:rsid w:val="00292117"/>
    <w:rsid w:val="0029218D"/>
    <w:rsid w:val="00292192"/>
    <w:rsid w:val="002921B1"/>
    <w:rsid w:val="0029221B"/>
    <w:rsid w:val="00292429"/>
    <w:rsid w:val="0029248E"/>
    <w:rsid w:val="002925A7"/>
    <w:rsid w:val="002925FD"/>
    <w:rsid w:val="0029266D"/>
    <w:rsid w:val="0029267A"/>
    <w:rsid w:val="002926BE"/>
    <w:rsid w:val="002926D4"/>
    <w:rsid w:val="00292793"/>
    <w:rsid w:val="002927F9"/>
    <w:rsid w:val="00292854"/>
    <w:rsid w:val="00292930"/>
    <w:rsid w:val="0029299C"/>
    <w:rsid w:val="00292A79"/>
    <w:rsid w:val="00292A7C"/>
    <w:rsid w:val="00292B0B"/>
    <w:rsid w:val="00292BAE"/>
    <w:rsid w:val="00292BD9"/>
    <w:rsid w:val="00292C05"/>
    <w:rsid w:val="00292DAF"/>
    <w:rsid w:val="00292F1A"/>
    <w:rsid w:val="00293015"/>
    <w:rsid w:val="0029308E"/>
    <w:rsid w:val="002930E5"/>
    <w:rsid w:val="00293117"/>
    <w:rsid w:val="00293162"/>
    <w:rsid w:val="002931EE"/>
    <w:rsid w:val="00293200"/>
    <w:rsid w:val="00293255"/>
    <w:rsid w:val="00293267"/>
    <w:rsid w:val="002932B7"/>
    <w:rsid w:val="00293412"/>
    <w:rsid w:val="0029341F"/>
    <w:rsid w:val="00293438"/>
    <w:rsid w:val="00293442"/>
    <w:rsid w:val="00293494"/>
    <w:rsid w:val="002934B8"/>
    <w:rsid w:val="002934F3"/>
    <w:rsid w:val="002935A0"/>
    <w:rsid w:val="002935C1"/>
    <w:rsid w:val="00293600"/>
    <w:rsid w:val="002936EC"/>
    <w:rsid w:val="0029371E"/>
    <w:rsid w:val="00293724"/>
    <w:rsid w:val="0029373C"/>
    <w:rsid w:val="00293756"/>
    <w:rsid w:val="00293777"/>
    <w:rsid w:val="00293795"/>
    <w:rsid w:val="00293797"/>
    <w:rsid w:val="002937EF"/>
    <w:rsid w:val="00293887"/>
    <w:rsid w:val="00293888"/>
    <w:rsid w:val="002938DA"/>
    <w:rsid w:val="002938ED"/>
    <w:rsid w:val="0029393D"/>
    <w:rsid w:val="00293988"/>
    <w:rsid w:val="0029398C"/>
    <w:rsid w:val="00293A65"/>
    <w:rsid w:val="00293AD4"/>
    <w:rsid w:val="00293B2D"/>
    <w:rsid w:val="00293B89"/>
    <w:rsid w:val="00293C5F"/>
    <w:rsid w:val="00293CA1"/>
    <w:rsid w:val="00293D64"/>
    <w:rsid w:val="00293DF7"/>
    <w:rsid w:val="00293E29"/>
    <w:rsid w:val="00293E38"/>
    <w:rsid w:val="00293E5C"/>
    <w:rsid w:val="00293ECB"/>
    <w:rsid w:val="00293F11"/>
    <w:rsid w:val="00293F45"/>
    <w:rsid w:val="00293F5E"/>
    <w:rsid w:val="00293F87"/>
    <w:rsid w:val="00294086"/>
    <w:rsid w:val="0029411F"/>
    <w:rsid w:val="00294133"/>
    <w:rsid w:val="00294224"/>
    <w:rsid w:val="00294228"/>
    <w:rsid w:val="00294278"/>
    <w:rsid w:val="002942AA"/>
    <w:rsid w:val="00294320"/>
    <w:rsid w:val="002943CE"/>
    <w:rsid w:val="002943D5"/>
    <w:rsid w:val="002943FB"/>
    <w:rsid w:val="00294441"/>
    <w:rsid w:val="002944EF"/>
    <w:rsid w:val="002944F3"/>
    <w:rsid w:val="00294597"/>
    <w:rsid w:val="002945A3"/>
    <w:rsid w:val="002945F9"/>
    <w:rsid w:val="00294633"/>
    <w:rsid w:val="0029476B"/>
    <w:rsid w:val="0029478C"/>
    <w:rsid w:val="00294947"/>
    <w:rsid w:val="00294974"/>
    <w:rsid w:val="0029498C"/>
    <w:rsid w:val="00294B22"/>
    <w:rsid w:val="00294B90"/>
    <w:rsid w:val="00294BC9"/>
    <w:rsid w:val="00294C25"/>
    <w:rsid w:val="00294D22"/>
    <w:rsid w:val="00294D45"/>
    <w:rsid w:val="00294D48"/>
    <w:rsid w:val="00294D89"/>
    <w:rsid w:val="00294DAB"/>
    <w:rsid w:val="00294DC6"/>
    <w:rsid w:val="00294DC7"/>
    <w:rsid w:val="00294E4D"/>
    <w:rsid w:val="00294E4F"/>
    <w:rsid w:val="00294E7D"/>
    <w:rsid w:val="00294F86"/>
    <w:rsid w:val="00294FA5"/>
    <w:rsid w:val="00295065"/>
    <w:rsid w:val="002951D0"/>
    <w:rsid w:val="00295267"/>
    <w:rsid w:val="00295268"/>
    <w:rsid w:val="002952D5"/>
    <w:rsid w:val="00295306"/>
    <w:rsid w:val="00295358"/>
    <w:rsid w:val="002953E9"/>
    <w:rsid w:val="00295485"/>
    <w:rsid w:val="002954D0"/>
    <w:rsid w:val="002955C3"/>
    <w:rsid w:val="00295670"/>
    <w:rsid w:val="00295690"/>
    <w:rsid w:val="002956BB"/>
    <w:rsid w:val="00295740"/>
    <w:rsid w:val="002957B3"/>
    <w:rsid w:val="002957BF"/>
    <w:rsid w:val="002957F7"/>
    <w:rsid w:val="002958D7"/>
    <w:rsid w:val="002958FE"/>
    <w:rsid w:val="00295939"/>
    <w:rsid w:val="00295943"/>
    <w:rsid w:val="00295BA7"/>
    <w:rsid w:val="00295CD7"/>
    <w:rsid w:val="00295DAA"/>
    <w:rsid w:val="00295E29"/>
    <w:rsid w:val="00295FD1"/>
    <w:rsid w:val="00296056"/>
    <w:rsid w:val="00296086"/>
    <w:rsid w:val="002960AE"/>
    <w:rsid w:val="00296191"/>
    <w:rsid w:val="002961B3"/>
    <w:rsid w:val="002961C4"/>
    <w:rsid w:val="0029625B"/>
    <w:rsid w:val="002962F7"/>
    <w:rsid w:val="00296303"/>
    <w:rsid w:val="0029633C"/>
    <w:rsid w:val="002963B5"/>
    <w:rsid w:val="002964E0"/>
    <w:rsid w:val="00296503"/>
    <w:rsid w:val="00296596"/>
    <w:rsid w:val="002965B5"/>
    <w:rsid w:val="002965DC"/>
    <w:rsid w:val="00296606"/>
    <w:rsid w:val="002966AD"/>
    <w:rsid w:val="0029673C"/>
    <w:rsid w:val="002967F4"/>
    <w:rsid w:val="00296832"/>
    <w:rsid w:val="0029689A"/>
    <w:rsid w:val="0029691C"/>
    <w:rsid w:val="00296963"/>
    <w:rsid w:val="002969F5"/>
    <w:rsid w:val="00296A0C"/>
    <w:rsid w:val="00296A81"/>
    <w:rsid w:val="00296A93"/>
    <w:rsid w:val="00296BBB"/>
    <w:rsid w:val="00296BE5"/>
    <w:rsid w:val="00296C10"/>
    <w:rsid w:val="00296C4F"/>
    <w:rsid w:val="00296C66"/>
    <w:rsid w:val="00296C96"/>
    <w:rsid w:val="00296CEE"/>
    <w:rsid w:val="00296D02"/>
    <w:rsid w:val="00296D03"/>
    <w:rsid w:val="00296E00"/>
    <w:rsid w:val="00296E5E"/>
    <w:rsid w:val="00296E99"/>
    <w:rsid w:val="00296EBA"/>
    <w:rsid w:val="00296F99"/>
    <w:rsid w:val="00297039"/>
    <w:rsid w:val="0029704F"/>
    <w:rsid w:val="002970D4"/>
    <w:rsid w:val="002970DE"/>
    <w:rsid w:val="00297132"/>
    <w:rsid w:val="002971A9"/>
    <w:rsid w:val="00297252"/>
    <w:rsid w:val="002972D6"/>
    <w:rsid w:val="002972DF"/>
    <w:rsid w:val="0029737B"/>
    <w:rsid w:val="00297445"/>
    <w:rsid w:val="00297490"/>
    <w:rsid w:val="00297512"/>
    <w:rsid w:val="00297569"/>
    <w:rsid w:val="00297584"/>
    <w:rsid w:val="00297669"/>
    <w:rsid w:val="002976A8"/>
    <w:rsid w:val="002976E9"/>
    <w:rsid w:val="002976F5"/>
    <w:rsid w:val="002976F6"/>
    <w:rsid w:val="00297797"/>
    <w:rsid w:val="002977A7"/>
    <w:rsid w:val="0029782D"/>
    <w:rsid w:val="00297864"/>
    <w:rsid w:val="002978FB"/>
    <w:rsid w:val="0029790E"/>
    <w:rsid w:val="0029795F"/>
    <w:rsid w:val="002979FD"/>
    <w:rsid w:val="00297A42"/>
    <w:rsid w:val="00297A93"/>
    <w:rsid w:val="00297AA0"/>
    <w:rsid w:val="00297C43"/>
    <w:rsid w:val="00297D01"/>
    <w:rsid w:val="00297DF2"/>
    <w:rsid w:val="00297EBA"/>
    <w:rsid w:val="00297EEA"/>
    <w:rsid w:val="00297EF9"/>
    <w:rsid w:val="00297F92"/>
    <w:rsid w:val="002A0074"/>
    <w:rsid w:val="002A00D1"/>
    <w:rsid w:val="002A0131"/>
    <w:rsid w:val="002A01BD"/>
    <w:rsid w:val="002A02C2"/>
    <w:rsid w:val="002A0413"/>
    <w:rsid w:val="002A041A"/>
    <w:rsid w:val="002A045F"/>
    <w:rsid w:val="002A0466"/>
    <w:rsid w:val="002A04DB"/>
    <w:rsid w:val="002A0626"/>
    <w:rsid w:val="002A0666"/>
    <w:rsid w:val="002A084E"/>
    <w:rsid w:val="002A0897"/>
    <w:rsid w:val="002A096C"/>
    <w:rsid w:val="002A0974"/>
    <w:rsid w:val="002A0A53"/>
    <w:rsid w:val="002A0B0A"/>
    <w:rsid w:val="002A0B2A"/>
    <w:rsid w:val="002A0BE2"/>
    <w:rsid w:val="002A0BEF"/>
    <w:rsid w:val="002A0C1D"/>
    <w:rsid w:val="002A0C80"/>
    <w:rsid w:val="002A0CC3"/>
    <w:rsid w:val="002A0D5B"/>
    <w:rsid w:val="002A0D64"/>
    <w:rsid w:val="002A0D77"/>
    <w:rsid w:val="002A0DE7"/>
    <w:rsid w:val="002A0E37"/>
    <w:rsid w:val="002A0E43"/>
    <w:rsid w:val="002A0E53"/>
    <w:rsid w:val="002A0E7F"/>
    <w:rsid w:val="002A0E98"/>
    <w:rsid w:val="002A0ED1"/>
    <w:rsid w:val="002A0F13"/>
    <w:rsid w:val="002A0FCB"/>
    <w:rsid w:val="002A0FF1"/>
    <w:rsid w:val="002A1032"/>
    <w:rsid w:val="002A104D"/>
    <w:rsid w:val="002A10F1"/>
    <w:rsid w:val="002A1150"/>
    <w:rsid w:val="002A119D"/>
    <w:rsid w:val="002A11B6"/>
    <w:rsid w:val="002A1280"/>
    <w:rsid w:val="002A1305"/>
    <w:rsid w:val="002A133A"/>
    <w:rsid w:val="002A1394"/>
    <w:rsid w:val="002A140C"/>
    <w:rsid w:val="002A143A"/>
    <w:rsid w:val="002A16EC"/>
    <w:rsid w:val="002A1742"/>
    <w:rsid w:val="002A178A"/>
    <w:rsid w:val="002A1858"/>
    <w:rsid w:val="002A189F"/>
    <w:rsid w:val="002A18D1"/>
    <w:rsid w:val="002A18FB"/>
    <w:rsid w:val="002A192A"/>
    <w:rsid w:val="002A198A"/>
    <w:rsid w:val="002A19AE"/>
    <w:rsid w:val="002A19E4"/>
    <w:rsid w:val="002A1A12"/>
    <w:rsid w:val="002A1B30"/>
    <w:rsid w:val="002A1BA1"/>
    <w:rsid w:val="002A1C4B"/>
    <w:rsid w:val="002A1CF1"/>
    <w:rsid w:val="002A1E04"/>
    <w:rsid w:val="002A1F88"/>
    <w:rsid w:val="002A1FDB"/>
    <w:rsid w:val="002A1FE9"/>
    <w:rsid w:val="002A2163"/>
    <w:rsid w:val="002A21D1"/>
    <w:rsid w:val="002A221D"/>
    <w:rsid w:val="002A2297"/>
    <w:rsid w:val="002A22A2"/>
    <w:rsid w:val="002A2318"/>
    <w:rsid w:val="002A2333"/>
    <w:rsid w:val="002A23B0"/>
    <w:rsid w:val="002A23C9"/>
    <w:rsid w:val="002A2407"/>
    <w:rsid w:val="002A241D"/>
    <w:rsid w:val="002A24B6"/>
    <w:rsid w:val="002A2548"/>
    <w:rsid w:val="002A27E8"/>
    <w:rsid w:val="002A282A"/>
    <w:rsid w:val="002A28F1"/>
    <w:rsid w:val="002A299E"/>
    <w:rsid w:val="002A2A95"/>
    <w:rsid w:val="002A2AA0"/>
    <w:rsid w:val="002A2AEC"/>
    <w:rsid w:val="002A2BA7"/>
    <w:rsid w:val="002A2BE4"/>
    <w:rsid w:val="002A2BE7"/>
    <w:rsid w:val="002A2C2B"/>
    <w:rsid w:val="002A2C2D"/>
    <w:rsid w:val="002A2CFA"/>
    <w:rsid w:val="002A2D85"/>
    <w:rsid w:val="002A2E13"/>
    <w:rsid w:val="002A2E32"/>
    <w:rsid w:val="002A2E4D"/>
    <w:rsid w:val="002A2E64"/>
    <w:rsid w:val="002A2E87"/>
    <w:rsid w:val="002A2ED2"/>
    <w:rsid w:val="002A2FB8"/>
    <w:rsid w:val="002A3007"/>
    <w:rsid w:val="002A3058"/>
    <w:rsid w:val="002A3085"/>
    <w:rsid w:val="002A3119"/>
    <w:rsid w:val="002A319B"/>
    <w:rsid w:val="002A31F7"/>
    <w:rsid w:val="002A322C"/>
    <w:rsid w:val="002A323C"/>
    <w:rsid w:val="002A3240"/>
    <w:rsid w:val="002A3258"/>
    <w:rsid w:val="002A3319"/>
    <w:rsid w:val="002A3431"/>
    <w:rsid w:val="002A34EA"/>
    <w:rsid w:val="002A34FF"/>
    <w:rsid w:val="002A3578"/>
    <w:rsid w:val="002A363F"/>
    <w:rsid w:val="002A3661"/>
    <w:rsid w:val="002A3668"/>
    <w:rsid w:val="002A36E3"/>
    <w:rsid w:val="002A3722"/>
    <w:rsid w:val="002A37B7"/>
    <w:rsid w:val="002A3817"/>
    <w:rsid w:val="002A38AE"/>
    <w:rsid w:val="002A38B3"/>
    <w:rsid w:val="002A3930"/>
    <w:rsid w:val="002A39EB"/>
    <w:rsid w:val="002A3A93"/>
    <w:rsid w:val="002A3A96"/>
    <w:rsid w:val="002A3B08"/>
    <w:rsid w:val="002A3B10"/>
    <w:rsid w:val="002A3B21"/>
    <w:rsid w:val="002A3B2A"/>
    <w:rsid w:val="002A3E4E"/>
    <w:rsid w:val="002A3ECA"/>
    <w:rsid w:val="002A3F9B"/>
    <w:rsid w:val="002A400E"/>
    <w:rsid w:val="002A4104"/>
    <w:rsid w:val="002A412D"/>
    <w:rsid w:val="002A4166"/>
    <w:rsid w:val="002A4276"/>
    <w:rsid w:val="002A4362"/>
    <w:rsid w:val="002A4377"/>
    <w:rsid w:val="002A43F0"/>
    <w:rsid w:val="002A4448"/>
    <w:rsid w:val="002A448C"/>
    <w:rsid w:val="002A449E"/>
    <w:rsid w:val="002A44A9"/>
    <w:rsid w:val="002A4565"/>
    <w:rsid w:val="002A456F"/>
    <w:rsid w:val="002A4582"/>
    <w:rsid w:val="002A45EF"/>
    <w:rsid w:val="002A45FE"/>
    <w:rsid w:val="002A4605"/>
    <w:rsid w:val="002A4646"/>
    <w:rsid w:val="002A468F"/>
    <w:rsid w:val="002A46AD"/>
    <w:rsid w:val="002A46D9"/>
    <w:rsid w:val="002A4701"/>
    <w:rsid w:val="002A472A"/>
    <w:rsid w:val="002A47DD"/>
    <w:rsid w:val="002A483C"/>
    <w:rsid w:val="002A48B5"/>
    <w:rsid w:val="002A4955"/>
    <w:rsid w:val="002A4979"/>
    <w:rsid w:val="002A4A54"/>
    <w:rsid w:val="002A4AE4"/>
    <w:rsid w:val="002A4B1A"/>
    <w:rsid w:val="002A4B6B"/>
    <w:rsid w:val="002A4BBF"/>
    <w:rsid w:val="002A4C06"/>
    <w:rsid w:val="002A4C0E"/>
    <w:rsid w:val="002A4CBD"/>
    <w:rsid w:val="002A4CEA"/>
    <w:rsid w:val="002A4D05"/>
    <w:rsid w:val="002A4D0F"/>
    <w:rsid w:val="002A4D8A"/>
    <w:rsid w:val="002A4E09"/>
    <w:rsid w:val="002A4E21"/>
    <w:rsid w:val="002A4E3E"/>
    <w:rsid w:val="002A4E88"/>
    <w:rsid w:val="002A4F3E"/>
    <w:rsid w:val="002A502A"/>
    <w:rsid w:val="002A508E"/>
    <w:rsid w:val="002A5233"/>
    <w:rsid w:val="002A5234"/>
    <w:rsid w:val="002A5275"/>
    <w:rsid w:val="002A5292"/>
    <w:rsid w:val="002A52AC"/>
    <w:rsid w:val="002A5309"/>
    <w:rsid w:val="002A5356"/>
    <w:rsid w:val="002A538C"/>
    <w:rsid w:val="002A539D"/>
    <w:rsid w:val="002A5426"/>
    <w:rsid w:val="002A5438"/>
    <w:rsid w:val="002A54BD"/>
    <w:rsid w:val="002A54CC"/>
    <w:rsid w:val="002A54D9"/>
    <w:rsid w:val="002A5507"/>
    <w:rsid w:val="002A5584"/>
    <w:rsid w:val="002A55DD"/>
    <w:rsid w:val="002A5610"/>
    <w:rsid w:val="002A562E"/>
    <w:rsid w:val="002A5760"/>
    <w:rsid w:val="002A577D"/>
    <w:rsid w:val="002A579D"/>
    <w:rsid w:val="002A58BC"/>
    <w:rsid w:val="002A58E6"/>
    <w:rsid w:val="002A59AE"/>
    <w:rsid w:val="002A59BF"/>
    <w:rsid w:val="002A5A56"/>
    <w:rsid w:val="002A5A63"/>
    <w:rsid w:val="002A5B33"/>
    <w:rsid w:val="002A5C25"/>
    <w:rsid w:val="002A5C46"/>
    <w:rsid w:val="002A5C79"/>
    <w:rsid w:val="002A5CA9"/>
    <w:rsid w:val="002A5D88"/>
    <w:rsid w:val="002A5DC1"/>
    <w:rsid w:val="002A5E42"/>
    <w:rsid w:val="002A5FBE"/>
    <w:rsid w:val="002A6035"/>
    <w:rsid w:val="002A6077"/>
    <w:rsid w:val="002A60E2"/>
    <w:rsid w:val="002A618A"/>
    <w:rsid w:val="002A61D3"/>
    <w:rsid w:val="002A6281"/>
    <w:rsid w:val="002A62A2"/>
    <w:rsid w:val="002A62F9"/>
    <w:rsid w:val="002A6328"/>
    <w:rsid w:val="002A6350"/>
    <w:rsid w:val="002A639C"/>
    <w:rsid w:val="002A639D"/>
    <w:rsid w:val="002A6437"/>
    <w:rsid w:val="002A643E"/>
    <w:rsid w:val="002A6483"/>
    <w:rsid w:val="002A657F"/>
    <w:rsid w:val="002A6699"/>
    <w:rsid w:val="002A676B"/>
    <w:rsid w:val="002A67AC"/>
    <w:rsid w:val="002A67EC"/>
    <w:rsid w:val="002A682C"/>
    <w:rsid w:val="002A68C6"/>
    <w:rsid w:val="002A692C"/>
    <w:rsid w:val="002A69A4"/>
    <w:rsid w:val="002A6A04"/>
    <w:rsid w:val="002A6A3A"/>
    <w:rsid w:val="002A6A4E"/>
    <w:rsid w:val="002A6A67"/>
    <w:rsid w:val="002A6A9F"/>
    <w:rsid w:val="002A6ABE"/>
    <w:rsid w:val="002A6ADF"/>
    <w:rsid w:val="002A6AE6"/>
    <w:rsid w:val="002A6AF9"/>
    <w:rsid w:val="002A6B99"/>
    <w:rsid w:val="002A6BA4"/>
    <w:rsid w:val="002A6C5E"/>
    <w:rsid w:val="002A6C72"/>
    <w:rsid w:val="002A6C90"/>
    <w:rsid w:val="002A6CCC"/>
    <w:rsid w:val="002A6CDC"/>
    <w:rsid w:val="002A6D61"/>
    <w:rsid w:val="002A6D66"/>
    <w:rsid w:val="002A6DD2"/>
    <w:rsid w:val="002A6E0E"/>
    <w:rsid w:val="002A6F88"/>
    <w:rsid w:val="002A6FA1"/>
    <w:rsid w:val="002A6FDC"/>
    <w:rsid w:val="002A7095"/>
    <w:rsid w:val="002A70F3"/>
    <w:rsid w:val="002A7108"/>
    <w:rsid w:val="002A713B"/>
    <w:rsid w:val="002A719A"/>
    <w:rsid w:val="002A725F"/>
    <w:rsid w:val="002A7265"/>
    <w:rsid w:val="002A7272"/>
    <w:rsid w:val="002A729A"/>
    <w:rsid w:val="002A7320"/>
    <w:rsid w:val="002A73C2"/>
    <w:rsid w:val="002A73EC"/>
    <w:rsid w:val="002A743A"/>
    <w:rsid w:val="002A7583"/>
    <w:rsid w:val="002A7598"/>
    <w:rsid w:val="002A7675"/>
    <w:rsid w:val="002A7756"/>
    <w:rsid w:val="002A784D"/>
    <w:rsid w:val="002A7912"/>
    <w:rsid w:val="002A7926"/>
    <w:rsid w:val="002A793D"/>
    <w:rsid w:val="002A7941"/>
    <w:rsid w:val="002A79A7"/>
    <w:rsid w:val="002A79AE"/>
    <w:rsid w:val="002A79CD"/>
    <w:rsid w:val="002A7A28"/>
    <w:rsid w:val="002A7A5F"/>
    <w:rsid w:val="002A7A88"/>
    <w:rsid w:val="002A7AE8"/>
    <w:rsid w:val="002A7BA8"/>
    <w:rsid w:val="002A7BB3"/>
    <w:rsid w:val="002A7BCD"/>
    <w:rsid w:val="002A7BE0"/>
    <w:rsid w:val="002A7CCC"/>
    <w:rsid w:val="002A7D06"/>
    <w:rsid w:val="002A7E23"/>
    <w:rsid w:val="002A7EC2"/>
    <w:rsid w:val="002A7EC3"/>
    <w:rsid w:val="002A7EE2"/>
    <w:rsid w:val="002A7F57"/>
    <w:rsid w:val="002A7F62"/>
    <w:rsid w:val="002B003E"/>
    <w:rsid w:val="002B007A"/>
    <w:rsid w:val="002B0121"/>
    <w:rsid w:val="002B012D"/>
    <w:rsid w:val="002B016F"/>
    <w:rsid w:val="002B0237"/>
    <w:rsid w:val="002B02D4"/>
    <w:rsid w:val="002B031E"/>
    <w:rsid w:val="002B034D"/>
    <w:rsid w:val="002B0408"/>
    <w:rsid w:val="002B0557"/>
    <w:rsid w:val="002B073B"/>
    <w:rsid w:val="002B0794"/>
    <w:rsid w:val="002B07D6"/>
    <w:rsid w:val="002B0838"/>
    <w:rsid w:val="002B0875"/>
    <w:rsid w:val="002B0943"/>
    <w:rsid w:val="002B0A85"/>
    <w:rsid w:val="002B0A9B"/>
    <w:rsid w:val="002B0AEC"/>
    <w:rsid w:val="002B0C39"/>
    <w:rsid w:val="002B0C52"/>
    <w:rsid w:val="002B0D55"/>
    <w:rsid w:val="002B0E04"/>
    <w:rsid w:val="002B0E4E"/>
    <w:rsid w:val="002B0EBF"/>
    <w:rsid w:val="002B0F21"/>
    <w:rsid w:val="002B0F70"/>
    <w:rsid w:val="002B0F94"/>
    <w:rsid w:val="002B0FD3"/>
    <w:rsid w:val="002B1109"/>
    <w:rsid w:val="002B1143"/>
    <w:rsid w:val="002B1171"/>
    <w:rsid w:val="002B12AB"/>
    <w:rsid w:val="002B1360"/>
    <w:rsid w:val="002B1486"/>
    <w:rsid w:val="002B1490"/>
    <w:rsid w:val="002B1601"/>
    <w:rsid w:val="002B16BC"/>
    <w:rsid w:val="002B170B"/>
    <w:rsid w:val="002B1735"/>
    <w:rsid w:val="002B1741"/>
    <w:rsid w:val="002B177C"/>
    <w:rsid w:val="002B179B"/>
    <w:rsid w:val="002B17B6"/>
    <w:rsid w:val="002B17EE"/>
    <w:rsid w:val="002B1823"/>
    <w:rsid w:val="002B1954"/>
    <w:rsid w:val="002B1A18"/>
    <w:rsid w:val="002B1A5D"/>
    <w:rsid w:val="002B1B04"/>
    <w:rsid w:val="002B1B86"/>
    <w:rsid w:val="002B1CDF"/>
    <w:rsid w:val="002B1DBA"/>
    <w:rsid w:val="002B1E7D"/>
    <w:rsid w:val="002B1F06"/>
    <w:rsid w:val="002B1F90"/>
    <w:rsid w:val="002B1FFA"/>
    <w:rsid w:val="002B20C9"/>
    <w:rsid w:val="002B213C"/>
    <w:rsid w:val="002B2184"/>
    <w:rsid w:val="002B2284"/>
    <w:rsid w:val="002B251D"/>
    <w:rsid w:val="002B258B"/>
    <w:rsid w:val="002B25DB"/>
    <w:rsid w:val="002B268C"/>
    <w:rsid w:val="002B26C2"/>
    <w:rsid w:val="002B2715"/>
    <w:rsid w:val="002B2726"/>
    <w:rsid w:val="002B272D"/>
    <w:rsid w:val="002B27FD"/>
    <w:rsid w:val="002B2853"/>
    <w:rsid w:val="002B2857"/>
    <w:rsid w:val="002B28D4"/>
    <w:rsid w:val="002B2970"/>
    <w:rsid w:val="002B29A9"/>
    <w:rsid w:val="002B29DE"/>
    <w:rsid w:val="002B29DF"/>
    <w:rsid w:val="002B2A4E"/>
    <w:rsid w:val="002B2B00"/>
    <w:rsid w:val="002B2B44"/>
    <w:rsid w:val="002B2BFF"/>
    <w:rsid w:val="002B2CEE"/>
    <w:rsid w:val="002B2D52"/>
    <w:rsid w:val="002B2D91"/>
    <w:rsid w:val="002B2DD1"/>
    <w:rsid w:val="002B2E79"/>
    <w:rsid w:val="002B2EFB"/>
    <w:rsid w:val="002B2F2A"/>
    <w:rsid w:val="002B2FA0"/>
    <w:rsid w:val="002B3060"/>
    <w:rsid w:val="002B308C"/>
    <w:rsid w:val="002B30C6"/>
    <w:rsid w:val="002B3139"/>
    <w:rsid w:val="002B326C"/>
    <w:rsid w:val="002B3284"/>
    <w:rsid w:val="002B33A4"/>
    <w:rsid w:val="002B3495"/>
    <w:rsid w:val="002B36A3"/>
    <w:rsid w:val="002B36BA"/>
    <w:rsid w:val="002B377C"/>
    <w:rsid w:val="002B3805"/>
    <w:rsid w:val="002B381B"/>
    <w:rsid w:val="002B38A1"/>
    <w:rsid w:val="002B3949"/>
    <w:rsid w:val="002B3969"/>
    <w:rsid w:val="002B3997"/>
    <w:rsid w:val="002B39D3"/>
    <w:rsid w:val="002B3A32"/>
    <w:rsid w:val="002B3B0F"/>
    <w:rsid w:val="002B3BE1"/>
    <w:rsid w:val="002B3C32"/>
    <w:rsid w:val="002B3C44"/>
    <w:rsid w:val="002B3C66"/>
    <w:rsid w:val="002B3CDC"/>
    <w:rsid w:val="002B3CED"/>
    <w:rsid w:val="002B3D07"/>
    <w:rsid w:val="002B3D0C"/>
    <w:rsid w:val="002B3D1C"/>
    <w:rsid w:val="002B3D61"/>
    <w:rsid w:val="002B3D72"/>
    <w:rsid w:val="002B3DA4"/>
    <w:rsid w:val="002B3DCF"/>
    <w:rsid w:val="002B3E47"/>
    <w:rsid w:val="002B3E90"/>
    <w:rsid w:val="002B3FBD"/>
    <w:rsid w:val="002B4065"/>
    <w:rsid w:val="002B4097"/>
    <w:rsid w:val="002B40DD"/>
    <w:rsid w:val="002B4113"/>
    <w:rsid w:val="002B41B1"/>
    <w:rsid w:val="002B420D"/>
    <w:rsid w:val="002B4298"/>
    <w:rsid w:val="002B42A8"/>
    <w:rsid w:val="002B42C0"/>
    <w:rsid w:val="002B42E8"/>
    <w:rsid w:val="002B43C0"/>
    <w:rsid w:val="002B43E1"/>
    <w:rsid w:val="002B4402"/>
    <w:rsid w:val="002B440F"/>
    <w:rsid w:val="002B4468"/>
    <w:rsid w:val="002B4484"/>
    <w:rsid w:val="002B450F"/>
    <w:rsid w:val="002B4529"/>
    <w:rsid w:val="002B4584"/>
    <w:rsid w:val="002B459A"/>
    <w:rsid w:val="002B45A3"/>
    <w:rsid w:val="002B45DD"/>
    <w:rsid w:val="002B465E"/>
    <w:rsid w:val="002B46D4"/>
    <w:rsid w:val="002B46E1"/>
    <w:rsid w:val="002B46FF"/>
    <w:rsid w:val="002B4754"/>
    <w:rsid w:val="002B47A0"/>
    <w:rsid w:val="002B483D"/>
    <w:rsid w:val="002B4872"/>
    <w:rsid w:val="002B489E"/>
    <w:rsid w:val="002B48AF"/>
    <w:rsid w:val="002B4910"/>
    <w:rsid w:val="002B49BE"/>
    <w:rsid w:val="002B4A74"/>
    <w:rsid w:val="002B4AEC"/>
    <w:rsid w:val="002B4B10"/>
    <w:rsid w:val="002B4BDC"/>
    <w:rsid w:val="002B4C7D"/>
    <w:rsid w:val="002B4C89"/>
    <w:rsid w:val="002B4CC3"/>
    <w:rsid w:val="002B4D32"/>
    <w:rsid w:val="002B4E1A"/>
    <w:rsid w:val="002B4E8A"/>
    <w:rsid w:val="002B4EDA"/>
    <w:rsid w:val="002B4F98"/>
    <w:rsid w:val="002B4FC8"/>
    <w:rsid w:val="002B502A"/>
    <w:rsid w:val="002B50AD"/>
    <w:rsid w:val="002B510A"/>
    <w:rsid w:val="002B523B"/>
    <w:rsid w:val="002B5286"/>
    <w:rsid w:val="002B532D"/>
    <w:rsid w:val="002B5374"/>
    <w:rsid w:val="002B5564"/>
    <w:rsid w:val="002B5574"/>
    <w:rsid w:val="002B5603"/>
    <w:rsid w:val="002B562D"/>
    <w:rsid w:val="002B5681"/>
    <w:rsid w:val="002B56D5"/>
    <w:rsid w:val="002B56DD"/>
    <w:rsid w:val="002B570F"/>
    <w:rsid w:val="002B573E"/>
    <w:rsid w:val="002B574B"/>
    <w:rsid w:val="002B5760"/>
    <w:rsid w:val="002B5765"/>
    <w:rsid w:val="002B586C"/>
    <w:rsid w:val="002B588F"/>
    <w:rsid w:val="002B58E0"/>
    <w:rsid w:val="002B58E9"/>
    <w:rsid w:val="002B5937"/>
    <w:rsid w:val="002B596A"/>
    <w:rsid w:val="002B59D9"/>
    <w:rsid w:val="002B59F5"/>
    <w:rsid w:val="002B5B33"/>
    <w:rsid w:val="002B5B72"/>
    <w:rsid w:val="002B5BA5"/>
    <w:rsid w:val="002B5C14"/>
    <w:rsid w:val="002B5C81"/>
    <w:rsid w:val="002B5CB8"/>
    <w:rsid w:val="002B5CBF"/>
    <w:rsid w:val="002B5CC4"/>
    <w:rsid w:val="002B5CC8"/>
    <w:rsid w:val="002B5D78"/>
    <w:rsid w:val="002B5DA9"/>
    <w:rsid w:val="002B5E72"/>
    <w:rsid w:val="002B5E80"/>
    <w:rsid w:val="002B5EFB"/>
    <w:rsid w:val="002B5F37"/>
    <w:rsid w:val="002B5FBD"/>
    <w:rsid w:val="002B5FC1"/>
    <w:rsid w:val="002B5FD2"/>
    <w:rsid w:val="002B6194"/>
    <w:rsid w:val="002B6211"/>
    <w:rsid w:val="002B62D1"/>
    <w:rsid w:val="002B632B"/>
    <w:rsid w:val="002B6378"/>
    <w:rsid w:val="002B63FA"/>
    <w:rsid w:val="002B63FD"/>
    <w:rsid w:val="002B6446"/>
    <w:rsid w:val="002B645E"/>
    <w:rsid w:val="002B6472"/>
    <w:rsid w:val="002B6484"/>
    <w:rsid w:val="002B6520"/>
    <w:rsid w:val="002B6566"/>
    <w:rsid w:val="002B65B8"/>
    <w:rsid w:val="002B65C3"/>
    <w:rsid w:val="002B6621"/>
    <w:rsid w:val="002B66A7"/>
    <w:rsid w:val="002B66AB"/>
    <w:rsid w:val="002B66C8"/>
    <w:rsid w:val="002B673C"/>
    <w:rsid w:val="002B6753"/>
    <w:rsid w:val="002B6760"/>
    <w:rsid w:val="002B6785"/>
    <w:rsid w:val="002B67AA"/>
    <w:rsid w:val="002B67B4"/>
    <w:rsid w:val="002B67E4"/>
    <w:rsid w:val="002B6855"/>
    <w:rsid w:val="002B688C"/>
    <w:rsid w:val="002B69FD"/>
    <w:rsid w:val="002B6B58"/>
    <w:rsid w:val="002B6BAC"/>
    <w:rsid w:val="002B6C41"/>
    <w:rsid w:val="002B6C5E"/>
    <w:rsid w:val="002B6CF7"/>
    <w:rsid w:val="002B6D8E"/>
    <w:rsid w:val="002B6E71"/>
    <w:rsid w:val="002B6F54"/>
    <w:rsid w:val="002B6F67"/>
    <w:rsid w:val="002B6FD7"/>
    <w:rsid w:val="002B700D"/>
    <w:rsid w:val="002B707C"/>
    <w:rsid w:val="002B7086"/>
    <w:rsid w:val="002B70C7"/>
    <w:rsid w:val="002B7111"/>
    <w:rsid w:val="002B71C0"/>
    <w:rsid w:val="002B7271"/>
    <w:rsid w:val="002B72BD"/>
    <w:rsid w:val="002B72E9"/>
    <w:rsid w:val="002B7344"/>
    <w:rsid w:val="002B73B6"/>
    <w:rsid w:val="002B742A"/>
    <w:rsid w:val="002B7475"/>
    <w:rsid w:val="002B74BD"/>
    <w:rsid w:val="002B758F"/>
    <w:rsid w:val="002B7599"/>
    <w:rsid w:val="002B7629"/>
    <w:rsid w:val="002B7633"/>
    <w:rsid w:val="002B76AE"/>
    <w:rsid w:val="002B76FD"/>
    <w:rsid w:val="002B7745"/>
    <w:rsid w:val="002B7812"/>
    <w:rsid w:val="002B786E"/>
    <w:rsid w:val="002B7888"/>
    <w:rsid w:val="002B790B"/>
    <w:rsid w:val="002B7B87"/>
    <w:rsid w:val="002B7BA0"/>
    <w:rsid w:val="002B7BBD"/>
    <w:rsid w:val="002B7BF1"/>
    <w:rsid w:val="002B7C9B"/>
    <w:rsid w:val="002B7CFC"/>
    <w:rsid w:val="002B7CFD"/>
    <w:rsid w:val="002B7D4E"/>
    <w:rsid w:val="002B7DFD"/>
    <w:rsid w:val="002B7E11"/>
    <w:rsid w:val="002B7E55"/>
    <w:rsid w:val="002B7EEA"/>
    <w:rsid w:val="002B7F5A"/>
    <w:rsid w:val="002B7F8F"/>
    <w:rsid w:val="002B7FA1"/>
    <w:rsid w:val="002C0148"/>
    <w:rsid w:val="002C034A"/>
    <w:rsid w:val="002C034C"/>
    <w:rsid w:val="002C0378"/>
    <w:rsid w:val="002C037C"/>
    <w:rsid w:val="002C03D4"/>
    <w:rsid w:val="002C03FB"/>
    <w:rsid w:val="002C041F"/>
    <w:rsid w:val="002C0462"/>
    <w:rsid w:val="002C0483"/>
    <w:rsid w:val="002C04D2"/>
    <w:rsid w:val="002C0506"/>
    <w:rsid w:val="002C057A"/>
    <w:rsid w:val="002C05E4"/>
    <w:rsid w:val="002C05E6"/>
    <w:rsid w:val="002C05EC"/>
    <w:rsid w:val="002C05FA"/>
    <w:rsid w:val="002C0650"/>
    <w:rsid w:val="002C06B9"/>
    <w:rsid w:val="002C06D1"/>
    <w:rsid w:val="002C076C"/>
    <w:rsid w:val="002C07C9"/>
    <w:rsid w:val="002C07D0"/>
    <w:rsid w:val="002C0815"/>
    <w:rsid w:val="002C08BE"/>
    <w:rsid w:val="002C08E5"/>
    <w:rsid w:val="002C08FC"/>
    <w:rsid w:val="002C098F"/>
    <w:rsid w:val="002C0A21"/>
    <w:rsid w:val="002C0A8E"/>
    <w:rsid w:val="002C0A91"/>
    <w:rsid w:val="002C0AE5"/>
    <w:rsid w:val="002C0DF3"/>
    <w:rsid w:val="002C0E50"/>
    <w:rsid w:val="002C0F9B"/>
    <w:rsid w:val="002C0FE5"/>
    <w:rsid w:val="002C0FE7"/>
    <w:rsid w:val="002C0FED"/>
    <w:rsid w:val="002C1062"/>
    <w:rsid w:val="002C12D4"/>
    <w:rsid w:val="002C137F"/>
    <w:rsid w:val="002C13F2"/>
    <w:rsid w:val="002C148F"/>
    <w:rsid w:val="002C14DE"/>
    <w:rsid w:val="002C154E"/>
    <w:rsid w:val="002C15D6"/>
    <w:rsid w:val="002C1618"/>
    <w:rsid w:val="002C162E"/>
    <w:rsid w:val="002C16C8"/>
    <w:rsid w:val="002C17F8"/>
    <w:rsid w:val="002C19B4"/>
    <w:rsid w:val="002C1A35"/>
    <w:rsid w:val="002C1A93"/>
    <w:rsid w:val="002C1B40"/>
    <w:rsid w:val="002C1B4E"/>
    <w:rsid w:val="002C1C8B"/>
    <w:rsid w:val="002C1DAD"/>
    <w:rsid w:val="002C1E81"/>
    <w:rsid w:val="002C1EA0"/>
    <w:rsid w:val="002C1FD5"/>
    <w:rsid w:val="002C1FE4"/>
    <w:rsid w:val="002C1FEE"/>
    <w:rsid w:val="002C20C6"/>
    <w:rsid w:val="002C20D7"/>
    <w:rsid w:val="002C215E"/>
    <w:rsid w:val="002C2166"/>
    <w:rsid w:val="002C21F6"/>
    <w:rsid w:val="002C220D"/>
    <w:rsid w:val="002C22B0"/>
    <w:rsid w:val="002C2307"/>
    <w:rsid w:val="002C232A"/>
    <w:rsid w:val="002C2361"/>
    <w:rsid w:val="002C2362"/>
    <w:rsid w:val="002C2594"/>
    <w:rsid w:val="002C25A3"/>
    <w:rsid w:val="002C26F4"/>
    <w:rsid w:val="002C2723"/>
    <w:rsid w:val="002C2784"/>
    <w:rsid w:val="002C2797"/>
    <w:rsid w:val="002C27AA"/>
    <w:rsid w:val="002C28BD"/>
    <w:rsid w:val="002C2932"/>
    <w:rsid w:val="002C29BA"/>
    <w:rsid w:val="002C2A02"/>
    <w:rsid w:val="002C2A34"/>
    <w:rsid w:val="002C2AAC"/>
    <w:rsid w:val="002C2AFE"/>
    <w:rsid w:val="002C2B03"/>
    <w:rsid w:val="002C2B1B"/>
    <w:rsid w:val="002C2BD3"/>
    <w:rsid w:val="002C2BE3"/>
    <w:rsid w:val="002C2C18"/>
    <w:rsid w:val="002C2C58"/>
    <w:rsid w:val="002C2CD4"/>
    <w:rsid w:val="002C2D1A"/>
    <w:rsid w:val="002C2D71"/>
    <w:rsid w:val="002C2DAD"/>
    <w:rsid w:val="002C2DE2"/>
    <w:rsid w:val="002C2E57"/>
    <w:rsid w:val="002C2EA3"/>
    <w:rsid w:val="002C2ECC"/>
    <w:rsid w:val="002C2EFF"/>
    <w:rsid w:val="002C2F4A"/>
    <w:rsid w:val="002C2F8F"/>
    <w:rsid w:val="002C3074"/>
    <w:rsid w:val="002C30C9"/>
    <w:rsid w:val="002C30D0"/>
    <w:rsid w:val="002C3162"/>
    <w:rsid w:val="002C3189"/>
    <w:rsid w:val="002C31B4"/>
    <w:rsid w:val="002C32BF"/>
    <w:rsid w:val="002C332C"/>
    <w:rsid w:val="002C3334"/>
    <w:rsid w:val="002C3341"/>
    <w:rsid w:val="002C334E"/>
    <w:rsid w:val="002C33B0"/>
    <w:rsid w:val="002C3435"/>
    <w:rsid w:val="002C3468"/>
    <w:rsid w:val="002C347F"/>
    <w:rsid w:val="002C34E3"/>
    <w:rsid w:val="002C3579"/>
    <w:rsid w:val="002C35A7"/>
    <w:rsid w:val="002C35B6"/>
    <w:rsid w:val="002C35CF"/>
    <w:rsid w:val="002C35D5"/>
    <w:rsid w:val="002C3820"/>
    <w:rsid w:val="002C386B"/>
    <w:rsid w:val="002C3898"/>
    <w:rsid w:val="002C3968"/>
    <w:rsid w:val="002C3A18"/>
    <w:rsid w:val="002C3A73"/>
    <w:rsid w:val="002C3B3D"/>
    <w:rsid w:val="002C3B73"/>
    <w:rsid w:val="002C3BAB"/>
    <w:rsid w:val="002C3C0E"/>
    <w:rsid w:val="002C3C7E"/>
    <w:rsid w:val="002C3D11"/>
    <w:rsid w:val="002C3D23"/>
    <w:rsid w:val="002C3D92"/>
    <w:rsid w:val="002C3E53"/>
    <w:rsid w:val="002C3E7B"/>
    <w:rsid w:val="002C3E93"/>
    <w:rsid w:val="002C3FD9"/>
    <w:rsid w:val="002C4068"/>
    <w:rsid w:val="002C4091"/>
    <w:rsid w:val="002C418C"/>
    <w:rsid w:val="002C42C0"/>
    <w:rsid w:val="002C434E"/>
    <w:rsid w:val="002C435C"/>
    <w:rsid w:val="002C4446"/>
    <w:rsid w:val="002C447D"/>
    <w:rsid w:val="002C44A6"/>
    <w:rsid w:val="002C44EF"/>
    <w:rsid w:val="002C4553"/>
    <w:rsid w:val="002C4596"/>
    <w:rsid w:val="002C45A3"/>
    <w:rsid w:val="002C468A"/>
    <w:rsid w:val="002C486F"/>
    <w:rsid w:val="002C487B"/>
    <w:rsid w:val="002C4880"/>
    <w:rsid w:val="002C48B7"/>
    <w:rsid w:val="002C48DF"/>
    <w:rsid w:val="002C48E1"/>
    <w:rsid w:val="002C491C"/>
    <w:rsid w:val="002C4959"/>
    <w:rsid w:val="002C49F2"/>
    <w:rsid w:val="002C4A6F"/>
    <w:rsid w:val="002C4AF6"/>
    <w:rsid w:val="002C4C09"/>
    <w:rsid w:val="002C4C60"/>
    <w:rsid w:val="002C4D1F"/>
    <w:rsid w:val="002C4E23"/>
    <w:rsid w:val="002C4E48"/>
    <w:rsid w:val="002C4EAE"/>
    <w:rsid w:val="002C4ED8"/>
    <w:rsid w:val="002C4F03"/>
    <w:rsid w:val="002C4F9F"/>
    <w:rsid w:val="002C503E"/>
    <w:rsid w:val="002C5120"/>
    <w:rsid w:val="002C514B"/>
    <w:rsid w:val="002C5184"/>
    <w:rsid w:val="002C51FB"/>
    <w:rsid w:val="002C5261"/>
    <w:rsid w:val="002C5328"/>
    <w:rsid w:val="002C5362"/>
    <w:rsid w:val="002C53B0"/>
    <w:rsid w:val="002C53F6"/>
    <w:rsid w:val="002C54C5"/>
    <w:rsid w:val="002C54D3"/>
    <w:rsid w:val="002C5536"/>
    <w:rsid w:val="002C563C"/>
    <w:rsid w:val="002C568B"/>
    <w:rsid w:val="002C5722"/>
    <w:rsid w:val="002C572D"/>
    <w:rsid w:val="002C580C"/>
    <w:rsid w:val="002C5851"/>
    <w:rsid w:val="002C58B3"/>
    <w:rsid w:val="002C58C9"/>
    <w:rsid w:val="002C59EC"/>
    <w:rsid w:val="002C5A57"/>
    <w:rsid w:val="002C5AB6"/>
    <w:rsid w:val="002C5AF1"/>
    <w:rsid w:val="002C5B4D"/>
    <w:rsid w:val="002C5B98"/>
    <w:rsid w:val="002C5CEC"/>
    <w:rsid w:val="002C5D05"/>
    <w:rsid w:val="002C5D86"/>
    <w:rsid w:val="002C5E04"/>
    <w:rsid w:val="002C5E4A"/>
    <w:rsid w:val="002C5E56"/>
    <w:rsid w:val="002C5E66"/>
    <w:rsid w:val="002C5E71"/>
    <w:rsid w:val="002C5EA6"/>
    <w:rsid w:val="002C5ED1"/>
    <w:rsid w:val="002C6043"/>
    <w:rsid w:val="002C6113"/>
    <w:rsid w:val="002C6187"/>
    <w:rsid w:val="002C61AF"/>
    <w:rsid w:val="002C6222"/>
    <w:rsid w:val="002C6272"/>
    <w:rsid w:val="002C6289"/>
    <w:rsid w:val="002C62EC"/>
    <w:rsid w:val="002C637D"/>
    <w:rsid w:val="002C6398"/>
    <w:rsid w:val="002C6451"/>
    <w:rsid w:val="002C6501"/>
    <w:rsid w:val="002C656C"/>
    <w:rsid w:val="002C65EF"/>
    <w:rsid w:val="002C6609"/>
    <w:rsid w:val="002C662B"/>
    <w:rsid w:val="002C66E0"/>
    <w:rsid w:val="002C67CF"/>
    <w:rsid w:val="002C67DD"/>
    <w:rsid w:val="002C689F"/>
    <w:rsid w:val="002C68C1"/>
    <w:rsid w:val="002C68FA"/>
    <w:rsid w:val="002C6918"/>
    <w:rsid w:val="002C6921"/>
    <w:rsid w:val="002C6A32"/>
    <w:rsid w:val="002C6B03"/>
    <w:rsid w:val="002C6B43"/>
    <w:rsid w:val="002C6C3E"/>
    <w:rsid w:val="002C6C59"/>
    <w:rsid w:val="002C6CAF"/>
    <w:rsid w:val="002C6D28"/>
    <w:rsid w:val="002C6E29"/>
    <w:rsid w:val="002C6F0D"/>
    <w:rsid w:val="002C6F5D"/>
    <w:rsid w:val="002C6FBE"/>
    <w:rsid w:val="002C6FDB"/>
    <w:rsid w:val="002C6FFD"/>
    <w:rsid w:val="002C707F"/>
    <w:rsid w:val="002C70B5"/>
    <w:rsid w:val="002C715A"/>
    <w:rsid w:val="002C7202"/>
    <w:rsid w:val="002C72AB"/>
    <w:rsid w:val="002C7330"/>
    <w:rsid w:val="002C736D"/>
    <w:rsid w:val="002C737E"/>
    <w:rsid w:val="002C73B4"/>
    <w:rsid w:val="002C7472"/>
    <w:rsid w:val="002C7473"/>
    <w:rsid w:val="002C7477"/>
    <w:rsid w:val="002C7490"/>
    <w:rsid w:val="002C758B"/>
    <w:rsid w:val="002C75E5"/>
    <w:rsid w:val="002C76A8"/>
    <w:rsid w:val="002C772B"/>
    <w:rsid w:val="002C7769"/>
    <w:rsid w:val="002C7784"/>
    <w:rsid w:val="002C7803"/>
    <w:rsid w:val="002C785A"/>
    <w:rsid w:val="002C7872"/>
    <w:rsid w:val="002C78E6"/>
    <w:rsid w:val="002C79B6"/>
    <w:rsid w:val="002C79F0"/>
    <w:rsid w:val="002C7A0B"/>
    <w:rsid w:val="002C7A97"/>
    <w:rsid w:val="002C7AC8"/>
    <w:rsid w:val="002C7AEB"/>
    <w:rsid w:val="002C7AEE"/>
    <w:rsid w:val="002C7AF2"/>
    <w:rsid w:val="002C7B29"/>
    <w:rsid w:val="002C7B8F"/>
    <w:rsid w:val="002C7BA2"/>
    <w:rsid w:val="002C7BDA"/>
    <w:rsid w:val="002C7C7B"/>
    <w:rsid w:val="002C7C81"/>
    <w:rsid w:val="002C7CD6"/>
    <w:rsid w:val="002C7CF7"/>
    <w:rsid w:val="002C7CFC"/>
    <w:rsid w:val="002C7D47"/>
    <w:rsid w:val="002C7DC1"/>
    <w:rsid w:val="002C7EC1"/>
    <w:rsid w:val="002C7F7D"/>
    <w:rsid w:val="002C7FE1"/>
    <w:rsid w:val="002D00EB"/>
    <w:rsid w:val="002D0250"/>
    <w:rsid w:val="002D027C"/>
    <w:rsid w:val="002D02CE"/>
    <w:rsid w:val="002D02EF"/>
    <w:rsid w:val="002D0404"/>
    <w:rsid w:val="002D040B"/>
    <w:rsid w:val="002D04BF"/>
    <w:rsid w:val="002D04C6"/>
    <w:rsid w:val="002D04D1"/>
    <w:rsid w:val="002D0540"/>
    <w:rsid w:val="002D057B"/>
    <w:rsid w:val="002D05D9"/>
    <w:rsid w:val="002D05F7"/>
    <w:rsid w:val="002D06B7"/>
    <w:rsid w:val="002D07D4"/>
    <w:rsid w:val="002D0878"/>
    <w:rsid w:val="002D0943"/>
    <w:rsid w:val="002D0959"/>
    <w:rsid w:val="002D096C"/>
    <w:rsid w:val="002D09A6"/>
    <w:rsid w:val="002D0A07"/>
    <w:rsid w:val="002D0A25"/>
    <w:rsid w:val="002D0AD1"/>
    <w:rsid w:val="002D0ADD"/>
    <w:rsid w:val="002D0AE9"/>
    <w:rsid w:val="002D0B33"/>
    <w:rsid w:val="002D0B48"/>
    <w:rsid w:val="002D0C58"/>
    <w:rsid w:val="002D0C8F"/>
    <w:rsid w:val="002D0CE5"/>
    <w:rsid w:val="002D0D47"/>
    <w:rsid w:val="002D0D9B"/>
    <w:rsid w:val="002D0DDD"/>
    <w:rsid w:val="002D0E07"/>
    <w:rsid w:val="002D0F2C"/>
    <w:rsid w:val="002D0F74"/>
    <w:rsid w:val="002D1110"/>
    <w:rsid w:val="002D1160"/>
    <w:rsid w:val="002D11AA"/>
    <w:rsid w:val="002D1266"/>
    <w:rsid w:val="002D128C"/>
    <w:rsid w:val="002D13AA"/>
    <w:rsid w:val="002D1436"/>
    <w:rsid w:val="002D14EC"/>
    <w:rsid w:val="002D15A2"/>
    <w:rsid w:val="002D15D4"/>
    <w:rsid w:val="002D15FB"/>
    <w:rsid w:val="002D1617"/>
    <w:rsid w:val="002D165D"/>
    <w:rsid w:val="002D1690"/>
    <w:rsid w:val="002D174D"/>
    <w:rsid w:val="002D1763"/>
    <w:rsid w:val="002D17E9"/>
    <w:rsid w:val="002D17F7"/>
    <w:rsid w:val="002D1828"/>
    <w:rsid w:val="002D18CF"/>
    <w:rsid w:val="002D18F2"/>
    <w:rsid w:val="002D19B0"/>
    <w:rsid w:val="002D1AE0"/>
    <w:rsid w:val="002D1B04"/>
    <w:rsid w:val="002D1B23"/>
    <w:rsid w:val="002D1B50"/>
    <w:rsid w:val="002D1BB1"/>
    <w:rsid w:val="002D1BD9"/>
    <w:rsid w:val="002D1BE9"/>
    <w:rsid w:val="002D1C04"/>
    <w:rsid w:val="002D1C22"/>
    <w:rsid w:val="002D1D7D"/>
    <w:rsid w:val="002D1D8B"/>
    <w:rsid w:val="002D1DAE"/>
    <w:rsid w:val="002D1DE1"/>
    <w:rsid w:val="002D1F19"/>
    <w:rsid w:val="002D1FD1"/>
    <w:rsid w:val="002D1FE5"/>
    <w:rsid w:val="002D1FF0"/>
    <w:rsid w:val="002D2037"/>
    <w:rsid w:val="002D2045"/>
    <w:rsid w:val="002D224C"/>
    <w:rsid w:val="002D22BC"/>
    <w:rsid w:val="002D22BE"/>
    <w:rsid w:val="002D2382"/>
    <w:rsid w:val="002D2471"/>
    <w:rsid w:val="002D24C1"/>
    <w:rsid w:val="002D24D1"/>
    <w:rsid w:val="002D2598"/>
    <w:rsid w:val="002D25DD"/>
    <w:rsid w:val="002D25E9"/>
    <w:rsid w:val="002D25F4"/>
    <w:rsid w:val="002D2653"/>
    <w:rsid w:val="002D26A6"/>
    <w:rsid w:val="002D26A9"/>
    <w:rsid w:val="002D26DC"/>
    <w:rsid w:val="002D276C"/>
    <w:rsid w:val="002D27B4"/>
    <w:rsid w:val="002D2804"/>
    <w:rsid w:val="002D2861"/>
    <w:rsid w:val="002D2877"/>
    <w:rsid w:val="002D2A46"/>
    <w:rsid w:val="002D2B76"/>
    <w:rsid w:val="002D2BAE"/>
    <w:rsid w:val="002D2C47"/>
    <w:rsid w:val="002D2D14"/>
    <w:rsid w:val="002D2D22"/>
    <w:rsid w:val="002D2D31"/>
    <w:rsid w:val="002D2D78"/>
    <w:rsid w:val="002D2DD5"/>
    <w:rsid w:val="002D2F1A"/>
    <w:rsid w:val="002D2F78"/>
    <w:rsid w:val="002D2F7E"/>
    <w:rsid w:val="002D2FBE"/>
    <w:rsid w:val="002D302F"/>
    <w:rsid w:val="002D3057"/>
    <w:rsid w:val="002D305C"/>
    <w:rsid w:val="002D3076"/>
    <w:rsid w:val="002D309F"/>
    <w:rsid w:val="002D3208"/>
    <w:rsid w:val="002D3234"/>
    <w:rsid w:val="002D3246"/>
    <w:rsid w:val="002D3255"/>
    <w:rsid w:val="002D3276"/>
    <w:rsid w:val="002D32BB"/>
    <w:rsid w:val="002D330C"/>
    <w:rsid w:val="002D330D"/>
    <w:rsid w:val="002D33E0"/>
    <w:rsid w:val="002D3469"/>
    <w:rsid w:val="002D351C"/>
    <w:rsid w:val="002D356C"/>
    <w:rsid w:val="002D35BA"/>
    <w:rsid w:val="002D36D6"/>
    <w:rsid w:val="002D3700"/>
    <w:rsid w:val="002D3714"/>
    <w:rsid w:val="002D373C"/>
    <w:rsid w:val="002D378A"/>
    <w:rsid w:val="002D3828"/>
    <w:rsid w:val="002D3836"/>
    <w:rsid w:val="002D38F2"/>
    <w:rsid w:val="002D38F9"/>
    <w:rsid w:val="002D3929"/>
    <w:rsid w:val="002D3946"/>
    <w:rsid w:val="002D39D9"/>
    <w:rsid w:val="002D3A86"/>
    <w:rsid w:val="002D3AD8"/>
    <w:rsid w:val="002D3AF3"/>
    <w:rsid w:val="002D3B15"/>
    <w:rsid w:val="002D3B3C"/>
    <w:rsid w:val="002D3BB6"/>
    <w:rsid w:val="002D3BF9"/>
    <w:rsid w:val="002D3C5B"/>
    <w:rsid w:val="002D3C7F"/>
    <w:rsid w:val="002D3C94"/>
    <w:rsid w:val="002D3CF8"/>
    <w:rsid w:val="002D3D46"/>
    <w:rsid w:val="002D3DD5"/>
    <w:rsid w:val="002D3E09"/>
    <w:rsid w:val="002D3E1C"/>
    <w:rsid w:val="002D3E4C"/>
    <w:rsid w:val="002D3F5B"/>
    <w:rsid w:val="002D3FF0"/>
    <w:rsid w:val="002D4011"/>
    <w:rsid w:val="002D4133"/>
    <w:rsid w:val="002D4199"/>
    <w:rsid w:val="002D4245"/>
    <w:rsid w:val="002D42F0"/>
    <w:rsid w:val="002D4306"/>
    <w:rsid w:val="002D4398"/>
    <w:rsid w:val="002D442A"/>
    <w:rsid w:val="002D4453"/>
    <w:rsid w:val="002D448D"/>
    <w:rsid w:val="002D44F0"/>
    <w:rsid w:val="002D44F2"/>
    <w:rsid w:val="002D4520"/>
    <w:rsid w:val="002D458C"/>
    <w:rsid w:val="002D45C3"/>
    <w:rsid w:val="002D4718"/>
    <w:rsid w:val="002D473F"/>
    <w:rsid w:val="002D4744"/>
    <w:rsid w:val="002D4788"/>
    <w:rsid w:val="002D47B7"/>
    <w:rsid w:val="002D47FC"/>
    <w:rsid w:val="002D4803"/>
    <w:rsid w:val="002D4948"/>
    <w:rsid w:val="002D49CF"/>
    <w:rsid w:val="002D4A2D"/>
    <w:rsid w:val="002D4B16"/>
    <w:rsid w:val="002D4B1F"/>
    <w:rsid w:val="002D4C08"/>
    <w:rsid w:val="002D4C12"/>
    <w:rsid w:val="002D4C71"/>
    <w:rsid w:val="002D4CDA"/>
    <w:rsid w:val="002D4CE6"/>
    <w:rsid w:val="002D4D7B"/>
    <w:rsid w:val="002D4E87"/>
    <w:rsid w:val="002D4F02"/>
    <w:rsid w:val="002D4FD1"/>
    <w:rsid w:val="002D5047"/>
    <w:rsid w:val="002D5094"/>
    <w:rsid w:val="002D50AB"/>
    <w:rsid w:val="002D5107"/>
    <w:rsid w:val="002D5151"/>
    <w:rsid w:val="002D51A0"/>
    <w:rsid w:val="002D522D"/>
    <w:rsid w:val="002D522E"/>
    <w:rsid w:val="002D532A"/>
    <w:rsid w:val="002D5379"/>
    <w:rsid w:val="002D549D"/>
    <w:rsid w:val="002D5544"/>
    <w:rsid w:val="002D5575"/>
    <w:rsid w:val="002D5622"/>
    <w:rsid w:val="002D5671"/>
    <w:rsid w:val="002D5747"/>
    <w:rsid w:val="002D5750"/>
    <w:rsid w:val="002D585F"/>
    <w:rsid w:val="002D58AD"/>
    <w:rsid w:val="002D5922"/>
    <w:rsid w:val="002D5960"/>
    <w:rsid w:val="002D5971"/>
    <w:rsid w:val="002D598A"/>
    <w:rsid w:val="002D599E"/>
    <w:rsid w:val="002D59A2"/>
    <w:rsid w:val="002D5AA9"/>
    <w:rsid w:val="002D5B0A"/>
    <w:rsid w:val="002D5BB2"/>
    <w:rsid w:val="002D5C7C"/>
    <w:rsid w:val="002D5CAC"/>
    <w:rsid w:val="002D5D33"/>
    <w:rsid w:val="002D5DF3"/>
    <w:rsid w:val="002D5E4A"/>
    <w:rsid w:val="002D6020"/>
    <w:rsid w:val="002D6044"/>
    <w:rsid w:val="002D6087"/>
    <w:rsid w:val="002D6113"/>
    <w:rsid w:val="002D616D"/>
    <w:rsid w:val="002D61B8"/>
    <w:rsid w:val="002D61E2"/>
    <w:rsid w:val="002D61EB"/>
    <w:rsid w:val="002D6311"/>
    <w:rsid w:val="002D6401"/>
    <w:rsid w:val="002D6405"/>
    <w:rsid w:val="002D640F"/>
    <w:rsid w:val="002D650B"/>
    <w:rsid w:val="002D650E"/>
    <w:rsid w:val="002D651B"/>
    <w:rsid w:val="002D659F"/>
    <w:rsid w:val="002D65DD"/>
    <w:rsid w:val="002D66C8"/>
    <w:rsid w:val="002D6812"/>
    <w:rsid w:val="002D6819"/>
    <w:rsid w:val="002D6848"/>
    <w:rsid w:val="002D6851"/>
    <w:rsid w:val="002D686E"/>
    <w:rsid w:val="002D68E7"/>
    <w:rsid w:val="002D696D"/>
    <w:rsid w:val="002D69F6"/>
    <w:rsid w:val="002D69F8"/>
    <w:rsid w:val="002D6A06"/>
    <w:rsid w:val="002D6A4E"/>
    <w:rsid w:val="002D6A96"/>
    <w:rsid w:val="002D6B18"/>
    <w:rsid w:val="002D6B85"/>
    <w:rsid w:val="002D6BD5"/>
    <w:rsid w:val="002D6C1E"/>
    <w:rsid w:val="002D6C31"/>
    <w:rsid w:val="002D6D09"/>
    <w:rsid w:val="002D6D6A"/>
    <w:rsid w:val="002D6E2B"/>
    <w:rsid w:val="002D6EA0"/>
    <w:rsid w:val="002D6FC3"/>
    <w:rsid w:val="002D7041"/>
    <w:rsid w:val="002D7056"/>
    <w:rsid w:val="002D70BE"/>
    <w:rsid w:val="002D7131"/>
    <w:rsid w:val="002D71D1"/>
    <w:rsid w:val="002D71D9"/>
    <w:rsid w:val="002D71E4"/>
    <w:rsid w:val="002D71E6"/>
    <w:rsid w:val="002D7221"/>
    <w:rsid w:val="002D7370"/>
    <w:rsid w:val="002D73AE"/>
    <w:rsid w:val="002D7477"/>
    <w:rsid w:val="002D7575"/>
    <w:rsid w:val="002D7580"/>
    <w:rsid w:val="002D75EB"/>
    <w:rsid w:val="002D75F7"/>
    <w:rsid w:val="002D7697"/>
    <w:rsid w:val="002D772A"/>
    <w:rsid w:val="002D77D1"/>
    <w:rsid w:val="002D77EE"/>
    <w:rsid w:val="002D7878"/>
    <w:rsid w:val="002D788B"/>
    <w:rsid w:val="002D78AC"/>
    <w:rsid w:val="002D7904"/>
    <w:rsid w:val="002D790B"/>
    <w:rsid w:val="002D7917"/>
    <w:rsid w:val="002D7956"/>
    <w:rsid w:val="002D796C"/>
    <w:rsid w:val="002D797B"/>
    <w:rsid w:val="002D79B3"/>
    <w:rsid w:val="002D7A19"/>
    <w:rsid w:val="002D7A3F"/>
    <w:rsid w:val="002D7A95"/>
    <w:rsid w:val="002D7AC3"/>
    <w:rsid w:val="002D7B98"/>
    <w:rsid w:val="002D7C51"/>
    <w:rsid w:val="002D7C62"/>
    <w:rsid w:val="002D7CA3"/>
    <w:rsid w:val="002D7D01"/>
    <w:rsid w:val="002D7D80"/>
    <w:rsid w:val="002D7DAD"/>
    <w:rsid w:val="002D7EA5"/>
    <w:rsid w:val="002D7EB0"/>
    <w:rsid w:val="002D7F17"/>
    <w:rsid w:val="002D7F40"/>
    <w:rsid w:val="002D7F42"/>
    <w:rsid w:val="002D7FA9"/>
    <w:rsid w:val="002D7FB1"/>
    <w:rsid w:val="002D7FD7"/>
    <w:rsid w:val="002E0000"/>
    <w:rsid w:val="002E000D"/>
    <w:rsid w:val="002E0027"/>
    <w:rsid w:val="002E00C6"/>
    <w:rsid w:val="002E013D"/>
    <w:rsid w:val="002E0166"/>
    <w:rsid w:val="002E0181"/>
    <w:rsid w:val="002E01AE"/>
    <w:rsid w:val="002E023F"/>
    <w:rsid w:val="002E0263"/>
    <w:rsid w:val="002E03CF"/>
    <w:rsid w:val="002E03D6"/>
    <w:rsid w:val="002E041F"/>
    <w:rsid w:val="002E04AB"/>
    <w:rsid w:val="002E04ED"/>
    <w:rsid w:val="002E05AC"/>
    <w:rsid w:val="002E05C0"/>
    <w:rsid w:val="002E05E2"/>
    <w:rsid w:val="002E066A"/>
    <w:rsid w:val="002E06E9"/>
    <w:rsid w:val="002E06F1"/>
    <w:rsid w:val="002E071E"/>
    <w:rsid w:val="002E083E"/>
    <w:rsid w:val="002E093C"/>
    <w:rsid w:val="002E0969"/>
    <w:rsid w:val="002E0A0F"/>
    <w:rsid w:val="002E0A2E"/>
    <w:rsid w:val="002E0A48"/>
    <w:rsid w:val="002E0A8B"/>
    <w:rsid w:val="002E0A97"/>
    <w:rsid w:val="002E0AD8"/>
    <w:rsid w:val="002E0B1A"/>
    <w:rsid w:val="002E0CA0"/>
    <w:rsid w:val="002E0D18"/>
    <w:rsid w:val="002E0D59"/>
    <w:rsid w:val="002E0D9D"/>
    <w:rsid w:val="002E0DA0"/>
    <w:rsid w:val="002E0DEA"/>
    <w:rsid w:val="002E0E25"/>
    <w:rsid w:val="002E0E3D"/>
    <w:rsid w:val="002E0E7B"/>
    <w:rsid w:val="002E0EFF"/>
    <w:rsid w:val="002E0F70"/>
    <w:rsid w:val="002E0FC1"/>
    <w:rsid w:val="002E0FFD"/>
    <w:rsid w:val="002E102B"/>
    <w:rsid w:val="002E1168"/>
    <w:rsid w:val="002E11B4"/>
    <w:rsid w:val="002E11EA"/>
    <w:rsid w:val="002E1244"/>
    <w:rsid w:val="002E127C"/>
    <w:rsid w:val="002E12C5"/>
    <w:rsid w:val="002E13A4"/>
    <w:rsid w:val="002E13B8"/>
    <w:rsid w:val="002E1472"/>
    <w:rsid w:val="002E161C"/>
    <w:rsid w:val="002E164C"/>
    <w:rsid w:val="002E16A7"/>
    <w:rsid w:val="002E16AB"/>
    <w:rsid w:val="002E16D2"/>
    <w:rsid w:val="002E1741"/>
    <w:rsid w:val="002E17C2"/>
    <w:rsid w:val="002E181E"/>
    <w:rsid w:val="002E1825"/>
    <w:rsid w:val="002E188F"/>
    <w:rsid w:val="002E18DC"/>
    <w:rsid w:val="002E199B"/>
    <w:rsid w:val="002E1A01"/>
    <w:rsid w:val="002E1A81"/>
    <w:rsid w:val="002E1A90"/>
    <w:rsid w:val="002E1AF4"/>
    <w:rsid w:val="002E1B9A"/>
    <w:rsid w:val="002E1BDD"/>
    <w:rsid w:val="002E1BF2"/>
    <w:rsid w:val="002E1C63"/>
    <w:rsid w:val="002E1D17"/>
    <w:rsid w:val="002E1D38"/>
    <w:rsid w:val="002E1D6B"/>
    <w:rsid w:val="002E1DC7"/>
    <w:rsid w:val="002E1E0A"/>
    <w:rsid w:val="002E1E3A"/>
    <w:rsid w:val="002E1E76"/>
    <w:rsid w:val="002E1F2F"/>
    <w:rsid w:val="002E2026"/>
    <w:rsid w:val="002E208D"/>
    <w:rsid w:val="002E20A8"/>
    <w:rsid w:val="002E2155"/>
    <w:rsid w:val="002E21B7"/>
    <w:rsid w:val="002E2214"/>
    <w:rsid w:val="002E228F"/>
    <w:rsid w:val="002E229E"/>
    <w:rsid w:val="002E22B0"/>
    <w:rsid w:val="002E2377"/>
    <w:rsid w:val="002E2461"/>
    <w:rsid w:val="002E2479"/>
    <w:rsid w:val="002E24B2"/>
    <w:rsid w:val="002E24CC"/>
    <w:rsid w:val="002E24DB"/>
    <w:rsid w:val="002E25D4"/>
    <w:rsid w:val="002E26C4"/>
    <w:rsid w:val="002E26E9"/>
    <w:rsid w:val="002E277A"/>
    <w:rsid w:val="002E27D9"/>
    <w:rsid w:val="002E27E4"/>
    <w:rsid w:val="002E28BD"/>
    <w:rsid w:val="002E28D2"/>
    <w:rsid w:val="002E29CE"/>
    <w:rsid w:val="002E2AF9"/>
    <w:rsid w:val="002E2B0C"/>
    <w:rsid w:val="002E2B58"/>
    <w:rsid w:val="002E2B99"/>
    <w:rsid w:val="002E2BA8"/>
    <w:rsid w:val="002E2C42"/>
    <w:rsid w:val="002E2C48"/>
    <w:rsid w:val="002E2C9D"/>
    <w:rsid w:val="002E2D4C"/>
    <w:rsid w:val="002E2D5C"/>
    <w:rsid w:val="002E2DD3"/>
    <w:rsid w:val="002E2E45"/>
    <w:rsid w:val="002E2E99"/>
    <w:rsid w:val="002E2ED9"/>
    <w:rsid w:val="002E2EE4"/>
    <w:rsid w:val="002E2F24"/>
    <w:rsid w:val="002E2F63"/>
    <w:rsid w:val="002E2F96"/>
    <w:rsid w:val="002E3014"/>
    <w:rsid w:val="002E3019"/>
    <w:rsid w:val="002E3043"/>
    <w:rsid w:val="002E305D"/>
    <w:rsid w:val="002E3116"/>
    <w:rsid w:val="002E31E8"/>
    <w:rsid w:val="002E31F2"/>
    <w:rsid w:val="002E3255"/>
    <w:rsid w:val="002E3277"/>
    <w:rsid w:val="002E327A"/>
    <w:rsid w:val="002E330C"/>
    <w:rsid w:val="002E3461"/>
    <w:rsid w:val="002E3480"/>
    <w:rsid w:val="002E35AF"/>
    <w:rsid w:val="002E361F"/>
    <w:rsid w:val="002E3632"/>
    <w:rsid w:val="002E3717"/>
    <w:rsid w:val="002E3797"/>
    <w:rsid w:val="002E3845"/>
    <w:rsid w:val="002E39A7"/>
    <w:rsid w:val="002E39AA"/>
    <w:rsid w:val="002E39B3"/>
    <w:rsid w:val="002E3A81"/>
    <w:rsid w:val="002E3A96"/>
    <w:rsid w:val="002E3ACE"/>
    <w:rsid w:val="002E3C43"/>
    <w:rsid w:val="002E3C95"/>
    <w:rsid w:val="002E3CF2"/>
    <w:rsid w:val="002E3D16"/>
    <w:rsid w:val="002E3E5D"/>
    <w:rsid w:val="002E3EC9"/>
    <w:rsid w:val="002E3FBE"/>
    <w:rsid w:val="002E3FF8"/>
    <w:rsid w:val="002E403D"/>
    <w:rsid w:val="002E4088"/>
    <w:rsid w:val="002E41B0"/>
    <w:rsid w:val="002E41F9"/>
    <w:rsid w:val="002E4271"/>
    <w:rsid w:val="002E4348"/>
    <w:rsid w:val="002E4373"/>
    <w:rsid w:val="002E439B"/>
    <w:rsid w:val="002E4423"/>
    <w:rsid w:val="002E4452"/>
    <w:rsid w:val="002E44A6"/>
    <w:rsid w:val="002E453B"/>
    <w:rsid w:val="002E4561"/>
    <w:rsid w:val="002E45BC"/>
    <w:rsid w:val="002E4641"/>
    <w:rsid w:val="002E4682"/>
    <w:rsid w:val="002E46EC"/>
    <w:rsid w:val="002E473C"/>
    <w:rsid w:val="002E4760"/>
    <w:rsid w:val="002E47B2"/>
    <w:rsid w:val="002E47EA"/>
    <w:rsid w:val="002E47F0"/>
    <w:rsid w:val="002E4861"/>
    <w:rsid w:val="002E48D4"/>
    <w:rsid w:val="002E4932"/>
    <w:rsid w:val="002E49A5"/>
    <w:rsid w:val="002E4A3D"/>
    <w:rsid w:val="002E4AC5"/>
    <w:rsid w:val="002E4BB7"/>
    <w:rsid w:val="002E4BBA"/>
    <w:rsid w:val="002E4C22"/>
    <w:rsid w:val="002E4C2D"/>
    <w:rsid w:val="002E4DD8"/>
    <w:rsid w:val="002E4EDA"/>
    <w:rsid w:val="002E4F23"/>
    <w:rsid w:val="002E51E0"/>
    <w:rsid w:val="002E524E"/>
    <w:rsid w:val="002E5261"/>
    <w:rsid w:val="002E527F"/>
    <w:rsid w:val="002E52C3"/>
    <w:rsid w:val="002E52C6"/>
    <w:rsid w:val="002E5323"/>
    <w:rsid w:val="002E53B0"/>
    <w:rsid w:val="002E5401"/>
    <w:rsid w:val="002E5440"/>
    <w:rsid w:val="002E54C7"/>
    <w:rsid w:val="002E54F0"/>
    <w:rsid w:val="002E5625"/>
    <w:rsid w:val="002E5736"/>
    <w:rsid w:val="002E5737"/>
    <w:rsid w:val="002E576D"/>
    <w:rsid w:val="002E5790"/>
    <w:rsid w:val="002E5804"/>
    <w:rsid w:val="002E5AAF"/>
    <w:rsid w:val="002E5AE5"/>
    <w:rsid w:val="002E5B4C"/>
    <w:rsid w:val="002E5BFE"/>
    <w:rsid w:val="002E5C38"/>
    <w:rsid w:val="002E5CDC"/>
    <w:rsid w:val="002E5CF0"/>
    <w:rsid w:val="002E5D59"/>
    <w:rsid w:val="002E5D87"/>
    <w:rsid w:val="002E5DA4"/>
    <w:rsid w:val="002E5DFB"/>
    <w:rsid w:val="002E5E36"/>
    <w:rsid w:val="002E5E9A"/>
    <w:rsid w:val="002E5F08"/>
    <w:rsid w:val="002E60BE"/>
    <w:rsid w:val="002E61B7"/>
    <w:rsid w:val="002E6268"/>
    <w:rsid w:val="002E646F"/>
    <w:rsid w:val="002E64BD"/>
    <w:rsid w:val="002E66AE"/>
    <w:rsid w:val="002E6712"/>
    <w:rsid w:val="002E68BE"/>
    <w:rsid w:val="002E68E0"/>
    <w:rsid w:val="002E69D7"/>
    <w:rsid w:val="002E6AFF"/>
    <w:rsid w:val="002E6B22"/>
    <w:rsid w:val="002E6BC1"/>
    <w:rsid w:val="002E6C34"/>
    <w:rsid w:val="002E6C49"/>
    <w:rsid w:val="002E6CF6"/>
    <w:rsid w:val="002E6DCE"/>
    <w:rsid w:val="002E6DDD"/>
    <w:rsid w:val="002E6DF6"/>
    <w:rsid w:val="002E6E05"/>
    <w:rsid w:val="002E6EA6"/>
    <w:rsid w:val="002E6F4E"/>
    <w:rsid w:val="002E6F53"/>
    <w:rsid w:val="002E6FA1"/>
    <w:rsid w:val="002E6FB8"/>
    <w:rsid w:val="002E70D4"/>
    <w:rsid w:val="002E710F"/>
    <w:rsid w:val="002E71FC"/>
    <w:rsid w:val="002E7239"/>
    <w:rsid w:val="002E736A"/>
    <w:rsid w:val="002E73E2"/>
    <w:rsid w:val="002E740B"/>
    <w:rsid w:val="002E741F"/>
    <w:rsid w:val="002E74D9"/>
    <w:rsid w:val="002E759E"/>
    <w:rsid w:val="002E776A"/>
    <w:rsid w:val="002E77E4"/>
    <w:rsid w:val="002E78DF"/>
    <w:rsid w:val="002E7907"/>
    <w:rsid w:val="002E792B"/>
    <w:rsid w:val="002E7947"/>
    <w:rsid w:val="002E7A0E"/>
    <w:rsid w:val="002E7A56"/>
    <w:rsid w:val="002E7A8E"/>
    <w:rsid w:val="002E7B49"/>
    <w:rsid w:val="002E7B52"/>
    <w:rsid w:val="002E7B6F"/>
    <w:rsid w:val="002E7B7E"/>
    <w:rsid w:val="002E7BDC"/>
    <w:rsid w:val="002E7BF7"/>
    <w:rsid w:val="002E7C52"/>
    <w:rsid w:val="002E7CE5"/>
    <w:rsid w:val="002E7DDD"/>
    <w:rsid w:val="002E7DF8"/>
    <w:rsid w:val="002E7E17"/>
    <w:rsid w:val="002E7E69"/>
    <w:rsid w:val="002E7FAB"/>
    <w:rsid w:val="002F01A7"/>
    <w:rsid w:val="002F01AD"/>
    <w:rsid w:val="002F0292"/>
    <w:rsid w:val="002F0545"/>
    <w:rsid w:val="002F060D"/>
    <w:rsid w:val="002F084E"/>
    <w:rsid w:val="002F0862"/>
    <w:rsid w:val="002F095E"/>
    <w:rsid w:val="002F09F8"/>
    <w:rsid w:val="002F0A1C"/>
    <w:rsid w:val="002F0A2A"/>
    <w:rsid w:val="002F0A59"/>
    <w:rsid w:val="002F0A86"/>
    <w:rsid w:val="002F0AA3"/>
    <w:rsid w:val="002F0B14"/>
    <w:rsid w:val="002F0D21"/>
    <w:rsid w:val="002F0E47"/>
    <w:rsid w:val="002F0EC4"/>
    <w:rsid w:val="002F0F2D"/>
    <w:rsid w:val="002F0F5B"/>
    <w:rsid w:val="002F0F5C"/>
    <w:rsid w:val="002F1004"/>
    <w:rsid w:val="002F101D"/>
    <w:rsid w:val="002F1025"/>
    <w:rsid w:val="002F103D"/>
    <w:rsid w:val="002F1065"/>
    <w:rsid w:val="002F1093"/>
    <w:rsid w:val="002F10EC"/>
    <w:rsid w:val="002F1107"/>
    <w:rsid w:val="002F116B"/>
    <w:rsid w:val="002F1227"/>
    <w:rsid w:val="002F124C"/>
    <w:rsid w:val="002F12A3"/>
    <w:rsid w:val="002F1366"/>
    <w:rsid w:val="002F143A"/>
    <w:rsid w:val="002F14E6"/>
    <w:rsid w:val="002F1523"/>
    <w:rsid w:val="002F154B"/>
    <w:rsid w:val="002F16F3"/>
    <w:rsid w:val="002F1808"/>
    <w:rsid w:val="002F1834"/>
    <w:rsid w:val="002F18F8"/>
    <w:rsid w:val="002F1917"/>
    <w:rsid w:val="002F1950"/>
    <w:rsid w:val="002F195D"/>
    <w:rsid w:val="002F1A06"/>
    <w:rsid w:val="002F1AAE"/>
    <w:rsid w:val="002F1AD6"/>
    <w:rsid w:val="002F1B59"/>
    <w:rsid w:val="002F1B6E"/>
    <w:rsid w:val="002F1B9F"/>
    <w:rsid w:val="002F1BA5"/>
    <w:rsid w:val="002F1BB9"/>
    <w:rsid w:val="002F1C29"/>
    <w:rsid w:val="002F1CFB"/>
    <w:rsid w:val="002F1DD8"/>
    <w:rsid w:val="002F1E20"/>
    <w:rsid w:val="002F1E46"/>
    <w:rsid w:val="002F1EF5"/>
    <w:rsid w:val="002F2054"/>
    <w:rsid w:val="002F206D"/>
    <w:rsid w:val="002F2119"/>
    <w:rsid w:val="002F2186"/>
    <w:rsid w:val="002F21CA"/>
    <w:rsid w:val="002F2242"/>
    <w:rsid w:val="002F227E"/>
    <w:rsid w:val="002F2348"/>
    <w:rsid w:val="002F2372"/>
    <w:rsid w:val="002F2417"/>
    <w:rsid w:val="002F2483"/>
    <w:rsid w:val="002F24B9"/>
    <w:rsid w:val="002F2525"/>
    <w:rsid w:val="002F2611"/>
    <w:rsid w:val="002F2614"/>
    <w:rsid w:val="002F2706"/>
    <w:rsid w:val="002F2730"/>
    <w:rsid w:val="002F280F"/>
    <w:rsid w:val="002F2829"/>
    <w:rsid w:val="002F291D"/>
    <w:rsid w:val="002F2951"/>
    <w:rsid w:val="002F298D"/>
    <w:rsid w:val="002F298F"/>
    <w:rsid w:val="002F2B4E"/>
    <w:rsid w:val="002F2BA0"/>
    <w:rsid w:val="002F2BE2"/>
    <w:rsid w:val="002F2D8D"/>
    <w:rsid w:val="002F2EBC"/>
    <w:rsid w:val="002F2F8D"/>
    <w:rsid w:val="002F3020"/>
    <w:rsid w:val="002F302F"/>
    <w:rsid w:val="002F30BB"/>
    <w:rsid w:val="002F313C"/>
    <w:rsid w:val="002F313D"/>
    <w:rsid w:val="002F3191"/>
    <w:rsid w:val="002F3199"/>
    <w:rsid w:val="002F319C"/>
    <w:rsid w:val="002F31FD"/>
    <w:rsid w:val="002F32BC"/>
    <w:rsid w:val="002F335B"/>
    <w:rsid w:val="002F345C"/>
    <w:rsid w:val="002F347E"/>
    <w:rsid w:val="002F34C2"/>
    <w:rsid w:val="002F34CF"/>
    <w:rsid w:val="002F352B"/>
    <w:rsid w:val="002F3537"/>
    <w:rsid w:val="002F35C8"/>
    <w:rsid w:val="002F360C"/>
    <w:rsid w:val="002F3620"/>
    <w:rsid w:val="002F3752"/>
    <w:rsid w:val="002F3768"/>
    <w:rsid w:val="002F377C"/>
    <w:rsid w:val="002F37B8"/>
    <w:rsid w:val="002F37F7"/>
    <w:rsid w:val="002F3802"/>
    <w:rsid w:val="002F381B"/>
    <w:rsid w:val="002F3837"/>
    <w:rsid w:val="002F385D"/>
    <w:rsid w:val="002F38DD"/>
    <w:rsid w:val="002F398D"/>
    <w:rsid w:val="002F39F2"/>
    <w:rsid w:val="002F3BBE"/>
    <w:rsid w:val="002F3C38"/>
    <w:rsid w:val="002F3C57"/>
    <w:rsid w:val="002F3C76"/>
    <w:rsid w:val="002F3CB3"/>
    <w:rsid w:val="002F3CEE"/>
    <w:rsid w:val="002F3D11"/>
    <w:rsid w:val="002F3D8A"/>
    <w:rsid w:val="002F3DA1"/>
    <w:rsid w:val="002F3DA5"/>
    <w:rsid w:val="002F3E32"/>
    <w:rsid w:val="002F3E49"/>
    <w:rsid w:val="002F4005"/>
    <w:rsid w:val="002F40A7"/>
    <w:rsid w:val="002F40C4"/>
    <w:rsid w:val="002F40CB"/>
    <w:rsid w:val="002F4127"/>
    <w:rsid w:val="002F412E"/>
    <w:rsid w:val="002F418E"/>
    <w:rsid w:val="002F41D8"/>
    <w:rsid w:val="002F4269"/>
    <w:rsid w:val="002F42B8"/>
    <w:rsid w:val="002F42D1"/>
    <w:rsid w:val="002F4350"/>
    <w:rsid w:val="002F4365"/>
    <w:rsid w:val="002F4399"/>
    <w:rsid w:val="002F44A5"/>
    <w:rsid w:val="002F44D7"/>
    <w:rsid w:val="002F44E1"/>
    <w:rsid w:val="002F451E"/>
    <w:rsid w:val="002F4575"/>
    <w:rsid w:val="002F45A4"/>
    <w:rsid w:val="002F464C"/>
    <w:rsid w:val="002F469C"/>
    <w:rsid w:val="002F46BC"/>
    <w:rsid w:val="002F46E8"/>
    <w:rsid w:val="002F46E9"/>
    <w:rsid w:val="002F4706"/>
    <w:rsid w:val="002F4716"/>
    <w:rsid w:val="002F4743"/>
    <w:rsid w:val="002F4752"/>
    <w:rsid w:val="002F47A2"/>
    <w:rsid w:val="002F47A7"/>
    <w:rsid w:val="002F483B"/>
    <w:rsid w:val="002F48D8"/>
    <w:rsid w:val="002F493D"/>
    <w:rsid w:val="002F4A6A"/>
    <w:rsid w:val="002F4AF3"/>
    <w:rsid w:val="002F4B03"/>
    <w:rsid w:val="002F4B4B"/>
    <w:rsid w:val="002F4B8F"/>
    <w:rsid w:val="002F4B9F"/>
    <w:rsid w:val="002F4BE4"/>
    <w:rsid w:val="002F4C12"/>
    <w:rsid w:val="002F4C1E"/>
    <w:rsid w:val="002F4C78"/>
    <w:rsid w:val="002F4CA7"/>
    <w:rsid w:val="002F4D2D"/>
    <w:rsid w:val="002F4DB7"/>
    <w:rsid w:val="002F4E44"/>
    <w:rsid w:val="002F4F3A"/>
    <w:rsid w:val="002F4FDC"/>
    <w:rsid w:val="002F4FDF"/>
    <w:rsid w:val="002F504F"/>
    <w:rsid w:val="002F50C6"/>
    <w:rsid w:val="002F5154"/>
    <w:rsid w:val="002F519E"/>
    <w:rsid w:val="002F51C3"/>
    <w:rsid w:val="002F51CC"/>
    <w:rsid w:val="002F5239"/>
    <w:rsid w:val="002F528E"/>
    <w:rsid w:val="002F52B6"/>
    <w:rsid w:val="002F5370"/>
    <w:rsid w:val="002F5376"/>
    <w:rsid w:val="002F537A"/>
    <w:rsid w:val="002F53F0"/>
    <w:rsid w:val="002F54A1"/>
    <w:rsid w:val="002F54E6"/>
    <w:rsid w:val="002F5521"/>
    <w:rsid w:val="002F555B"/>
    <w:rsid w:val="002F566B"/>
    <w:rsid w:val="002F56B4"/>
    <w:rsid w:val="002F56EF"/>
    <w:rsid w:val="002F572E"/>
    <w:rsid w:val="002F573B"/>
    <w:rsid w:val="002F5834"/>
    <w:rsid w:val="002F58B4"/>
    <w:rsid w:val="002F59C1"/>
    <w:rsid w:val="002F59DD"/>
    <w:rsid w:val="002F5B81"/>
    <w:rsid w:val="002F5C22"/>
    <w:rsid w:val="002F5C9F"/>
    <w:rsid w:val="002F5D39"/>
    <w:rsid w:val="002F5D4F"/>
    <w:rsid w:val="002F5D90"/>
    <w:rsid w:val="002F5DDE"/>
    <w:rsid w:val="002F5E7E"/>
    <w:rsid w:val="002F5EB8"/>
    <w:rsid w:val="002F5ECB"/>
    <w:rsid w:val="002F5F39"/>
    <w:rsid w:val="002F5FBC"/>
    <w:rsid w:val="002F6097"/>
    <w:rsid w:val="002F60F8"/>
    <w:rsid w:val="002F6137"/>
    <w:rsid w:val="002F616A"/>
    <w:rsid w:val="002F61FF"/>
    <w:rsid w:val="002F6296"/>
    <w:rsid w:val="002F62A7"/>
    <w:rsid w:val="002F62D5"/>
    <w:rsid w:val="002F62EE"/>
    <w:rsid w:val="002F6303"/>
    <w:rsid w:val="002F6386"/>
    <w:rsid w:val="002F6425"/>
    <w:rsid w:val="002F64E5"/>
    <w:rsid w:val="002F64F0"/>
    <w:rsid w:val="002F65B6"/>
    <w:rsid w:val="002F6626"/>
    <w:rsid w:val="002F6675"/>
    <w:rsid w:val="002F6802"/>
    <w:rsid w:val="002F6886"/>
    <w:rsid w:val="002F68BD"/>
    <w:rsid w:val="002F6AD4"/>
    <w:rsid w:val="002F6B0C"/>
    <w:rsid w:val="002F6B78"/>
    <w:rsid w:val="002F6BA0"/>
    <w:rsid w:val="002F6C0C"/>
    <w:rsid w:val="002F6CDF"/>
    <w:rsid w:val="002F6E47"/>
    <w:rsid w:val="002F6E72"/>
    <w:rsid w:val="002F6F3E"/>
    <w:rsid w:val="002F6F46"/>
    <w:rsid w:val="002F6F6D"/>
    <w:rsid w:val="002F6FBB"/>
    <w:rsid w:val="002F7049"/>
    <w:rsid w:val="002F70AD"/>
    <w:rsid w:val="002F711B"/>
    <w:rsid w:val="002F7155"/>
    <w:rsid w:val="002F7169"/>
    <w:rsid w:val="002F71BF"/>
    <w:rsid w:val="002F71C4"/>
    <w:rsid w:val="002F71F6"/>
    <w:rsid w:val="002F7228"/>
    <w:rsid w:val="002F7358"/>
    <w:rsid w:val="002F7383"/>
    <w:rsid w:val="002F7463"/>
    <w:rsid w:val="002F74C0"/>
    <w:rsid w:val="002F74D5"/>
    <w:rsid w:val="002F7540"/>
    <w:rsid w:val="002F759C"/>
    <w:rsid w:val="002F75C5"/>
    <w:rsid w:val="002F7620"/>
    <w:rsid w:val="002F76B1"/>
    <w:rsid w:val="002F76D2"/>
    <w:rsid w:val="002F773B"/>
    <w:rsid w:val="002F774A"/>
    <w:rsid w:val="002F774B"/>
    <w:rsid w:val="002F779A"/>
    <w:rsid w:val="002F77D6"/>
    <w:rsid w:val="002F789B"/>
    <w:rsid w:val="002F78AC"/>
    <w:rsid w:val="002F78D9"/>
    <w:rsid w:val="002F7950"/>
    <w:rsid w:val="002F7A1E"/>
    <w:rsid w:val="002F7B65"/>
    <w:rsid w:val="002F7C2C"/>
    <w:rsid w:val="002F7CCB"/>
    <w:rsid w:val="002F7CE7"/>
    <w:rsid w:val="002F7CFE"/>
    <w:rsid w:val="002F7D64"/>
    <w:rsid w:val="002F7DF6"/>
    <w:rsid w:val="002F7E45"/>
    <w:rsid w:val="002F7E5A"/>
    <w:rsid w:val="002F7EDC"/>
    <w:rsid w:val="002F7F07"/>
    <w:rsid w:val="002F7F12"/>
    <w:rsid w:val="002F7F46"/>
    <w:rsid w:val="002F7F5A"/>
    <w:rsid w:val="002F7F75"/>
    <w:rsid w:val="00300055"/>
    <w:rsid w:val="003000C4"/>
    <w:rsid w:val="0030030E"/>
    <w:rsid w:val="0030033C"/>
    <w:rsid w:val="003003AB"/>
    <w:rsid w:val="00300415"/>
    <w:rsid w:val="0030045D"/>
    <w:rsid w:val="0030051E"/>
    <w:rsid w:val="00300529"/>
    <w:rsid w:val="0030053D"/>
    <w:rsid w:val="0030058C"/>
    <w:rsid w:val="0030058D"/>
    <w:rsid w:val="003005BD"/>
    <w:rsid w:val="00300665"/>
    <w:rsid w:val="0030068B"/>
    <w:rsid w:val="00300771"/>
    <w:rsid w:val="00300782"/>
    <w:rsid w:val="0030086B"/>
    <w:rsid w:val="0030088F"/>
    <w:rsid w:val="003008EA"/>
    <w:rsid w:val="00300930"/>
    <w:rsid w:val="003009D6"/>
    <w:rsid w:val="00300A35"/>
    <w:rsid w:val="00300A9A"/>
    <w:rsid w:val="00300AA8"/>
    <w:rsid w:val="00300AE8"/>
    <w:rsid w:val="00300AF9"/>
    <w:rsid w:val="00300B1D"/>
    <w:rsid w:val="00300C6B"/>
    <w:rsid w:val="00300C8D"/>
    <w:rsid w:val="00300CF7"/>
    <w:rsid w:val="00300D29"/>
    <w:rsid w:val="00300D71"/>
    <w:rsid w:val="00300D86"/>
    <w:rsid w:val="00300DA8"/>
    <w:rsid w:val="00300DB6"/>
    <w:rsid w:val="00300DE4"/>
    <w:rsid w:val="00300E07"/>
    <w:rsid w:val="00300E94"/>
    <w:rsid w:val="00300F4B"/>
    <w:rsid w:val="00300F7B"/>
    <w:rsid w:val="00300FA6"/>
    <w:rsid w:val="0030110D"/>
    <w:rsid w:val="0030114E"/>
    <w:rsid w:val="00301172"/>
    <w:rsid w:val="00301211"/>
    <w:rsid w:val="00301238"/>
    <w:rsid w:val="00301239"/>
    <w:rsid w:val="00301311"/>
    <w:rsid w:val="0030141D"/>
    <w:rsid w:val="0030142B"/>
    <w:rsid w:val="0030142F"/>
    <w:rsid w:val="00301511"/>
    <w:rsid w:val="0030157B"/>
    <w:rsid w:val="003015AA"/>
    <w:rsid w:val="003016CB"/>
    <w:rsid w:val="0030170D"/>
    <w:rsid w:val="0030171F"/>
    <w:rsid w:val="00301750"/>
    <w:rsid w:val="0030176E"/>
    <w:rsid w:val="00301841"/>
    <w:rsid w:val="003018E1"/>
    <w:rsid w:val="0030198E"/>
    <w:rsid w:val="00301999"/>
    <w:rsid w:val="0030199B"/>
    <w:rsid w:val="003019E8"/>
    <w:rsid w:val="00301ADB"/>
    <w:rsid w:val="00301B4D"/>
    <w:rsid w:val="00301B5B"/>
    <w:rsid w:val="00301B6E"/>
    <w:rsid w:val="00301B89"/>
    <w:rsid w:val="00301B97"/>
    <w:rsid w:val="00301BED"/>
    <w:rsid w:val="00301C11"/>
    <w:rsid w:val="00301C21"/>
    <w:rsid w:val="00301C4D"/>
    <w:rsid w:val="00301D57"/>
    <w:rsid w:val="00301D70"/>
    <w:rsid w:val="00301DAB"/>
    <w:rsid w:val="00301DE6"/>
    <w:rsid w:val="00301E98"/>
    <w:rsid w:val="00301F09"/>
    <w:rsid w:val="00301F0C"/>
    <w:rsid w:val="00301F82"/>
    <w:rsid w:val="0030206C"/>
    <w:rsid w:val="00302086"/>
    <w:rsid w:val="003021A4"/>
    <w:rsid w:val="003021EB"/>
    <w:rsid w:val="003022A2"/>
    <w:rsid w:val="003022ED"/>
    <w:rsid w:val="00302312"/>
    <w:rsid w:val="003023D1"/>
    <w:rsid w:val="003023F7"/>
    <w:rsid w:val="00302417"/>
    <w:rsid w:val="00302448"/>
    <w:rsid w:val="003024C1"/>
    <w:rsid w:val="003024FB"/>
    <w:rsid w:val="003025E5"/>
    <w:rsid w:val="0030265F"/>
    <w:rsid w:val="00302669"/>
    <w:rsid w:val="003026C4"/>
    <w:rsid w:val="003026E7"/>
    <w:rsid w:val="0030272B"/>
    <w:rsid w:val="00302793"/>
    <w:rsid w:val="00302979"/>
    <w:rsid w:val="003029A4"/>
    <w:rsid w:val="003029DE"/>
    <w:rsid w:val="00302A1B"/>
    <w:rsid w:val="00302A45"/>
    <w:rsid w:val="00302A74"/>
    <w:rsid w:val="00302AC6"/>
    <w:rsid w:val="00302ADA"/>
    <w:rsid w:val="00302B57"/>
    <w:rsid w:val="00302C90"/>
    <w:rsid w:val="00302D5E"/>
    <w:rsid w:val="00302EBE"/>
    <w:rsid w:val="00302EF5"/>
    <w:rsid w:val="00302F1F"/>
    <w:rsid w:val="00302FD9"/>
    <w:rsid w:val="00303057"/>
    <w:rsid w:val="003030E8"/>
    <w:rsid w:val="00303109"/>
    <w:rsid w:val="00303175"/>
    <w:rsid w:val="003031A7"/>
    <w:rsid w:val="003031ED"/>
    <w:rsid w:val="00303289"/>
    <w:rsid w:val="003032A2"/>
    <w:rsid w:val="00303302"/>
    <w:rsid w:val="0030333C"/>
    <w:rsid w:val="003033BB"/>
    <w:rsid w:val="00303421"/>
    <w:rsid w:val="00303512"/>
    <w:rsid w:val="00303567"/>
    <w:rsid w:val="00303569"/>
    <w:rsid w:val="0030363D"/>
    <w:rsid w:val="00303680"/>
    <w:rsid w:val="00303703"/>
    <w:rsid w:val="00303732"/>
    <w:rsid w:val="00303739"/>
    <w:rsid w:val="00303852"/>
    <w:rsid w:val="00303873"/>
    <w:rsid w:val="003038B5"/>
    <w:rsid w:val="00303971"/>
    <w:rsid w:val="00303A2B"/>
    <w:rsid w:val="00303A3A"/>
    <w:rsid w:val="00303A81"/>
    <w:rsid w:val="00303BA0"/>
    <w:rsid w:val="00303BA3"/>
    <w:rsid w:val="00303C2F"/>
    <w:rsid w:val="00303C60"/>
    <w:rsid w:val="00303CFB"/>
    <w:rsid w:val="00303DA1"/>
    <w:rsid w:val="00303DA7"/>
    <w:rsid w:val="00303E37"/>
    <w:rsid w:val="00303E41"/>
    <w:rsid w:val="00303E84"/>
    <w:rsid w:val="00303E88"/>
    <w:rsid w:val="00303EA5"/>
    <w:rsid w:val="00303EC9"/>
    <w:rsid w:val="00303ED8"/>
    <w:rsid w:val="00303F42"/>
    <w:rsid w:val="00303FD1"/>
    <w:rsid w:val="00304021"/>
    <w:rsid w:val="00304061"/>
    <w:rsid w:val="00304089"/>
    <w:rsid w:val="003040D6"/>
    <w:rsid w:val="003040DE"/>
    <w:rsid w:val="00304123"/>
    <w:rsid w:val="00304148"/>
    <w:rsid w:val="00304165"/>
    <w:rsid w:val="00304183"/>
    <w:rsid w:val="0030418A"/>
    <w:rsid w:val="003041AC"/>
    <w:rsid w:val="0030422E"/>
    <w:rsid w:val="00304270"/>
    <w:rsid w:val="0030437F"/>
    <w:rsid w:val="003043A6"/>
    <w:rsid w:val="00304406"/>
    <w:rsid w:val="00304409"/>
    <w:rsid w:val="00304412"/>
    <w:rsid w:val="00304444"/>
    <w:rsid w:val="00304491"/>
    <w:rsid w:val="00304498"/>
    <w:rsid w:val="003044D8"/>
    <w:rsid w:val="003044FB"/>
    <w:rsid w:val="00304570"/>
    <w:rsid w:val="00304595"/>
    <w:rsid w:val="0030462E"/>
    <w:rsid w:val="00304779"/>
    <w:rsid w:val="003047A3"/>
    <w:rsid w:val="003047C7"/>
    <w:rsid w:val="003047EA"/>
    <w:rsid w:val="003047EE"/>
    <w:rsid w:val="0030480C"/>
    <w:rsid w:val="0030488B"/>
    <w:rsid w:val="00304A28"/>
    <w:rsid w:val="00304A7E"/>
    <w:rsid w:val="00304AD1"/>
    <w:rsid w:val="00304CAC"/>
    <w:rsid w:val="00304D00"/>
    <w:rsid w:val="00304D65"/>
    <w:rsid w:val="00304DD0"/>
    <w:rsid w:val="00304DED"/>
    <w:rsid w:val="00304E65"/>
    <w:rsid w:val="00304E6F"/>
    <w:rsid w:val="00304E76"/>
    <w:rsid w:val="00304EFF"/>
    <w:rsid w:val="00304F06"/>
    <w:rsid w:val="00305008"/>
    <w:rsid w:val="00305025"/>
    <w:rsid w:val="0030506C"/>
    <w:rsid w:val="00305155"/>
    <w:rsid w:val="00305184"/>
    <w:rsid w:val="00305195"/>
    <w:rsid w:val="003051B5"/>
    <w:rsid w:val="00305219"/>
    <w:rsid w:val="0030531C"/>
    <w:rsid w:val="0030540E"/>
    <w:rsid w:val="003054CA"/>
    <w:rsid w:val="0030551E"/>
    <w:rsid w:val="00305529"/>
    <w:rsid w:val="0030553A"/>
    <w:rsid w:val="00305540"/>
    <w:rsid w:val="00305580"/>
    <w:rsid w:val="003055FB"/>
    <w:rsid w:val="00305648"/>
    <w:rsid w:val="00305674"/>
    <w:rsid w:val="003056CC"/>
    <w:rsid w:val="00305778"/>
    <w:rsid w:val="00305781"/>
    <w:rsid w:val="0030580A"/>
    <w:rsid w:val="00305877"/>
    <w:rsid w:val="003058AB"/>
    <w:rsid w:val="003058DE"/>
    <w:rsid w:val="003058E3"/>
    <w:rsid w:val="003059ED"/>
    <w:rsid w:val="00305B56"/>
    <w:rsid w:val="00305BDD"/>
    <w:rsid w:val="00305DFF"/>
    <w:rsid w:val="00305FB6"/>
    <w:rsid w:val="00306104"/>
    <w:rsid w:val="00306116"/>
    <w:rsid w:val="00306123"/>
    <w:rsid w:val="00306217"/>
    <w:rsid w:val="00306234"/>
    <w:rsid w:val="00306243"/>
    <w:rsid w:val="003062E2"/>
    <w:rsid w:val="0030634D"/>
    <w:rsid w:val="00306358"/>
    <w:rsid w:val="003063B5"/>
    <w:rsid w:val="00306414"/>
    <w:rsid w:val="00306491"/>
    <w:rsid w:val="003064A4"/>
    <w:rsid w:val="003064C8"/>
    <w:rsid w:val="003064CB"/>
    <w:rsid w:val="003064F9"/>
    <w:rsid w:val="00306521"/>
    <w:rsid w:val="0030661C"/>
    <w:rsid w:val="0030662C"/>
    <w:rsid w:val="003068B3"/>
    <w:rsid w:val="003068CC"/>
    <w:rsid w:val="003068F0"/>
    <w:rsid w:val="00306925"/>
    <w:rsid w:val="00306996"/>
    <w:rsid w:val="003069AD"/>
    <w:rsid w:val="003069E7"/>
    <w:rsid w:val="00306A04"/>
    <w:rsid w:val="00306A09"/>
    <w:rsid w:val="00306A30"/>
    <w:rsid w:val="00306A59"/>
    <w:rsid w:val="00306A67"/>
    <w:rsid w:val="00306AC5"/>
    <w:rsid w:val="00306AEB"/>
    <w:rsid w:val="00306B85"/>
    <w:rsid w:val="00306BB8"/>
    <w:rsid w:val="00306C60"/>
    <w:rsid w:val="00306C62"/>
    <w:rsid w:val="00306D3F"/>
    <w:rsid w:val="00306D70"/>
    <w:rsid w:val="00306DD4"/>
    <w:rsid w:val="00306E52"/>
    <w:rsid w:val="00306F88"/>
    <w:rsid w:val="00306F99"/>
    <w:rsid w:val="00306FBC"/>
    <w:rsid w:val="0030707A"/>
    <w:rsid w:val="003070FC"/>
    <w:rsid w:val="00307134"/>
    <w:rsid w:val="0030724D"/>
    <w:rsid w:val="00307278"/>
    <w:rsid w:val="003072EC"/>
    <w:rsid w:val="0030730C"/>
    <w:rsid w:val="0030731E"/>
    <w:rsid w:val="00307355"/>
    <w:rsid w:val="003074EE"/>
    <w:rsid w:val="00307648"/>
    <w:rsid w:val="003076A8"/>
    <w:rsid w:val="003076B0"/>
    <w:rsid w:val="0030775A"/>
    <w:rsid w:val="00307768"/>
    <w:rsid w:val="00307776"/>
    <w:rsid w:val="0030792D"/>
    <w:rsid w:val="00307990"/>
    <w:rsid w:val="00307AA1"/>
    <w:rsid w:val="00307AB6"/>
    <w:rsid w:val="00307AE3"/>
    <w:rsid w:val="00307B65"/>
    <w:rsid w:val="00307BCD"/>
    <w:rsid w:val="00307BE2"/>
    <w:rsid w:val="00307BEE"/>
    <w:rsid w:val="00307BFC"/>
    <w:rsid w:val="00307C23"/>
    <w:rsid w:val="00307D3C"/>
    <w:rsid w:val="00307DAA"/>
    <w:rsid w:val="00307E9F"/>
    <w:rsid w:val="00307F30"/>
    <w:rsid w:val="00307F5B"/>
    <w:rsid w:val="00307F7F"/>
    <w:rsid w:val="00310057"/>
    <w:rsid w:val="0031006F"/>
    <w:rsid w:val="003100C6"/>
    <w:rsid w:val="003100D1"/>
    <w:rsid w:val="00310117"/>
    <w:rsid w:val="0031012C"/>
    <w:rsid w:val="00310189"/>
    <w:rsid w:val="0031024C"/>
    <w:rsid w:val="00310284"/>
    <w:rsid w:val="003102A8"/>
    <w:rsid w:val="00310327"/>
    <w:rsid w:val="00310490"/>
    <w:rsid w:val="003104D0"/>
    <w:rsid w:val="003104DB"/>
    <w:rsid w:val="00310562"/>
    <w:rsid w:val="0031065F"/>
    <w:rsid w:val="00310734"/>
    <w:rsid w:val="003107AF"/>
    <w:rsid w:val="003107B9"/>
    <w:rsid w:val="003107FE"/>
    <w:rsid w:val="0031088C"/>
    <w:rsid w:val="003108D3"/>
    <w:rsid w:val="003108D9"/>
    <w:rsid w:val="0031093E"/>
    <w:rsid w:val="00310998"/>
    <w:rsid w:val="00310A66"/>
    <w:rsid w:val="00310AA3"/>
    <w:rsid w:val="00310AC8"/>
    <w:rsid w:val="00310B07"/>
    <w:rsid w:val="00310B4A"/>
    <w:rsid w:val="00310C61"/>
    <w:rsid w:val="00310C74"/>
    <w:rsid w:val="00310CEE"/>
    <w:rsid w:val="00310D0E"/>
    <w:rsid w:val="00310D66"/>
    <w:rsid w:val="00310DBF"/>
    <w:rsid w:val="00310DCA"/>
    <w:rsid w:val="00310E48"/>
    <w:rsid w:val="00310EB0"/>
    <w:rsid w:val="00310ED5"/>
    <w:rsid w:val="00310EEE"/>
    <w:rsid w:val="00310F1C"/>
    <w:rsid w:val="00310F24"/>
    <w:rsid w:val="00310F90"/>
    <w:rsid w:val="00310FE0"/>
    <w:rsid w:val="0031102E"/>
    <w:rsid w:val="003110B0"/>
    <w:rsid w:val="003111F7"/>
    <w:rsid w:val="003111F8"/>
    <w:rsid w:val="0031124D"/>
    <w:rsid w:val="00311257"/>
    <w:rsid w:val="00311282"/>
    <w:rsid w:val="00311337"/>
    <w:rsid w:val="00311372"/>
    <w:rsid w:val="0031138D"/>
    <w:rsid w:val="00311555"/>
    <w:rsid w:val="00311557"/>
    <w:rsid w:val="00311564"/>
    <w:rsid w:val="003115DD"/>
    <w:rsid w:val="0031162B"/>
    <w:rsid w:val="0031163F"/>
    <w:rsid w:val="003116D4"/>
    <w:rsid w:val="003117E5"/>
    <w:rsid w:val="0031181C"/>
    <w:rsid w:val="0031194E"/>
    <w:rsid w:val="00311A4D"/>
    <w:rsid w:val="00311AFA"/>
    <w:rsid w:val="00311B4C"/>
    <w:rsid w:val="00311B94"/>
    <w:rsid w:val="00311BE0"/>
    <w:rsid w:val="00311C4D"/>
    <w:rsid w:val="00311C57"/>
    <w:rsid w:val="00311D70"/>
    <w:rsid w:val="00311E07"/>
    <w:rsid w:val="00311E85"/>
    <w:rsid w:val="00311EA0"/>
    <w:rsid w:val="00311EAA"/>
    <w:rsid w:val="00311EDA"/>
    <w:rsid w:val="00312058"/>
    <w:rsid w:val="0031212D"/>
    <w:rsid w:val="0031220D"/>
    <w:rsid w:val="0031221B"/>
    <w:rsid w:val="0031224D"/>
    <w:rsid w:val="00312255"/>
    <w:rsid w:val="00312284"/>
    <w:rsid w:val="00312312"/>
    <w:rsid w:val="00312329"/>
    <w:rsid w:val="003123E8"/>
    <w:rsid w:val="00312478"/>
    <w:rsid w:val="0031251D"/>
    <w:rsid w:val="00312530"/>
    <w:rsid w:val="003125B9"/>
    <w:rsid w:val="0031265C"/>
    <w:rsid w:val="00312664"/>
    <w:rsid w:val="003126B8"/>
    <w:rsid w:val="003126CE"/>
    <w:rsid w:val="003126D7"/>
    <w:rsid w:val="003127C3"/>
    <w:rsid w:val="00312800"/>
    <w:rsid w:val="0031286B"/>
    <w:rsid w:val="003129E7"/>
    <w:rsid w:val="00312ABC"/>
    <w:rsid w:val="00312B2A"/>
    <w:rsid w:val="00312BDE"/>
    <w:rsid w:val="00312D1C"/>
    <w:rsid w:val="00312D83"/>
    <w:rsid w:val="00312DD6"/>
    <w:rsid w:val="00312DDE"/>
    <w:rsid w:val="00312E05"/>
    <w:rsid w:val="00312E2A"/>
    <w:rsid w:val="00312F9A"/>
    <w:rsid w:val="00313002"/>
    <w:rsid w:val="003130CD"/>
    <w:rsid w:val="0031312C"/>
    <w:rsid w:val="0031312E"/>
    <w:rsid w:val="0031313F"/>
    <w:rsid w:val="0031323B"/>
    <w:rsid w:val="003132B7"/>
    <w:rsid w:val="003132C9"/>
    <w:rsid w:val="0031334F"/>
    <w:rsid w:val="0031338F"/>
    <w:rsid w:val="003133AF"/>
    <w:rsid w:val="003135A2"/>
    <w:rsid w:val="003135F3"/>
    <w:rsid w:val="003135FB"/>
    <w:rsid w:val="003136AC"/>
    <w:rsid w:val="00313784"/>
    <w:rsid w:val="00313791"/>
    <w:rsid w:val="00313795"/>
    <w:rsid w:val="003137BA"/>
    <w:rsid w:val="0031388F"/>
    <w:rsid w:val="003138C2"/>
    <w:rsid w:val="00313963"/>
    <w:rsid w:val="003139B1"/>
    <w:rsid w:val="00313A04"/>
    <w:rsid w:val="00313A2C"/>
    <w:rsid w:val="00313A9A"/>
    <w:rsid w:val="00313ACE"/>
    <w:rsid w:val="00313AE0"/>
    <w:rsid w:val="00313AF4"/>
    <w:rsid w:val="00313CBB"/>
    <w:rsid w:val="00313CC6"/>
    <w:rsid w:val="00313DC9"/>
    <w:rsid w:val="00313DDA"/>
    <w:rsid w:val="00313E31"/>
    <w:rsid w:val="00313EA1"/>
    <w:rsid w:val="00313EBD"/>
    <w:rsid w:val="00313F05"/>
    <w:rsid w:val="00313F8E"/>
    <w:rsid w:val="00313F8F"/>
    <w:rsid w:val="00313F97"/>
    <w:rsid w:val="0031400B"/>
    <w:rsid w:val="00314189"/>
    <w:rsid w:val="00314198"/>
    <w:rsid w:val="003141BC"/>
    <w:rsid w:val="003142AD"/>
    <w:rsid w:val="003142AE"/>
    <w:rsid w:val="003142AF"/>
    <w:rsid w:val="003142B5"/>
    <w:rsid w:val="003142F8"/>
    <w:rsid w:val="003143BD"/>
    <w:rsid w:val="0031458F"/>
    <w:rsid w:val="003145E0"/>
    <w:rsid w:val="0031462F"/>
    <w:rsid w:val="00314648"/>
    <w:rsid w:val="00314656"/>
    <w:rsid w:val="00314730"/>
    <w:rsid w:val="00314783"/>
    <w:rsid w:val="00314865"/>
    <w:rsid w:val="003148DA"/>
    <w:rsid w:val="003148E1"/>
    <w:rsid w:val="00314936"/>
    <w:rsid w:val="00314942"/>
    <w:rsid w:val="00314AA8"/>
    <w:rsid w:val="00314B11"/>
    <w:rsid w:val="00314B23"/>
    <w:rsid w:val="00314B53"/>
    <w:rsid w:val="00314B60"/>
    <w:rsid w:val="00314B8F"/>
    <w:rsid w:val="00314B91"/>
    <w:rsid w:val="00314BCA"/>
    <w:rsid w:val="00314BD1"/>
    <w:rsid w:val="00314BF8"/>
    <w:rsid w:val="00314C11"/>
    <w:rsid w:val="00314C31"/>
    <w:rsid w:val="00314C71"/>
    <w:rsid w:val="00314C79"/>
    <w:rsid w:val="00314CE7"/>
    <w:rsid w:val="00314D17"/>
    <w:rsid w:val="00314D58"/>
    <w:rsid w:val="00314D9D"/>
    <w:rsid w:val="00314E2A"/>
    <w:rsid w:val="00314ED5"/>
    <w:rsid w:val="00314F07"/>
    <w:rsid w:val="00314F82"/>
    <w:rsid w:val="0031500F"/>
    <w:rsid w:val="003150C7"/>
    <w:rsid w:val="00315131"/>
    <w:rsid w:val="003151A2"/>
    <w:rsid w:val="0031523E"/>
    <w:rsid w:val="0031525D"/>
    <w:rsid w:val="00315294"/>
    <w:rsid w:val="003152C2"/>
    <w:rsid w:val="003152D2"/>
    <w:rsid w:val="0031537F"/>
    <w:rsid w:val="003153AE"/>
    <w:rsid w:val="00315438"/>
    <w:rsid w:val="0031543E"/>
    <w:rsid w:val="0031545B"/>
    <w:rsid w:val="00315476"/>
    <w:rsid w:val="0031549C"/>
    <w:rsid w:val="00315584"/>
    <w:rsid w:val="00315595"/>
    <w:rsid w:val="003155B5"/>
    <w:rsid w:val="00315664"/>
    <w:rsid w:val="003156BC"/>
    <w:rsid w:val="00315726"/>
    <w:rsid w:val="0031579F"/>
    <w:rsid w:val="0031582B"/>
    <w:rsid w:val="003158C7"/>
    <w:rsid w:val="003158CF"/>
    <w:rsid w:val="00315951"/>
    <w:rsid w:val="00315998"/>
    <w:rsid w:val="00315A41"/>
    <w:rsid w:val="00315A88"/>
    <w:rsid w:val="00315B5E"/>
    <w:rsid w:val="00315C5C"/>
    <w:rsid w:val="00315CCA"/>
    <w:rsid w:val="00315CDC"/>
    <w:rsid w:val="00315D16"/>
    <w:rsid w:val="00315DF6"/>
    <w:rsid w:val="00315EA1"/>
    <w:rsid w:val="00315EDC"/>
    <w:rsid w:val="00315F15"/>
    <w:rsid w:val="00315F93"/>
    <w:rsid w:val="00315FA9"/>
    <w:rsid w:val="0031601F"/>
    <w:rsid w:val="0031604F"/>
    <w:rsid w:val="00316147"/>
    <w:rsid w:val="00316148"/>
    <w:rsid w:val="0031620C"/>
    <w:rsid w:val="0031621E"/>
    <w:rsid w:val="00316224"/>
    <w:rsid w:val="003162CF"/>
    <w:rsid w:val="003162D5"/>
    <w:rsid w:val="003162EF"/>
    <w:rsid w:val="00316315"/>
    <w:rsid w:val="0031638A"/>
    <w:rsid w:val="0031638B"/>
    <w:rsid w:val="0031649E"/>
    <w:rsid w:val="003164C2"/>
    <w:rsid w:val="00316500"/>
    <w:rsid w:val="00316547"/>
    <w:rsid w:val="00316572"/>
    <w:rsid w:val="00316579"/>
    <w:rsid w:val="003166C0"/>
    <w:rsid w:val="003166DB"/>
    <w:rsid w:val="003166DD"/>
    <w:rsid w:val="003166EE"/>
    <w:rsid w:val="0031673C"/>
    <w:rsid w:val="00316764"/>
    <w:rsid w:val="00316782"/>
    <w:rsid w:val="003167B7"/>
    <w:rsid w:val="0031684F"/>
    <w:rsid w:val="00316858"/>
    <w:rsid w:val="003168B6"/>
    <w:rsid w:val="003168C2"/>
    <w:rsid w:val="003168D0"/>
    <w:rsid w:val="00316987"/>
    <w:rsid w:val="003169AA"/>
    <w:rsid w:val="00316A74"/>
    <w:rsid w:val="00316A83"/>
    <w:rsid w:val="00316ABB"/>
    <w:rsid w:val="00316B0F"/>
    <w:rsid w:val="00316BD2"/>
    <w:rsid w:val="00316BEB"/>
    <w:rsid w:val="00316C05"/>
    <w:rsid w:val="00316C54"/>
    <w:rsid w:val="00316C75"/>
    <w:rsid w:val="00316CA7"/>
    <w:rsid w:val="00316D59"/>
    <w:rsid w:val="00316DE7"/>
    <w:rsid w:val="00316DEA"/>
    <w:rsid w:val="00316E61"/>
    <w:rsid w:val="00316E9E"/>
    <w:rsid w:val="00316EC3"/>
    <w:rsid w:val="00317003"/>
    <w:rsid w:val="003170F4"/>
    <w:rsid w:val="0031712B"/>
    <w:rsid w:val="00317140"/>
    <w:rsid w:val="003171C3"/>
    <w:rsid w:val="003171FE"/>
    <w:rsid w:val="0031731F"/>
    <w:rsid w:val="0031734C"/>
    <w:rsid w:val="00317394"/>
    <w:rsid w:val="0031749B"/>
    <w:rsid w:val="003174A6"/>
    <w:rsid w:val="003174D5"/>
    <w:rsid w:val="0031753B"/>
    <w:rsid w:val="003175F9"/>
    <w:rsid w:val="00317615"/>
    <w:rsid w:val="0031761F"/>
    <w:rsid w:val="0031770B"/>
    <w:rsid w:val="00317736"/>
    <w:rsid w:val="0031775E"/>
    <w:rsid w:val="00317790"/>
    <w:rsid w:val="003177C1"/>
    <w:rsid w:val="00317838"/>
    <w:rsid w:val="0031786E"/>
    <w:rsid w:val="003178DB"/>
    <w:rsid w:val="00317959"/>
    <w:rsid w:val="00317969"/>
    <w:rsid w:val="0031797B"/>
    <w:rsid w:val="003179A3"/>
    <w:rsid w:val="00317A20"/>
    <w:rsid w:val="00317B35"/>
    <w:rsid w:val="00317B9B"/>
    <w:rsid w:val="00317BB0"/>
    <w:rsid w:val="00317BC1"/>
    <w:rsid w:val="00317C91"/>
    <w:rsid w:val="00317CE6"/>
    <w:rsid w:val="00317CFE"/>
    <w:rsid w:val="00317D56"/>
    <w:rsid w:val="00317D8A"/>
    <w:rsid w:val="00317DB8"/>
    <w:rsid w:val="00317E06"/>
    <w:rsid w:val="00317E27"/>
    <w:rsid w:val="00317E3F"/>
    <w:rsid w:val="00317E85"/>
    <w:rsid w:val="00317F13"/>
    <w:rsid w:val="00317F60"/>
    <w:rsid w:val="00317FDE"/>
    <w:rsid w:val="00320056"/>
    <w:rsid w:val="00320069"/>
    <w:rsid w:val="003200F4"/>
    <w:rsid w:val="003201ED"/>
    <w:rsid w:val="0032022F"/>
    <w:rsid w:val="00320279"/>
    <w:rsid w:val="003202EF"/>
    <w:rsid w:val="003202FD"/>
    <w:rsid w:val="00320305"/>
    <w:rsid w:val="00320421"/>
    <w:rsid w:val="0032043B"/>
    <w:rsid w:val="00320484"/>
    <w:rsid w:val="003204D1"/>
    <w:rsid w:val="00320601"/>
    <w:rsid w:val="0032061D"/>
    <w:rsid w:val="0032065C"/>
    <w:rsid w:val="0032068F"/>
    <w:rsid w:val="00320695"/>
    <w:rsid w:val="003206D0"/>
    <w:rsid w:val="003206F9"/>
    <w:rsid w:val="0032070E"/>
    <w:rsid w:val="00320757"/>
    <w:rsid w:val="003207B7"/>
    <w:rsid w:val="003208E9"/>
    <w:rsid w:val="0032094D"/>
    <w:rsid w:val="00320972"/>
    <w:rsid w:val="003209DD"/>
    <w:rsid w:val="00320A2F"/>
    <w:rsid w:val="00320ACC"/>
    <w:rsid w:val="00320AEC"/>
    <w:rsid w:val="00320B3B"/>
    <w:rsid w:val="00320C41"/>
    <w:rsid w:val="00320C86"/>
    <w:rsid w:val="00320CA7"/>
    <w:rsid w:val="00320CD7"/>
    <w:rsid w:val="00320CE6"/>
    <w:rsid w:val="00320DE2"/>
    <w:rsid w:val="00320E25"/>
    <w:rsid w:val="00320E2C"/>
    <w:rsid w:val="00320E31"/>
    <w:rsid w:val="00320E56"/>
    <w:rsid w:val="00320ED4"/>
    <w:rsid w:val="00320F27"/>
    <w:rsid w:val="00321091"/>
    <w:rsid w:val="00321127"/>
    <w:rsid w:val="003212D5"/>
    <w:rsid w:val="0032131D"/>
    <w:rsid w:val="003213B2"/>
    <w:rsid w:val="003213DB"/>
    <w:rsid w:val="00321413"/>
    <w:rsid w:val="0032157A"/>
    <w:rsid w:val="00321705"/>
    <w:rsid w:val="0032174F"/>
    <w:rsid w:val="003217FB"/>
    <w:rsid w:val="003218EE"/>
    <w:rsid w:val="0032190B"/>
    <w:rsid w:val="00321932"/>
    <w:rsid w:val="00321998"/>
    <w:rsid w:val="00321A18"/>
    <w:rsid w:val="00321A9E"/>
    <w:rsid w:val="00321ADD"/>
    <w:rsid w:val="00321AF2"/>
    <w:rsid w:val="00321B19"/>
    <w:rsid w:val="00321B6B"/>
    <w:rsid w:val="00321BE5"/>
    <w:rsid w:val="00321C0E"/>
    <w:rsid w:val="00321C83"/>
    <w:rsid w:val="00321C93"/>
    <w:rsid w:val="00321CF0"/>
    <w:rsid w:val="00321DD1"/>
    <w:rsid w:val="00321DD2"/>
    <w:rsid w:val="00321E79"/>
    <w:rsid w:val="00321E87"/>
    <w:rsid w:val="00321F3C"/>
    <w:rsid w:val="00321F78"/>
    <w:rsid w:val="00321F8A"/>
    <w:rsid w:val="00321F9B"/>
    <w:rsid w:val="00321FBC"/>
    <w:rsid w:val="0032202B"/>
    <w:rsid w:val="00322045"/>
    <w:rsid w:val="003220EB"/>
    <w:rsid w:val="00322114"/>
    <w:rsid w:val="0032217A"/>
    <w:rsid w:val="003221BB"/>
    <w:rsid w:val="0032221C"/>
    <w:rsid w:val="003222F3"/>
    <w:rsid w:val="00322413"/>
    <w:rsid w:val="00322418"/>
    <w:rsid w:val="003224BC"/>
    <w:rsid w:val="0032252A"/>
    <w:rsid w:val="0032272B"/>
    <w:rsid w:val="00322774"/>
    <w:rsid w:val="0032281C"/>
    <w:rsid w:val="00322825"/>
    <w:rsid w:val="00322858"/>
    <w:rsid w:val="00322968"/>
    <w:rsid w:val="003229DE"/>
    <w:rsid w:val="00322AED"/>
    <w:rsid w:val="00322B4D"/>
    <w:rsid w:val="00322B6D"/>
    <w:rsid w:val="00322C02"/>
    <w:rsid w:val="00322C75"/>
    <w:rsid w:val="00322CC1"/>
    <w:rsid w:val="00322CE9"/>
    <w:rsid w:val="00322D86"/>
    <w:rsid w:val="00322D88"/>
    <w:rsid w:val="00322DDE"/>
    <w:rsid w:val="00322E28"/>
    <w:rsid w:val="00322E30"/>
    <w:rsid w:val="00322E6C"/>
    <w:rsid w:val="00322ED7"/>
    <w:rsid w:val="00322F6F"/>
    <w:rsid w:val="00322F79"/>
    <w:rsid w:val="00322FEC"/>
    <w:rsid w:val="00323012"/>
    <w:rsid w:val="0032302B"/>
    <w:rsid w:val="00323061"/>
    <w:rsid w:val="0032316F"/>
    <w:rsid w:val="00323171"/>
    <w:rsid w:val="003231F8"/>
    <w:rsid w:val="00323201"/>
    <w:rsid w:val="0032320B"/>
    <w:rsid w:val="003232AC"/>
    <w:rsid w:val="003232CB"/>
    <w:rsid w:val="003232E8"/>
    <w:rsid w:val="00323301"/>
    <w:rsid w:val="00323359"/>
    <w:rsid w:val="0032338B"/>
    <w:rsid w:val="00323430"/>
    <w:rsid w:val="00323442"/>
    <w:rsid w:val="003234AC"/>
    <w:rsid w:val="003234D0"/>
    <w:rsid w:val="00323518"/>
    <w:rsid w:val="00323592"/>
    <w:rsid w:val="003235D5"/>
    <w:rsid w:val="0032363A"/>
    <w:rsid w:val="00323672"/>
    <w:rsid w:val="00323693"/>
    <w:rsid w:val="00323696"/>
    <w:rsid w:val="003236D6"/>
    <w:rsid w:val="0032370E"/>
    <w:rsid w:val="003237E8"/>
    <w:rsid w:val="00323802"/>
    <w:rsid w:val="003238A5"/>
    <w:rsid w:val="00323939"/>
    <w:rsid w:val="00323A46"/>
    <w:rsid w:val="00323AD9"/>
    <w:rsid w:val="00323C3D"/>
    <w:rsid w:val="00323EC1"/>
    <w:rsid w:val="00323ECC"/>
    <w:rsid w:val="00323F12"/>
    <w:rsid w:val="00323F69"/>
    <w:rsid w:val="00324092"/>
    <w:rsid w:val="003240F0"/>
    <w:rsid w:val="0032418D"/>
    <w:rsid w:val="003241ED"/>
    <w:rsid w:val="003242E2"/>
    <w:rsid w:val="00324381"/>
    <w:rsid w:val="0032445C"/>
    <w:rsid w:val="003244B7"/>
    <w:rsid w:val="003244F8"/>
    <w:rsid w:val="003245C0"/>
    <w:rsid w:val="003245F4"/>
    <w:rsid w:val="00324679"/>
    <w:rsid w:val="00324687"/>
    <w:rsid w:val="003246C0"/>
    <w:rsid w:val="0032474D"/>
    <w:rsid w:val="003248C3"/>
    <w:rsid w:val="00324945"/>
    <w:rsid w:val="00324989"/>
    <w:rsid w:val="003249F8"/>
    <w:rsid w:val="00324A90"/>
    <w:rsid w:val="00324A9D"/>
    <w:rsid w:val="00324BB0"/>
    <w:rsid w:val="00324C6A"/>
    <w:rsid w:val="00324D20"/>
    <w:rsid w:val="00324D7A"/>
    <w:rsid w:val="00324DCE"/>
    <w:rsid w:val="00324E85"/>
    <w:rsid w:val="00324EB5"/>
    <w:rsid w:val="00324F05"/>
    <w:rsid w:val="00324FB8"/>
    <w:rsid w:val="00325035"/>
    <w:rsid w:val="003251AB"/>
    <w:rsid w:val="003251B4"/>
    <w:rsid w:val="003251C6"/>
    <w:rsid w:val="003251FF"/>
    <w:rsid w:val="003252CA"/>
    <w:rsid w:val="00325340"/>
    <w:rsid w:val="00325399"/>
    <w:rsid w:val="00325463"/>
    <w:rsid w:val="00325466"/>
    <w:rsid w:val="00325524"/>
    <w:rsid w:val="003255F5"/>
    <w:rsid w:val="00325663"/>
    <w:rsid w:val="003256B8"/>
    <w:rsid w:val="00325840"/>
    <w:rsid w:val="00325844"/>
    <w:rsid w:val="00325865"/>
    <w:rsid w:val="00325894"/>
    <w:rsid w:val="003258E6"/>
    <w:rsid w:val="00325A24"/>
    <w:rsid w:val="00325A39"/>
    <w:rsid w:val="00325ADC"/>
    <w:rsid w:val="00325BAE"/>
    <w:rsid w:val="00325BCB"/>
    <w:rsid w:val="00325BD0"/>
    <w:rsid w:val="00325CE6"/>
    <w:rsid w:val="00325D05"/>
    <w:rsid w:val="00325D31"/>
    <w:rsid w:val="00325DF0"/>
    <w:rsid w:val="00325E9E"/>
    <w:rsid w:val="00325F03"/>
    <w:rsid w:val="00325F2B"/>
    <w:rsid w:val="00325FA3"/>
    <w:rsid w:val="00325FCC"/>
    <w:rsid w:val="00325FCD"/>
    <w:rsid w:val="0032600B"/>
    <w:rsid w:val="003260D1"/>
    <w:rsid w:val="00326172"/>
    <w:rsid w:val="0032624A"/>
    <w:rsid w:val="003262B9"/>
    <w:rsid w:val="0032636F"/>
    <w:rsid w:val="00326475"/>
    <w:rsid w:val="00326494"/>
    <w:rsid w:val="00326497"/>
    <w:rsid w:val="0032650E"/>
    <w:rsid w:val="00326518"/>
    <w:rsid w:val="0032652E"/>
    <w:rsid w:val="00326538"/>
    <w:rsid w:val="00326583"/>
    <w:rsid w:val="003265D4"/>
    <w:rsid w:val="00326604"/>
    <w:rsid w:val="0032660A"/>
    <w:rsid w:val="0032664F"/>
    <w:rsid w:val="00326678"/>
    <w:rsid w:val="00326686"/>
    <w:rsid w:val="003266A0"/>
    <w:rsid w:val="00326774"/>
    <w:rsid w:val="0032677C"/>
    <w:rsid w:val="003267D4"/>
    <w:rsid w:val="003267EF"/>
    <w:rsid w:val="0032681E"/>
    <w:rsid w:val="003268F2"/>
    <w:rsid w:val="00326956"/>
    <w:rsid w:val="0032696D"/>
    <w:rsid w:val="003269CE"/>
    <w:rsid w:val="003269EB"/>
    <w:rsid w:val="003269FA"/>
    <w:rsid w:val="00326A25"/>
    <w:rsid w:val="00326A70"/>
    <w:rsid w:val="00326ACD"/>
    <w:rsid w:val="00326C0C"/>
    <w:rsid w:val="00326C28"/>
    <w:rsid w:val="00326C79"/>
    <w:rsid w:val="00326CE5"/>
    <w:rsid w:val="00326D08"/>
    <w:rsid w:val="00326D62"/>
    <w:rsid w:val="00326D84"/>
    <w:rsid w:val="00326DFF"/>
    <w:rsid w:val="00326E46"/>
    <w:rsid w:val="00326EEE"/>
    <w:rsid w:val="00326F29"/>
    <w:rsid w:val="00326F65"/>
    <w:rsid w:val="00326FC5"/>
    <w:rsid w:val="00326FEC"/>
    <w:rsid w:val="003270DF"/>
    <w:rsid w:val="0032718D"/>
    <w:rsid w:val="003271C8"/>
    <w:rsid w:val="003271EC"/>
    <w:rsid w:val="003271FA"/>
    <w:rsid w:val="00327202"/>
    <w:rsid w:val="00327205"/>
    <w:rsid w:val="00327208"/>
    <w:rsid w:val="00327272"/>
    <w:rsid w:val="00327289"/>
    <w:rsid w:val="003272CE"/>
    <w:rsid w:val="00327312"/>
    <w:rsid w:val="0032741B"/>
    <w:rsid w:val="00327556"/>
    <w:rsid w:val="00327562"/>
    <w:rsid w:val="00327577"/>
    <w:rsid w:val="00327657"/>
    <w:rsid w:val="0032765C"/>
    <w:rsid w:val="00327687"/>
    <w:rsid w:val="0032776A"/>
    <w:rsid w:val="0032782F"/>
    <w:rsid w:val="00327960"/>
    <w:rsid w:val="00327A17"/>
    <w:rsid w:val="00327A49"/>
    <w:rsid w:val="00327AF6"/>
    <w:rsid w:val="00327B53"/>
    <w:rsid w:val="00327C7D"/>
    <w:rsid w:val="00327DA3"/>
    <w:rsid w:val="00327DCF"/>
    <w:rsid w:val="00327E3B"/>
    <w:rsid w:val="00327E9E"/>
    <w:rsid w:val="00327FA7"/>
    <w:rsid w:val="00327FA8"/>
    <w:rsid w:val="00329D02"/>
    <w:rsid w:val="0033013F"/>
    <w:rsid w:val="0033014E"/>
    <w:rsid w:val="00330182"/>
    <w:rsid w:val="003301A6"/>
    <w:rsid w:val="00330344"/>
    <w:rsid w:val="00330359"/>
    <w:rsid w:val="00330375"/>
    <w:rsid w:val="003303AA"/>
    <w:rsid w:val="00330556"/>
    <w:rsid w:val="0033057D"/>
    <w:rsid w:val="00330593"/>
    <w:rsid w:val="003305C9"/>
    <w:rsid w:val="00330643"/>
    <w:rsid w:val="00330690"/>
    <w:rsid w:val="0033077C"/>
    <w:rsid w:val="003307A0"/>
    <w:rsid w:val="003307A7"/>
    <w:rsid w:val="003308B2"/>
    <w:rsid w:val="0033091A"/>
    <w:rsid w:val="0033097E"/>
    <w:rsid w:val="00330994"/>
    <w:rsid w:val="003309B8"/>
    <w:rsid w:val="00330A04"/>
    <w:rsid w:val="00330AB8"/>
    <w:rsid w:val="00330C64"/>
    <w:rsid w:val="00330C87"/>
    <w:rsid w:val="00330C94"/>
    <w:rsid w:val="00330C99"/>
    <w:rsid w:val="00330CA1"/>
    <w:rsid w:val="00330CDD"/>
    <w:rsid w:val="00330DD9"/>
    <w:rsid w:val="00330E9A"/>
    <w:rsid w:val="00330EE8"/>
    <w:rsid w:val="00330F26"/>
    <w:rsid w:val="00330F8E"/>
    <w:rsid w:val="00330FA0"/>
    <w:rsid w:val="00330FE5"/>
    <w:rsid w:val="0033109A"/>
    <w:rsid w:val="003310C8"/>
    <w:rsid w:val="00331100"/>
    <w:rsid w:val="00331269"/>
    <w:rsid w:val="0033128D"/>
    <w:rsid w:val="00331301"/>
    <w:rsid w:val="00331473"/>
    <w:rsid w:val="0033149D"/>
    <w:rsid w:val="003314D8"/>
    <w:rsid w:val="003315CF"/>
    <w:rsid w:val="003316EB"/>
    <w:rsid w:val="00331703"/>
    <w:rsid w:val="00331715"/>
    <w:rsid w:val="003317C4"/>
    <w:rsid w:val="00331804"/>
    <w:rsid w:val="003318CC"/>
    <w:rsid w:val="00331968"/>
    <w:rsid w:val="0033199C"/>
    <w:rsid w:val="00331A28"/>
    <w:rsid w:val="00331A60"/>
    <w:rsid w:val="00331A6A"/>
    <w:rsid w:val="00331AA1"/>
    <w:rsid w:val="00331BD9"/>
    <w:rsid w:val="00331BE2"/>
    <w:rsid w:val="00331C0D"/>
    <w:rsid w:val="00331C82"/>
    <w:rsid w:val="00331CF8"/>
    <w:rsid w:val="00331D61"/>
    <w:rsid w:val="00331DE5"/>
    <w:rsid w:val="00331E6E"/>
    <w:rsid w:val="00331EF6"/>
    <w:rsid w:val="00331F2C"/>
    <w:rsid w:val="00332169"/>
    <w:rsid w:val="0033220C"/>
    <w:rsid w:val="003322BA"/>
    <w:rsid w:val="003322E6"/>
    <w:rsid w:val="00332307"/>
    <w:rsid w:val="00332311"/>
    <w:rsid w:val="00332401"/>
    <w:rsid w:val="0033247A"/>
    <w:rsid w:val="003324B4"/>
    <w:rsid w:val="003324BC"/>
    <w:rsid w:val="0033252D"/>
    <w:rsid w:val="003325C5"/>
    <w:rsid w:val="00332600"/>
    <w:rsid w:val="003326E2"/>
    <w:rsid w:val="0033271B"/>
    <w:rsid w:val="003327B4"/>
    <w:rsid w:val="003327E9"/>
    <w:rsid w:val="00332963"/>
    <w:rsid w:val="003329CB"/>
    <w:rsid w:val="003329DA"/>
    <w:rsid w:val="003329F2"/>
    <w:rsid w:val="003329F7"/>
    <w:rsid w:val="00332A51"/>
    <w:rsid w:val="00332ABB"/>
    <w:rsid w:val="00332ABE"/>
    <w:rsid w:val="00332AEB"/>
    <w:rsid w:val="00332BB7"/>
    <w:rsid w:val="00332C57"/>
    <w:rsid w:val="00332D0A"/>
    <w:rsid w:val="00332E92"/>
    <w:rsid w:val="00332EAE"/>
    <w:rsid w:val="00332EFD"/>
    <w:rsid w:val="00332F69"/>
    <w:rsid w:val="00332F8E"/>
    <w:rsid w:val="00332F9D"/>
    <w:rsid w:val="00332FF6"/>
    <w:rsid w:val="00333082"/>
    <w:rsid w:val="003330BA"/>
    <w:rsid w:val="003330CA"/>
    <w:rsid w:val="003330DF"/>
    <w:rsid w:val="003330EF"/>
    <w:rsid w:val="00333113"/>
    <w:rsid w:val="00333225"/>
    <w:rsid w:val="00333241"/>
    <w:rsid w:val="00333252"/>
    <w:rsid w:val="003332CA"/>
    <w:rsid w:val="0033330D"/>
    <w:rsid w:val="00333327"/>
    <w:rsid w:val="00333413"/>
    <w:rsid w:val="0033344F"/>
    <w:rsid w:val="00333492"/>
    <w:rsid w:val="0033355C"/>
    <w:rsid w:val="00333563"/>
    <w:rsid w:val="0033359C"/>
    <w:rsid w:val="0033360F"/>
    <w:rsid w:val="0033370E"/>
    <w:rsid w:val="0033375A"/>
    <w:rsid w:val="00333767"/>
    <w:rsid w:val="003337D4"/>
    <w:rsid w:val="0033388F"/>
    <w:rsid w:val="00333891"/>
    <w:rsid w:val="00333A20"/>
    <w:rsid w:val="00333AA2"/>
    <w:rsid w:val="00333AEC"/>
    <w:rsid w:val="00333B5A"/>
    <w:rsid w:val="00333B7D"/>
    <w:rsid w:val="00333BC1"/>
    <w:rsid w:val="00333C4B"/>
    <w:rsid w:val="00333D2F"/>
    <w:rsid w:val="00333DC1"/>
    <w:rsid w:val="00333E07"/>
    <w:rsid w:val="00333E19"/>
    <w:rsid w:val="00333E2E"/>
    <w:rsid w:val="00333EFC"/>
    <w:rsid w:val="00333F6A"/>
    <w:rsid w:val="00333F79"/>
    <w:rsid w:val="00333F90"/>
    <w:rsid w:val="00333FCE"/>
    <w:rsid w:val="0033403B"/>
    <w:rsid w:val="0033409E"/>
    <w:rsid w:val="003340B0"/>
    <w:rsid w:val="003340C8"/>
    <w:rsid w:val="00334101"/>
    <w:rsid w:val="0033414E"/>
    <w:rsid w:val="003342C4"/>
    <w:rsid w:val="00334343"/>
    <w:rsid w:val="00334360"/>
    <w:rsid w:val="00334391"/>
    <w:rsid w:val="003343E4"/>
    <w:rsid w:val="0033440E"/>
    <w:rsid w:val="00334412"/>
    <w:rsid w:val="00334432"/>
    <w:rsid w:val="003344B5"/>
    <w:rsid w:val="003344CD"/>
    <w:rsid w:val="003344ED"/>
    <w:rsid w:val="003345BD"/>
    <w:rsid w:val="003345D8"/>
    <w:rsid w:val="0033464F"/>
    <w:rsid w:val="0033466D"/>
    <w:rsid w:val="003346BB"/>
    <w:rsid w:val="003346FF"/>
    <w:rsid w:val="0033472C"/>
    <w:rsid w:val="00334759"/>
    <w:rsid w:val="0033484F"/>
    <w:rsid w:val="0033488B"/>
    <w:rsid w:val="0033489E"/>
    <w:rsid w:val="003348A1"/>
    <w:rsid w:val="00334934"/>
    <w:rsid w:val="00334984"/>
    <w:rsid w:val="003349B1"/>
    <w:rsid w:val="003349CC"/>
    <w:rsid w:val="00334A19"/>
    <w:rsid w:val="00334AAF"/>
    <w:rsid w:val="00334AE4"/>
    <w:rsid w:val="00334B08"/>
    <w:rsid w:val="00334B12"/>
    <w:rsid w:val="00334B6D"/>
    <w:rsid w:val="00334CAC"/>
    <w:rsid w:val="00334CE5"/>
    <w:rsid w:val="00334D2D"/>
    <w:rsid w:val="00334DC3"/>
    <w:rsid w:val="00334DD1"/>
    <w:rsid w:val="00334E34"/>
    <w:rsid w:val="00334E70"/>
    <w:rsid w:val="00334F68"/>
    <w:rsid w:val="00334F7A"/>
    <w:rsid w:val="00334F92"/>
    <w:rsid w:val="00335030"/>
    <w:rsid w:val="00335070"/>
    <w:rsid w:val="003350BB"/>
    <w:rsid w:val="003350C9"/>
    <w:rsid w:val="0033514F"/>
    <w:rsid w:val="00335233"/>
    <w:rsid w:val="0033532D"/>
    <w:rsid w:val="00335372"/>
    <w:rsid w:val="003353CC"/>
    <w:rsid w:val="003353FE"/>
    <w:rsid w:val="00335422"/>
    <w:rsid w:val="00335455"/>
    <w:rsid w:val="00335457"/>
    <w:rsid w:val="00335496"/>
    <w:rsid w:val="003354D2"/>
    <w:rsid w:val="003355C1"/>
    <w:rsid w:val="00335658"/>
    <w:rsid w:val="0033567B"/>
    <w:rsid w:val="00335762"/>
    <w:rsid w:val="00335797"/>
    <w:rsid w:val="00335805"/>
    <w:rsid w:val="0033584D"/>
    <w:rsid w:val="0033585D"/>
    <w:rsid w:val="00335864"/>
    <w:rsid w:val="00335891"/>
    <w:rsid w:val="003358F6"/>
    <w:rsid w:val="003359AD"/>
    <w:rsid w:val="00335A19"/>
    <w:rsid w:val="00335A1F"/>
    <w:rsid w:val="00335AAD"/>
    <w:rsid w:val="00335ADA"/>
    <w:rsid w:val="00335B41"/>
    <w:rsid w:val="00335BFC"/>
    <w:rsid w:val="00335C3C"/>
    <w:rsid w:val="00335CFB"/>
    <w:rsid w:val="00335DDF"/>
    <w:rsid w:val="00335E95"/>
    <w:rsid w:val="00335F1B"/>
    <w:rsid w:val="00335F4C"/>
    <w:rsid w:val="0033603D"/>
    <w:rsid w:val="0033609E"/>
    <w:rsid w:val="0033618A"/>
    <w:rsid w:val="003361A4"/>
    <w:rsid w:val="003361D4"/>
    <w:rsid w:val="003361EC"/>
    <w:rsid w:val="00336222"/>
    <w:rsid w:val="00336223"/>
    <w:rsid w:val="0033622B"/>
    <w:rsid w:val="003362DB"/>
    <w:rsid w:val="003362FB"/>
    <w:rsid w:val="00336309"/>
    <w:rsid w:val="00336336"/>
    <w:rsid w:val="0033634E"/>
    <w:rsid w:val="00336485"/>
    <w:rsid w:val="00336553"/>
    <w:rsid w:val="003365FB"/>
    <w:rsid w:val="0033660F"/>
    <w:rsid w:val="003366D7"/>
    <w:rsid w:val="003366D8"/>
    <w:rsid w:val="0033671D"/>
    <w:rsid w:val="00336795"/>
    <w:rsid w:val="00336941"/>
    <w:rsid w:val="0033695B"/>
    <w:rsid w:val="00336A42"/>
    <w:rsid w:val="00336A8B"/>
    <w:rsid w:val="00336AAE"/>
    <w:rsid w:val="00336B82"/>
    <w:rsid w:val="00336BB3"/>
    <w:rsid w:val="00336C0D"/>
    <w:rsid w:val="00336D8D"/>
    <w:rsid w:val="00336DDA"/>
    <w:rsid w:val="00336E07"/>
    <w:rsid w:val="00336E15"/>
    <w:rsid w:val="00336E63"/>
    <w:rsid w:val="00336E90"/>
    <w:rsid w:val="00336F80"/>
    <w:rsid w:val="003370B9"/>
    <w:rsid w:val="003370E1"/>
    <w:rsid w:val="0033715A"/>
    <w:rsid w:val="003371A2"/>
    <w:rsid w:val="003371DB"/>
    <w:rsid w:val="003372F9"/>
    <w:rsid w:val="00337333"/>
    <w:rsid w:val="0033736D"/>
    <w:rsid w:val="00337476"/>
    <w:rsid w:val="00337534"/>
    <w:rsid w:val="0033754A"/>
    <w:rsid w:val="0033763D"/>
    <w:rsid w:val="0033765F"/>
    <w:rsid w:val="003376BD"/>
    <w:rsid w:val="003376C2"/>
    <w:rsid w:val="00337719"/>
    <w:rsid w:val="00337783"/>
    <w:rsid w:val="00337835"/>
    <w:rsid w:val="00337843"/>
    <w:rsid w:val="00337890"/>
    <w:rsid w:val="0033789B"/>
    <w:rsid w:val="00337906"/>
    <w:rsid w:val="00337A51"/>
    <w:rsid w:val="00337B72"/>
    <w:rsid w:val="00337BF7"/>
    <w:rsid w:val="00337C6C"/>
    <w:rsid w:val="00337C7B"/>
    <w:rsid w:val="00337CDC"/>
    <w:rsid w:val="00337D09"/>
    <w:rsid w:val="00337E2F"/>
    <w:rsid w:val="00337ED2"/>
    <w:rsid w:val="00337EF2"/>
    <w:rsid w:val="00337F69"/>
    <w:rsid w:val="0033879E"/>
    <w:rsid w:val="0033BF1A"/>
    <w:rsid w:val="00340034"/>
    <w:rsid w:val="003400D0"/>
    <w:rsid w:val="003400FB"/>
    <w:rsid w:val="00340143"/>
    <w:rsid w:val="00340176"/>
    <w:rsid w:val="003401AE"/>
    <w:rsid w:val="0034020B"/>
    <w:rsid w:val="0034026D"/>
    <w:rsid w:val="00340302"/>
    <w:rsid w:val="00340355"/>
    <w:rsid w:val="00340388"/>
    <w:rsid w:val="003403A0"/>
    <w:rsid w:val="003404F1"/>
    <w:rsid w:val="00340528"/>
    <w:rsid w:val="0034066D"/>
    <w:rsid w:val="0034067F"/>
    <w:rsid w:val="0034068A"/>
    <w:rsid w:val="0034069C"/>
    <w:rsid w:val="00340705"/>
    <w:rsid w:val="0034075F"/>
    <w:rsid w:val="00340760"/>
    <w:rsid w:val="0034086E"/>
    <w:rsid w:val="003408CE"/>
    <w:rsid w:val="00340912"/>
    <w:rsid w:val="0034094B"/>
    <w:rsid w:val="0034097E"/>
    <w:rsid w:val="0034099B"/>
    <w:rsid w:val="00340A55"/>
    <w:rsid w:val="00340B18"/>
    <w:rsid w:val="00340B46"/>
    <w:rsid w:val="00340B79"/>
    <w:rsid w:val="00340BB5"/>
    <w:rsid w:val="00340BEE"/>
    <w:rsid w:val="00340C16"/>
    <w:rsid w:val="00340C20"/>
    <w:rsid w:val="00340C30"/>
    <w:rsid w:val="00340C7E"/>
    <w:rsid w:val="00340D7C"/>
    <w:rsid w:val="00340DFD"/>
    <w:rsid w:val="00340EAC"/>
    <w:rsid w:val="00340ED6"/>
    <w:rsid w:val="00340F19"/>
    <w:rsid w:val="00340F6C"/>
    <w:rsid w:val="0034100E"/>
    <w:rsid w:val="00341150"/>
    <w:rsid w:val="00341162"/>
    <w:rsid w:val="003411BD"/>
    <w:rsid w:val="003411C7"/>
    <w:rsid w:val="00341263"/>
    <w:rsid w:val="003412E1"/>
    <w:rsid w:val="00341367"/>
    <w:rsid w:val="003413BF"/>
    <w:rsid w:val="003413DE"/>
    <w:rsid w:val="0034140F"/>
    <w:rsid w:val="0034141E"/>
    <w:rsid w:val="00341425"/>
    <w:rsid w:val="00341652"/>
    <w:rsid w:val="00341787"/>
    <w:rsid w:val="00341790"/>
    <w:rsid w:val="003417CD"/>
    <w:rsid w:val="003417E1"/>
    <w:rsid w:val="0034182F"/>
    <w:rsid w:val="00341875"/>
    <w:rsid w:val="00341906"/>
    <w:rsid w:val="00341995"/>
    <w:rsid w:val="00341AC4"/>
    <w:rsid w:val="00341ACE"/>
    <w:rsid w:val="00341B27"/>
    <w:rsid w:val="00341B4E"/>
    <w:rsid w:val="00341BBE"/>
    <w:rsid w:val="00341C97"/>
    <w:rsid w:val="00341D7B"/>
    <w:rsid w:val="00341E6B"/>
    <w:rsid w:val="00341EC1"/>
    <w:rsid w:val="00341EC9"/>
    <w:rsid w:val="00341F49"/>
    <w:rsid w:val="00341F66"/>
    <w:rsid w:val="00341F67"/>
    <w:rsid w:val="00341FED"/>
    <w:rsid w:val="00342010"/>
    <w:rsid w:val="00342060"/>
    <w:rsid w:val="00342079"/>
    <w:rsid w:val="0034208D"/>
    <w:rsid w:val="00342142"/>
    <w:rsid w:val="0034223A"/>
    <w:rsid w:val="003422B2"/>
    <w:rsid w:val="003422FD"/>
    <w:rsid w:val="00342321"/>
    <w:rsid w:val="003423D7"/>
    <w:rsid w:val="00342400"/>
    <w:rsid w:val="00342402"/>
    <w:rsid w:val="00342482"/>
    <w:rsid w:val="00342552"/>
    <w:rsid w:val="0034255A"/>
    <w:rsid w:val="003425AD"/>
    <w:rsid w:val="00342655"/>
    <w:rsid w:val="00342764"/>
    <w:rsid w:val="00342871"/>
    <w:rsid w:val="003428E3"/>
    <w:rsid w:val="003428E5"/>
    <w:rsid w:val="00342926"/>
    <w:rsid w:val="0034297B"/>
    <w:rsid w:val="003429D3"/>
    <w:rsid w:val="00342A14"/>
    <w:rsid w:val="00342A55"/>
    <w:rsid w:val="00342B00"/>
    <w:rsid w:val="00342C2E"/>
    <w:rsid w:val="00342C98"/>
    <w:rsid w:val="00342CCD"/>
    <w:rsid w:val="00342D18"/>
    <w:rsid w:val="00342D9C"/>
    <w:rsid w:val="00342DE0"/>
    <w:rsid w:val="00342E0F"/>
    <w:rsid w:val="00342E36"/>
    <w:rsid w:val="00342E37"/>
    <w:rsid w:val="00342EA5"/>
    <w:rsid w:val="00342EEB"/>
    <w:rsid w:val="00342F3D"/>
    <w:rsid w:val="00342F7A"/>
    <w:rsid w:val="00342FA7"/>
    <w:rsid w:val="0034301E"/>
    <w:rsid w:val="0034305E"/>
    <w:rsid w:val="00343180"/>
    <w:rsid w:val="003431FC"/>
    <w:rsid w:val="0034320E"/>
    <w:rsid w:val="00343233"/>
    <w:rsid w:val="00343253"/>
    <w:rsid w:val="003432A2"/>
    <w:rsid w:val="003432C4"/>
    <w:rsid w:val="003433B7"/>
    <w:rsid w:val="003433EB"/>
    <w:rsid w:val="0034350B"/>
    <w:rsid w:val="00343553"/>
    <w:rsid w:val="003437B7"/>
    <w:rsid w:val="00343868"/>
    <w:rsid w:val="0034397C"/>
    <w:rsid w:val="00343990"/>
    <w:rsid w:val="003439D6"/>
    <w:rsid w:val="00343A05"/>
    <w:rsid w:val="00343A92"/>
    <w:rsid w:val="00343B23"/>
    <w:rsid w:val="00343BBA"/>
    <w:rsid w:val="00343BC0"/>
    <w:rsid w:val="00343CF2"/>
    <w:rsid w:val="00343D17"/>
    <w:rsid w:val="00343D78"/>
    <w:rsid w:val="00343DC4"/>
    <w:rsid w:val="00343EBF"/>
    <w:rsid w:val="00343F83"/>
    <w:rsid w:val="00343FA1"/>
    <w:rsid w:val="00343FCD"/>
    <w:rsid w:val="00343FD2"/>
    <w:rsid w:val="00343FEF"/>
    <w:rsid w:val="00344047"/>
    <w:rsid w:val="003440A3"/>
    <w:rsid w:val="00344162"/>
    <w:rsid w:val="00344198"/>
    <w:rsid w:val="003441A1"/>
    <w:rsid w:val="00344217"/>
    <w:rsid w:val="00344280"/>
    <w:rsid w:val="00344318"/>
    <w:rsid w:val="00344370"/>
    <w:rsid w:val="003443CD"/>
    <w:rsid w:val="003443F1"/>
    <w:rsid w:val="00344408"/>
    <w:rsid w:val="00344413"/>
    <w:rsid w:val="00344440"/>
    <w:rsid w:val="00344449"/>
    <w:rsid w:val="0034444C"/>
    <w:rsid w:val="0034445F"/>
    <w:rsid w:val="003444E0"/>
    <w:rsid w:val="003444FD"/>
    <w:rsid w:val="0034454E"/>
    <w:rsid w:val="003446A7"/>
    <w:rsid w:val="003446A8"/>
    <w:rsid w:val="0034473B"/>
    <w:rsid w:val="003447A0"/>
    <w:rsid w:val="0034481A"/>
    <w:rsid w:val="00344890"/>
    <w:rsid w:val="003449DF"/>
    <w:rsid w:val="00344A65"/>
    <w:rsid w:val="00344A76"/>
    <w:rsid w:val="00344B9B"/>
    <w:rsid w:val="00344BCB"/>
    <w:rsid w:val="00344BE1"/>
    <w:rsid w:val="00344BEC"/>
    <w:rsid w:val="00344C66"/>
    <w:rsid w:val="00344CC4"/>
    <w:rsid w:val="00344CDD"/>
    <w:rsid w:val="00344CFF"/>
    <w:rsid w:val="00344D4C"/>
    <w:rsid w:val="00344D55"/>
    <w:rsid w:val="00344D9D"/>
    <w:rsid w:val="00344DDD"/>
    <w:rsid w:val="00344DF5"/>
    <w:rsid w:val="00344E16"/>
    <w:rsid w:val="00344E86"/>
    <w:rsid w:val="00344F03"/>
    <w:rsid w:val="00344F54"/>
    <w:rsid w:val="00345014"/>
    <w:rsid w:val="00345017"/>
    <w:rsid w:val="0034509B"/>
    <w:rsid w:val="0034518B"/>
    <w:rsid w:val="003451F2"/>
    <w:rsid w:val="0034528A"/>
    <w:rsid w:val="003452C8"/>
    <w:rsid w:val="00345394"/>
    <w:rsid w:val="003453E8"/>
    <w:rsid w:val="0034543F"/>
    <w:rsid w:val="003454DF"/>
    <w:rsid w:val="0034551D"/>
    <w:rsid w:val="0034558C"/>
    <w:rsid w:val="003455A1"/>
    <w:rsid w:val="003455A2"/>
    <w:rsid w:val="003455F8"/>
    <w:rsid w:val="00345652"/>
    <w:rsid w:val="003456DF"/>
    <w:rsid w:val="00345715"/>
    <w:rsid w:val="00345733"/>
    <w:rsid w:val="00345780"/>
    <w:rsid w:val="0034578F"/>
    <w:rsid w:val="0034580C"/>
    <w:rsid w:val="00345845"/>
    <w:rsid w:val="00345A56"/>
    <w:rsid w:val="00345ACE"/>
    <w:rsid w:val="00345AED"/>
    <w:rsid w:val="00345B1E"/>
    <w:rsid w:val="00345B3D"/>
    <w:rsid w:val="00345B79"/>
    <w:rsid w:val="00345BC8"/>
    <w:rsid w:val="00345C1B"/>
    <w:rsid w:val="00345C9E"/>
    <w:rsid w:val="00345D51"/>
    <w:rsid w:val="00345D81"/>
    <w:rsid w:val="00345DC0"/>
    <w:rsid w:val="00345DEC"/>
    <w:rsid w:val="00345EBC"/>
    <w:rsid w:val="00345F72"/>
    <w:rsid w:val="00345FFB"/>
    <w:rsid w:val="00346004"/>
    <w:rsid w:val="003460AD"/>
    <w:rsid w:val="003460F1"/>
    <w:rsid w:val="00346185"/>
    <w:rsid w:val="00346346"/>
    <w:rsid w:val="003464BD"/>
    <w:rsid w:val="0034659D"/>
    <w:rsid w:val="00346637"/>
    <w:rsid w:val="0034664C"/>
    <w:rsid w:val="00346696"/>
    <w:rsid w:val="00346730"/>
    <w:rsid w:val="00346772"/>
    <w:rsid w:val="003467B4"/>
    <w:rsid w:val="0034681D"/>
    <w:rsid w:val="00346879"/>
    <w:rsid w:val="003468DD"/>
    <w:rsid w:val="0034692D"/>
    <w:rsid w:val="00346959"/>
    <w:rsid w:val="00346971"/>
    <w:rsid w:val="003469D1"/>
    <w:rsid w:val="00346A41"/>
    <w:rsid w:val="00346ABA"/>
    <w:rsid w:val="00346AC4"/>
    <w:rsid w:val="00346AF8"/>
    <w:rsid w:val="00346B0A"/>
    <w:rsid w:val="00346B92"/>
    <w:rsid w:val="00346B95"/>
    <w:rsid w:val="00346BC5"/>
    <w:rsid w:val="00346BEF"/>
    <w:rsid w:val="00346BF6"/>
    <w:rsid w:val="00346BF8"/>
    <w:rsid w:val="00346C44"/>
    <w:rsid w:val="00346C7C"/>
    <w:rsid w:val="00346D17"/>
    <w:rsid w:val="00346D32"/>
    <w:rsid w:val="00346DF8"/>
    <w:rsid w:val="00346E02"/>
    <w:rsid w:val="00346EBF"/>
    <w:rsid w:val="00346EEB"/>
    <w:rsid w:val="00346F42"/>
    <w:rsid w:val="00346F64"/>
    <w:rsid w:val="00346FA3"/>
    <w:rsid w:val="00346FAC"/>
    <w:rsid w:val="00346FDC"/>
    <w:rsid w:val="0034704D"/>
    <w:rsid w:val="0034706E"/>
    <w:rsid w:val="00347103"/>
    <w:rsid w:val="00347123"/>
    <w:rsid w:val="00347133"/>
    <w:rsid w:val="00347158"/>
    <w:rsid w:val="00347159"/>
    <w:rsid w:val="00347164"/>
    <w:rsid w:val="0034716A"/>
    <w:rsid w:val="00347175"/>
    <w:rsid w:val="00347178"/>
    <w:rsid w:val="003471B8"/>
    <w:rsid w:val="00347206"/>
    <w:rsid w:val="00347266"/>
    <w:rsid w:val="003472AB"/>
    <w:rsid w:val="0034730F"/>
    <w:rsid w:val="00347366"/>
    <w:rsid w:val="003473A0"/>
    <w:rsid w:val="003473A9"/>
    <w:rsid w:val="003473B8"/>
    <w:rsid w:val="003473D4"/>
    <w:rsid w:val="00347450"/>
    <w:rsid w:val="0034747A"/>
    <w:rsid w:val="003474BA"/>
    <w:rsid w:val="00347518"/>
    <w:rsid w:val="0034751B"/>
    <w:rsid w:val="00347551"/>
    <w:rsid w:val="00347577"/>
    <w:rsid w:val="003475D3"/>
    <w:rsid w:val="00347836"/>
    <w:rsid w:val="00347887"/>
    <w:rsid w:val="003478DD"/>
    <w:rsid w:val="003479A3"/>
    <w:rsid w:val="003479C5"/>
    <w:rsid w:val="00347A85"/>
    <w:rsid w:val="00347A9C"/>
    <w:rsid w:val="00347AA3"/>
    <w:rsid w:val="00347AC0"/>
    <w:rsid w:val="00347B1F"/>
    <w:rsid w:val="00347BD5"/>
    <w:rsid w:val="00347C43"/>
    <w:rsid w:val="00347D1C"/>
    <w:rsid w:val="00347D1E"/>
    <w:rsid w:val="00347DA2"/>
    <w:rsid w:val="00347E0D"/>
    <w:rsid w:val="00347E3C"/>
    <w:rsid w:val="00347E6E"/>
    <w:rsid w:val="00347E9F"/>
    <w:rsid w:val="00347EE0"/>
    <w:rsid w:val="00347F18"/>
    <w:rsid w:val="0034CE65"/>
    <w:rsid w:val="00350060"/>
    <w:rsid w:val="003500A2"/>
    <w:rsid w:val="003500CC"/>
    <w:rsid w:val="00350176"/>
    <w:rsid w:val="00350179"/>
    <w:rsid w:val="0035023F"/>
    <w:rsid w:val="00350256"/>
    <w:rsid w:val="00350259"/>
    <w:rsid w:val="00350392"/>
    <w:rsid w:val="003503BA"/>
    <w:rsid w:val="0035044E"/>
    <w:rsid w:val="003504C0"/>
    <w:rsid w:val="003504C1"/>
    <w:rsid w:val="00350500"/>
    <w:rsid w:val="0035053F"/>
    <w:rsid w:val="003505A7"/>
    <w:rsid w:val="0035064B"/>
    <w:rsid w:val="0035074B"/>
    <w:rsid w:val="00350752"/>
    <w:rsid w:val="003507B7"/>
    <w:rsid w:val="00350806"/>
    <w:rsid w:val="00350849"/>
    <w:rsid w:val="003508C6"/>
    <w:rsid w:val="003508F9"/>
    <w:rsid w:val="003509D6"/>
    <w:rsid w:val="003509E4"/>
    <w:rsid w:val="00350A2F"/>
    <w:rsid w:val="00350A39"/>
    <w:rsid w:val="00350A66"/>
    <w:rsid w:val="00350BAF"/>
    <w:rsid w:val="00350BB0"/>
    <w:rsid w:val="00350BC7"/>
    <w:rsid w:val="00350BF7"/>
    <w:rsid w:val="00350D56"/>
    <w:rsid w:val="00350D67"/>
    <w:rsid w:val="00350D6A"/>
    <w:rsid w:val="00350D96"/>
    <w:rsid w:val="00350DBF"/>
    <w:rsid w:val="00350E0B"/>
    <w:rsid w:val="00350E5D"/>
    <w:rsid w:val="00350E72"/>
    <w:rsid w:val="00350E7D"/>
    <w:rsid w:val="00350F19"/>
    <w:rsid w:val="00350FD5"/>
    <w:rsid w:val="00350FE7"/>
    <w:rsid w:val="0035105E"/>
    <w:rsid w:val="00351164"/>
    <w:rsid w:val="003511F9"/>
    <w:rsid w:val="003512DC"/>
    <w:rsid w:val="0035132E"/>
    <w:rsid w:val="00351375"/>
    <w:rsid w:val="003513C6"/>
    <w:rsid w:val="00351525"/>
    <w:rsid w:val="0035158A"/>
    <w:rsid w:val="00351660"/>
    <w:rsid w:val="0035167D"/>
    <w:rsid w:val="0035174B"/>
    <w:rsid w:val="0035179A"/>
    <w:rsid w:val="00351853"/>
    <w:rsid w:val="003518D3"/>
    <w:rsid w:val="0035190B"/>
    <w:rsid w:val="0035192F"/>
    <w:rsid w:val="0035197F"/>
    <w:rsid w:val="003519E4"/>
    <w:rsid w:val="00351A7D"/>
    <w:rsid w:val="00351ADC"/>
    <w:rsid w:val="00351C4D"/>
    <w:rsid w:val="00351D26"/>
    <w:rsid w:val="00351ECF"/>
    <w:rsid w:val="00351F07"/>
    <w:rsid w:val="00351FCD"/>
    <w:rsid w:val="00351FD4"/>
    <w:rsid w:val="0035201F"/>
    <w:rsid w:val="00352075"/>
    <w:rsid w:val="0035207A"/>
    <w:rsid w:val="003520B2"/>
    <w:rsid w:val="00352122"/>
    <w:rsid w:val="0035212C"/>
    <w:rsid w:val="0035215A"/>
    <w:rsid w:val="00352189"/>
    <w:rsid w:val="003521B6"/>
    <w:rsid w:val="0035221E"/>
    <w:rsid w:val="00352237"/>
    <w:rsid w:val="00352266"/>
    <w:rsid w:val="00352288"/>
    <w:rsid w:val="003522D0"/>
    <w:rsid w:val="003523FA"/>
    <w:rsid w:val="0035241D"/>
    <w:rsid w:val="0035241E"/>
    <w:rsid w:val="003524AF"/>
    <w:rsid w:val="003524B5"/>
    <w:rsid w:val="003524CF"/>
    <w:rsid w:val="00352589"/>
    <w:rsid w:val="0035258B"/>
    <w:rsid w:val="003525A0"/>
    <w:rsid w:val="0035261C"/>
    <w:rsid w:val="003526FA"/>
    <w:rsid w:val="003527F7"/>
    <w:rsid w:val="00352874"/>
    <w:rsid w:val="0035293F"/>
    <w:rsid w:val="0035295E"/>
    <w:rsid w:val="00352A9C"/>
    <w:rsid w:val="00352AAA"/>
    <w:rsid w:val="00352AE9"/>
    <w:rsid w:val="00352B65"/>
    <w:rsid w:val="00352B66"/>
    <w:rsid w:val="00352B72"/>
    <w:rsid w:val="00352C52"/>
    <w:rsid w:val="00352C5E"/>
    <w:rsid w:val="00352DE3"/>
    <w:rsid w:val="00352E78"/>
    <w:rsid w:val="00352F16"/>
    <w:rsid w:val="00353099"/>
    <w:rsid w:val="003530DC"/>
    <w:rsid w:val="0035310F"/>
    <w:rsid w:val="003531E8"/>
    <w:rsid w:val="003531EE"/>
    <w:rsid w:val="00353235"/>
    <w:rsid w:val="0035325F"/>
    <w:rsid w:val="0035328F"/>
    <w:rsid w:val="00353305"/>
    <w:rsid w:val="00353378"/>
    <w:rsid w:val="0035356E"/>
    <w:rsid w:val="003535AA"/>
    <w:rsid w:val="0035363C"/>
    <w:rsid w:val="0035371D"/>
    <w:rsid w:val="00353771"/>
    <w:rsid w:val="0035377E"/>
    <w:rsid w:val="0035383A"/>
    <w:rsid w:val="0035389D"/>
    <w:rsid w:val="003538FB"/>
    <w:rsid w:val="0035391B"/>
    <w:rsid w:val="00353964"/>
    <w:rsid w:val="00353977"/>
    <w:rsid w:val="00353987"/>
    <w:rsid w:val="00353A9E"/>
    <w:rsid w:val="00353B6E"/>
    <w:rsid w:val="00353B90"/>
    <w:rsid w:val="00353C11"/>
    <w:rsid w:val="00353C22"/>
    <w:rsid w:val="00353C37"/>
    <w:rsid w:val="00353C89"/>
    <w:rsid w:val="00353D52"/>
    <w:rsid w:val="00353E83"/>
    <w:rsid w:val="00353EAC"/>
    <w:rsid w:val="00353F2E"/>
    <w:rsid w:val="00353F6E"/>
    <w:rsid w:val="00353FBC"/>
    <w:rsid w:val="00354016"/>
    <w:rsid w:val="00354023"/>
    <w:rsid w:val="00354069"/>
    <w:rsid w:val="00354074"/>
    <w:rsid w:val="003540A6"/>
    <w:rsid w:val="003540CE"/>
    <w:rsid w:val="003541D3"/>
    <w:rsid w:val="003541E4"/>
    <w:rsid w:val="00354211"/>
    <w:rsid w:val="00354240"/>
    <w:rsid w:val="0035427B"/>
    <w:rsid w:val="0035429F"/>
    <w:rsid w:val="003542A3"/>
    <w:rsid w:val="003542A4"/>
    <w:rsid w:val="003542C7"/>
    <w:rsid w:val="003542D8"/>
    <w:rsid w:val="00354304"/>
    <w:rsid w:val="003543C4"/>
    <w:rsid w:val="003543DE"/>
    <w:rsid w:val="003543F1"/>
    <w:rsid w:val="00354414"/>
    <w:rsid w:val="00354424"/>
    <w:rsid w:val="0035447A"/>
    <w:rsid w:val="003544AA"/>
    <w:rsid w:val="003544D9"/>
    <w:rsid w:val="0035450D"/>
    <w:rsid w:val="00354575"/>
    <w:rsid w:val="00354606"/>
    <w:rsid w:val="00354638"/>
    <w:rsid w:val="003546DD"/>
    <w:rsid w:val="00354705"/>
    <w:rsid w:val="0035470C"/>
    <w:rsid w:val="00354761"/>
    <w:rsid w:val="00354844"/>
    <w:rsid w:val="00354875"/>
    <w:rsid w:val="003548F7"/>
    <w:rsid w:val="003548F8"/>
    <w:rsid w:val="00354917"/>
    <w:rsid w:val="0035495A"/>
    <w:rsid w:val="003549A3"/>
    <w:rsid w:val="003549D5"/>
    <w:rsid w:val="00354B17"/>
    <w:rsid w:val="00354BB2"/>
    <w:rsid w:val="00354C63"/>
    <w:rsid w:val="00354CA2"/>
    <w:rsid w:val="00354CBC"/>
    <w:rsid w:val="00354D31"/>
    <w:rsid w:val="00354DA0"/>
    <w:rsid w:val="00354E4E"/>
    <w:rsid w:val="00354E7D"/>
    <w:rsid w:val="00354E8F"/>
    <w:rsid w:val="00354EF3"/>
    <w:rsid w:val="00354F04"/>
    <w:rsid w:val="00354F7B"/>
    <w:rsid w:val="00354FCD"/>
    <w:rsid w:val="00354FE1"/>
    <w:rsid w:val="00355105"/>
    <w:rsid w:val="0035518A"/>
    <w:rsid w:val="0035518E"/>
    <w:rsid w:val="00355199"/>
    <w:rsid w:val="003552AB"/>
    <w:rsid w:val="003552B1"/>
    <w:rsid w:val="00355329"/>
    <w:rsid w:val="0035541B"/>
    <w:rsid w:val="0035542E"/>
    <w:rsid w:val="0035546E"/>
    <w:rsid w:val="003554E6"/>
    <w:rsid w:val="003554E7"/>
    <w:rsid w:val="0035569E"/>
    <w:rsid w:val="003556A9"/>
    <w:rsid w:val="003556E3"/>
    <w:rsid w:val="003556FD"/>
    <w:rsid w:val="00355723"/>
    <w:rsid w:val="00355734"/>
    <w:rsid w:val="00355814"/>
    <w:rsid w:val="0035582B"/>
    <w:rsid w:val="0035590A"/>
    <w:rsid w:val="0035599C"/>
    <w:rsid w:val="003559BE"/>
    <w:rsid w:val="003559CA"/>
    <w:rsid w:val="00355A15"/>
    <w:rsid w:val="00355A3B"/>
    <w:rsid w:val="00355A3C"/>
    <w:rsid w:val="00355ACE"/>
    <w:rsid w:val="00355AD4"/>
    <w:rsid w:val="00355B3B"/>
    <w:rsid w:val="00355B47"/>
    <w:rsid w:val="00355B7A"/>
    <w:rsid w:val="00355BB8"/>
    <w:rsid w:val="00355BDE"/>
    <w:rsid w:val="00355CBA"/>
    <w:rsid w:val="00355D0E"/>
    <w:rsid w:val="00355D36"/>
    <w:rsid w:val="00355DB0"/>
    <w:rsid w:val="00355E32"/>
    <w:rsid w:val="00355EB3"/>
    <w:rsid w:val="00355FDF"/>
    <w:rsid w:val="00356019"/>
    <w:rsid w:val="0035614D"/>
    <w:rsid w:val="003561CF"/>
    <w:rsid w:val="003561FC"/>
    <w:rsid w:val="00356245"/>
    <w:rsid w:val="0035629F"/>
    <w:rsid w:val="003562D4"/>
    <w:rsid w:val="003562F6"/>
    <w:rsid w:val="0035630B"/>
    <w:rsid w:val="003563B0"/>
    <w:rsid w:val="003563DE"/>
    <w:rsid w:val="003563FE"/>
    <w:rsid w:val="00356422"/>
    <w:rsid w:val="00356531"/>
    <w:rsid w:val="0035657C"/>
    <w:rsid w:val="003565D6"/>
    <w:rsid w:val="00356612"/>
    <w:rsid w:val="003566CC"/>
    <w:rsid w:val="003566D1"/>
    <w:rsid w:val="00356812"/>
    <w:rsid w:val="003568A5"/>
    <w:rsid w:val="00356956"/>
    <w:rsid w:val="00356A27"/>
    <w:rsid w:val="00356A2E"/>
    <w:rsid w:val="00356A50"/>
    <w:rsid w:val="00356A7C"/>
    <w:rsid w:val="00356ACE"/>
    <w:rsid w:val="00356BAF"/>
    <w:rsid w:val="00356C75"/>
    <w:rsid w:val="00356C8B"/>
    <w:rsid w:val="00356D0C"/>
    <w:rsid w:val="00356D4B"/>
    <w:rsid w:val="00356D5E"/>
    <w:rsid w:val="00356D73"/>
    <w:rsid w:val="00356E0B"/>
    <w:rsid w:val="00356E0C"/>
    <w:rsid w:val="00356E4A"/>
    <w:rsid w:val="00356FB2"/>
    <w:rsid w:val="00357047"/>
    <w:rsid w:val="003570CB"/>
    <w:rsid w:val="00357110"/>
    <w:rsid w:val="00357124"/>
    <w:rsid w:val="00357172"/>
    <w:rsid w:val="00357192"/>
    <w:rsid w:val="003572C2"/>
    <w:rsid w:val="003572C9"/>
    <w:rsid w:val="003573FA"/>
    <w:rsid w:val="00357453"/>
    <w:rsid w:val="0035747E"/>
    <w:rsid w:val="00357545"/>
    <w:rsid w:val="00357557"/>
    <w:rsid w:val="0035758A"/>
    <w:rsid w:val="00357669"/>
    <w:rsid w:val="003576CD"/>
    <w:rsid w:val="003576E5"/>
    <w:rsid w:val="003576EC"/>
    <w:rsid w:val="0035778A"/>
    <w:rsid w:val="003577A4"/>
    <w:rsid w:val="003577B3"/>
    <w:rsid w:val="0035781A"/>
    <w:rsid w:val="003578C4"/>
    <w:rsid w:val="00357918"/>
    <w:rsid w:val="00357958"/>
    <w:rsid w:val="0035795B"/>
    <w:rsid w:val="00357972"/>
    <w:rsid w:val="003579BE"/>
    <w:rsid w:val="00357AE3"/>
    <w:rsid w:val="00357B28"/>
    <w:rsid w:val="00357B46"/>
    <w:rsid w:val="00357B8A"/>
    <w:rsid w:val="00357C3B"/>
    <w:rsid w:val="00357C65"/>
    <w:rsid w:val="00357D7E"/>
    <w:rsid w:val="00357DCC"/>
    <w:rsid w:val="00357DE2"/>
    <w:rsid w:val="00357E1F"/>
    <w:rsid w:val="00357E9F"/>
    <w:rsid w:val="00357EAA"/>
    <w:rsid w:val="00357EB9"/>
    <w:rsid w:val="00357F12"/>
    <w:rsid w:val="00357F97"/>
    <w:rsid w:val="00357FFD"/>
    <w:rsid w:val="0035B614"/>
    <w:rsid w:val="0035C48B"/>
    <w:rsid w:val="00360058"/>
    <w:rsid w:val="003601EF"/>
    <w:rsid w:val="00360208"/>
    <w:rsid w:val="0036027E"/>
    <w:rsid w:val="003602E5"/>
    <w:rsid w:val="0036034E"/>
    <w:rsid w:val="003603A7"/>
    <w:rsid w:val="00360478"/>
    <w:rsid w:val="003604B1"/>
    <w:rsid w:val="00360565"/>
    <w:rsid w:val="003605A1"/>
    <w:rsid w:val="00360617"/>
    <w:rsid w:val="00360711"/>
    <w:rsid w:val="00360738"/>
    <w:rsid w:val="0036075B"/>
    <w:rsid w:val="00360903"/>
    <w:rsid w:val="003609BF"/>
    <w:rsid w:val="003609DF"/>
    <w:rsid w:val="00360A9C"/>
    <w:rsid w:val="00360ACA"/>
    <w:rsid w:val="00360AEB"/>
    <w:rsid w:val="00360AEC"/>
    <w:rsid w:val="00360B54"/>
    <w:rsid w:val="00360B5D"/>
    <w:rsid w:val="00360B6B"/>
    <w:rsid w:val="00360BC7"/>
    <w:rsid w:val="00360BEF"/>
    <w:rsid w:val="00360C01"/>
    <w:rsid w:val="00360D69"/>
    <w:rsid w:val="00360D6D"/>
    <w:rsid w:val="00360DA2"/>
    <w:rsid w:val="00360DF1"/>
    <w:rsid w:val="00360DFF"/>
    <w:rsid w:val="00360E33"/>
    <w:rsid w:val="00360E86"/>
    <w:rsid w:val="00360E9B"/>
    <w:rsid w:val="00360F95"/>
    <w:rsid w:val="00360FD7"/>
    <w:rsid w:val="0036123F"/>
    <w:rsid w:val="00361311"/>
    <w:rsid w:val="00361329"/>
    <w:rsid w:val="00361375"/>
    <w:rsid w:val="0036148F"/>
    <w:rsid w:val="00361532"/>
    <w:rsid w:val="00361555"/>
    <w:rsid w:val="0036157D"/>
    <w:rsid w:val="0036163F"/>
    <w:rsid w:val="00361645"/>
    <w:rsid w:val="00361699"/>
    <w:rsid w:val="003616F1"/>
    <w:rsid w:val="00361703"/>
    <w:rsid w:val="00361744"/>
    <w:rsid w:val="0036178A"/>
    <w:rsid w:val="003617A8"/>
    <w:rsid w:val="0036180D"/>
    <w:rsid w:val="0036182B"/>
    <w:rsid w:val="00361875"/>
    <w:rsid w:val="0036189E"/>
    <w:rsid w:val="0036191C"/>
    <w:rsid w:val="00361A02"/>
    <w:rsid w:val="00361A44"/>
    <w:rsid w:val="00361AAD"/>
    <w:rsid w:val="00361B38"/>
    <w:rsid w:val="00361B58"/>
    <w:rsid w:val="00361C0E"/>
    <w:rsid w:val="00361C98"/>
    <w:rsid w:val="00361CED"/>
    <w:rsid w:val="00361D18"/>
    <w:rsid w:val="00361D55"/>
    <w:rsid w:val="00361D86"/>
    <w:rsid w:val="00361DC3"/>
    <w:rsid w:val="00361E86"/>
    <w:rsid w:val="00361FB0"/>
    <w:rsid w:val="00361FC8"/>
    <w:rsid w:val="00361FF5"/>
    <w:rsid w:val="00361FFC"/>
    <w:rsid w:val="003620D1"/>
    <w:rsid w:val="003621FE"/>
    <w:rsid w:val="00362224"/>
    <w:rsid w:val="003623CC"/>
    <w:rsid w:val="003623F3"/>
    <w:rsid w:val="00362406"/>
    <w:rsid w:val="003624E6"/>
    <w:rsid w:val="003624ED"/>
    <w:rsid w:val="0036253E"/>
    <w:rsid w:val="00362550"/>
    <w:rsid w:val="00362592"/>
    <w:rsid w:val="00362600"/>
    <w:rsid w:val="003626B4"/>
    <w:rsid w:val="003626F3"/>
    <w:rsid w:val="00362710"/>
    <w:rsid w:val="00362773"/>
    <w:rsid w:val="00362774"/>
    <w:rsid w:val="00362778"/>
    <w:rsid w:val="003627E0"/>
    <w:rsid w:val="00362899"/>
    <w:rsid w:val="003629C3"/>
    <w:rsid w:val="003629D7"/>
    <w:rsid w:val="003629E1"/>
    <w:rsid w:val="00362A8D"/>
    <w:rsid w:val="00362AD5"/>
    <w:rsid w:val="00362BB4"/>
    <w:rsid w:val="00362BCE"/>
    <w:rsid w:val="00362C2C"/>
    <w:rsid w:val="00362C5D"/>
    <w:rsid w:val="00362CB2"/>
    <w:rsid w:val="00362D02"/>
    <w:rsid w:val="00362D03"/>
    <w:rsid w:val="00362E1C"/>
    <w:rsid w:val="00362ECE"/>
    <w:rsid w:val="00362F2E"/>
    <w:rsid w:val="00362F4F"/>
    <w:rsid w:val="00362FC3"/>
    <w:rsid w:val="00362FFF"/>
    <w:rsid w:val="00363003"/>
    <w:rsid w:val="00363082"/>
    <w:rsid w:val="00363085"/>
    <w:rsid w:val="00363093"/>
    <w:rsid w:val="003630BB"/>
    <w:rsid w:val="00363171"/>
    <w:rsid w:val="0036323C"/>
    <w:rsid w:val="00363276"/>
    <w:rsid w:val="00363326"/>
    <w:rsid w:val="0036346B"/>
    <w:rsid w:val="00363498"/>
    <w:rsid w:val="003634FF"/>
    <w:rsid w:val="00363511"/>
    <w:rsid w:val="00363531"/>
    <w:rsid w:val="003635D5"/>
    <w:rsid w:val="00363640"/>
    <w:rsid w:val="0036364D"/>
    <w:rsid w:val="0036366D"/>
    <w:rsid w:val="00363671"/>
    <w:rsid w:val="0036369E"/>
    <w:rsid w:val="0036369F"/>
    <w:rsid w:val="003636A2"/>
    <w:rsid w:val="003636EB"/>
    <w:rsid w:val="00363711"/>
    <w:rsid w:val="0036371A"/>
    <w:rsid w:val="00363759"/>
    <w:rsid w:val="00363765"/>
    <w:rsid w:val="00363813"/>
    <w:rsid w:val="0036381A"/>
    <w:rsid w:val="00363834"/>
    <w:rsid w:val="00363860"/>
    <w:rsid w:val="003638A2"/>
    <w:rsid w:val="003638AD"/>
    <w:rsid w:val="00363917"/>
    <w:rsid w:val="00363944"/>
    <w:rsid w:val="00363973"/>
    <w:rsid w:val="00363989"/>
    <w:rsid w:val="0036399A"/>
    <w:rsid w:val="003639AB"/>
    <w:rsid w:val="00363A1E"/>
    <w:rsid w:val="00363AD9"/>
    <w:rsid w:val="00363AE2"/>
    <w:rsid w:val="00363AFF"/>
    <w:rsid w:val="00363BB8"/>
    <w:rsid w:val="00363C0C"/>
    <w:rsid w:val="00363C4B"/>
    <w:rsid w:val="00363DA3"/>
    <w:rsid w:val="00363DF2"/>
    <w:rsid w:val="00363E23"/>
    <w:rsid w:val="00363E5C"/>
    <w:rsid w:val="00363E72"/>
    <w:rsid w:val="00363E77"/>
    <w:rsid w:val="00363EFC"/>
    <w:rsid w:val="00363FF5"/>
    <w:rsid w:val="00364004"/>
    <w:rsid w:val="0036401B"/>
    <w:rsid w:val="00364039"/>
    <w:rsid w:val="0036404A"/>
    <w:rsid w:val="003641D1"/>
    <w:rsid w:val="003642C1"/>
    <w:rsid w:val="003642FB"/>
    <w:rsid w:val="0036430B"/>
    <w:rsid w:val="0036435B"/>
    <w:rsid w:val="00364386"/>
    <w:rsid w:val="00364396"/>
    <w:rsid w:val="003643CD"/>
    <w:rsid w:val="00364456"/>
    <w:rsid w:val="0036450E"/>
    <w:rsid w:val="00364529"/>
    <w:rsid w:val="00364655"/>
    <w:rsid w:val="00364678"/>
    <w:rsid w:val="0036469C"/>
    <w:rsid w:val="003647DB"/>
    <w:rsid w:val="0036489B"/>
    <w:rsid w:val="003648A5"/>
    <w:rsid w:val="003648AB"/>
    <w:rsid w:val="003648DD"/>
    <w:rsid w:val="003648FD"/>
    <w:rsid w:val="00364A97"/>
    <w:rsid w:val="00364AA4"/>
    <w:rsid w:val="00364B13"/>
    <w:rsid w:val="00364B31"/>
    <w:rsid w:val="00364B68"/>
    <w:rsid w:val="00364B73"/>
    <w:rsid w:val="00364B96"/>
    <w:rsid w:val="00364BF4"/>
    <w:rsid w:val="00364C8A"/>
    <w:rsid w:val="00364C91"/>
    <w:rsid w:val="00364CB4"/>
    <w:rsid w:val="00364D1A"/>
    <w:rsid w:val="00364D45"/>
    <w:rsid w:val="00364DC0"/>
    <w:rsid w:val="00364E4B"/>
    <w:rsid w:val="00364E57"/>
    <w:rsid w:val="00364E84"/>
    <w:rsid w:val="00364EF9"/>
    <w:rsid w:val="003650F2"/>
    <w:rsid w:val="00365157"/>
    <w:rsid w:val="00365264"/>
    <w:rsid w:val="00365266"/>
    <w:rsid w:val="00365268"/>
    <w:rsid w:val="00365295"/>
    <w:rsid w:val="00365306"/>
    <w:rsid w:val="0036547D"/>
    <w:rsid w:val="003654D4"/>
    <w:rsid w:val="0036553E"/>
    <w:rsid w:val="003655F6"/>
    <w:rsid w:val="0036563B"/>
    <w:rsid w:val="0036565E"/>
    <w:rsid w:val="00365670"/>
    <w:rsid w:val="003656A1"/>
    <w:rsid w:val="003656AF"/>
    <w:rsid w:val="003656BB"/>
    <w:rsid w:val="0036571C"/>
    <w:rsid w:val="003657F0"/>
    <w:rsid w:val="0036581D"/>
    <w:rsid w:val="0036584A"/>
    <w:rsid w:val="0036587E"/>
    <w:rsid w:val="00365942"/>
    <w:rsid w:val="003659D1"/>
    <w:rsid w:val="00365A0C"/>
    <w:rsid w:val="00365AD5"/>
    <w:rsid w:val="00365B0B"/>
    <w:rsid w:val="00365B71"/>
    <w:rsid w:val="00365C07"/>
    <w:rsid w:val="00365D11"/>
    <w:rsid w:val="00365D9D"/>
    <w:rsid w:val="00365ED4"/>
    <w:rsid w:val="00365FC4"/>
    <w:rsid w:val="00366037"/>
    <w:rsid w:val="00366069"/>
    <w:rsid w:val="00366077"/>
    <w:rsid w:val="00366082"/>
    <w:rsid w:val="003660D0"/>
    <w:rsid w:val="00366254"/>
    <w:rsid w:val="0036626F"/>
    <w:rsid w:val="0036634C"/>
    <w:rsid w:val="00366384"/>
    <w:rsid w:val="003663E2"/>
    <w:rsid w:val="003663FA"/>
    <w:rsid w:val="0036649A"/>
    <w:rsid w:val="003664FF"/>
    <w:rsid w:val="003665A6"/>
    <w:rsid w:val="003666D0"/>
    <w:rsid w:val="0036670B"/>
    <w:rsid w:val="0036673E"/>
    <w:rsid w:val="0036675F"/>
    <w:rsid w:val="00366785"/>
    <w:rsid w:val="00366792"/>
    <w:rsid w:val="0036679E"/>
    <w:rsid w:val="003668A6"/>
    <w:rsid w:val="003668C9"/>
    <w:rsid w:val="003668F6"/>
    <w:rsid w:val="00366930"/>
    <w:rsid w:val="00366946"/>
    <w:rsid w:val="00366959"/>
    <w:rsid w:val="00366982"/>
    <w:rsid w:val="00366995"/>
    <w:rsid w:val="00366A42"/>
    <w:rsid w:val="00366BC2"/>
    <w:rsid w:val="00366BD5"/>
    <w:rsid w:val="00366D08"/>
    <w:rsid w:val="00366DAB"/>
    <w:rsid w:val="00366DD3"/>
    <w:rsid w:val="00366DD5"/>
    <w:rsid w:val="00366E3D"/>
    <w:rsid w:val="00366F63"/>
    <w:rsid w:val="00366FD2"/>
    <w:rsid w:val="00367029"/>
    <w:rsid w:val="00367045"/>
    <w:rsid w:val="003670EC"/>
    <w:rsid w:val="00367151"/>
    <w:rsid w:val="0036718C"/>
    <w:rsid w:val="00367217"/>
    <w:rsid w:val="00367366"/>
    <w:rsid w:val="003673B8"/>
    <w:rsid w:val="00367448"/>
    <w:rsid w:val="003675B8"/>
    <w:rsid w:val="00367612"/>
    <w:rsid w:val="00367705"/>
    <w:rsid w:val="00367884"/>
    <w:rsid w:val="0036794E"/>
    <w:rsid w:val="00367955"/>
    <w:rsid w:val="00367990"/>
    <w:rsid w:val="00367A16"/>
    <w:rsid w:val="00367B00"/>
    <w:rsid w:val="00367CB8"/>
    <w:rsid w:val="00367D1D"/>
    <w:rsid w:val="00367D60"/>
    <w:rsid w:val="00367D85"/>
    <w:rsid w:val="00367E1F"/>
    <w:rsid w:val="00367E3D"/>
    <w:rsid w:val="00367E50"/>
    <w:rsid w:val="00367E96"/>
    <w:rsid w:val="00367EEB"/>
    <w:rsid w:val="00367F47"/>
    <w:rsid w:val="00367F53"/>
    <w:rsid w:val="0036F8AB"/>
    <w:rsid w:val="00370031"/>
    <w:rsid w:val="00370098"/>
    <w:rsid w:val="0037014B"/>
    <w:rsid w:val="0037017B"/>
    <w:rsid w:val="003701B3"/>
    <w:rsid w:val="00370204"/>
    <w:rsid w:val="00370243"/>
    <w:rsid w:val="003702C6"/>
    <w:rsid w:val="003702D4"/>
    <w:rsid w:val="00370360"/>
    <w:rsid w:val="00370380"/>
    <w:rsid w:val="003703ED"/>
    <w:rsid w:val="00370404"/>
    <w:rsid w:val="0037045C"/>
    <w:rsid w:val="0037050F"/>
    <w:rsid w:val="00370518"/>
    <w:rsid w:val="00370591"/>
    <w:rsid w:val="003705B0"/>
    <w:rsid w:val="00370630"/>
    <w:rsid w:val="00370639"/>
    <w:rsid w:val="003706D1"/>
    <w:rsid w:val="00370809"/>
    <w:rsid w:val="0037084F"/>
    <w:rsid w:val="003708B4"/>
    <w:rsid w:val="003708BC"/>
    <w:rsid w:val="00370932"/>
    <w:rsid w:val="0037097D"/>
    <w:rsid w:val="003709C4"/>
    <w:rsid w:val="00370A1E"/>
    <w:rsid w:val="00370A27"/>
    <w:rsid w:val="00370A93"/>
    <w:rsid w:val="00370AA5"/>
    <w:rsid w:val="00370BED"/>
    <w:rsid w:val="00370C31"/>
    <w:rsid w:val="00370D72"/>
    <w:rsid w:val="00370E03"/>
    <w:rsid w:val="00370E4E"/>
    <w:rsid w:val="00370F74"/>
    <w:rsid w:val="00370F92"/>
    <w:rsid w:val="003710C3"/>
    <w:rsid w:val="00371110"/>
    <w:rsid w:val="003711D9"/>
    <w:rsid w:val="00371216"/>
    <w:rsid w:val="0037134E"/>
    <w:rsid w:val="003713AB"/>
    <w:rsid w:val="003715AE"/>
    <w:rsid w:val="003715BF"/>
    <w:rsid w:val="003715DB"/>
    <w:rsid w:val="0037160B"/>
    <w:rsid w:val="00371680"/>
    <w:rsid w:val="0037187A"/>
    <w:rsid w:val="00371910"/>
    <w:rsid w:val="00371941"/>
    <w:rsid w:val="003719DA"/>
    <w:rsid w:val="00371A58"/>
    <w:rsid w:val="00371A99"/>
    <w:rsid w:val="00371AA5"/>
    <w:rsid w:val="00371B3B"/>
    <w:rsid w:val="00371BE0"/>
    <w:rsid w:val="00371D1E"/>
    <w:rsid w:val="00371D94"/>
    <w:rsid w:val="00371DF9"/>
    <w:rsid w:val="00371E6D"/>
    <w:rsid w:val="00371EAF"/>
    <w:rsid w:val="00371EF0"/>
    <w:rsid w:val="00371F5E"/>
    <w:rsid w:val="003721F4"/>
    <w:rsid w:val="0037222C"/>
    <w:rsid w:val="00372451"/>
    <w:rsid w:val="0037252B"/>
    <w:rsid w:val="00372566"/>
    <w:rsid w:val="003725EB"/>
    <w:rsid w:val="00372651"/>
    <w:rsid w:val="00372652"/>
    <w:rsid w:val="00372774"/>
    <w:rsid w:val="003727AE"/>
    <w:rsid w:val="00372809"/>
    <w:rsid w:val="00372820"/>
    <w:rsid w:val="0037284F"/>
    <w:rsid w:val="0037286F"/>
    <w:rsid w:val="00372965"/>
    <w:rsid w:val="003729E3"/>
    <w:rsid w:val="003729F8"/>
    <w:rsid w:val="00372A0E"/>
    <w:rsid w:val="00372B03"/>
    <w:rsid w:val="00372BB9"/>
    <w:rsid w:val="00372BDA"/>
    <w:rsid w:val="00372C3B"/>
    <w:rsid w:val="00372CE0"/>
    <w:rsid w:val="00372E30"/>
    <w:rsid w:val="00372F8D"/>
    <w:rsid w:val="00373092"/>
    <w:rsid w:val="003730BC"/>
    <w:rsid w:val="003730C3"/>
    <w:rsid w:val="003730EC"/>
    <w:rsid w:val="00373102"/>
    <w:rsid w:val="00373145"/>
    <w:rsid w:val="003731AA"/>
    <w:rsid w:val="003731D7"/>
    <w:rsid w:val="00373211"/>
    <w:rsid w:val="0037329D"/>
    <w:rsid w:val="0037337C"/>
    <w:rsid w:val="003733E5"/>
    <w:rsid w:val="003733FB"/>
    <w:rsid w:val="00373421"/>
    <w:rsid w:val="00373429"/>
    <w:rsid w:val="003734AD"/>
    <w:rsid w:val="00373526"/>
    <w:rsid w:val="0037352D"/>
    <w:rsid w:val="00373590"/>
    <w:rsid w:val="003735B2"/>
    <w:rsid w:val="003735F2"/>
    <w:rsid w:val="0037362E"/>
    <w:rsid w:val="0037365E"/>
    <w:rsid w:val="003736E2"/>
    <w:rsid w:val="003736F1"/>
    <w:rsid w:val="00373774"/>
    <w:rsid w:val="00373778"/>
    <w:rsid w:val="0037383C"/>
    <w:rsid w:val="00373933"/>
    <w:rsid w:val="00373982"/>
    <w:rsid w:val="003739BD"/>
    <w:rsid w:val="003739CC"/>
    <w:rsid w:val="00373A21"/>
    <w:rsid w:val="00373A90"/>
    <w:rsid w:val="00373ABC"/>
    <w:rsid w:val="00373AE2"/>
    <w:rsid w:val="00373B00"/>
    <w:rsid w:val="00373C19"/>
    <w:rsid w:val="00373D00"/>
    <w:rsid w:val="00373EBB"/>
    <w:rsid w:val="00373ED2"/>
    <w:rsid w:val="00373F98"/>
    <w:rsid w:val="00374034"/>
    <w:rsid w:val="0037403D"/>
    <w:rsid w:val="00374059"/>
    <w:rsid w:val="00374176"/>
    <w:rsid w:val="003741A1"/>
    <w:rsid w:val="00374276"/>
    <w:rsid w:val="003743D7"/>
    <w:rsid w:val="003743EB"/>
    <w:rsid w:val="00374515"/>
    <w:rsid w:val="0037454A"/>
    <w:rsid w:val="003745B6"/>
    <w:rsid w:val="00374623"/>
    <w:rsid w:val="00374639"/>
    <w:rsid w:val="003746EF"/>
    <w:rsid w:val="003747B3"/>
    <w:rsid w:val="00374838"/>
    <w:rsid w:val="003749B4"/>
    <w:rsid w:val="00374A1B"/>
    <w:rsid w:val="00374A85"/>
    <w:rsid w:val="00374C21"/>
    <w:rsid w:val="00374C43"/>
    <w:rsid w:val="00374CE4"/>
    <w:rsid w:val="00374D26"/>
    <w:rsid w:val="00374D45"/>
    <w:rsid w:val="00374DC7"/>
    <w:rsid w:val="00374E31"/>
    <w:rsid w:val="00374E6B"/>
    <w:rsid w:val="00374EC5"/>
    <w:rsid w:val="00374F86"/>
    <w:rsid w:val="00374FBD"/>
    <w:rsid w:val="00375060"/>
    <w:rsid w:val="00375085"/>
    <w:rsid w:val="00375122"/>
    <w:rsid w:val="0037514C"/>
    <w:rsid w:val="003751BF"/>
    <w:rsid w:val="00375260"/>
    <w:rsid w:val="003752F7"/>
    <w:rsid w:val="003753CF"/>
    <w:rsid w:val="003753F1"/>
    <w:rsid w:val="00375432"/>
    <w:rsid w:val="00375480"/>
    <w:rsid w:val="00375572"/>
    <w:rsid w:val="00375652"/>
    <w:rsid w:val="0037567A"/>
    <w:rsid w:val="00375768"/>
    <w:rsid w:val="003757BF"/>
    <w:rsid w:val="003757D2"/>
    <w:rsid w:val="003757D9"/>
    <w:rsid w:val="00375866"/>
    <w:rsid w:val="003758E7"/>
    <w:rsid w:val="003758F9"/>
    <w:rsid w:val="0037597D"/>
    <w:rsid w:val="003759F9"/>
    <w:rsid w:val="00375A6C"/>
    <w:rsid w:val="00375A7D"/>
    <w:rsid w:val="00375B2C"/>
    <w:rsid w:val="00375C55"/>
    <w:rsid w:val="00375C5B"/>
    <w:rsid w:val="00375D15"/>
    <w:rsid w:val="00375E7D"/>
    <w:rsid w:val="00375F14"/>
    <w:rsid w:val="00375F3B"/>
    <w:rsid w:val="00375FDA"/>
    <w:rsid w:val="00376048"/>
    <w:rsid w:val="00376102"/>
    <w:rsid w:val="0037612F"/>
    <w:rsid w:val="00376302"/>
    <w:rsid w:val="003763A4"/>
    <w:rsid w:val="003763B7"/>
    <w:rsid w:val="003763FC"/>
    <w:rsid w:val="00376450"/>
    <w:rsid w:val="00376459"/>
    <w:rsid w:val="00376481"/>
    <w:rsid w:val="003765E0"/>
    <w:rsid w:val="00376707"/>
    <w:rsid w:val="00376718"/>
    <w:rsid w:val="0037671F"/>
    <w:rsid w:val="0037678D"/>
    <w:rsid w:val="003768A9"/>
    <w:rsid w:val="003768C8"/>
    <w:rsid w:val="003768E6"/>
    <w:rsid w:val="00376987"/>
    <w:rsid w:val="003769B6"/>
    <w:rsid w:val="003769C6"/>
    <w:rsid w:val="00376B14"/>
    <w:rsid w:val="00376B56"/>
    <w:rsid w:val="00376B72"/>
    <w:rsid w:val="00376C72"/>
    <w:rsid w:val="00376C7A"/>
    <w:rsid w:val="00376D04"/>
    <w:rsid w:val="00376DE7"/>
    <w:rsid w:val="00376E26"/>
    <w:rsid w:val="00376F20"/>
    <w:rsid w:val="00376F27"/>
    <w:rsid w:val="00376F3F"/>
    <w:rsid w:val="00376F64"/>
    <w:rsid w:val="00376FA1"/>
    <w:rsid w:val="00376FF5"/>
    <w:rsid w:val="00377006"/>
    <w:rsid w:val="00377087"/>
    <w:rsid w:val="00377093"/>
    <w:rsid w:val="003770C0"/>
    <w:rsid w:val="003770C4"/>
    <w:rsid w:val="003770F0"/>
    <w:rsid w:val="00377162"/>
    <w:rsid w:val="0037717A"/>
    <w:rsid w:val="00377189"/>
    <w:rsid w:val="003771D3"/>
    <w:rsid w:val="003771EA"/>
    <w:rsid w:val="0037728B"/>
    <w:rsid w:val="003773B3"/>
    <w:rsid w:val="00377488"/>
    <w:rsid w:val="003774F5"/>
    <w:rsid w:val="00377511"/>
    <w:rsid w:val="00377538"/>
    <w:rsid w:val="00377554"/>
    <w:rsid w:val="003775E6"/>
    <w:rsid w:val="00377742"/>
    <w:rsid w:val="0037777E"/>
    <w:rsid w:val="0037782F"/>
    <w:rsid w:val="003778E9"/>
    <w:rsid w:val="0037794D"/>
    <w:rsid w:val="0037795A"/>
    <w:rsid w:val="00377A4A"/>
    <w:rsid w:val="00377A4B"/>
    <w:rsid w:val="00377A7F"/>
    <w:rsid w:val="00377B02"/>
    <w:rsid w:val="00377B16"/>
    <w:rsid w:val="00377B20"/>
    <w:rsid w:val="00377B42"/>
    <w:rsid w:val="00377B8E"/>
    <w:rsid w:val="00377C17"/>
    <w:rsid w:val="00377C34"/>
    <w:rsid w:val="00377C7B"/>
    <w:rsid w:val="00377CAD"/>
    <w:rsid w:val="00377CB9"/>
    <w:rsid w:val="00377D5B"/>
    <w:rsid w:val="00377D6A"/>
    <w:rsid w:val="00377D8E"/>
    <w:rsid w:val="00377DAD"/>
    <w:rsid w:val="00377DEE"/>
    <w:rsid w:val="00377E7F"/>
    <w:rsid w:val="00377EE3"/>
    <w:rsid w:val="00377F37"/>
    <w:rsid w:val="00377F61"/>
    <w:rsid w:val="00377F65"/>
    <w:rsid w:val="00377FE3"/>
    <w:rsid w:val="00380075"/>
    <w:rsid w:val="003800D8"/>
    <w:rsid w:val="00380118"/>
    <w:rsid w:val="0038011C"/>
    <w:rsid w:val="00380134"/>
    <w:rsid w:val="0038019E"/>
    <w:rsid w:val="003801EB"/>
    <w:rsid w:val="0038028E"/>
    <w:rsid w:val="003802C0"/>
    <w:rsid w:val="0038033D"/>
    <w:rsid w:val="0038036D"/>
    <w:rsid w:val="003803DD"/>
    <w:rsid w:val="003803FB"/>
    <w:rsid w:val="00380462"/>
    <w:rsid w:val="003804C6"/>
    <w:rsid w:val="003804E7"/>
    <w:rsid w:val="00380510"/>
    <w:rsid w:val="00380621"/>
    <w:rsid w:val="003806BF"/>
    <w:rsid w:val="003806E7"/>
    <w:rsid w:val="0038070D"/>
    <w:rsid w:val="003807A3"/>
    <w:rsid w:val="0038085C"/>
    <w:rsid w:val="003809DF"/>
    <w:rsid w:val="00380A76"/>
    <w:rsid w:val="00380ACB"/>
    <w:rsid w:val="00380B1B"/>
    <w:rsid w:val="00380B9A"/>
    <w:rsid w:val="00380C8A"/>
    <w:rsid w:val="00380C9F"/>
    <w:rsid w:val="00380CCD"/>
    <w:rsid w:val="00380D19"/>
    <w:rsid w:val="00380D3F"/>
    <w:rsid w:val="00380DA3"/>
    <w:rsid w:val="00380DC3"/>
    <w:rsid w:val="00380DE2"/>
    <w:rsid w:val="00380E6A"/>
    <w:rsid w:val="00380EF8"/>
    <w:rsid w:val="00380F00"/>
    <w:rsid w:val="00380F19"/>
    <w:rsid w:val="00380F7F"/>
    <w:rsid w:val="0038102D"/>
    <w:rsid w:val="0038103E"/>
    <w:rsid w:val="00381176"/>
    <w:rsid w:val="0038129C"/>
    <w:rsid w:val="003812AC"/>
    <w:rsid w:val="003812F1"/>
    <w:rsid w:val="00381398"/>
    <w:rsid w:val="00381498"/>
    <w:rsid w:val="003815F5"/>
    <w:rsid w:val="003815FD"/>
    <w:rsid w:val="0038164B"/>
    <w:rsid w:val="003816B0"/>
    <w:rsid w:val="00381700"/>
    <w:rsid w:val="00381768"/>
    <w:rsid w:val="00381793"/>
    <w:rsid w:val="00381800"/>
    <w:rsid w:val="00381821"/>
    <w:rsid w:val="00381840"/>
    <w:rsid w:val="00381854"/>
    <w:rsid w:val="00381897"/>
    <w:rsid w:val="003818EC"/>
    <w:rsid w:val="003818F9"/>
    <w:rsid w:val="003818FA"/>
    <w:rsid w:val="00381951"/>
    <w:rsid w:val="00381975"/>
    <w:rsid w:val="003819A7"/>
    <w:rsid w:val="003819CE"/>
    <w:rsid w:val="00381A31"/>
    <w:rsid w:val="00381A44"/>
    <w:rsid w:val="00381A97"/>
    <w:rsid w:val="00381C03"/>
    <w:rsid w:val="00381C5D"/>
    <w:rsid w:val="00381D3F"/>
    <w:rsid w:val="00381DA0"/>
    <w:rsid w:val="00381E42"/>
    <w:rsid w:val="00381E58"/>
    <w:rsid w:val="00381E9C"/>
    <w:rsid w:val="00381F86"/>
    <w:rsid w:val="00381F96"/>
    <w:rsid w:val="00382000"/>
    <w:rsid w:val="00382013"/>
    <w:rsid w:val="00382064"/>
    <w:rsid w:val="0038215B"/>
    <w:rsid w:val="0038218E"/>
    <w:rsid w:val="003821AC"/>
    <w:rsid w:val="00382229"/>
    <w:rsid w:val="00382244"/>
    <w:rsid w:val="0038228C"/>
    <w:rsid w:val="00382337"/>
    <w:rsid w:val="00382436"/>
    <w:rsid w:val="00382438"/>
    <w:rsid w:val="00382486"/>
    <w:rsid w:val="0038249D"/>
    <w:rsid w:val="003824A6"/>
    <w:rsid w:val="003824B1"/>
    <w:rsid w:val="00382522"/>
    <w:rsid w:val="003825D8"/>
    <w:rsid w:val="00382615"/>
    <w:rsid w:val="00382628"/>
    <w:rsid w:val="0038268B"/>
    <w:rsid w:val="003826E3"/>
    <w:rsid w:val="0038271C"/>
    <w:rsid w:val="0038272A"/>
    <w:rsid w:val="00382787"/>
    <w:rsid w:val="003827F2"/>
    <w:rsid w:val="00382926"/>
    <w:rsid w:val="00382971"/>
    <w:rsid w:val="00382982"/>
    <w:rsid w:val="0038298C"/>
    <w:rsid w:val="00382A2B"/>
    <w:rsid w:val="00382AD4"/>
    <w:rsid w:val="00382AE4"/>
    <w:rsid w:val="00382C06"/>
    <w:rsid w:val="00382C79"/>
    <w:rsid w:val="00382CC1"/>
    <w:rsid w:val="00382CEA"/>
    <w:rsid w:val="00382D42"/>
    <w:rsid w:val="00382D96"/>
    <w:rsid w:val="00382DC2"/>
    <w:rsid w:val="00382DCC"/>
    <w:rsid w:val="00382E1B"/>
    <w:rsid w:val="00382F97"/>
    <w:rsid w:val="00383071"/>
    <w:rsid w:val="003830C7"/>
    <w:rsid w:val="0038313B"/>
    <w:rsid w:val="00383199"/>
    <w:rsid w:val="003831D5"/>
    <w:rsid w:val="00383239"/>
    <w:rsid w:val="00383246"/>
    <w:rsid w:val="003832C2"/>
    <w:rsid w:val="003832DF"/>
    <w:rsid w:val="003832FB"/>
    <w:rsid w:val="003832FF"/>
    <w:rsid w:val="0038330B"/>
    <w:rsid w:val="00383354"/>
    <w:rsid w:val="00383355"/>
    <w:rsid w:val="0038337D"/>
    <w:rsid w:val="003833A1"/>
    <w:rsid w:val="003833AF"/>
    <w:rsid w:val="003834E6"/>
    <w:rsid w:val="00383523"/>
    <w:rsid w:val="0038352E"/>
    <w:rsid w:val="00383548"/>
    <w:rsid w:val="0038356D"/>
    <w:rsid w:val="00383607"/>
    <w:rsid w:val="00383691"/>
    <w:rsid w:val="0038369B"/>
    <w:rsid w:val="003836F5"/>
    <w:rsid w:val="00383740"/>
    <w:rsid w:val="0038379A"/>
    <w:rsid w:val="00383854"/>
    <w:rsid w:val="003838B6"/>
    <w:rsid w:val="003839F9"/>
    <w:rsid w:val="00383AA6"/>
    <w:rsid w:val="00383AB1"/>
    <w:rsid w:val="00383B1D"/>
    <w:rsid w:val="00383C43"/>
    <w:rsid w:val="00383C4F"/>
    <w:rsid w:val="00383CED"/>
    <w:rsid w:val="00383D01"/>
    <w:rsid w:val="00383DEE"/>
    <w:rsid w:val="00383E10"/>
    <w:rsid w:val="00383F33"/>
    <w:rsid w:val="00383F60"/>
    <w:rsid w:val="00383FE8"/>
    <w:rsid w:val="00384020"/>
    <w:rsid w:val="00384038"/>
    <w:rsid w:val="00384202"/>
    <w:rsid w:val="00384269"/>
    <w:rsid w:val="003842B5"/>
    <w:rsid w:val="003842C5"/>
    <w:rsid w:val="003842EF"/>
    <w:rsid w:val="00384341"/>
    <w:rsid w:val="0038434F"/>
    <w:rsid w:val="00384373"/>
    <w:rsid w:val="003843A1"/>
    <w:rsid w:val="0038445B"/>
    <w:rsid w:val="00384471"/>
    <w:rsid w:val="0038448D"/>
    <w:rsid w:val="0038448F"/>
    <w:rsid w:val="003845BF"/>
    <w:rsid w:val="003845FB"/>
    <w:rsid w:val="00384605"/>
    <w:rsid w:val="00384638"/>
    <w:rsid w:val="003846AF"/>
    <w:rsid w:val="00384790"/>
    <w:rsid w:val="00384810"/>
    <w:rsid w:val="00384811"/>
    <w:rsid w:val="00384816"/>
    <w:rsid w:val="00384828"/>
    <w:rsid w:val="00384852"/>
    <w:rsid w:val="00384873"/>
    <w:rsid w:val="003848C3"/>
    <w:rsid w:val="0038490E"/>
    <w:rsid w:val="00384918"/>
    <w:rsid w:val="00384948"/>
    <w:rsid w:val="00384A11"/>
    <w:rsid w:val="00384A59"/>
    <w:rsid w:val="00384A6F"/>
    <w:rsid w:val="00384AC5"/>
    <w:rsid w:val="00384B87"/>
    <w:rsid w:val="00384C57"/>
    <w:rsid w:val="00384C64"/>
    <w:rsid w:val="00384D02"/>
    <w:rsid w:val="00384D26"/>
    <w:rsid w:val="00384E78"/>
    <w:rsid w:val="00384EBA"/>
    <w:rsid w:val="00384ED9"/>
    <w:rsid w:val="00384F13"/>
    <w:rsid w:val="00384F85"/>
    <w:rsid w:val="00384F8A"/>
    <w:rsid w:val="00384F93"/>
    <w:rsid w:val="00384FB1"/>
    <w:rsid w:val="00385065"/>
    <w:rsid w:val="0038515F"/>
    <w:rsid w:val="00385185"/>
    <w:rsid w:val="003851A5"/>
    <w:rsid w:val="003852EC"/>
    <w:rsid w:val="00385311"/>
    <w:rsid w:val="003853CB"/>
    <w:rsid w:val="0038541B"/>
    <w:rsid w:val="0038543E"/>
    <w:rsid w:val="00385446"/>
    <w:rsid w:val="003854CD"/>
    <w:rsid w:val="0038553A"/>
    <w:rsid w:val="00385630"/>
    <w:rsid w:val="0038563D"/>
    <w:rsid w:val="00385645"/>
    <w:rsid w:val="00385720"/>
    <w:rsid w:val="00385885"/>
    <w:rsid w:val="003858A9"/>
    <w:rsid w:val="003858D9"/>
    <w:rsid w:val="0038591B"/>
    <w:rsid w:val="00385954"/>
    <w:rsid w:val="003859A6"/>
    <w:rsid w:val="003859F2"/>
    <w:rsid w:val="003859FA"/>
    <w:rsid w:val="00385B43"/>
    <w:rsid w:val="00385B4F"/>
    <w:rsid w:val="00385BEE"/>
    <w:rsid w:val="00385CCA"/>
    <w:rsid w:val="00385DBA"/>
    <w:rsid w:val="00385EFB"/>
    <w:rsid w:val="00385F4C"/>
    <w:rsid w:val="0038602D"/>
    <w:rsid w:val="003860BA"/>
    <w:rsid w:val="003860DC"/>
    <w:rsid w:val="00386107"/>
    <w:rsid w:val="0038612C"/>
    <w:rsid w:val="003861E9"/>
    <w:rsid w:val="0038626D"/>
    <w:rsid w:val="003862EC"/>
    <w:rsid w:val="0038631F"/>
    <w:rsid w:val="00386353"/>
    <w:rsid w:val="00386449"/>
    <w:rsid w:val="0038645B"/>
    <w:rsid w:val="003864C2"/>
    <w:rsid w:val="003864D0"/>
    <w:rsid w:val="003865B0"/>
    <w:rsid w:val="0038661C"/>
    <w:rsid w:val="00386632"/>
    <w:rsid w:val="00386686"/>
    <w:rsid w:val="003866BB"/>
    <w:rsid w:val="003866D5"/>
    <w:rsid w:val="00386712"/>
    <w:rsid w:val="00386758"/>
    <w:rsid w:val="0038677F"/>
    <w:rsid w:val="0038679C"/>
    <w:rsid w:val="003867B3"/>
    <w:rsid w:val="003867B6"/>
    <w:rsid w:val="003868B0"/>
    <w:rsid w:val="00386906"/>
    <w:rsid w:val="00386911"/>
    <w:rsid w:val="0038691C"/>
    <w:rsid w:val="00386A98"/>
    <w:rsid w:val="00386A99"/>
    <w:rsid w:val="00386AE0"/>
    <w:rsid w:val="00386AE9"/>
    <w:rsid w:val="00386B01"/>
    <w:rsid w:val="00386C1D"/>
    <w:rsid w:val="00386CA9"/>
    <w:rsid w:val="00386DC8"/>
    <w:rsid w:val="00386E00"/>
    <w:rsid w:val="00386E0B"/>
    <w:rsid w:val="00386E52"/>
    <w:rsid w:val="00386EC0"/>
    <w:rsid w:val="00386EF7"/>
    <w:rsid w:val="00386F14"/>
    <w:rsid w:val="00386FB9"/>
    <w:rsid w:val="0038700C"/>
    <w:rsid w:val="003870B8"/>
    <w:rsid w:val="00387148"/>
    <w:rsid w:val="00387173"/>
    <w:rsid w:val="003871F8"/>
    <w:rsid w:val="003872B8"/>
    <w:rsid w:val="003872F7"/>
    <w:rsid w:val="0038735C"/>
    <w:rsid w:val="00387374"/>
    <w:rsid w:val="0038737C"/>
    <w:rsid w:val="00387380"/>
    <w:rsid w:val="00387419"/>
    <w:rsid w:val="00387422"/>
    <w:rsid w:val="003874CB"/>
    <w:rsid w:val="00387537"/>
    <w:rsid w:val="00387562"/>
    <w:rsid w:val="00387564"/>
    <w:rsid w:val="0038756B"/>
    <w:rsid w:val="00387575"/>
    <w:rsid w:val="00387576"/>
    <w:rsid w:val="003875D7"/>
    <w:rsid w:val="0038760D"/>
    <w:rsid w:val="003876C5"/>
    <w:rsid w:val="00387720"/>
    <w:rsid w:val="0038772B"/>
    <w:rsid w:val="00387750"/>
    <w:rsid w:val="003877CA"/>
    <w:rsid w:val="0038787C"/>
    <w:rsid w:val="00387921"/>
    <w:rsid w:val="00387930"/>
    <w:rsid w:val="00387985"/>
    <w:rsid w:val="0038799C"/>
    <w:rsid w:val="003879D5"/>
    <w:rsid w:val="003879F2"/>
    <w:rsid w:val="00387A79"/>
    <w:rsid w:val="00387B06"/>
    <w:rsid w:val="00387B5B"/>
    <w:rsid w:val="00387D1B"/>
    <w:rsid w:val="00387D28"/>
    <w:rsid w:val="00387D61"/>
    <w:rsid w:val="00387DA7"/>
    <w:rsid w:val="00387DF7"/>
    <w:rsid w:val="00387E3A"/>
    <w:rsid w:val="00387ED1"/>
    <w:rsid w:val="00387ED8"/>
    <w:rsid w:val="00387EFD"/>
    <w:rsid w:val="00387F14"/>
    <w:rsid w:val="00387F1A"/>
    <w:rsid w:val="00387F4A"/>
    <w:rsid w:val="003900A5"/>
    <w:rsid w:val="0039013E"/>
    <w:rsid w:val="00390148"/>
    <w:rsid w:val="0039016E"/>
    <w:rsid w:val="00390238"/>
    <w:rsid w:val="00390256"/>
    <w:rsid w:val="0039026E"/>
    <w:rsid w:val="003902DF"/>
    <w:rsid w:val="003902F1"/>
    <w:rsid w:val="0039036F"/>
    <w:rsid w:val="003903AE"/>
    <w:rsid w:val="003905A7"/>
    <w:rsid w:val="003905BD"/>
    <w:rsid w:val="003906AF"/>
    <w:rsid w:val="003906BF"/>
    <w:rsid w:val="003908BB"/>
    <w:rsid w:val="0039090E"/>
    <w:rsid w:val="00390987"/>
    <w:rsid w:val="003909C2"/>
    <w:rsid w:val="003909EE"/>
    <w:rsid w:val="00390BFE"/>
    <w:rsid w:val="00390C18"/>
    <w:rsid w:val="00390C1B"/>
    <w:rsid w:val="00390C37"/>
    <w:rsid w:val="00390C58"/>
    <w:rsid w:val="00390C7A"/>
    <w:rsid w:val="00390CBF"/>
    <w:rsid w:val="00390DB4"/>
    <w:rsid w:val="00390DE0"/>
    <w:rsid w:val="00390DEC"/>
    <w:rsid w:val="00390E52"/>
    <w:rsid w:val="00390E7D"/>
    <w:rsid w:val="00390E85"/>
    <w:rsid w:val="00390ED8"/>
    <w:rsid w:val="00390F39"/>
    <w:rsid w:val="00390F7E"/>
    <w:rsid w:val="00390F8E"/>
    <w:rsid w:val="00390FD9"/>
    <w:rsid w:val="0039100A"/>
    <w:rsid w:val="0039108E"/>
    <w:rsid w:val="0039109E"/>
    <w:rsid w:val="003910B0"/>
    <w:rsid w:val="003910B8"/>
    <w:rsid w:val="00391187"/>
    <w:rsid w:val="003911D8"/>
    <w:rsid w:val="003911F0"/>
    <w:rsid w:val="0039120B"/>
    <w:rsid w:val="00391319"/>
    <w:rsid w:val="003913F7"/>
    <w:rsid w:val="003914E5"/>
    <w:rsid w:val="00391566"/>
    <w:rsid w:val="003915AA"/>
    <w:rsid w:val="00391617"/>
    <w:rsid w:val="003916DE"/>
    <w:rsid w:val="0039175F"/>
    <w:rsid w:val="00391793"/>
    <w:rsid w:val="003917DB"/>
    <w:rsid w:val="0039183A"/>
    <w:rsid w:val="00391998"/>
    <w:rsid w:val="00391AE4"/>
    <w:rsid w:val="00391B05"/>
    <w:rsid w:val="00391B1C"/>
    <w:rsid w:val="00391BF5"/>
    <w:rsid w:val="00391BFF"/>
    <w:rsid w:val="00391C10"/>
    <w:rsid w:val="00391CDB"/>
    <w:rsid w:val="00391D09"/>
    <w:rsid w:val="00391D94"/>
    <w:rsid w:val="00391E20"/>
    <w:rsid w:val="00391E42"/>
    <w:rsid w:val="00391F33"/>
    <w:rsid w:val="00391FCE"/>
    <w:rsid w:val="00391FF7"/>
    <w:rsid w:val="00392030"/>
    <w:rsid w:val="003920D9"/>
    <w:rsid w:val="00392193"/>
    <w:rsid w:val="003921DD"/>
    <w:rsid w:val="003921F3"/>
    <w:rsid w:val="00392347"/>
    <w:rsid w:val="00392348"/>
    <w:rsid w:val="003923C6"/>
    <w:rsid w:val="003923F7"/>
    <w:rsid w:val="00392493"/>
    <w:rsid w:val="00392524"/>
    <w:rsid w:val="00392526"/>
    <w:rsid w:val="00392612"/>
    <w:rsid w:val="0039263C"/>
    <w:rsid w:val="00392751"/>
    <w:rsid w:val="00392753"/>
    <w:rsid w:val="00392781"/>
    <w:rsid w:val="003927FC"/>
    <w:rsid w:val="00392814"/>
    <w:rsid w:val="00392875"/>
    <w:rsid w:val="003928C4"/>
    <w:rsid w:val="00392904"/>
    <w:rsid w:val="0039292E"/>
    <w:rsid w:val="003929B7"/>
    <w:rsid w:val="003929CD"/>
    <w:rsid w:val="00392A20"/>
    <w:rsid w:val="00392A73"/>
    <w:rsid w:val="00392A75"/>
    <w:rsid w:val="00392B06"/>
    <w:rsid w:val="00392B07"/>
    <w:rsid w:val="00392B2E"/>
    <w:rsid w:val="00392BCD"/>
    <w:rsid w:val="00392C7B"/>
    <w:rsid w:val="00392CEA"/>
    <w:rsid w:val="00392D0E"/>
    <w:rsid w:val="00392D49"/>
    <w:rsid w:val="00392D7A"/>
    <w:rsid w:val="00392D91"/>
    <w:rsid w:val="00392E19"/>
    <w:rsid w:val="00392E36"/>
    <w:rsid w:val="00392E4E"/>
    <w:rsid w:val="00392E6F"/>
    <w:rsid w:val="00392EDA"/>
    <w:rsid w:val="00392F13"/>
    <w:rsid w:val="00392F87"/>
    <w:rsid w:val="00392F8E"/>
    <w:rsid w:val="00392F91"/>
    <w:rsid w:val="00392FD7"/>
    <w:rsid w:val="00393152"/>
    <w:rsid w:val="0039318F"/>
    <w:rsid w:val="003931EB"/>
    <w:rsid w:val="00393303"/>
    <w:rsid w:val="00393304"/>
    <w:rsid w:val="00393311"/>
    <w:rsid w:val="003933C2"/>
    <w:rsid w:val="0039347E"/>
    <w:rsid w:val="00393512"/>
    <w:rsid w:val="00393571"/>
    <w:rsid w:val="0039358D"/>
    <w:rsid w:val="00393637"/>
    <w:rsid w:val="00393644"/>
    <w:rsid w:val="00393803"/>
    <w:rsid w:val="00393915"/>
    <w:rsid w:val="00393AC2"/>
    <w:rsid w:val="00393ACC"/>
    <w:rsid w:val="00393B10"/>
    <w:rsid w:val="00393B2F"/>
    <w:rsid w:val="00393B4F"/>
    <w:rsid w:val="00393BD5"/>
    <w:rsid w:val="00393BF2"/>
    <w:rsid w:val="00393CBD"/>
    <w:rsid w:val="00393D0C"/>
    <w:rsid w:val="00393D38"/>
    <w:rsid w:val="00393DB2"/>
    <w:rsid w:val="00393DD6"/>
    <w:rsid w:val="00393E8F"/>
    <w:rsid w:val="00393E9D"/>
    <w:rsid w:val="00393F50"/>
    <w:rsid w:val="00393FDA"/>
    <w:rsid w:val="003940BF"/>
    <w:rsid w:val="003940CF"/>
    <w:rsid w:val="003940D0"/>
    <w:rsid w:val="003940F3"/>
    <w:rsid w:val="003940F6"/>
    <w:rsid w:val="003940FA"/>
    <w:rsid w:val="0039413F"/>
    <w:rsid w:val="00394153"/>
    <w:rsid w:val="00394157"/>
    <w:rsid w:val="00394224"/>
    <w:rsid w:val="0039422B"/>
    <w:rsid w:val="0039422F"/>
    <w:rsid w:val="00394235"/>
    <w:rsid w:val="00394236"/>
    <w:rsid w:val="003943C4"/>
    <w:rsid w:val="003943EF"/>
    <w:rsid w:val="0039441F"/>
    <w:rsid w:val="00394464"/>
    <w:rsid w:val="00394512"/>
    <w:rsid w:val="00394524"/>
    <w:rsid w:val="00394553"/>
    <w:rsid w:val="00394573"/>
    <w:rsid w:val="003945E0"/>
    <w:rsid w:val="00394610"/>
    <w:rsid w:val="00394621"/>
    <w:rsid w:val="003946E0"/>
    <w:rsid w:val="00394708"/>
    <w:rsid w:val="0039470C"/>
    <w:rsid w:val="0039477B"/>
    <w:rsid w:val="00394820"/>
    <w:rsid w:val="00394933"/>
    <w:rsid w:val="00394975"/>
    <w:rsid w:val="003949E1"/>
    <w:rsid w:val="00394A0E"/>
    <w:rsid w:val="00394A1A"/>
    <w:rsid w:val="00394A40"/>
    <w:rsid w:val="00394A54"/>
    <w:rsid w:val="00394B44"/>
    <w:rsid w:val="00394BB4"/>
    <w:rsid w:val="00394BCE"/>
    <w:rsid w:val="00394BFF"/>
    <w:rsid w:val="00394C0B"/>
    <w:rsid w:val="00394C32"/>
    <w:rsid w:val="00394C96"/>
    <w:rsid w:val="00394D87"/>
    <w:rsid w:val="00394D91"/>
    <w:rsid w:val="00394D95"/>
    <w:rsid w:val="00394DDE"/>
    <w:rsid w:val="00394E4E"/>
    <w:rsid w:val="00394F44"/>
    <w:rsid w:val="00394F8A"/>
    <w:rsid w:val="00394FFB"/>
    <w:rsid w:val="00395004"/>
    <w:rsid w:val="0039503B"/>
    <w:rsid w:val="00395067"/>
    <w:rsid w:val="003950AD"/>
    <w:rsid w:val="003950BD"/>
    <w:rsid w:val="003951C4"/>
    <w:rsid w:val="003951E3"/>
    <w:rsid w:val="00395277"/>
    <w:rsid w:val="0039529E"/>
    <w:rsid w:val="003952E0"/>
    <w:rsid w:val="0039534B"/>
    <w:rsid w:val="0039534E"/>
    <w:rsid w:val="003953A9"/>
    <w:rsid w:val="003953D0"/>
    <w:rsid w:val="003954FB"/>
    <w:rsid w:val="003954FF"/>
    <w:rsid w:val="00395514"/>
    <w:rsid w:val="003955A1"/>
    <w:rsid w:val="003955AF"/>
    <w:rsid w:val="00395623"/>
    <w:rsid w:val="00395722"/>
    <w:rsid w:val="00395755"/>
    <w:rsid w:val="00395824"/>
    <w:rsid w:val="003958F8"/>
    <w:rsid w:val="0039592F"/>
    <w:rsid w:val="003959CB"/>
    <w:rsid w:val="003959CF"/>
    <w:rsid w:val="003959EA"/>
    <w:rsid w:val="00395A0C"/>
    <w:rsid w:val="00395A50"/>
    <w:rsid w:val="00395A89"/>
    <w:rsid w:val="00395AA4"/>
    <w:rsid w:val="00395AAA"/>
    <w:rsid w:val="00395B22"/>
    <w:rsid w:val="00395B5A"/>
    <w:rsid w:val="00395B5F"/>
    <w:rsid w:val="00395B85"/>
    <w:rsid w:val="00395BC5"/>
    <w:rsid w:val="00395C61"/>
    <w:rsid w:val="00395CA5"/>
    <w:rsid w:val="00395D89"/>
    <w:rsid w:val="00395E15"/>
    <w:rsid w:val="00395E1B"/>
    <w:rsid w:val="00395E97"/>
    <w:rsid w:val="00395F26"/>
    <w:rsid w:val="00395F7C"/>
    <w:rsid w:val="00395F84"/>
    <w:rsid w:val="00395FD9"/>
    <w:rsid w:val="0039606F"/>
    <w:rsid w:val="0039609A"/>
    <w:rsid w:val="003960B3"/>
    <w:rsid w:val="003960D9"/>
    <w:rsid w:val="003960E2"/>
    <w:rsid w:val="003960F8"/>
    <w:rsid w:val="0039615B"/>
    <w:rsid w:val="00396219"/>
    <w:rsid w:val="00396228"/>
    <w:rsid w:val="00396230"/>
    <w:rsid w:val="003962AC"/>
    <w:rsid w:val="003962C2"/>
    <w:rsid w:val="003962F3"/>
    <w:rsid w:val="0039631C"/>
    <w:rsid w:val="003963BA"/>
    <w:rsid w:val="00396424"/>
    <w:rsid w:val="003964BC"/>
    <w:rsid w:val="003964BF"/>
    <w:rsid w:val="003964C8"/>
    <w:rsid w:val="003964D2"/>
    <w:rsid w:val="003964FC"/>
    <w:rsid w:val="0039654E"/>
    <w:rsid w:val="003965FB"/>
    <w:rsid w:val="00396623"/>
    <w:rsid w:val="0039672A"/>
    <w:rsid w:val="0039675A"/>
    <w:rsid w:val="003967AD"/>
    <w:rsid w:val="003967BE"/>
    <w:rsid w:val="003967C1"/>
    <w:rsid w:val="00396802"/>
    <w:rsid w:val="00396881"/>
    <w:rsid w:val="0039688B"/>
    <w:rsid w:val="003968BF"/>
    <w:rsid w:val="003968C5"/>
    <w:rsid w:val="003968ED"/>
    <w:rsid w:val="00396A6A"/>
    <w:rsid w:val="00396A74"/>
    <w:rsid w:val="00396B05"/>
    <w:rsid w:val="00396B06"/>
    <w:rsid w:val="00396BCF"/>
    <w:rsid w:val="00396C5E"/>
    <w:rsid w:val="00396D34"/>
    <w:rsid w:val="00396D69"/>
    <w:rsid w:val="00396D7E"/>
    <w:rsid w:val="00396DE2"/>
    <w:rsid w:val="00396E59"/>
    <w:rsid w:val="00396F06"/>
    <w:rsid w:val="00396FF1"/>
    <w:rsid w:val="0039708A"/>
    <w:rsid w:val="00397091"/>
    <w:rsid w:val="0039710D"/>
    <w:rsid w:val="00397208"/>
    <w:rsid w:val="0039727B"/>
    <w:rsid w:val="0039728A"/>
    <w:rsid w:val="003972DC"/>
    <w:rsid w:val="003972F6"/>
    <w:rsid w:val="00397353"/>
    <w:rsid w:val="003973BB"/>
    <w:rsid w:val="00397419"/>
    <w:rsid w:val="00397442"/>
    <w:rsid w:val="003974E8"/>
    <w:rsid w:val="0039757F"/>
    <w:rsid w:val="00397640"/>
    <w:rsid w:val="0039764E"/>
    <w:rsid w:val="00397686"/>
    <w:rsid w:val="003976A5"/>
    <w:rsid w:val="003976FA"/>
    <w:rsid w:val="00397739"/>
    <w:rsid w:val="00397743"/>
    <w:rsid w:val="00397787"/>
    <w:rsid w:val="003977DB"/>
    <w:rsid w:val="0039785B"/>
    <w:rsid w:val="00397887"/>
    <w:rsid w:val="0039791E"/>
    <w:rsid w:val="00397923"/>
    <w:rsid w:val="0039798D"/>
    <w:rsid w:val="003979BC"/>
    <w:rsid w:val="00397AD4"/>
    <w:rsid w:val="00397AED"/>
    <w:rsid w:val="00397B5D"/>
    <w:rsid w:val="00397B76"/>
    <w:rsid w:val="00397BB4"/>
    <w:rsid w:val="00397CB5"/>
    <w:rsid w:val="00397CEC"/>
    <w:rsid w:val="00397E1A"/>
    <w:rsid w:val="00397E52"/>
    <w:rsid w:val="00397EC3"/>
    <w:rsid w:val="00397EF1"/>
    <w:rsid w:val="00397F7C"/>
    <w:rsid w:val="00397FCC"/>
    <w:rsid w:val="003A0120"/>
    <w:rsid w:val="003A012D"/>
    <w:rsid w:val="003A019B"/>
    <w:rsid w:val="003A01AE"/>
    <w:rsid w:val="003A01F7"/>
    <w:rsid w:val="003A0202"/>
    <w:rsid w:val="003A0263"/>
    <w:rsid w:val="003A0284"/>
    <w:rsid w:val="003A039F"/>
    <w:rsid w:val="003A0482"/>
    <w:rsid w:val="003A05B2"/>
    <w:rsid w:val="003A05F7"/>
    <w:rsid w:val="003A060A"/>
    <w:rsid w:val="003A068F"/>
    <w:rsid w:val="003A0730"/>
    <w:rsid w:val="003A08E6"/>
    <w:rsid w:val="003A0907"/>
    <w:rsid w:val="003A0A94"/>
    <w:rsid w:val="003A0AD5"/>
    <w:rsid w:val="003A0AD9"/>
    <w:rsid w:val="003A0CFC"/>
    <w:rsid w:val="003A0CFD"/>
    <w:rsid w:val="003A0D1E"/>
    <w:rsid w:val="003A0DA8"/>
    <w:rsid w:val="003A0DE1"/>
    <w:rsid w:val="003A0E0F"/>
    <w:rsid w:val="003A0E64"/>
    <w:rsid w:val="003A0E91"/>
    <w:rsid w:val="003A0EAE"/>
    <w:rsid w:val="003A0EB3"/>
    <w:rsid w:val="003A100F"/>
    <w:rsid w:val="003A1020"/>
    <w:rsid w:val="003A1055"/>
    <w:rsid w:val="003A1117"/>
    <w:rsid w:val="003A113F"/>
    <w:rsid w:val="003A119D"/>
    <w:rsid w:val="003A11E9"/>
    <w:rsid w:val="003A12CE"/>
    <w:rsid w:val="003A12DC"/>
    <w:rsid w:val="003A135D"/>
    <w:rsid w:val="003A138C"/>
    <w:rsid w:val="003A14D1"/>
    <w:rsid w:val="003A1599"/>
    <w:rsid w:val="003A15A7"/>
    <w:rsid w:val="003A15E1"/>
    <w:rsid w:val="003A15FC"/>
    <w:rsid w:val="003A1662"/>
    <w:rsid w:val="003A1685"/>
    <w:rsid w:val="003A169D"/>
    <w:rsid w:val="003A1761"/>
    <w:rsid w:val="003A176B"/>
    <w:rsid w:val="003A183F"/>
    <w:rsid w:val="003A1857"/>
    <w:rsid w:val="003A188E"/>
    <w:rsid w:val="003A194E"/>
    <w:rsid w:val="003A1961"/>
    <w:rsid w:val="003A1987"/>
    <w:rsid w:val="003A1A48"/>
    <w:rsid w:val="003A1A87"/>
    <w:rsid w:val="003A1AEC"/>
    <w:rsid w:val="003A1B11"/>
    <w:rsid w:val="003A1BAD"/>
    <w:rsid w:val="003A1BD0"/>
    <w:rsid w:val="003A1C64"/>
    <w:rsid w:val="003A1CF6"/>
    <w:rsid w:val="003A1D18"/>
    <w:rsid w:val="003A1D93"/>
    <w:rsid w:val="003A1E13"/>
    <w:rsid w:val="003A1E30"/>
    <w:rsid w:val="003A1EE3"/>
    <w:rsid w:val="003A1F0A"/>
    <w:rsid w:val="003A1F24"/>
    <w:rsid w:val="003A1F5E"/>
    <w:rsid w:val="003A1F96"/>
    <w:rsid w:val="003A1FB1"/>
    <w:rsid w:val="003A206C"/>
    <w:rsid w:val="003A2079"/>
    <w:rsid w:val="003A20B5"/>
    <w:rsid w:val="003A20BD"/>
    <w:rsid w:val="003A20C7"/>
    <w:rsid w:val="003A20D2"/>
    <w:rsid w:val="003A20F2"/>
    <w:rsid w:val="003A2126"/>
    <w:rsid w:val="003A2155"/>
    <w:rsid w:val="003A2205"/>
    <w:rsid w:val="003A227B"/>
    <w:rsid w:val="003A2365"/>
    <w:rsid w:val="003A239C"/>
    <w:rsid w:val="003A23AC"/>
    <w:rsid w:val="003A23BA"/>
    <w:rsid w:val="003A23C4"/>
    <w:rsid w:val="003A249D"/>
    <w:rsid w:val="003A24C4"/>
    <w:rsid w:val="003A24DC"/>
    <w:rsid w:val="003A2562"/>
    <w:rsid w:val="003A2578"/>
    <w:rsid w:val="003A257F"/>
    <w:rsid w:val="003A2604"/>
    <w:rsid w:val="003A260D"/>
    <w:rsid w:val="003A266B"/>
    <w:rsid w:val="003A2695"/>
    <w:rsid w:val="003A26D9"/>
    <w:rsid w:val="003A286A"/>
    <w:rsid w:val="003A2923"/>
    <w:rsid w:val="003A294E"/>
    <w:rsid w:val="003A294F"/>
    <w:rsid w:val="003A2964"/>
    <w:rsid w:val="003A2A85"/>
    <w:rsid w:val="003A2A99"/>
    <w:rsid w:val="003A2AAD"/>
    <w:rsid w:val="003A2BE7"/>
    <w:rsid w:val="003A2C92"/>
    <w:rsid w:val="003A2D5E"/>
    <w:rsid w:val="003A2D9C"/>
    <w:rsid w:val="003A2F1F"/>
    <w:rsid w:val="003A2F2E"/>
    <w:rsid w:val="003A2F93"/>
    <w:rsid w:val="003A3096"/>
    <w:rsid w:val="003A30CF"/>
    <w:rsid w:val="003A3124"/>
    <w:rsid w:val="003A313D"/>
    <w:rsid w:val="003A316E"/>
    <w:rsid w:val="003A31B6"/>
    <w:rsid w:val="003A3235"/>
    <w:rsid w:val="003A32E1"/>
    <w:rsid w:val="003A3334"/>
    <w:rsid w:val="003A33C4"/>
    <w:rsid w:val="003A33DC"/>
    <w:rsid w:val="003A344C"/>
    <w:rsid w:val="003A346F"/>
    <w:rsid w:val="003A34FF"/>
    <w:rsid w:val="003A350E"/>
    <w:rsid w:val="003A3524"/>
    <w:rsid w:val="003A35A7"/>
    <w:rsid w:val="003A35C0"/>
    <w:rsid w:val="003A35EA"/>
    <w:rsid w:val="003A3691"/>
    <w:rsid w:val="003A3714"/>
    <w:rsid w:val="003A382B"/>
    <w:rsid w:val="003A390C"/>
    <w:rsid w:val="003A392D"/>
    <w:rsid w:val="003A395D"/>
    <w:rsid w:val="003A39E6"/>
    <w:rsid w:val="003A3A6E"/>
    <w:rsid w:val="003A3A70"/>
    <w:rsid w:val="003A3AA1"/>
    <w:rsid w:val="003A3C44"/>
    <w:rsid w:val="003A3C6A"/>
    <w:rsid w:val="003A3C70"/>
    <w:rsid w:val="003A3C90"/>
    <w:rsid w:val="003A3C9E"/>
    <w:rsid w:val="003A3E0B"/>
    <w:rsid w:val="003A3E7F"/>
    <w:rsid w:val="003A3EAC"/>
    <w:rsid w:val="003A3F0B"/>
    <w:rsid w:val="003A3F62"/>
    <w:rsid w:val="003A3F81"/>
    <w:rsid w:val="003A3FED"/>
    <w:rsid w:val="003A401E"/>
    <w:rsid w:val="003A4032"/>
    <w:rsid w:val="003A404B"/>
    <w:rsid w:val="003A40C4"/>
    <w:rsid w:val="003A4123"/>
    <w:rsid w:val="003A4189"/>
    <w:rsid w:val="003A4231"/>
    <w:rsid w:val="003A4255"/>
    <w:rsid w:val="003A4258"/>
    <w:rsid w:val="003A42B7"/>
    <w:rsid w:val="003A42F6"/>
    <w:rsid w:val="003A4329"/>
    <w:rsid w:val="003A436F"/>
    <w:rsid w:val="003A43F9"/>
    <w:rsid w:val="003A4473"/>
    <w:rsid w:val="003A4477"/>
    <w:rsid w:val="003A44C0"/>
    <w:rsid w:val="003A44F3"/>
    <w:rsid w:val="003A4512"/>
    <w:rsid w:val="003A4551"/>
    <w:rsid w:val="003A462F"/>
    <w:rsid w:val="003A4686"/>
    <w:rsid w:val="003A484A"/>
    <w:rsid w:val="003A4893"/>
    <w:rsid w:val="003A48D9"/>
    <w:rsid w:val="003A4903"/>
    <w:rsid w:val="003A4975"/>
    <w:rsid w:val="003A4B7C"/>
    <w:rsid w:val="003A4B85"/>
    <w:rsid w:val="003A4C04"/>
    <w:rsid w:val="003A4C73"/>
    <w:rsid w:val="003A4C82"/>
    <w:rsid w:val="003A4CE2"/>
    <w:rsid w:val="003A4CF9"/>
    <w:rsid w:val="003A4D7D"/>
    <w:rsid w:val="003A4DA5"/>
    <w:rsid w:val="003A4DE9"/>
    <w:rsid w:val="003A4E4D"/>
    <w:rsid w:val="003A4E67"/>
    <w:rsid w:val="003A4E86"/>
    <w:rsid w:val="003A4E9B"/>
    <w:rsid w:val="003A4EBA"/>
    <w:rsid w:val="003A5003"/>
    <w:rsid w:val="003A508A"/>
    <w:rsid w:val="003A5090"/>
    <w:rsid w:val="003A50D1"/>
    <w:rsid w:val="003A5122"/>
    <w:rsid w:val="003A51F8"/>
    <w:rsid w:val="003A524C"/>
    <w:rsid w:val="003A532F"/>
    <w:rsid w:val="003A5352"/>
    <w:rsid w:val="003A53FE"/>
    <w:rsid w:val="003A5460"/>
    <w:rsid w:val="003A550A"/>
    <w:rsid w:val="003A5515"/>
    <w:rsid w:val="003A5536"/>
    <w:rsid w:val="003A555D"/>
    <w:rsid w:val="003A5635"/>
    <w:rsid w:val="003A5669"/>
    <w:rsid w:val="003A5691"/>
    <w:rsid w:val="003A56FD"/>
    <w:rsid w:val="003A5711"/>
    <w:rsid w:val="003A5784"/>
    <w:rsid w:val="003A5796"/>
    <w:rsid w:val="003A580E"/>
    <w:rsid w:val="003A5835"/>
    <w:rsid w:val="003A5843"/>
    <w:rsid w:val="003A5845"/>
    <w:rsid w:val="003A5847"/>
    <w:rsid w:val="003A5942"/>
    <w:rsid w:val="003A59A1"/>
    <w:rsid w:val="003A59AE"/>
    <w:rsid w:val="003A5BBD"/>
    <w:rsid w:val="003A5BF9"/>
    <w:rsid w:val="003A5C0D"/>
    <w:rsid w:val="003A5CA0"/>
    <w:rsid w:val="003A5CF3"/>
    <w:rsid w:val="003A5D32"/>
    <w:rsid w:val="003A5D57"/>
    <w:rsid w:val="003A5DBB"/>
    <w:rsid w:val="003A5DE4"/>
    <w:rsid w:val="003A5E04"/>
    <w:rsid w:val="003A5F39"/>
    <w:rsid w:val="003A5F41"/>
    <w:rsid w:val="003A5F85"/>
    <w:rsid w:val="003A5FEC"/>
    <w:rsid w:val="003A6065"/>
    <w:rsid w:val="003A609E"/>
    <w:rsid w:val="003A6131"/>
    <w:rsid w:val="003A616F"/>
    <w:rsid w:val="003A6177"/>
    <w:rsid w:val="003A61D3"/>
    <w:rsid w:val="003A6284"/>
    <w:rsid w:val="003A62CE"/>
    <w:rsid w:val="003A62D8"/>
    <w:rsid w:val="003A62E7"/>
    <w:rsid w:val="003A6496"/>
    <w:rsid w:val="003A64B5"/>
    <w:rsid w:val="003A64C6"/>
    <w:rsid w:val="003A64CE"/>
    <w:rsid w:val="003A6534"/>
    <w:rsid w:val="003A65C9"/>
    <w:rsid w:val="003A664A"/>
    <w:rsid w:val="003A6721"/>
    <w:rsid w:val="003A677D"/>
    <w:rsid w:val="003A6830"/>
    <w:rsid w:val="003A6886"/>
    <w:rsid w:val="003A690D"/>
    <w:rsid w:val="003A697B"/>
    <w:rsid w:val="003A69AF"/>
    <w:rsid w:val="003A69D4"/>
    <w:rsid w:val="003A69D6"/>
    <w:rsid w:val="003A69EE"/>
    <w:rsid w:val="003A6A60"/>
    <w:rsid w:val="003A6A66"/>
    <w:rsid w:val="003A6B1A"/>
    <w:rsid w:val="003A6B6B"/>
    <w:rsid w:val="003A6BA0"/>
    <w:rsid w:val="003A6BD7"/>
    <w:rsid w:val="003A6C07"/>
    <w:rsid w:val="003A6CD1"/>
    <w:rsid w:val="003A6CE3"/>
    <w:rsid w:val="003A6D56"/>
    <w:rsid w:val="003A6D6B"/>
    <w:rsid w:val="003A6D74"/>
    <w:rsid w:val="003A6DD8"/>
    <w:rsid w:val="003A6E6B"/>
    <w:rsid w:val="003A6E7A"/>
    <w:rsid w:val="003A6EB4"/>
    <w:rsid w:val="003A6F75"/>
    <w:rsid w:val="003A70BE"/>
    <w:rsid w:val="003A7102"/>
    <w:rsid w:val="003A7152"/>
    <w:rsid w:val="003A727F"/>
    <w:rsid w:val="003A740F"/>
    <w:rsid w:val="003A741B"/>
    <w:rsid w:val="003A758B"/>
    <w:rsid w:val="003A75B4"/>
    <w:rsid w:val="003A75DB"/>
    <w:rsid w:val="003A767A"/>
    <w:rsid w:val="003A779B"/>
    <w:rsid w:val="003A7898"/>
    <w:rsid w:val="003A78C9"/>
    <w:rsid w:val="003A7AAF"/>
    <w:rsid w:val="003A7AB3"/>
    <w:rsid w:val="003A7B41"/>
    <w:rsid w:val="003A7BC5"/>
    <w:rsid w:val="003A7BCE"/>
    <w:rsid w:val="003A7BD4"/>
    <w:rsid w:val="003A7C00"/>
    <w:rsid w:val="003A7C41"/>
    <w:rsid w:val="003A7C96"/>
    <w:rsid w:val="003A7CE6"/>
    <w:rsid w:val="003A7CE8"/>
    <w:rsid w:val="003A7D87"/>
    <w:rsid w:val="003A7DB5"/>
    <w:rsid w:val="003A7DBA"/>
    <w:rsid w:val="003A7E2C"/>
    <w:rsid w:val="003A7E84"/>
    <w:rsid w:val="003A7F23"/>
    <w:rsid w:val="003A7F47"/>
    <w:rsid w:val="003A7F74"/>
    <w:rsid w:val="003A7FA9"/>
    <w:rsid w:val="003B0018"/>
    <w:rsid w:val="003B007E"/>
    <w:rsid w:val="003B00C8"/>
    <w:rsid w:val="003B011A"/>
    <w:rsid w:val="003B01A0"/>
    <w:rsid w:val="003B01DE"/>
    <w:rsid w:val="003B036B"/>
    <w:rsid w:val="003B036D"/>
    <w:rsid w:val="003B0385"/>
    <w:rsid w:val="003B046A"/>
    <w:rsid w:val="003B0490"/>
    <w:rsid w:val="003B0565"/>
    <w:rsid w:val="003B064D"/>
    <w:rsid w:val="003B06BF"/>
    <w:rsid w:val="003B0787"/>
    <w:rsid w:val="003B08BD"/>
    <w:rsid w:val="003B08CF"/>
    <w:rsid w:val="003B0BD6"/>
    <w:rsid w:val="003B0C4B"/>
    <w:rsid w:val="003B0C92"/>
    <w:rsid w:val="003B0CE2"/>
    <w:rsid w:val="003B0D23"/>
    <w:rsid w:val="003B0E24"/>
    <w:rsid w:val="003B0E9F"/>
    <w:rsid w:val="003B0ECA"/>
    <w:rsid w:val="003B0F6D"/>
    <w:rsid w:val="003B0F8D"/>
    <w:rsid w:val="003B1015"/>
    <w:rsid w:val="003B1041"/>
    <w:rsid w:val="003B10A6"/>
    <w:rsid w:val="003B11E5"/>
    <w:rsid w:val="003B12D2"/>
    <w:rsid w:val="003B1336"/>
    <w:rsid w:val="003B146B"/>
    <w:rsid w:val="003B15BC"/>
    <w:rsid w:val="003B179F"/>
    <w:rsid w:val="003B17E4"/>
    <w:rsid w:val="003B188A"/>
    <w:rsid w:val="003B1909"/>
    <w:rsid w:val="003B1977"/>
    <w:rsid w:val="003B19A4"/>
    <w:rsid w:val="003B19C0"/>
    <w:rsid w:val="003B1B32"/>
    <w:rsid w:val="003B1C63"/>
    <w:rsid w:val="003B1C9F"/>
    <w:rsid w:val="003B1CE2"/>
    <w:rsid w:val="003B1D0B"/>
    <w:rsid w:val="003B1D13"/>
    <w:rsid w:val="003B1D18"/>
    <w:rsid w:val="003B1E01"/>
    <w:rsid w:val="003B1E17"/>
    <w:rsid w:val="003B1E76"/>
    <w:rsid w:val="003B1E97"/>
    <w:rsid w:val="003B1EAC"/>
    <w:rsid w:val="003B1F21"/>
    <w:rsid w:val="003B1FC9"/>
    <w:rsid w:val="003B1FE3"/>
    <w:rsid w:val="003B2134"/>
    <w:rsid w:val="003B217E"/>
    <w:rsid w:val="003B2182"/>
    <w:rsid w:val="003B21EA"/>
    <w:rsid w:val="003B2236"/>
    <w:rsid w:val="003B224F"/>
    <w:rsid w:val="003B2258"/>
    <w:rsid w:val="003B240F"/>
    <w:rsid w:val="003B24BE"/>
    <w:rsid w:val="003B24C7"/>
    <w:rsid w:val="003B24D2"/>
    <w:rsid w:val="003B2513"/>
    <w:rsid w:val="003B2546"/>
    <w:rsid w:val="003B2548"/>
    <w:rsid w:val="003B25F8"/>
    <w:rsid w:val="003B26BA"/>
    <w:rsid w:val="003B2709"/>
    <w:rsid w:val="003B2715"/>
    <w:rsid w:val="003B2770"/>
    <w:rsid w:val="003B27CB"/>
    <w:rsid w:val="003B287B"/>
    <w:rsid w:val="003B2923"/>
    <w:rsid w:val="003B298A"/>
    <w:rsid w:val="003B2A5D"/>
    <w:rsid w:val="003B2B6A"/>
    <w:rsid w:val="003B2BC4"/>
    <w:rsid w:val="003B2BF1"/>
    <w:rsid w:val="003B2C74"/>
    <w:rsid w:val="003B2C76"/>
    <w:rsid w:val="003B2CBD"/>
    <w:rsid w:val="003B2D72"/>
    <w:rsid w:val="003B2D73"/>
    <w:rsid w:val="003B2F15"/>
    <w:rsid w:val="003B2F96"/>
    <w:rsid w:val="003B2FB5"/>
    <w:rsid w:val="003B2FBD"/>
    <w:rsid w:val="003B3046"/>
    <w:rsid w:val="003B30B1"/>
    <w:rsid w:val="003B30D0"/>
    <w:rsid w:val="003B31E5"/>
    <w:rsid w:val="003B32AC"/>
    <w:rsid w:val="003B33B3"/>
    <w:rsid w:val="003B33BE"/>
    <w:rsid w:val="003B3431"/>
    <w:rsid w:val="003B347D"/>
    <w:rsid w:val="003B34B5"/>
    <w:rsid w:val="003B3509"/>
    <w:rsid w:val="003B3536"/>
    <w:rsid w:val="003B355A"/>
    <w:rsid w:val="003B3580"/>
    <w:rsid w:val="003B35C6"/>
    <w:rsid w:val="003B3606"/>
    <w:rsid w:val="003B3681"/>
    <w:rsid w:val="003B369F"/>
    <w:rsid w:val="003B36C9"/>
    <w:rsid w:val="003B3701"/>
    <w:rsid w:val="003B3732"/>
    <w:rsid w:val="003B3738"/>
    <w:rsid w:val="003B37F5"/>
    <w:rsid w:val="003B38DE"/>
    <w:rsid w:val="003B3A3F"/>
    <w:rsid w:val="003B3A53"/>
    <w:rsid w:val="003B3B20"/>
    <w:rsid w:val="003B3B7D"/>
    <w:rsid w:val="003B3BE8"/>
    <w:rsid w:val="003B3C68"/>
    <w:rsid w:val="003B3CD3"/>
    <w:rsid w:val="003B3D20"/>
    <w:rsid w:val="003B3E01"/>
    <w:rsid w:val="003B3E1A"/>
    <w:rsid w:val="003B3E51"/>
    <w:rsid w:val="003B3F5D"/>
    <w:rsid w:val="003B3F7B"/>
    <w:rsid w:val="003B3F88"/>
    <w:rsid w:val="003B3F92"/>
    <w:rsid w:val="003B3FC3"/>
    <w:rsid w:val="003B4054"/>
    <w:rsid w:val="003B4073"/>
    <w:rsid w:val="003B409D"/>
    <w:rsid w:val="003B40B6"/>
    <w:rsid w:val="003B410E"/>
    <w:rsid w:val="003B416C"/>
    <w:rsid w:val="003B41F4"/>
    <w:rsid w:val="003B43B9"/>
    <w:rsid w:val="003B44B6"/>
    <w:rsid w:val="003B44DF"/>
    <w:rsid w:val="003B4540"/>
    <w:rsid w:val="003B4594"/>
    <w:rsid w:val="003B45B4"/>
    <w:rsid w:val="003B4603"/>
    <w:rsid w:val="003B4619"/>
    <w:rsid w:val="003B4637"/>
    <w:rsid w:val="003B4735"/>
    <w:rsid w:val="003B47BD"/>
    <w:rsid w:val="003B47F5"/>
    <w:rsid w:val="003B4812"/>
    <w:rsid w:val="003B4852"/>
    <w:rsid w:val="003B4921"/>
    <w:rsid w:val="003B495F"/>
    <w:rsid w:val="003B49EF"/>
    <w:rsid w:val="003B4A9C"/>
    <w:rsid w:val="003B4AEC"/>
    <w:rsid w:val="003B4AF6"/>
    <w:rsid w:val="003B4B09"/>
    <w:rsid w:val="003B4B88"/>
    <w:rsid w:val="003B4BAE"/>
    <w:rsid w:val="003B4BD1"/>
    <w:rsid w:val="003B4C5E"/>
    <w:rsid w:val="003B4CA4"/>
    <w:rsid w:val="003B4D2A"/>
    <w:rsid w:val="003B4E01"/>
    <w:rsid w:val="003B4E76"/>
    <w:rsid w:val="003B4E83"/>
    <w:rsid w:val="003B4F1D"/>
    <w:rsid w:val="003B4F40"/>
    <w:rsid w:val="003B4F47"/>
    <w:rsid w:val="003B4F70"/>
    <w:rsid w:val="003B4FF3"/>
    <w:rsid w:val="003B501C"/>
    <w:rsid w:val="003B5056"/>
    <w:rsid w:val="003B506B"/>
    <w:rsid w:val="003B506C"/>
    <w:rsid w:val="003B5084"/>
    <w:rsid w:val="003B509E"/>
    <w:rsid w:val="003B50C2"/>
    <w:rsid w:val="003B515D"/>
    <w:rsid w:val="003B51A8"/>
    <w:rsid w:val="003B51AC"/>
    <w:rsid w:val="003B51B4"/>
    <w:rsid w:val="003B51FF"/>
    <w:rsid w:val="003B521C"/>
    <w:rsid w:val="003B5257"/>
    <w:rsid w:val="003B525B"/>
    <w:rsid w:val="003B5278"/>
    <w:rsid w:val="003B52E7"/>
    <w:rsid w:val="003B5466"/>
    <w:rsid w:val="003B5557"/>
    <w:rsid w:val="003B556D"/>
    <w:rsid w:val="003B59A8"/>
    <w:rsid w:val="003B59F1"/>
    <w:rsid w:val="003B5A97"/>
    <w:rsid w:val="003B5AE5"/>
    <w:rsid w:val="003B5AF6"/>
    <w:rsid w:val="003B5B6D"/>
    <w:rsid w:val="003B5C79"/>
    <w:rsid w:val="003B5CD3"/>
    <w:rsid w:val="003B5CDE"/>
    <w:rsid w:val="003B5D53"/>
    <w:rsid w:val="003B5D62"/>
    <w:rsid w:val="003B5D9B"/>
    <w:rsid w:val="003B5DA0"/>
    <w:rsid w:val="003B5F4D"/>
    <w:rsid w:val="003B5F63"/>
    <w:rsid w:val="003B5FA5"/>
    <w:rsid w:val="003B5FD1"/>
    <w:rsid w:val="003B5FE5"/>
    <w:rsid w:val="003B600A"/>
    <w:rsid w:val="003B6038"/>
    <w:rsid w:val="003B60B4"/>
    <w:rsid w:val="003B61CD"/>
    <w:rsid w:val="003B6270"/>
    <w:rsid w:val="003B6314"/>
    <w:rsid w:val="003B637F"/>
    <w:rsid w:val="003B63D9"/>
    <w:rsid w:val="003B6419"/>
    <w:rsid w:val="003B64DB"/>
    <w:rsid w:val="003B64F3"/>
    <w:rsid w:val="003B667C"/>
    <w:rsid w:val="003B66AD"/>
    <w:rsid w:val="003B6829"/>
    <w:rsid w:val="003B68A1"/>
    <w:rsid w:val="003B68E9"/>
    <w:rsid w:val="003B69BA"/>
    <w:rsid w:val="003B69BC"/>
    <w:rsid w:val="003B69F1"/>
    <w:rsid w:val="003B6A1B"/>
    <w:rsid w:val="003B6BB3"/>
    <w:rsid w:val="003B6C06"/>
    <w:rsid w:val="003B6C44"/>
    <w:rsid w:val="003B6CEF"/>
    <w:rsid w:val="003B6D1B"/>
    <w:rsid w:val="003B6E46"/>
    <w:rsid w:val="003B6EEA"/>
    <w:rsid w:val="003B6F54"/>
    <w:rsid w:val="003B6FF5"/>
    <w:rsid w:val="003B7077"/>
    <w:rsid w:val="003B7086"/>
    <w:rsid w:val="003B70E1"/>
    <w:rsid w:val="003B70ED"/>
    <w:rsid w:val="003B7149"/>
    <w:rsid w:val="003B7193"/>
    <w:rsid w:val="003B71AC"/>
    <w:rsid w:val="003B71F5"/>
    <w:rsid w:val="003B7281"/>
    <w:rsid w:val="003B72F1"/>
    <w:rsid w:val="003B733B"/>
    <w:rsid w:val="003B7352"/>
    <w:rsid w:val="003B73A0"/>
    <w:rsid w:val="003B7404"/>
    <w:rsid w:val="003B7418"/>
    <w:rsid w:val="003B7495"/>
    <w:rsid w:val="003B74E6"/>
    <w:rsid w:val="003B753E"/>
    <w:rsid w:val="003B7556"/>
    <w:rsid w:val="003B7759"/>
    <w:rsid w:val="003B77A1"/>
    <w:rsid w:val="003B7860"/>
    <w:rsid w:val="003B78E3"/>
    <w:rsid w:val="003B79E5"/>
    <w:rsid w:val="003B7A42"/>
    <w:rsid w:val="003B7B71"/>
    <w:rsid w:val="003B7BB1"/>
    <w:rsid w:val="003B7BBD"/>
    <w:rsid w:val="003B7C5F"/>
    <w:rsid w:val="003B7D4D"/>
    <w:rsid w:val="003B7D61"/>
    <w:rsid w:val="003B7DDF"/>
    <w:rsid w:val="003B7DE0"/>
    <w:rsid w:val="003B7E3A"/>
    <w:rsid w:val="003B7E4B"/>
    <w:rsid w:val="003B7F64"/>
    <w:rsid w:val="003B7F99"/>
    <w:rsid w:val="003C0000"/>
    <w:rsid w:val="003C0021"/>
    <w:rsid w:val="003C0032"/>
    <w:rsid w:val="003C003D"/>
    <w:rsid w:val="003C004A"/>
    <w:rsid w:val="003C005B"/>
    <w:rsid w:val="003C009C"/>
    <w:rsid w:val="003C00AA"/>
    <w:rsid w:val="003C00B6"/>
    <w:rsid w:val="003C0138"/>
    <w:rsid w:val="003C01B3"/>
    <w:rsid w:val="003C01B6"/>
    <w:rsid w:val="003C025A"/>
    <w:rsid w:val="003C0351"/>
    <w:rsid w:val="003C0418"/>
    <w:rsid w:val="003C0443"/>
    <w:rsid w:val="003C04A0"/>
    <w:rsid w:val="003C04F7"/>
    <w:rsid w:val="003C0524"/>
    <w:rsid w:val="003C05DF"/>
    <w:rsid w:val="003C06A6"/>
    <w:rsid w:val="003C06DA"/>
    <w:rsid w:val="003C07D7"/>
    <w:rsid w:val="003C07FC"/>
    <w:rsid w:val="003C08C3"/>
    <w:rsid w:val="003C091F"/>
    <w:rsid w:val="003C0936"/>
    <w:rsid w:val="003C0955"/>
    <w:rsid w:val="003C0A2D"/>
    <w:rsid w:val="003C0A4A"/>
    <w:rsid w:val="003C0A6B"/>
    <w:rsid w:val="003C0BAB"/>
    <w:rsid w:val="003C0CEF"/>
    <w:rsid w:val="003C0D01"/>
    <w:rsid w:val="003C0D47"/>
    <w:rsid w:val="003C0D4E"/>
    <w:rsid w:val="003C0D51"/>
    <w:rsid w:val="003C0E29"/>
    <w:rsid w:val="003C0EDB"/>
    <w:rsid w:val="003C0F41"/>
    <w:rsid w:val="003C0F42"/>
    <w:rsid w:val="003C0F98"/>
    <w:rsid w:val="003C1001"/>
    <w:rsid w:val="003C1037"/>
    <w:rsid w:val="003C106F"/>
    <w:rsid w:val="003C107C"/>
    <w:rsid w:val="003C111B"/>
    <w:rsid w:val="003C118C"/>
    <w:rsid w:val="003C1206"/>
    <w:rsid w:val="003C1221"/>
    <w:rsid w:val="003C124C"/>
    <w:rsid w:val="003C126E"/>
    <w:rsid w:val="003C129B"/>
    <w:rsid w:val="003C129E"/>
    <w:rsid w:val="003C12B8"/>
    <w:rsid w:val="003C12F2"/>
    <w:rsid w:val="003C1309"/>
    <w:rsid w:val="003C1541"/>
    <w:rsid w:val="003C1595"/>
    <w:rsid w:val="003C15F5"/>
    <w:rsid w:val="003C166C"/>
    <w:rsid w:val="003C16B7"/>
    <w:rsid w:val="003C16F9"/>
    <w:rsid w:val="003C173D"/>
    <w:rsid w:val="003C1772"/>
    <w:rsid w:val="003C1774"/>
    <w:rsid w:val="003C1836"/>
    <w:rsid w:val="003C185A"/>
    <w:rsid w:val="003C19B6"/>
    <w:rsid w:val="003C19ED"/>
    <w:rsid w:val="003C19EF"/>
    <w:rsid w:val="003C1A27"/>
    <w:rsid w:val="003C1B86"/>
    <w:rsid w:val="003C1BE2"/>
    <w:rsid w:val="003C1C27"/>
    <w:rsid w:val="003C1C28"/>
    <w:rsid w:val="003C1C34"/>
    <w:rsid w:val="003C1C68"/>
    <w:rsid w:val="003C1EF1"/>
    <w:rsid w:val="003C1EF5"/>
    <w:rsid w:val="003C1F68"/>
    <w:rsid w:val="003C209D"/>
    <w:rsid w:val="003C20A2"/>
    <w:rsid w:val="003C20A4"/>
    <w:rsid w:val="003C20FA"/>
    <w:rsid w:val="003C21F8"/>
    <w:rsid w:val="003C22F1"/>
    <w:rsid w:val="003C22F9"/>
    <w:rsid w:val="003C22FC"/>
    <w:rsid w:val="003C23EF"/>
    <w:rsid w:val="003C2421"/>
    <w:rsid w:val="003C24B6"/>
    <w:rsid w:val="003C2550"/>
    <w:rsid w:val="003C25B5"/>
    <w:rsid w:val="003C2678"/>
    <w:rsid w:val="003C2812"/>
    <w:rsid w:val="003C288C"/>
    <w:rsid w:val="003C28E4"/>
    <w:rsid w:val="003C290D"/>
    <w:rsid w:val="003C2922"/>
    <w:rsid w:val="003C2950"/>
    <w:rsid w:val="003C2961"/>
    <w:rsid w:val="003C2990"/>
    <w:rsid w:val="003C2A52"/>
    <w:rsid w:val="003C2BDB"/>
    <w:rsid w:val="003C2CAA"/>
    <w:rsid w:val="003C2CDC"/>
    <w:rsid w:val="003C2E20"/>
    <w:rsid w:val="003C2EA9"/>
    <w:rsid w:val="003C30BB"/>
    <w:rsid w:val="003C311A"/>
    <w:rsid w:val="003C3149"/>
    <w:rsid w:val="003C319B"/>
    <w:rsid w:val="003C31A0"/>
    <w:rsid w:val="003C31EA"/>
    <w:rsid w:val="003C31FC"/>
    <w:rsid w:val="003C321D"/>
    <w:rsid w:val="003C3234"/>
    <w:rsid w:val="003C324E"/>
    <w:rsid w:val="003C326E"/>
    <w:rsid w:val="003C32F4"/>
    <w:rsid w:val="003C3389"/>
    <w:rsid w:val="003C346B"/>
    <w:rsid w:val="003C34A7"/>
    <w:rsid w:val="003C34F1"/>
    <w:rsid w:val="003C34FA"/>
    <w:rsid w:val="003C35C7"/>
    <w:rsid w:val="003C3649"/>
    <w:rsid w:val="003C36FF"/>
    <w:rsid w:val="003C3735"/>
    <w:rsid w:val="003C382D"/>
    <w:rsid w:val="003C38E2"/>
    <w:rsid w:val="003C3A05"/>
    <w:rsid w:val="003C3BE2"/>
    <w:rsid w:val="003C3C57"/>
    <w:rsid w:val="003C3CA9"/>
    <w:rsid w:val="003C3CF0"/>
    <w:rsid w:val="003C3DCA"/>
    <w:rsid w:val="003C3E55"/>
    <w:rsid w:val="003C3E58"/>
    <w:rsid w:val="003C3F1E"/>
    <w:rsid w:val="003C3FA9"/>
    <w:rsid w:val="003C4071"/>
    <w:rsid w:val="003C4111"/>
    <w:rsid w:val="003C4225"/>
    <w:rsid w:val="003C4250"/>
    <w:rsid w:val="003C42B1"/>
    <w:rsid w:val="003C434E"/>
    <w:rsid w:val="003C43DE"/>
    <w:rsid w:val="003C4462"/>
    <w:rsid w:val="003C446D"/>
    <w:rsid w:val="003C44C7"/>
    <w:rsid w:val="003C4508"/>
    <w:rsid w:val="003C45E3"/>
    <w:rsid w:val="003C460B"/>
    <w:rsid w:val="003C4667"/>
    <w:rsid w:val="003C46C2"/>
    <w:rsid w:val="003C47AA"/>
    <w:rsid w:val="003C4852"/>
    <w:rsid w:val="003C4928"/>
    <w:rsid w:val="003C4A3D"/>
    <w:rsid w:val="003C4AAE"/>
    <w:rsid w:val="003C4AD2"/>
    <w:rsid w:val="003C4AE9"/>
    <w:rsid w:val="003C4AFE"/>
    <w:rsid w:val="003C4B58"/>
    <w:rsid w:val="003C4DB9"/>
    <w:rsid w:val="003C4E6E"/>
    <w:rsid w:val="003C4E7C"/>
    <w:rsid w:val="003C4F8A"/>
    <w:rsid w:val="003C4FE5"/>
    <w:rsid w:val="003C5059"/>
    <w:rsid w:val="003C508E"/>
    <w:rsid w:val="003C50E7"/>
    <w:rsid w:val="003C511A"/>
    <w:rsid w:val="003C511E"/>
    <w:rsid w:val="003C53EC"/>
    <w:rsid w:val="003C541A"/>
    <w:rsid w:val="003C54A9"/>
    <w:rsid w:val="003C5567"/>
    <w:rsid w:val="003C561C"/>
    <w:rsid w:val="003C5699"/>
    <w:rsid w:val="003C56C5"/>
    <w:rsid w:val="003C570B"/>
    <w:rsid w:val="003C5737"/>
    <w:rsid w:val="003C579C"/>
    <w:rsid w:val="003C57EA"/>
    <w:rsid w:val="003C5800"/>
    <w:rsid w:val="003C5816"/>
    <w:rsid w:val="003C5891"/>
    <w:rsid w:val="003C58B1"/>
    <w:rsid w:val="003C58EE"/>
    <w:rsid w:val="003C5906"/>
    <w:rsid w:val="003C5958"/>
    <w:rsid w:val="003C5987"/>
    <w:rsid w:val="003C5ACC"/>
    <w:rsid w:val="003C5ACE"/>
    <w:rsid w:val="003C5B17"/>
    <w:rsid w:val="003C5B1D"/>
    <w:rsid w:val="003C5B27"/>
    <w:rsid w:val="003C5B2C"/>
    <w:rsid w:val="003C5BA5"/>
    <w:rsid w:val="003C5BA9"/>
    <w:rsid w:val="003C5C5D"/>
    <w:rsid w:val="003C5D50"/>
    <w:rsid w:val="003C5DDD"/>
    <w:rsid w:val="003C5E1D"/>
    <w:rsid w:val="003C5E28"/>
    <w:rsid w:val="003C5E31"/>
    <w:rsid w:val="003C5E87"/>
    <w:rsid w:val="003C5F4F"/>
    <w:rsid w:val="003C5F58"/>
    <w:rsid w:val="003C6078"/>
    <w:rsid w:val="003C60A8"/>
    <w:rsid w:val="003C61A4"/>
    <w:rsid w:val="003C6201"/>
    <w:rsid w:val="003C621F"/>
    <w:rsid w:val="003C6243"/>
    <w:rsid w:val="003C6248"/>
    <w:rsid w:val="003C6262"/>
    <w:rsid w:val="003C62A6"/>
    <w:rsid w:val="003C62BD"/>
    <w:rsid w:val="003C6373"/>
    <w:rsid w:val="003C6376"/>
    <w:rsid w:val="003C6383"/>
    <w:rsid w:val="003C63D9"/>
    <w:rsid w:val="003C6426"/>
    <w:rsid w:val="003C650C"/>
    <w:rsid w:val="003C65C0"/>
    <w:rsid w:val="003C65E9"/>
    <w:rsid w:val="003C6698"/>
    <w:rsid w:val="003C66B1"/>
    <w:rsid w:val="003C6751"/>
    <w:rsid w:val="003C6799"/>
    <w:rsid w:val="003C67BC"/>
    <w:rsid w:val="003C684B"/>
    <w:rsid w:val="003C686A"/>
    <w:rsid w:val="003C687A"/>
    <w:rsid w:val="003C68E0"/>
    <w:rsid w:val="003C6994"/>
    <w:rsid w:val="003C69C7"/>
    <w:rsid w:val="003C6AFD"/>
    <w:rsid w:val="003C6B0A"/>
    <w:rsid w:val="003C6B23"/>
    <w:rsid w:val="003C6BA7"/>
    <w:rsid w:val="003C6C1C"/>
    <w:rsid w:val="003C6C21"/>
    <w:rsid w:val="003C6C3D"/>
    <w:rsid w:val="003C6CCC"/>
    <w:rsid w:val="003C6EC9"/>
    <w:rsid w:val="003C6ED0"/>
    <w:rsid w:val="003C6ED1"/>
    <w:rsid w:val="003C6EDD"/>
    <w:rsid w:val="003C6FC1"/>
    <w:rsid w:val="003C70BE"/>
    <w:rsid w:val="003C70FD"/>
    <w:rsid w:val="003C715F"/>
    <w:rsid w:val="003C71B4"/>
    <w:rsid w:val="003C71C6"/>
    <w:rsid w:val="003C71FF"/>
    <w:rsid w:val="003C722C"/>
    <w:rsid w:val="003C7277"/>
    <w:rsid w:val="003C7326"/>
    <w:rsid w:val="003C735F"/>
    <w:rsid w:val="003C74FA"/>
    <w:rsid w:val="003C7569"/>
    <w:rsid w:val="003C7576"/>
    <w:rsid w:val="003C7584"/>
    <w:rsid w:val="003C76B6"/>
    <w:rsid w:val="003C76D6"/>
    <w:rsid w:val="003C77B0"/>
    <w:rsid w:val="003C77CD"/>
    <w:rsid w:val="003C7814"/>
    <w:rsid w:val="003C78ED"/>
    <w:rsid w:val="003C796F"/>
    <w:rsid w:val="003C79EA"/>
    <w:rsid w:val="003C79EB"/>
    <w:rsid w:val="003C7A44"/>
    <w:rsid w:val="003C7B12"/>
    <w:rsid w:val="003C7B16"/>
    <w:rsid w:val="003C7B66"/>
    <w:rsid w:val="003C7B95"/>
    <w:rsid w:val="003C7C92"/>
    <w:rsid w:val="003C7D70"/>
    <w:rsid w:val="003C7D87"/>
    <w:rsid w:val="003C7E0C"/>
    <w:rsid w:val="003C7E2F"/>
    <w:rsid w:val="003C7E6B"/>
    <w:rsid w:val="003C7EC9"/>
    <w:rsid w:val="003C7F19"/>
    <w:rsid w:val="003C7FB2"/>
    <w:rsid w:val="003C7FE8"/>
    <w:rsid w:val="003D0034"/>
    <w:rsid w:val="003D0089"/>
    <w:rsid w:val="003D0098"/>
    <w:rsid w:val="003D018E"/>
    <w:rsid w:val="003D0264"/>
    <w:rsid w:val="003D0297"/>
    <w:rsid w:val="003D029E"/>
    <w:rsid w:val="003D02C3"/>
    <w:rsid w:val="003D02E2"/>
    <w:rsid w:val="003D0329"/>
    <w:rsid w:val="003D035E"/>
    <w:rsid w:val="003D0373"/>
    <w:rsid w:val="003D03B0"/>
    <w:rsid w:val="003D0413"/>
    <w:rsid w:val="003D04C3"/>
    <w:rsid w:val="003D04E8"/>
    <w:rsid w:val="003D0651"/>
    <w:rsid w:val="003D0764"/>
    <w:rsid w:val="003D07E5"/>
    <w:rsid w:val="003D0827"/>
    <w:rsid w:val="003D08A7"/>
    <w:rsid w:val="003D092C"/>
    <w:rsid w:val="003D094C"/>
    <w:rsid w:val="003D0957"/>
    <w:rsid w:val="003D0AE5"/>
    <w:rsid w:val="003D0B1E"/>
    <w:rsid w:val="003D0B41"/>
    <w:rsid w:val="003D0B45"/>
    <w:rsid w:val="003D0B72"/>
    <w:rsid w:val="003D0B8A"/>
    <w:rsid w:val="003D0C05"/>
    <w:rsid w:val="003D0C2E"/>
    <w:rsid w:val="003D0C6F"/>
    <w:rsid w:val="003D0C87"/>
    <w:rsid w:val="003D0D22"/>
    <w:rsid w:val="003D0DC9"/>
    <w:rsid w:val="003D0DD2"/>
    <w:rsid w:val="003D0E16"/>
    <w:rsid w:val="003D0F0E"/>
    <w:rsid w:val="003D0F20"/>
    <w:rsid w:val="003D0F76"/>
    <w:rsid w:val="003D100D"/>
    <w:rsid w:val="003D1057"/>
    <w:rsid w:val="003D107E"/>
    <w:rsid w:val="003D1165"/>
    <w:rsid w:val="003D11DC"/>
    <w:rsid w:val="003D12A8"/>
    <w:rsid w:val="003D138F"/>
    <w:rsid w:val="003D145A"/>
    <w:rsid w:val="003D146D"/>
    <w:rsid w:val="003D1574"/>
    <w:rsid w:val="003D15BB"/>
    <w:rsid w:val="003D1676"/>
    <w:rsid w:val="003D16BC"/>
    <w:rsid w:val="003D17E7"/>
    <w:rsid w:val="003D18CC"/>
    <w:rsid w:val="003D193A"/>
    <w:rsid w:val="003D19AC"/>
    <w:rsid w:val="003D19C8"/>
    <w:rsid w:val="003D19E3"/>
    <w:rsid w:val="003D1A15"/>
    <w:rsid w:val="003D1A9B"/>
    <w:rsid w:val="003D1AF4"/>
    <w:rsid w:val="003D1B62"/>
    <w:rsid w:val="003D1BEB"/>
    <w:rsid w:val="003D1C0D"/>
    <w:rsid w:val="003D1C22"/>
    <w:rsid w:val="003D1CD0"/>
    <w:rsid w:val="003D1DD9"/>
    <w:rsid w:val="003D1F0D"/>
    <w:rsid w:val="003D1F17"/>
    <w:rsid w:val="003D1F85"/>
    <w:rsid w:val="003D1FFF"/>
    <w:rsid w:val="003D2004"/>
    <w:rsid w:val="003D204B"/>
    <w:rsid w:val="003D2050"/>
    <w:rsid w:val="003D206C"/>
    <w:rsid w:val="003D20A1"/>
    <w:rsid w:val="003D20C6"/>
    <w:rsid w:val="003D2294"/>
    <w:rsid w:val="003D2296"/>
    <w:rsid w:val="003D22E3"/>
    <w:rsid w:val="003D239E"/>
    <w:rsid w:val="003D241B"/>
    <w:rsid w:val="003D24C3"/>
    <w:rsid w:val="003D24DE"/>
    <w:rsid w:val="003D24ED"/>
    <w:rsid w:val="003D2519"/>
    <w:rsid w:val="003D2550"/>
    <w:rsid w:val="003D2577"/>
    <w:rsid w:val="003D25D6"/>
    <w:rsid w:val="003D25DA"/>
    <w:rsid w:val="003D2680"/>
    <w:rsid w:val="003D2683"/>
    <w:rsid w:val="003D26C0"/>
    <w:rsid w:val="003D275C"/>
    <w:rsid w:val="003D2766"/>
    <w:rsid w:val="003D27A8"/>
    <w:rsid w:val="003D27DB"/>
    <w:rsid w:val="003D2879"/>
    <w:rsid w:val="003D2899"/>
    <w:rsid w:val="003D28B8"/>
    <w:rsid w:val="003D28FB"/>
    <w:rsid w:val="003D2939"/>
    <w:rsid w:val="003D2967"/>
    <w:rsid w:val="003D29C8"/>
    <w:rsid w:val="003D2A95"/>
    <w:rsid w:val="003D2B03"/>
    <w:rsid w:val="003D2B45"/>
    <w:rsid w:val="003D2C5C"/>
    <w:rsid w:val="003D2C6B"/>
    <w:rsid w:val="003D2C9D"/>
    <w:rsid w:val="003D2CCA"/>
    <w:rsid w:val="003D2CDF"/>
    <w:rsid w:val="003D2CED"/>
    <w:rsid w:val="003D2D12"/>
    <w:rsid w:val="003D2D31"/>
    <w:rsid w:val="003D2D84"/>
    <w:rsid w:val="003D2E11"/>
    <w:rsid w:val="003D2E59"/>
    <w:rsid w:val="003D2EAD"/>
    <w:rsid w:val="003D311B"/>
    <w:rsid w:val="003D31E5"/>
    <w:rsid w:val="003D31F8"/>
    <w:rsid w:val="003D33DB"/>
    <w:rsid w:val="003D3559"/>
    <w:rsid w:val="003D35C2"/>
    <w:rsid w:val="003D3600"/>
    <w:rsid w:val="003D365F"/>
    <w:rsid w:val="003D3671"/>
    <w:rsid w:val="003D3683"/>
    <w:rsid w:val="003D369D"/>
    <w:rsid w:val="003D36BF"/>
    <w:rsid w:val="003D36E7"/>
    <w:rsid w:val="003D3708"/>
    <w:rsid w:val="003D37B9"/>
    <w:rsid w:val="003D385B"/>
    <w:rsid w:val="003D394C"/>
    <w:rsid w:val="003D3992"/>
    <w:rsid w:val="003D39A4"/>
    <w:rsid w:val="003D39FB"/>
    <w:rsid w:val="003D3A37"/>
    <w:rsid w:val="003D3A57"/>
    <w:rsid w:val="003D3ABA"/>
    <w:rsid w:val="003D3AEE"/>
    <w:rsid w:val="003D3B62"/>
    <w:rsid w:val="003D3C45"/>
    <w:rsid w:val="003D3C84"/>
    <w:rsid w:val="003D3C8B"/>
    <w:rsid w:val="003D3CA1"/>
    <w:rsid w:val="003D3D1A"/>
    <w:rsid w:val="003D3D42"/>
    <w:rsid w:val="003D3DDA"/>
    <w:rsid w:val="003D3E8B"/>
    <w:rsid w:val="003D3EB4"/>
    <w:rsid w:val="003D3EF0"/>
    <w:rsid w:val="003D3F3A"/>
    <w:rsid w:val="003D3F7B"/>
    <w:rsid w:val="003D3FCE"/>
    <w:rsid w:val="003D4016"/>
    <w:rsid w:val="003D4072"/>
    <w:rsid w:val="003D4095"/>
    <w:rsid w:val="003D40C0"/>
    <w:rsid w:val="003D415E"/>
    <w:rsid w:val="003D420F"/>
    <w:rsid w:val="003D42E7"/>
    <w:rsid w:val="003D434D"/>
    <w:rsid w:val="003D43F1"/>
    <w:rsid w:val="003D4423"/>
    <w:rsid w:val="003D44E0"/>
    <w:rsid w:val="003D44ED"/>
    <w:rsid w:val="003D465C"/>
    <w:rsid w:val="003D4686"/>
    <w:rsid w:val="003D46EE"/>
    <w:rsid w:val="003D46F1"/>
    <w:rsid w:val="003D472F"/>
    <w:rsid w:val="003D47C6"/>
    <w:rsid w:val="003D47D3"/>
    <w:rsid w:val="003D4811"/>
    <w:rsid w:val="003D4882"/>
    <w:rsid w:val="003D490D"/>
    <w:rsid w:val="003D4916"/>
    <w:rsid w:val="003D4971"/>
    <w:rsid w:val="003D49AF"/>
    <w:rsid w:val="003D49C1"/>
    <w:rsid w:val="003D4A3C"/>
    <w:rsid w:val="003D4AF9"/>
    <w:rsid w:val="003D4B01"/>
    <w:rsid w:val="003D4B04"/>
    <w:rsid w:val="003D4B0C"/>
    <w:rsid w:val="003D4B1F"/>
    <w:rsid w:val="003D4BAE"/>
    <w:rsid w:val="003D4C73"/>
    <w:rsid w:val="003D4C87"/>
    <w:rsid w:val="003D4C99"/>
    <w:rsid w:val="003D4CC9"/>
    <w:rsid w:val="003D4CF9"/>
    <w:rsid w:val="003D4DAA"/>
    <w:rsid w:val="003D4DB0"/>
    <w:rsid w:val="003D4DC7"/>
    <w:rsid w:val="003D4E96"/>
    <w:rsid w:val="003D4EC3"/>
    <w:rsid w:val="003D4F1E"/>
    <w:rsid w:val="003D4F8B"/>
    <w:rsid w:val="003D5029"/>
    <w:rsid w:val="003D507C"/>
    <w:rsid w:val="003D50B7"/>
    <w:rsid w:val="003D50BF"/>
    <w:rsid w:val="003D5103"/>
    <w:rsid w:val="003D52A5"/>
    <w:rsid w:val="003D53FD"/>
    <w:rsid w:val="003D542E"/>
    <w:rsid w:val="003D5447"/>
    <w:rsid w:val="003D5474"/>
    <w:rsid w:val="003D5476"/>
    <w:rsid w:val="003D54AA"/>
    <w:rsid w:val="003D54EB"/>
    <w:rsid w:val="003D54F8"/>
    <w:rsid w:val="003D550E"/>
    <w:rsid w:val="003D550F"/>
    <w:rsid w:val="003D5524"/>
    <w:rsid w:val="003D5591"/>
    <w:rsid w:val="003D5755"/>
    <w:rsid w:val="003D579C"/>
    <w:rsid w:val="003D5808"/>
    <w:rsid w:val="003D592F"/>
    <w:rsid w:val="003D59B4"/>
    <w:rsid w:val="003D5A80"/>
    <w:rsid w:val="003D5AC1"/>
    <w:rsid w:val="003D5B5B"/>
    <w:rsid w:val="003D5BCC"/>
    <w:rsid w:val="003D5BEF"/>
    <w:rsid w:val="003D5C7A"/>
    <w:rsid w:val="003D5C92"/>
    <w:rsid w:val="003D5D54"/>
    <w:rsid w:val="003D5D6A"/>
    <w:rsid w:val="003D5E29"/>
    <w:rsid w:val="003D5EAA"/>
    <w:rsid w:val="003D5EBB"/>
    <w:rsid w:val="003D5FFB"/>
    <w:rsid w:val="003D605B"/>
    <w:rsid w:val="003D6060"/>
    <w:rsid w:val="003D606D"/>
    <w:rsid w:val="003D60A5"/>
    <w:rsid w:val="003D60E0"/>
    <w:rsid w:val="003D6107"/>
    <w:rsid w:val="003D6136"/>
    <w:rsid w:val="003D6168"/>
    <w:rsid w:val="003D61BE"/>
    <w:rsid w:val="003D62F3"/>
    <w:rsid w:val="003D62F9"/>
    <w:rsid w:val="003D63A8"/>
    <w:rsid w:val="003D63B5"/>
    <w:rsid w:val="003D645C"/>
    <w:rsid w:val="003D6511"/>
    <w:rsid w:val="003D6708"/>
    <w:rsid w:val="003D6727"/>
    <w:rsid w:val="003D674B"/>
    <w:rsid w:val="003D682F"/>
    <w:rsid w:val="003D694E"/>
    <w:rsid w:val="003D6955"/>
    <w:rsid w:val="003D69D7"/>
    <w:rsid w:val="003D69DB"/>
    <w:rsid w:val="003D6A25"/>
    <w:rsid w:val="003D6A2F"/>
    <w:rsid w:val="003D6A38"/>
    <w:rsid w:val="003D6A99"/>
    <w:rsid w:val="003D6DE6"/>
    <w:rsid w:val="003D6EE5"/>
    <w:rsid w:val="003D6F33"/>
    <w:rsid w:val="003D6FB5"/>
    <w:rsid w:val="003D6FF4"/>
    <w:rsid w:val="003D7062"/>
    <w:rsid w:val="003D7076"/>
    <w:rsid w:val="003D708D"/>
    <w:rsid w:val="003D70E5"/>
    <w:rsid w:val="003D70EA"/>
    <w:rsid w:val="003D711A"/>
    <w:rsid w:val="003D715A"/>
    <w:rsid w:val="003D7169"/>
    <w:rsid w:val="003D71E2"/>
    <w:rsid w:val="003D7295"/>
    <w:rsid w:val="003D7427"/>
    <w:rsid w:val="003D74DD"/>
    <w:rsid w:val="003D757C"/>
    <w:rsid w:val="003D764E"/>
    <w:rsid w:val="003D7671"/>
    <w:rsid w:val="003D767A"/>
    <w:rsid w:val="003D7764"/>
    <w:rsid w:val="003D77A3"/>
    <w:rsid w:val="003D77E5"/>
    <w:rsid w:val="003D786A"/>
    <w:rsid w:val="003D78B6"/>
    <w:rsid w:val="003D797D"/>
    <w:rsid w:val="003D7980"/>
    <w:rsid w:val="003D79B8"/>
    <w:rsid w:val="003D79FC"/>
    <w:rsid w:val="003D7A1C"/>
    <w:rsid w:val="003D7A2A"/>
    <w:rsid w:val="003D7A92"/>
    <w:rsid w:val="003D7C13"/>
    <w:rsid w:val="003D7CB8"/>
    <w:rsid w:val="003D7CC2"/>
    <w:rsid w:val="003D7CDA"/>
    <w:rsid w:val="003D7D11"/>
    <w:rsid w:val="003D7D47"/>
    <w:rsid w:val="003D7D53"/>
    <w:rsid w:val="003D7D79"/>
    <w:rsid w:val="003D7DCD"/>
    <w:rsid w:val="003D7E1C"/>
    <w:rsid w:val="003D7E2B"/>
    <w:rsid w:val="003D7EAD"/>
    <w:rsid w:val="003D7F13"/>
    <w:rsid w:val="003D7F19"/>
    <w:rsid w:val="003D7F56"/>
    <w:rsid w:val="003D7FCD"/>
    <w:rsid w:val="003D7FEF"/>
    <w:rsid w:val="003DD2FF"/>
    <w:rsid w:val="003E0049"/>
    <w:rsid w:val="003E0083"/>
    <w:rsid w:val="003E00D8"/>
    <w:rsid w:val="003E0183"/>
    <w:rsid w:val="003E018D"/>
    <w:rsid w:val="003E02FD"/>
    <w:rsid w:val="003E0351"/>
    <w:rsid w:val="003E0379"/>
    <w:rsid w:val="003E039C"/>
    <w:rsid w:val="003E043A"/>
    <w:rsid w:val="003E0470"/>
    <w:rsid w:val="003E04EC"/>
    <w:rsid w:val="003E0593"/>
    <w:rsid w:val="003E059B"/>
    <w:rsid w:val="003E05FF"/>
    <w:rsid w:val="003E060C"/>
    <w:rsid w:val="003E060D"/>
    <w:rsid w:val="003E063D"/>
    <w:rsid w:val="003E06CC"/>
    <w:rsid w:val="003E06DA"/>
    <w:rsid w:val="003E0865"/>
    <w:rsid w:val="003E08D1"/>
    <w:rsid w:val="003E08FC"/>
    <w:rsid w:val="003E08FF"/>
    <w:rsid w:val="003E0942"/>
    <w:rsid w:val="003E0968"/>
    <w:rsid w:val="003E09D6"/>
    <w:rsid w:val="003E0C16"/>
    <w:rsid w:val="003E0C3B"/>
    <w:rsid w:val="003E0C56"/>
    <w:rsid w:val="003E0D7D"/>
    <w:rsid w:val="003E0DC9"/>
    <w:rsid w:val="003E0EAD"/>
    <w:rsid w:val="003E107C"/>
    <w:rsid w:val="003E108A"/>
    <w:rsid w:val="003E1107"/>
    <w:rsid w:val="003E1166"/>
    <w:rsid w:val="003E11F4"/>
    <w:rsid w:val="003E1307"/>
    <w:rsid w:val="003E1340"/>
    <w:rsid w:val="003E1391"/>
    <w:rsid w:val="003E14BF"/>
    <w:rsid w:val="003E151D"/>
    <w:rsid w:val="003E151E"/>
    <w:rsid w:val="003E1532"/>
    <w:rsid w:val="003E153F"/>
    <w:rsid w:val="003E154C"/>
    <w:rsid w:val="003E156E"/>
    <w:rsid w:val="003E15A4"/>
    <w:rsid w:val="003E15BE"/>
    <w:rsid w:val="003E1603"/>
    <w:rsid w:val="003E1637"/>
    <w:rsid w:val="003E16DA"/>
    <w:rsid w:val="003E16EA"/>
    <w:rsid w:val="003E1733"/>
    <w:rsid w:val="003E17B1"/>
    <w:rsid w:val="003E188D"/>
    <w:rsid w:val="003E191A"/>
    <w:rsid w:val="003E19CA"/>
    <w:rsid w:val="003E19CD"/>
    <w:rsid w:val="003E1A17"/>
    <w:rsid w:val="003E1B2A"/>
    <w:rsid w:val="003E1C84"/>
    <w:rsid w:val="003E1CBD"/>
    <w:rsid w:val="003E1D3E"/>
    <w:rsid w:val="003E1D89"/>
    <w:rsid w:val="003E1DB4"/>
    <w:rsid w:val="003E1DEF"/>
    <w:rsid w:val="003E1E4A"/>
    <w:rsid w:val="003E1F2C"/>
    <w:rsid w:val="003E1F3F"/>
    <w:rsid w:val="003E1F88"/>
    <w:rsid w:val="003E1FFF"/>
    <w:rsid w:val="003E201C"/>
    <w:rsid w:val="003E202E"/>
    <w:rsid w:val="003E2085"/>
    <w:rsid w:val="003E20BA"/>
    <w:rsid w:val="003E20F8"/>
    <w:rsid w:val="003E2170"/>
    <w:rsid w:val="003E219B"/>
    <w:rsid w:val="003E2229"/>
    <w:rsid w:val="003E22BF"/>
    <w:rsid w:val="003E22E7"/>
    <w:rsid w:val="003E2329"/>
    <w:rsid w:val="003E2397"/>
    <w:rsid w:val="003E23D3"/>
    <w:rsid w:val="003E23EE"/>
    <w:rsid w:val="003E2430"/>
    <w:rsid w:val="003E24AE"/>
    <w:rsid w:val="003E24F4"/>
    <w:rsid w:val="003E250A"/>
    <w:rsid w:val="003E2524"/>
    <w:rsid w:val="003E2570"/>
    <w:rsid w:val="003E257F"/>
    <w:rsid w:val="003E2594"/>
    <w:rsid w:val="003E25F9"/>
    <w:rsid w:val="003E2658"/>
    <w:rsid w:val="003E278B"/>
    <w:rsid w:val="003E27A9"/>
    <w:rsid w:val="003E29BE"/>
    <w:rsid w:val="003E29D7"/>
    <w:rsid w:val="003E2B95"/>
    <w:rsid w:val="003E2C31"/>
    <w:rsid w:val="003E2C4C"/>
    <w:rsid w:val="003E2C8D"/>
    <w:rsid w:val="003E2CAC"/>
    <w:rsid w:val="003E2D46"/>
    <w:rsid w:val="003E2D4F"/>
    <w:rsid w:val="003E2D5F"/>
    <w:rsid w:val="003E2DB0"/>
    <w:rsid w:val="003E2DC4"/>
    <w:rsid w:val="003E2DC9"/>
    <w:rsid w:val="003E2E69"/>
    <w:rsid w:val="003E2E7B"/>
    <w:rsid w:val="003E2EDB"/>
    <w:rsid w:val="003E2F04"/>
    <w:rsid w:val="003E2F76"/>
    <w:rsid w:val="003E2FBC"/>
    <w:rsid w:val="003E301E"/>
    <w:rsid w:val="003E304C"/>
    <w:rsid w:val="003E30A1"/>
    <w:rsid w:val="003E31A5"/>
    <w:rsid w:val="003E31CE"/>
    <w:rsid w:val="003E31D5"/>
    <w:rsid w:val="003E331A"/>
    <w:rsid w:val="003E333B"/>
    <w:rsid w:val="003E3351"/>
    <w:rsid w:val="003E347F"/>
    <w:rsid w:val="003E34AE"/>
    <w:rsid w:val="003E34FD"/>
    <w:rsid w:val="003E3606"/>
    <w:rsid w:val="003E3619"/>
    <w:rsid w:val="003E36D7"/>
    <w:rsid w:val="003E3731"/>
    <w:rsid w:val="003E3756"/>
    <w:rsid w:val="003E37CB"/>
    <w:rsid w:val="003E37D5"/>
    <w:rsid w:val="003E388B"/>
    <w:rsid w:val="003E3896"/>
    <w:rsid w:val="003E3938"/>
    <w:rsid w:val="003E3952"/>
    <w:rsid w:val="003E3954"/>
    <w:rsid w:val="003E3976"/>
    <w:rsid w:val="003E39D7"/>
    <w:rsid w:val="003E3A15"/>
    <w:rsid w:val="003E3A31"/>
    <w:rsid w:val="003E3AAD"/>
    <w:rsid w:val="003E3BB6"/>
    <w:rsid w:val="003E3C40"/>
    <w:rsid w:val="003E3D6D"/>
    <w:rsid w:val="003E3E07"/>
    <w:rsid w:val="003E3E22"/>
    <w:rsid w:val="003E3E67"/>
    <w:rsid w:val="003E3E75"/>
    <w:rsid w:val="003E3EA7"/>
    <w:rsid w:val="003E3FE9"/>
    <w:rsid w:val="003E4031"/>
    <w:rsid w:val="003E41B9"/>
    <w:rsid w:val="003E41D2"/>
    <w:rsid w:val="003E41D6"/>
    <w:rsid w:val="003E41D8"/>
    <w:rsid w:val="003E4225"/>
    <w:rsid w:val="003E43B3"/>
    <w:rsid w:val="003E43D3"/>
    <w:rsid w:val="003E449A"/>
    <w:rsid w:val="003E454E"/>
    <w:rsid w:val="003E463E"/>
    <w:rsid w:val="003E46BC"/>
    <w:rsid w:val="003E46BD"/>
    <w:rsid w:val="003E46D7"/>
    <w:rsid w:val="003E4734"/>
    <w:rsid w:val="003E4736"/>
    <w:rsid w:val="003E480B"/>
    <w:rsid w:val="003E4839"/>
    <w:rsid w:val="003E4859"/>
    <w:rsid w:val="003E488F"/>
    <w:rsid w:val="003E4935"/>
    <w:rsid w:val="003E4936"/>
    <w:rsid w:val="003E4956"/>
    <w:rsid w:val="003E4A26"/>
    <w:rsid w:val="003E4B47"/>
    <w:rsid w:val="003E4B65"/>
    <w:rsid w:val="003E4BD7"/>
    <w:rsid w:val="003E4CD5"/>
    <w:rsid w:val="003E4CFE"/>
    <w:rsid w:val="003E4E27"/>
    <w:rsid w:val="003E4E2A"/>
    <w:rsid w:val="003E4E62"/>
    <w:rsid w:val="003E4E82"/>
    <w:rsid w:val="003E4F53"/>
    <w:rsid w:val="003E4F7B"/>
    <w:rsid w:val="003E5015"/>
    <w:rsid w:val="003E5018"/>
    <w:rsid w:val="003E50D0"/>
    <w:rsid w:val="003E514C"/>
    <w:rsid w:val="003E51C2"/>
    <w:rsid w:val="003E51DB"/>
    <w:rsid w:val="003E5233"/>
    <w:rsid w:val="003E524C"/>
    <w:rsid w:val="003E52AC"/>
    <w:rsid w:val="003E52CD"/>
    <w:rsid w:val="003E5307"/>
    <w:rsid w:val="003E5397"/>
    <w:rsid w:val="003E53EC"/>
    <w:rsid w:val="003E53EF"/>
    <w:rsid w:val="003E5532"/>
    <w:rsid w:val="003E5551"/>
    <w:rsid w:val="003E556E"/>
    <w:rsid w:val="003E55C3"/>
    <w:rsid w:val="003E55C7"/>
    <w:rsid w:val="003E5687"/>
    <w:rsid w:val="003E56AC"/>
    <w:rsid w:val="003E56EA"/>
    <w:rsid w:val="003E571C"/>
    <w:rsid w:val="003E581C"/>
    <w:rsid w:val="003E5879"/>
    <w:rsid w:val="003E5901"/>
    <w:rsid w:val="003E592F"/>
    <w:rsid w:val="003E59CB"/>
    <w:rsid w:val="003E59D2"/>
    <w:rsid w:val="003E5A43"/>
    <w:rsid w:val="003E5AB1"/>
    <w:rsid w:val="003E5C2D"/>
    <w:rsid w:val="003E5CF3"/>
    <w:rsid w:val="003E5D6C"/>
    <w:rsid w:val="003E5DFB"/>
    <w:rsid w:val="003E5E4B"/>
    <w:rsid w:val="003E5E56"/>
    <w:rsid w:val="003E5ED3"/>
    <w:rsid w:val="003E5F10"/>
    <w:rsid w:val="003E602C"/>
    <w:rsid w:val="003E6039"/>
    <w:rsid w:val="003E6112"/>
    <w:rsid w:val="003E614A"/>
    <w:rsid w:val="003E6159"/>
    <w:rsid w:val="003E61EB"/>
    <w:rsid w:val="003E6295"/>
    <w:rsid w:val="003E6401"/>
    <w:rsid w:val="003E640F"/>
    <w:rsid w:val="003E6414"/>
    <w:rsid w:val="003E64D5"/>
    <w:rsid w:val="003E6539"/>
    <w:rsid w:val="003E667C"/>
    <w:rsid w:val="003E672D"/>
    <w:rsid w:val="003E678A"/>
    <w:rsid w:val="003E6881"/>
    <w:rsid w:val="003E68B3"/>
    <w:rsid w:val="003E68D7"/>
    <w:rsid w:val="003E68FB"/>
    <w:rsid w:val="003E691D"/>
    <w:rsid w:val="003E69B9"/>
    <w:rsid w:val="003E6AE6"/>
    <w:rsid w:val="003E6B02"/>
    <w:rsid w:val="003E6B8C"/>
    <w:rsid w:val="003E6B9D"/>
    <w:rsid w:val="003E6BB7"/>
    <w:rsid w:val="003E6BCD"/>
    <w:rsid w:val="003E6BD3"/>
    <w:rsid w:val="003E6BDE"/>
    <w:rsid w:val="003E6CC7"/>
    <w:rsid w:val="003E6D03"/>
    <w:rsid w:val="003E6D23"/>
    <w:rsid w:val="003E6D55"/>
    <w:rsid w:val="003E6D86"/>
    <w:rsid w:val="003E6DC7"/>
    <w:rsid w:val="003E6DF1"/>
    <w:rsid w:val="003E6E0F"/>
    <w:rsid w:val="003E6E65"/>
    <w:rsid w:val="003E6F0D"/>
    <w:rsid w:val="003E7029"/>
    <w:rsid w:val="003E709B"/>
    <w:rsid w:val="003E70C8"/>
    <w:rsid w:val="003E7197"/>
    <w:rsid w:val="003E740A"/>
    <w:rsid w:val="003E7488"/>
    <w:rsid w:val="003E74AF"/>
    <w:rsid w:val="003E74DE"/>
    <w:rsid w:val="003E7662"/>
    <w:rsid w:val="003E76E5"/>
    <w:rsid w:val="003E770E"/>
    <w:rsid w:val="003E7759"/>
    <w:rsid w:val="003E77A9"/>
    <w:rsid w:val="003E782B"/>
    <w:rsid w:val="003E7882"/>
    <w:rsid w:val="003E7898"/>
    <w:rsid w:val="003E78D0"/>
    <w:rsid w:val="003E78F3"/>
    <w:rsid w:val="003E794C"/>
    <w:rsid w:val="003E7959"/>
    <w:rsid w:val="003E7A2B"/>
    <w:rsid w:val="003E7A9F"/>
    <w:rsid w:val="003E7B28"/>
    <w:rsid w:val="003E7B50"/>
    <w:rsid w:val="003E7B62"/>
    <w:rsid w:val="003E7BF1"/>
    <w:rsid w:val="003E7C11"/>
    <w:rsid w:val="003E7C76"/>
    <w:rsid w:val="003E7CEE"/>
    <w:rsid w:val="003E7D1F"/>
    <w:rsid w:val="003E7D3D"/>
    <w:rsid w:val="003E7D51"/>
    <w:rsid w:val="003E7D56"/>
    <w:rsid w:val="003E7D57"/>
    <w:rsid w:val="003E7D64"/>
    <w:rsid w:val="003E7D8D"/>
    <w:rsid w:val="003E7DEF"/>
    <w:rsid w:val="003E7EF8"/>
    <w:rsid w:val="003E7F27"/>
    <w:rsid w:val="003E7F3B"/>
    <w:rsid w:val="003E7FE5"/>
    <w:rsid w:val="003F0015"/>
    <w:rsid w:val="003F001B"/>
    <w:rsid w:val="003F002E"/>
    <w:rsid w:val="003F0048"/>
    <w:rsid w:val="003F005F"/>
    <w:rsid w:val="003F01ED"/>
    <w:rsid w:val="003F021C"/>
    <w:rsid w:val="003F0256"/>
    <w:rsid w:val="003F02C3"/>
    <w:rsid w:val="003F0338"/>
    <w:rsid w:val="003F0352"/>
    <w:rsid w:val="003F0371"/>
    <w:rsid w:val="003F0377"/>
    <w:rsid w:val="003F03CD"/>
    <w:rsid w:val="003F043B"/>
    <w:rsid w:val="003F0587"/>
    <w:rsid w:val="003F0589"/>
    <w:rsid w:val="003F05F1"/>
    <w:rsid w:val="003F060D"/>
    <w:rsid w:val="003F0698"/>
    <w:rsid w:val="003F06EC"/>
    <w:rsid w:val="003F0701"/>
    <w:rsid w:val="003F07ED"/>
    <w:rsid w:val="003F0823"/>
    <w:rsid w:val="003F0846"/>
    <w:rsid w:val="003F0991"/>
    <w:rsid w:val="003F09B0"/>
    <w:rsid w:val="003F09EE"/>
    <w:rsid w:val="003F0A13"/>
    <w:rsid w:val="003F0A1B"/>
    <w:rsid w:val="003F0ABC"/>
    <w:rsid w:val="003F0BA4"/>
    <w:rsid w:val="003F0BE3"/>
    <w:rsid w:val="003F0BE4"/>
    <w:rsid w:val="003F0CC3"/>
    <w:rsid w:val="003F0DD6"/>
    <w:rsid w:val="003F0E3F"/>
    <w:rsid w:val="003F0EE1"/>
    <w:rsid w:val="003F0F13"/>
    <w:rsid w:val="003F0F98"/>
    <w:rsid w:val="003F10B8"/>
    <w:rsid w:val="003F10E9"/>
    <w:rsid w:val="003F1108"/>
    <w:rsid w:val="003F1151"/>
    <w:rsid w:val="003F1181"/>
    <w:rsid w:val="003F1207"/>
    <w:rsid w:val="003F13AB"/>
    <w:rsid w:val="003F1445"/>
    <w:rsid w:val="003F1483"/>
    <w:rsid w:val="003F14C5"/>
    <w:rsid w:val="003F153B"/>
    <w:rsid w:val="003F1603"/>
    <w:rsid w:val="003F1612"/>
    <w:rsid w:val="003F1669"/>
    <w:rsid w:val="003F16CD"/>
    <w:rsid w:val="003F16E4"/>
    <w:rsid w:val="003F175C"/>
    <w:rsid w:val="003F1766"/>
    <w:rsid w:val="003F1773"/>
    <w:rsid w:val="003F1841"/>
    <w:rsid w:val="003F1853"/>
    <w:rsid w:val="003F186E"/>
    <w:rsid w:val="003F190E"/>
    <w:rsid w:val="003F1A2E"/>
    <w:rsid w:val="003F1A86"/>
    <w:rsid w:val="003F1A98"/>
    <w:rsid w:val="003F1A9E"/>
    <w:rsid w:val="003F1B0D"/>
    <w:rsid w:val="003F1BFD"/>
    <w:rsid w:val="003F1C57"/>
    <w:rsid w:val="003F1CAE"/>
    <w:rsid w:val="003F1CE0"/>
    <w:rsid w:val="003F1CF2"/>
    <w:rsid w:val="003F1D16"/>
    <w:rsid w:val="003F1D74"/>
    <w:rsid w:val="003F1DC6"/>
    <w:rsid w:val="003F1E62"/>
    <w:rsid w:val="003F1EBE"/>
    <w:rsid w:val="003F1FC1"/>
    <w:rsid w:val="003F2052"/>
    <w:rsid w:val="003F20E0"/>
    <w:rsid w:val="003F2112"/>
    <w:rsid w:val="003F216A"/>
    <w:rsid w:val="003F217A"/>
    <w:rsid w:val="003F224F"/>
    <w:rsid w:val="003F226D"/>
    <w:rsid w:val="003F2304"/>
    <w:rsid w:val="003F232A"/>
    <w:rsid w:val="003F23D6"/>
    <w:rsid w:val="003F23E3"/>
    <w:rsid w:val="003F23E9"/>
    <w:rsid w:val="003F2527"/>
    <w:rsid w:val="003F2533"/>
    <w:rsid w:val="003F253D"/>
    <w:rsid w:val="003F2554"/>
    <w:rsid w:val="003F25E8"/>
    <w:rsid w:val="003F262A"/>
    <w:rsid w:val="003F26A5"/>
    <w:rsid w:val="003F277E"/>
    <w:rsid w:val="003F283C"/>
    <w:rsid w:val="003F28C9"/>
    <w:rsid w:val="003F297B"/>
    <w:rsid w:val="003F297C"/>
    <w:rsid w:val="003F2A76"/>
    <w:rsid w:val="003F2AA9"/>
    <w:rsid w:val="003F2B89"/>
    <w:rsid w:val="003F2BDE"/>
    <w:rsid w:val="003F2C1A"/>
    <w:rsid w:val="003F2CDB"/>
    <w:rsid w:val="003F2CED"/>
    <w:rsid w:val="003F2CF0"/>
    <w:rsid w:val="003F2D23"/>
    <w:rsid w:val="003F2DBA"/>
    <w:rsid w:val="003F2DFD"/>
    <w:rsid w:val="003F2EA6"/>
    <w:rsid w:val="003F2F76"/>
    <w:rsid w:val="003F307C"/>
    <w:rsid w:val="003F30E1"/>
    <w:rsid w:val="003F31AA"/>
    <w:rsid w:val="003F3205"/>
    <w:rsid w:val="003F3238"/>
    <w:rsid w:val="003F340C"/>
    <w:rsid w:val="003F3444"/>
    <w:rsid w:val="003F3452"/>
    <w:rsid w:val="003F3477"/>
    <w:rsid w:val="003F34AB"/>
    <w:rsid w:val="003F34F8"/>
    <w:rsid w:val="003F3521"/>
    <w:rsid w:val="003F3529"/>
    <w:rsid w:val="003F354F"/>
    <w:rsid w:val="003F3551"/>
    <w:rsid w:val="003F35F7"/>
    <w:rsid w:val="003F361B"/>
    <w:rsid w:val="003F365C"/>
    <w:rsid w:val="003F36F6"/>
    <w:rsid w:val="003F3745"/>
    <w:rsid w:val="003F3831"/>
    <w:rsid w:val="003F387F"/>
    <w:rsid w:val="003F390F"/>
    <w:rsid w:val="003F3992"/>
    <w:rsid w:val="003F3BFC"/>
    <w:rsid w:val="003F3C05"/>
    <w:rsid w:val="003F3C0A"/>
    <w:rsid w:val="003F3C10"/>
    <w:rsid w:val="003F3C61"/>
    <w:rsid w:val="003F3CB0"/>
    <w:rsid w:val="003F3D75"/>
    <w:rsid w:val="003F3D8A"/>
    <w:rsid w:val="003F3E1E"/>
    <w:rsid w:val="003F3E47"/>
    <w:rsid w:val="003F3EBE"/>
    <w:rsid w:val="003F3EFD"/>
    <w:rsid w:val="003F4087"/>
    <w:rsid w:val="003F4102"/>
    <w:rsid w:val="003F411A"/>
    <w:rsid w:val="003F4135"/>
    <w:rsid w:val="003F4144"/>
    <w:rsid w:val="003F4175"/>
    <w:rsid w:val="003F41AB"/>
    <w:rsid w:val="003F41F9"/>
    <w:rsid w:val="003F429A"/>
    <w:rsid w:val="003F435D"/>
    <w:rsid w:val="003F4380"/>
    <w:rsid w:val="003F43DD"/>
    <w:rsid w:val="003F4404"/>
    <w:rsid w:val="003F441D"/>
    <w:rsid w:val="003F44EE"/>
    <w:rsid w:val="003F4655"/>
    <w:rsid w:val="003F46C8"/>
    <w:rsid w:val="003F4791"/>
    <w:rsid w:val="003F47F9"/>
    <w:rsid w:val="003F47FD"/>
    <w:rsid w:val="003F4865"/>
    <w:rsid w:val="003F48CE"/>
    <w:rsid w:val="003F48F5"/>
    <w:rsid w:val="003F4911"/>
    <w:rsid w:val="003F496D"/>
    <w:rsid w:val="003F4A0B"/>
    <w:rsid w:val="003F4A3E"/>
    <w:rsid w:val="003F4A51"/>
    <w:rsid w:val="003F4A94"/>
    <w:rsid w:val="003F4BAB"/>
    <w:rsid w:val="003F4C2F"/>
    <w:rsid w:val="003F4C90"/>
    <w:rsid w:val="003F4CD6"/>
    <w:rsid w:val="003F4CE9"/>
    <w:rsid w:val="003F4D99"/>
    <w:rsid w:val="003F4DAE"/>
    <w:rsid w:val="003F4DC8"/>
    <w:rsid w:val="003F4EB2"/>
    <w:rsid w:val="003F4EF6"/>
    <w:rsid w:val="003F4F6D"/>
    <w:rsid w:val="003F4F90"/>
    <w:rsid w:val="003F4FDA"/>
    <w:rsid w:val="003F501A"/>
    <w:rsid w:val="003F5035"/>
    <w:rsid w:val="003F50F7"/>
    <w:rsid w:val="003F5101"/>
    <w:rsid w:val="003F5113"/>
    <w:rsid w:val="003F516A"/>
    <w:rsid w:val="003F522D"/>
    <w:rsid w:val="003F525F"/>
    <w:rsid w:val="003F5285"/>
    <w:rsid w:val="003F529E"/>
    <w:rsid w:val="003F53B2"/>
    <w:rsid w:val="003F53F6"/>
    <w:rsid w:val="003F5456"/>
    <w:rsid w:val="003F5459"/>
    <w:rsid w:val="003F5482"/>
    <w:rsid w:val="003F55AD"/>
    <w:rsid w:val="003F5618"/>
    <w:rsid w:val="003F574A"/>
    <w:rsid w:val="003F59C2"/>
    <w:rsid w:val="003F5A70"/>
    <w:rsid w:val="003F5AD3"/>
    <w:rsid w:val="003F5B35"/>
    <w:rsid w:val="003F5B6C"/>
    <w:rsid w:val="003F5B7B"/>
    <w:rsid w:val="003F5BA8"/>
    <w:rsid w:val="003F5BEB"/>
    <w:rsid w:val="003F5BED"/>
    <w:rsid w:val="003F5BEE"/>
    <w:rsid w:val="003F5C03"/>
    <w:rsid w:val="003F5CA5"/>
    <w:rsid w:val="003F5CB9"/>
    <w:rsid w:val="003F5CD0"/>
    <w:rsid w:val="003F5CF5"/>
    <w:rsid w:val="003F5D40"/>
    <w:rsid w:val="003F5D47"/>
    <w:rsid w:val="003F5D84"/>
    <w:rsid w:val="003F5DFA"/>
    <w:rsid w:val="003F5FB1"/>
    <w:rsid w:val="003F5FE2"/>
    <w:rsid w:val="003F6023"/>
    <w:rsid w:val="003F6073"/>
    <w:rsid w:val="003F60DC"/>
    <w:rsid w:val="003F60E2"/>
    <w:rsid w:val="003F6103"/>
    <w:rsid w:val="003F61EC"/>
    <w:rsid w:val="003F61FB"/>
    <w:rsid w:val="003F6266"/>
    <w:rsid w:val="003F62F4"/>
    <w:rsid w:val="003F6475"/>
    <w:rsid w:val="003F64B5"/>
    <w:rsid w:val="003F65A3"/>
    <w:rsid w:val="003F65DE"/>
    <w:rsid w:val="003F66D6"/>
    <w:rsid w:val="003F6708"/>
    <w:rsid w:val="003F670F"/>
    <w:rsid w:val="003F674C"/>
    <w:rsid w:val="003F686D"/>
    <w:rsid w:val="003F68BC"/>
    <w:rsid w:val="003F69BE"/>
    <w:rsid w:val="003F69F1"/>
    <w:rsid w:val="003F6B06"/>
    <w:rsid w:val="003F6C32"/>
    <w:rsid w:val="003F6CFA"/>
    <w:rsid w:val="003F6E06"/>
    <w:rsid w:val="003F6E29"/>
    <w:rsid w:val="003F6E61"/>
    <w:rsid w:val="003F6E73"/>
    <w:rsid w:val="003F6E96"/>
    <w:rsid w:val="003F6EE1"/>
    <w:rsid w:val="003F6F8C"/>
    <w:rsid w:val="003F7044"/>
    <w:rsid w:val="003F7047"/>
    <w:rsid w:val="003F713E"/>
    <w:rsid w:val="003F717A"/>
    <w:rsid w:val="003F71B3"/>
    <w:rsid w:val="003F71FB"/>
    <w:rsid w:val="003F7254"/>
    <w:rsid w:val="003F7364"/>
    <w:rsid w:val="003F736C"/>
    <w:rsid w:val="003F7388"/>
    <w:rsid w:val="003F7389"/>
    <w:rsid w:val="003F7538"/>
    <w:rsid w:val="003F75F3"/>
    <w:rsid w:val="003F76BB"/>
    <w:rsid w:val="003F7710"/>
    <w:rsid w:val="003F772B"/>
    <w:rsid w:val="003F7746"/>
    <w:rsid w:val="003F777B"/>
    <w:rsid w:val="003F77AE"/>
    <w:rsid w:val="003F78E9"/>
    <w:rsid w:val="003F78F4"/>
    <w:rsid w:val="003F7906"/>
    <w:rsid w:val="003F7948"/>
    <w:rsid w:val="003F7A07"/>
    <w:rsid w:val="003F7A78"/>
    <w:rsid w:val="003F7AE5"/>
    <w:rsid w:val="003F7AFF"/>
    <w:rsid w:val="003F7B7E"/>
    <w:rsid w:val="003F7B96"/>
    <w:rsid w:val="003F7CEE"/>
    <w:rsid w:val="003F7D5B"/>
    <w:rsid w:val="003F7DB5"/>
    <w:rsid w:val="003F7DB7"/>
    <w:rsid w:val="003F7DF6"/>
    <w:rsid w:val="003F7E5B"/>
    <w:rsid w:val="003F7EAD"/>
    <w:rsid w:val="003F7ED8"/>
    <w:rsid w:val="003F7F37"/>
    <w:rsid w:val="003F7FD9"/>
    <w:rsid w:val="0040003F"/>
    <w:rsid w:val="004000C4"/>
    <w:rsid w:val="00400218"/>
    <w:rsid w:val="00400298"/>
    <w:rsid w:val="004002BB"/>
    <w:rsid w:val="004002E3"/>
    <w:rsid w:val="00400334"/>
    <w:rsid w:val="004003B0"/>
    <w:rsid w:val="00400409"/>
    <w:rsid w:val="00400551"/>
    <w:rsid w:val="00400565"/>
    <w:rsid w:val="00400575"/>
    <w:rsid w:val="004005A5"/>
    <w:rsid w:val="004007BF"/>
    <w:rsid w:val="00400805"/>
    <w:rsid w:val="004008B9"/>
    <w:rsid w:val="004008C8"/>
    <w:rsid w:val="004008D4"/>
    <w:rsid w:val="004008F8"/>
    <w:rsid w:val="00400995"/>
    <w:rsid w:val="0040099B"/>
    <w:rsid w:val="004009A5"/>
    <w:rsid w:val="00400A3D"/>
    <w:rsid w:val="00400B01"/>
    <w:rsid w:val="00400B56"/>
    <w:rsid w:val="00400B82"/>
    <w:rsid w:val="00400BE0"/>
    <w:rsid w:val="00400BE6"/>
    <w:rsid w:val="00400CA9"/>
    <w:rsid w:val="00400CF9"/>
    <w:rsid w:val="00400D6D"/>
    <w:rsid w:val="00400DC5"/>
    <w:rsid w:val="00400DEE"/>
    <w:rsid w:val="00400E33"/>
    <w:rsid w:val="00400E46"/>
    <w:rsid w:val="00400EE6"/>
    <w:rsid w:val="004010AF"/>
    <w:rsid w:val="00401206"/>
    <w:rsid w:val="00401220"/>
    <w:rsid w:val="00401278"/>
    <w:rsid w:val="00401286"/>
    <w:rsid w:val="004012AA"/>
    <w:rsid w:val="00401344"/>
    <w:rsid w:val="00401365"/>
    <w:rsid w:val="00401391"/>
    <w:rsid w:val="00401478"/>
    <w:rsid w:val="004014E0"/>
    <w:rsid w:val="004014F5"/>
    <w:rsid w:val="00401603"/>
    <w:rsid w:val="004016D2"/>
    <w:rsid w:val="0040171D"/>
    <w:rsid w:val="00401777"/>
    <w:rsid w:val="004017AC"/>
    <w:rsid w:val="0040180B"/>
    <w:rsid w:val="00401857"/>
    <w:rsid w:val="0040189C"/>
    <w:rsid w:val="00401959"/>
    <w:rsid w:val="00401965"/>
    <w:rsid w:val="00401A04"/>
    <w:rsid w:val="00401B70"/>
    <w:rsid w:val="00401CB0"/>
    <w:rsid w:val="00401CBD"/>
    <w:rsid w:val="00401DF4"/>
    <w:rsid w:val="00401E1D"/>
    <w:rsid w:val="00401E30"/>
    <w:rsid w:val="0040205E"/>
    <w:rsid w:val="0040205F"/>
    <w:rsid w:val="004020EA"/>
    <w:rsid w:val="004021A6"/>
    <w:rsid w:val="00402339"/>
    <w:rsid w:val="0040237D"/>
    <w:rsid w:val="00402417"/>
    <w:rsid w:val="00402431"/>
    <w:rsid w:val="0040244B"/>
    <w:rsid w:val="0040248A"/>
    <w:rsid w:val="0040253F"/>
    <w:rsid w:val="004025A7"/>
    <w:rsid w:val="00402662"/>
    <w:rsid w:val="004026E1"/>
    <w:rsid w:val="0040271A"/>
    <w:rsid w:val="00402720"/>
    <w:rsid w:val="00402791"/>
    <w:rsid w:val="0040283E"/>
    <w:rsid w:val="00402860"/>
    <w:rsid w:val="00402889"/>
    <w:rsid w:val="004028A6"/>
    <w:rsid w:val="004028F7"/>
    <w:rsid w:val="0040297A"/>
    <w:rsid w:val="004029B9"/>
    <w:rsid w:val="004029FF"/>
    <w:rsid w:val="00402A00"/>
    <w:rsid w:val="00402A3E"/>
    <w:rsid w:val="00402A6D"/>
    <w:rsid w:val="00402A9C"/>
    <w:rsid w:val="00402B47"/>
    <w:rsid w:val="00402BDA"/>
    <w:rsid w:val="00402CB2"/>
    <w:rsid w:val="00402DA5"/>
    <w:rsid w:val="00402E03"/>
    <w:rsid w:val="00402E1C"/>
    <w:rsid w:val="00402EE0"/>
    <w:rsid w:val="00402F1A"/>
    <w:rsid w:val="00402F73"/>
    <w:rsid w:val="00402F93"/>
    <w:rsid w:val="00402FF3"/>
    <w:rsid w:val="0040305F"/>
    <w:rsid w:val="00403068"/>
    <w:rsid w:val="004030FB"/>
    <w:rsid w:val="00403110"/>
    <w:rsid w:val="0040316A"/>
    <w:rsid w:val="0040317D"/>
    <w:rsid w:val="00403199"/>
    <w:rsid w:val="004031B7"/>
    <w:rsid w:val="0040325C"/>
    <w:rsid w:val="0040326A"/>
    <w:rsid w:val="00403298"/>
    <w:rsid w:val="00403311"/>
    <w:rsid w:val="00403393"/>
    <w:rsid w:val="004033D3"/>
    <w:rsid w:val="0040344F"/>
    <w:rsid w:val="00403487"/>
    <w:rsid w:val="0040352F"/>
    <w:rsid w:val="00403535"/>
    <w:rsid w:val="00403579"/>
    <w:rsid w:val="00403588"/>
    <w:rsid w:val="004035A4"/>
    <w:rsid w:val="004035AD"/>
    <w:rsid w:val="004035F9"/>
    <w:rsid w:val="004035FE"/>
    <w:rsid w:val="00403632"/>
    <w:rsid w:val="004036FB"/>
    <w:rsid w:val="004037F1"/>
    <w:rsid w:val="00403815"/>
    <w:rsid w:val="00403893"/>
    <w:rsid w:val="00403989"/>
    <w:rsid w:val="00403A52"/>
    <w:rsid w:val="00403AEE"/>
    <w:rsid w:val="00403BAD"/>
    <w:rsid w:val="00403CA7"/>
    <w:rsid w:val="00403CFC"/>
    <w:rsid w:val="00403D00"/>
    <w:rsid w:val="00403D09"/>
    <w:rsid w:val="00403D89"/>
    <w:rsid w:val="00403D9F"/>
    <w:rsid w:val="00403E4F"/>
    <w:rsid w:val="00403F41"/>
    <w:rsid w:val="00403FF6"/>
    <w:rsid w:val="004040AB"/>
    <w:rsid w:val="0040412E"/>
    <w:rsid w:val="004042A7"/>
    <w:rsid w:val="0040430A"/>
    <w:rsid w:val="00404324"/>
    <w:rsid w:val="00404391"/>
    <w:rsid w:val="004043D1"/>
    <w:rsid w:val="004043D3"/>
    <w:rsid w:val="004043DB"/>
    <w:rsid w:val="004043FA"/>
    <w:rsid w:val="00404496"/>
    <w:rsid w:val="00404527"/>
    <w:rsid w:val="0040454E"/>
    <w:rsid w:val="0040459E"/>
    <w:rsid w:val="0040461C"/>
    <w:rsid w:val="00404676"/>
    <w:rsid w:val="004046BC"/>
    <w:rsid w:val="004046C4"/>
    <w:rsid w:val="0040471B"/>
    <w:rsid w:val="00404774"/>
    <w:rsid w:val="004047F2"/>
    <w:rsid w:val="00404805"/>
    <w:rsid w:val="00404851"/>
    <w:rsid w:val="004048A2"/>
    <w:rsid w:val="004048C3"/>
    <w:rsid w:val="004048F1"/>
    <w:rsid w:val="00404945"/>
    <w:rsid w:val="0040495D"/>
    <w:rsid w:val="004049C7"/>
    <w:rsid w:val="00404A06"/>
    <w:rsid w:val="00404A63"/>
    <w:rsid w:val="00404AA4"/>
    <w:rsid w:val="00404AEC"/>
    <w:rsid w:val="00404B1F"/>
    <w:rsid w:val="00404BBA"/>
    <w:rsid w:val="00404C66"/>
    <w:rsid w:val="00404C91"/>
    <w:rsid w:val="00404D1D"/>
    <w:rsid w:val="00404D2D"/>
    <w:rsid w:val="00404EB9"/>
    <w:rsid w:val="00404EC6"/>
    <w:rsid w:val="00404EF2"/>
    <w:rsid w:val="00404F48"/>
    <w:rsid w:val="00404F55"/>
    <w:rsid w:val="00404FEC"/>
    <w:rsid w:val="00405015"/>
    <w:rsid w:val="00405026"/>
    <w:rsid w:val="004050B4"/>
    <w:rsid w:val="0040515C"/>
    <w:rsid w:val="0040526D"/>
    <w:rsid w:val="00405310"/>
    <w:rsid w:val="00405363"/>
    <w:rsid w:val="0040536E"/>
    <w:rsid w:val="00405566"/>
    <w:rsid w:val="004055EF"/>
    <w:rsid w:val="004055F6"/>
    <w:rsid w:val="00405612"/>
    <w:rsid w:val="00405683"/>
    <w:rsid w:val="004056E0"/>
    <w:rsid w:val="00405707"/>
    <w:rsid w:val="004057DB"/>
    <w:rsid w:val="004057F1"/>
    <w:rsid w:val="00405874"/>
    <w:rsid w:val="0040588D"/>
    <w:rsid w:val="004058A9"/>
    <w:rsid w:val="004058BD"/>
    <w:rsid w:val="004058CB"/>
    <w:rsid w:val="00405913"/>
    <w:rsid w:val="0040596F"/>
    <w:rsid w:val="004059AC"/>
    <w:rsid w:val="00405A8B"/>
    <w:rsid w:val="00405AD9"/>
    <w:rsid w:val="00405BC0"/>
    <w:rsid w:val="00405BDF"/>
    <w:rsid w:val="00405C46"/>
    <w:rsid w:val="00405CBE"/>
    <w:rsid w:val="00405E66"/>
    <w:rsid w:val="00405ED7"/>
    <w:rsid w:val="00405EF6"/>
    <w:rsid w:val="00405F1E"/>
    <w:rsid w:val="00405F55"/>
    <w:rsid w:val="00405F73"/>
    <w:rsid w:val="0040607B"/>
    <w:rsid w:val="004060EA"/>
    <w:rsid w:val="00406169"/>
    <w:rsid w:val="0040621A"/>
    <w:rsid w:val="0040632C"/>
    <w:rsid w:val="0040633D"/>
    <w:rsid w:val="00406436"/>
    <w:rsid w:val="004064B9"/>
    <w:rsid w:val="004064E0"/>
    <w:rsid w:val="0040652C"/>
    <w:rsid w:val="00406561"/>
    <w:rsid w:val="00406584"/>
    <w:rsid w:val="0040661D"/>
    <w:rsid w:val="00406628"/>
    <w:rsid w:val="004066B8"/>
    <w:rsid w:val="004067FA"/>
    <w:rsid w:val="0040686E"/>
    <w:rsid w:val="0040692B"/>
    <w:rsid w:val="0040698B"/>
    <w:rsid w:val="00406A2B"/>
    <w:rsid w:val="00406A6A"/>
    <w:rsid w:val="00406A89"/>
    <w:rsid w:val="00406AAE"/>
    <w:rsid w:val="00406AE5"/>
    <w:rsid w:val="00406B1C"/>
    <w:rsid w:val="00406C3D"/>
    <w:rsid w:val="00406C98"/>
    <w:rsid w:val="00406DA3"/>
    <w:rsid w:val="00406DD5"/>
    <w:rsid w:val="00406DE5"/>
    <w:rsid w:val="00406E3C"/>
    <w:rsid w:val="00406EB8"/>
    <w:rsid w:val="00406F22"/>
    <w:rsid w:val="00406F98"/>
    <w:rsid w:val="00406FC5"/>
    <w:rsid w:val="00406FC9"/>
    <w:rsid w:val="00407047"/>
    <w:rsid w:val="0040710D"/>
    <w:rsid w:val="00407169"/>
    <w:rsid w:val="0040718A"/>
    <w:rsid w:val="0040719A"/>
    <w:rsid w:val="004071D5"/>
    <w:rsid w:val="004071D6"/>
    <w:rsid w:val="004071DA"/>
    <w:rsid w:val="004071F1"/>
    <w:rsid w:val="0040739E"/>
    <w:rsid w:val="004073A1"/>
    <w:rsid w:val="004073E8"/>
    <w:rsid w:val="00407403"/>
    <w:rsid w:val="00407472"/>
    <w:rsid w:val="00407493"/>
    <w:rsid w:val="00407607"/>
    <w:rsid w:val="004076E3"/>
    <w:rsid w:val="00407793"/>
    <w:rsid w:val="004077DC"/>
    <w:rsid w:val="004077EB"/>
    <w:rsid w:val="00407889"/>
    <w:rsid w:val="004078AB"/>
    <w:rsid w:val="004078E7"/>
    <w:rsid w:val="004078F1"/>
    <w:rsid w:val="004079BA"/>
    <w:rsid w:val="004079CB"/>
    <w:rsid w:val="004079F8"/>
    <w:rsid w:val="00407A1B"/>
    <w:rsid w:val="00407B57"/>
    <w:rsid w:val="00407C1B"/>
    <w:rsid w:val="00407C28"/>
    <w:rsid w:val="00407CED"/>
    <w:rsid w:val="00407D12"/>
    <w:rsid w:val="00407D2F"/>
    <w:rsid w:val="00407D9A"/>
    <w:rsid w:val="00407DE2"/>
    <w:rsid w:val="00407E81"/>
    <w:rsid w:val="00407E89"/>
    <w:rsid w:val="00407EB3"/>
    <w:rsid w:val="00407F8E"/>
    <w:rsid w:val="00407FC4"/>
    <w:rsid w:val="0040FB0C"/>
    <w:rsid w:val="0041002D"/>
    <w:rsid w:val="0041003A"/>
    <w:rsid w:val="00410185"/>
    <w:rsid w:val="0041018A"/>
    <w:rsid w:val="0041018D"/>
    <w:rsid w:val="004102AF"/>
    <w:rsid w:val="004102C1"/>
    <w:rsid w:val="004103FE"/>
    <w:rsid w:val="004104F1"/>
    <w:rsid w:val="004105C3"/>
    <w:rsid w:val="00410678"/>
    <w:rsid w:val="0041067D"/>
    <w:rsid w:val="00410743"/>
    <w:rsid w:val="00410770"/>
    <w:rsid w:val="00410782"/>
    <w:rsid w:val="00410854"/>
    <w:rsid w:val="00410929"/>
    <w:rsid w:val="004109EE"/>
    <w:rsid w:val="00410A0A"/>
    <w:rsid w:val="00410A2D"/>
    <w:rsid w:val="00410A44"/>
    <w:rsid w:val="00410A95"/>
    <w:rsid w:val="00410AB6"/>
    <w:rsid w:val="00410ACB"/>
    <w:rsid w:val="00410BF2"/>
    <w:rsid w:val="00410D29"/>
    <w:rsid w:val="00410D7E"/>
    <w:rsid w:val="00410D8A"/>
    <w:rsid w:val="00410E50"/>
    <w:rsid w:val="00410E71"/>
    <w:rsid w:val="00410E74"/>
    <w:rsid w:val="00410EB5"/>
    <w:rsid w:val="00410EF0"/>
    <w:rsid w:val="00410F0C"/>
    <w:rsid w:val="00410F67"/>
    <w:rsid w:val="00410F68"/>
    <w:rsid w:val="00410F93"/>
    <w:rsid w:val="00410FED"/>
    <w:rsid w:val="0041101E"/>
    <w:rsid w:val="00411082"/>
    <w:rsid w:val="004110D4"/>
    <w:rsid w:val="004110DD"/>
    <w:rsid w:val="0041119D"/>
    <w:rsid w:val="0041120D"/>
    <w:rsid w:val="00411231"/>
    <w:rsid w:val="00411372"/>
    <w:rsid w:val="00411404"/>
    <w:rsid w:val="004114E3"/>
    <w:rsid w:val="0041150A"/>
    <w:rsid w:val="00411543"/>
    <w:rsid w:val="00411570"/>
    <w:rsid w:val="00411593"/>
    <w:rsid w:val="004116CC"/>
    <w:rsid w:val="004116EC"/>
    <w:rsid w:val="00411807"/>
    <w:rsid w:val="00411809"/>
    <w:rsid w:val="00411849"/>
    <w:rsid w:val="0041189B"/>
    <w:rsid w:val="004118C9"/>
    <w:rsid w:val="004118E8"/>
    <w:rsid w:val="0041190E"/>
    <w:rsid w:val="0041193C"/>
    <w:rsid w:val="004119FA"/>
    <w:rsid w:val="00411A52"/>
    <w:rsid w:val="00411A90"/>
    <w:rsid w:val="00411ABD"/>
    <w:rsid w:val="00411AD5"/>
    <w:rsid w:val="00411B19"/>
    <w:rsid w:val="00411C40"/>
    <w:rsid w:val="00411C58"/>
    <w:rsid w:val="00411C66"/>
    <w:rsid w:val="00411D56"/>
    <w:rsid w:val="00411E2B"/>
    <w:rsid w:val="00411E35"/>
    <w:rsid w:val="00411E5D"/>
    <w:rsid w:val="00411EAD"/>
    <w:rsid w:val="00411EFB"/>
    <w:rsid w:val="00411F55"/>
    <w:rsid w:val="00411F97"/>
    <w:rsid w:val="00412095"/>
    <w:rsid w:val="004120FA"/>
    <w:rsid w:val="00412121"/>
    <w:rsid w:val="004121D0"/>
    <w:rsid w:val="0041225A"/>
    <w:rsid w:val="004122B8"/>
    <w:rsid w:val="00412338"/>
    <w:rsid w:val="0041239D"/>
    <w:rsid w:val="004123EB"/>
    <w:rsid w:val="0041241A"/>
    <w:rsid w:val="00412480"/>
    <w:rsid w:val="0041248C"/>
    <w:rsid w:val="004124DF"/>
    <w:rsid w:val="0041250E"/>
    <w:rsid w:val="00412543"/>
    <w:rsid w:val="0041258F"/>
    <w:rsid w:val="00412681"/>
    <w:rsid w:val="004126D5"/>
    <w:rsid w:val="00412883"/>
    <w:rsid w:val="004128F4"/>
    <w:rsid w:val="004128F6"/>
    <w:rsid w:val="00412925"/>
    <w:rsid w:val="0041296A"/>
    <w:rsid w:val="00412ACB"/>
    <w:rsid w:val="00412BB5"/>
    <w:rsid w:val="00412BE5"/>
    <w:rsid w:val="00412D3A"/>
    <w:rsid w:val="00412DA3"/>
    <w:rsid w:val="00412DF1"/>
    <w:rsid w:val="00412E25"/>
    <w:rsid w:val="00412E5B"/>
    <w:rsid w:val="00412E8C"/>
    <w:rsid w:val="00412F31"/>
    <w:rsid w:val="00412F85"/>
    <w:rsid w:val="00413083"/>
    <w:rsid w:val="004130E8"/>
    <w:rsid w:val="004131E5"/>
    <w:rsid w:val="0041321F"/>
    <w:rsid w:val="0041322E"/>
    <w:rsid w:val="00413248"/>
    <w:rsid w:val="00413273"/>
    <w:rsid w:val="004132AF"/>
    <w:rsid w:val="0041339F"/>
    <w:rsid w:val="004133AC"/>
    <w:rsid w:val="00413449"/>
    <w:rsid w:val="0041346F"/>
    <w:rsid w:val="004134B8"/>
    <w:rsid w:val="004135B9"/>
    <w:rsid w:val="00413620"/>
    <w:rsid w:val="00413622"/>
    <w:rsid w:val="00413623"/>
    <w:rsid w:val="00413752"/>
    <w:rsid w:val="004137A0"/>
    <w:rsid w:val="00413802"/>
    <w:rsid w:val="0041384D"/>
    <w:rsid w:val="00413865"/>
    <w:rsid w:val="004139A9"/>
    <w:rsid w:val="004139D8"/>
    <w:rsid w:val="00413A0A"/>
    <w:rsid w:val="00413A7F"/>
    <w:rsid w:val="00413AAF"/>
    <w:rsid w:val="00413B2C"/>
    <w:rsid w:val="00413BE2"/>
    <w:rsid w:val="00413BEF"/>
    <w:rsid w:val="00413C25"/>
    <w:rsid w:val="00413C4C"/>
    <w:rsid w:val="00413D35"/>
    <w:rsid w:val="00413D49"/>
    <w:rsid w:val="00413D66"/>
    <w:rsid w:val="00413D88"/>
    <w:rsid w:val="00413DF8"/>
    <w:rsid w:val="00413E0F"/>
    <w:rsid w:val="00413E31"/>
    <w:rsid w:val="00413E9C"/>
    <w:rsid w:val="00413F5E"/>
    <w:rsid w:val="0041402B"/>
    <w:rsid w:val="0041406E"/>
    <w:rsid w:val="00414184"/>
    <w:rsid w:val="0041418E"/>
    <w:rsid w:val="004141CE"/>
    <w:rsid w:val="00414250"/>
    <w:rsid w:val="0041427A"/>
    <w:rsid w:val="00414282"/>
    <w:rsid w:val="004142E7"/>
    <w:rsid w:val="00414336"/>
    <w:rsid w:val="004143C9"/>
    <w:rsid w:val="0041455D"/>
    <w:rsid w:val="0041459E"/>
    <w:rsid w:val="00414691"/>
    <w:rsid w:val="004146B7"/>
    <w:rsid w:val="00414785"/>
    <w:rsid w:val="004147B5"/>
    <w:rsid w:val="004147B9"/>
    <w:rsid w:val="00414857"/>
    <w:rsid w:val="00414877"/>
    <w:rsid w:val="00414A37"/>
    <w:rsid w:val="00414ABE"/>
    <w:rsid w:val="00414AC9"/>
    <w:rsid w:val="00414B3F"/>
    <w:rsid w:val="00414B50"/>
    <w:rsid w:val="00414BEF"/>
    <w:rsid w:val="00414C1D"/>
    <w:rsid w:val="00414D75"/>
    <w:rsid w:val="00414D7A"/>
    <w:rsid w:val="00414E79"/>
    <w:rsid w:val="00414F89"/>
    <w:rsid w:val="00414FC6"/>
    <w:rsid w:val="004150A2"/>
    <w:rsid w:val="004150A3"/>
    <w:rsid w:val="0041521A"/>
    <w:rsid w:val="004152AB"/>
    <w:rsid w:val="0041533A"/>
    <w:rsid w:val="004153B7"/>
    <w:rsid w:val="004153D3"/>
    <w:rsid w:val="0041558D"/>
    <w:rsid w:val="004155FB"/>
    <w:rsid w:val="004156AF"/>
    <w:rsid w:val="004156BF"/>
    <w:rsid w:val="004156C4"/>
    <w:rsid w:val="004157A6"/>
    <w:rsid w:val="004157FB"/>
    <w:rsid w:val="00415822"/>
    <w:rsid w:val="00415847"/>
    <w:rsid w:val="004158A3"/>
    <w:rsid w:val="0041591B"/>
    <w:rsid w:val="00415963"/>
    <w:rsid w:val="00415A06"/>
    <w:rsid w:val="00415A08"/>
    <w:rsid w:val="00415A1B"/>
    <w:rsid w:val="00415B37"/>
    <w:rsid w:val="00415B4C"/>
    <w:rsid w:val="00415C08"/>
    <w:rsid w:val="00415CED"/>
    <w:rsid w:val="00415D11"/>
    <w:rsid w:val="00415D1D"/>
    <w:rsid w:val="00415D1F"/>
    <w:rsid w:val="00415DCD"/>
    <w:rsid w:val="00415DFF"/>
    <w:rsid w:val="00415E03"/>
    <w:rsid w:val="00415E45"/>
    <w:rsid w:val="00415E47"/>
    <w:rsid w:val="00415EC4"/>
    <w:rsid w:val="00415F0B"/>
    <w:rsid w:val="00415F7A"/>
    <w:rsid w:val="00415F8A"/>
    <w:rsid w:val="00415FED"/>
    <w:rsid w:val="00416083"/>
    <w:rsid w:val="0041609D"/>
    <w:rsid w:val="004160E8"/>
    <w:rsid w:val="004160F3"/>
    <w:rsid w:val="00416123"/>
    <w:rsid w:val="00416203"/>
    <w:rsid w:val="00416286"/>
    <w:rsid w:val="0041631E"/>
    <w:rsid w:val="004164FB"/>
    <w:rsid w:val="004164FF"/>
    <w:rsid w:val="00416519"/>
    <w:rsid w:val="00416523"/>
    <w:rsid w:val="00416582"/>
    <w:rsid w:val="0041659C"/>
    <w:rsid w:val="00416644"/>
    <w:rsid w:val="004166FE"/>
    <w:rsid w:val="00416754"/>
    <w:rsid w:val="0041682A"/>
    <w:rsid w:val="0041685C"/>
    <w:rsid w:val="00416976"/>
    <w:rsid w:val="0041697F"/>
    <w:rsid w:val="004169AD"/>
    <w:rsid w:val="00416A11"/>
    <w:rsid w:val="00416A20"/>
    <w:rsid w:val="00416B62"/>
    <w:rsid w:val="00416B67"/>
    <w:rsid w:val="00416B8A"/>
    <w:rsid w:val="00416BC7"/>
    <w:rsid w:val="00416C2B"/>
    <w:rsid w:val="00416C7B"/>
    <w:rsid w:val="00416D60"/>
    <w:rsid w:val="00416D74"/>
    <w:rsid w:val="00416D7B"/>
    <w:rsid w:val="00416DDE"/>
    <w:rsid w:val="00416E2C"/>
    <w:rsid w:val="00416E2F"/>
    <w:rsid w:val="00416E6A"/>
    <w:rsid w:val="00416E7A"/>
    <w:rsid w:val="00416F20"/>
    <w:rsid w:val="00416F41"/>
    <w:rsid w:val="00416FD8"/>
    <w:rsid w:val="00416FF2"/>
    <w:rsid w:val="004170C0"/>
    <w:rsid w:val="004170F7"/>
    <w:rsid w:val="00417117"/>
    <w:rsid w:val="00417191"/>
    <w:rsid w:val="00417269"/>
    <w:rsid w:val="004172D5"/>
    <w:rsid w:val="004172EF"/>
    <w:rsid w:val="00417389"/>
    <w:rsid w:val="00417599"/>
    <w:rsid w:val="004175F4"/>
    <w:rsid w:val="004175F6"/>
    <w:rsid w:val="00417621"/>
    <w:rsid w:val="0041770A"/>
    <w:rsid w:val="004177D2"/>
    <w:rsid w:val="00417869"/>
    <w:rsid w:val="0041787E"/>
    <w:rsid w:val="004178B2"/>
    <w:rsid w:val="004178CF"/>
    <w:rsid w:val="004178D9"/>
    <w:rsid w:val="004179FE"/>
    <w:rsid w:val="00417A59"/>
    <w:rsid w:val="00417AD8"/>
    <w:rsid w:val="00417B66"/>
    <w:rsid w:val="00417CBE"/>
    <w:rsid w:val="00417D6E"/>
    <w:rsid w:val="00417D77"/>
    <w:rsid w:val="00417E0F"/>
    <w:rsid w:val="00417E71"/>
    <w:rsid w:val="00417E86"/>
    <w:rsid w:val="00417F28"/>
    <w:rsid w:val="00417F92"/>
    <w:rsid w:val="0041F3BE"/>
    <w:rsid w:val="00420015"/>
    <w:rsid w:val="00420147"/>
    <w:rsid w:val="00420187"/>
    <w:rsid w:val="004201A3"/>
    <w:rsid w:val="004201C4"/>
    <w:rsid w:val="00420209"/>
    <w:rsid w:val="004202BF"/>
    <w:rsid w:val="004202F6"/>
    <w:rsid w:val="0042041D"/>
    <w:rsid w:val="004204AD"/>
    <w:rsid w:val="004204F8"/>
    <w:rsid w:val="00420533"/>
    <w:rsid w:val="00420567"/>
    <w:rsid w:val="00420596"/>
    <w:rsid w:val="0042059F"/>
    <w:rsid w:val="004205B0"/>
    <w:rsid w:val="00420602"/>
    <w:rsid w:val="00420605"/>
    <w:rsid w:val="0042068C"/>
    <w:rsid w:val="004206AB"/>
    <w:rsid w:val="004206BD"/>
    <w:rsid w:val="004207A5"/>
    <w:rsid w:val="00420836"/>
    <w:rsid w:val="004208C3"/>
    <w:rsid w:val="004209B5"/>
    <w:rsid w:val="00420B96"/>
    <w:rsid w:val="00420C4B"/>
    <w:rsid w:val="00420CC3"/>
    <w:rsid w:val="00420CC6"/>
    <w:rsid w:val="00420D03"/>
    <w:rsid w:val="00420E4E"/>
    <w:rsid w:val="00420ED0"/>
    <w:rsid w:val="00420F02"/>
    <w:rsid w:val="00420F8A"/>
    <w:rsid w:val="00420FE1"/>
    <w:rsid w:val="0042109D"/>
    <w:rsid w:val="004210F5"/>
    <w:rsid w:val="0042110E"/>
    <w:rsid w:val="0042112F"/>
    <w:rsid w:val="0042119A"/>
    <w:rsid w:val="004211DF"/>
    <w:rsid w:val="004212DC"/>
    <w:rsid w:val="00421345"/>
    <w:rsid w:val="00421346"/>
    <w:rsid w:val="004214C2"/>
    <w:rsid w:val="004214E8"/>
    <w:rsid w:val="0042158B"/>
    <w:rsid w:val="00421593"/>
    <w:rsid w:val="0042159E"/>
    <w:rsid w:val="004215C7"/>
    <w:rsid w:val="004216BB"/>
    <w:rsid w:val="004216E7"/>
    <w:rsid w:val="0042174D"/>
    <w:rsid w:val="00421772"/>
    <w:rsid w:val="00421786"/>
    <w:rsid w:val="004217AE"/>
    <w:rsid w:val="004218C1"/>
    <w:rsid w:val="004218CF"/>
    <w:rsid w:val="004218F6"/>
    <w:rsid w:val="00421910"/>
    <w:rsid w:val="00421975"/>
    <w:rsid w:val="0042198F"/>
    <w:rsid w:val="00421A15"/>
    <w:rsid w:val="00421A59"/>
    <w:rsid w:val="00421A8E"/>
    <w:rsid w:val="00421AB4"/>
    <w:rsid w:val="00421ACB"/>
    <w:rsid w:val="00421B02"/>
    <w:rsid w:val="00421BE1"/>
    <w:rsid w:val="00421BE9"/>
    <w:rsid w:val="00421D0D"/>
    <w:rsid w:val="00421D82"/>
    <w:rsid w:val="00421D84"/>
    <w:rsid w:val="00421EBE"/>
    <w:rsid w:val="00421EDE"/>
    <w:rsid w:val="00421F39"/>
    <w:rsid w:val="00422020"/>
    <w:rsid w:val="004220B0"/>
    <w:rsid w:val="004220BE"/>
    <w:rsid w:val="0042218D"/>
    <w:rsid w:val="004221A8"/>
    <w:rsid w:val="004221E9"/>
    <w:rsid w:val="004221EB"/>
    <w:rsid w:val="00422233"/>
    <w:rsid w:val="00422303"/>
    <w:rsid w:val="0042239D"/>
    <w:rsid w:val="00422428"/>
    <w:rsid w:val="0042245E"/>
    <w:rsid w:val="00422556"/>
    <w:rsid w:val="00422594"/>
    <w:rsid w:val="004225B2"/>
    <w:rsid w:val="004225F6"/>
    <w:rsid w:val="0042268B"/>
    <w:rsid w:val="004226EB"/>
    <w:rsid w:val="004226ED"/>
    <w:rsid w:val="0042278F"/>
    <w:rsid w:val="004227C3"/>
    <w:rsid w:val="004227D8"/>
    <w:rsid w:val="004227F8"/>
    <w:rsid w:val="0042280E"/>
    <w:rsid w:val="004228CB"/>
    <w:rsid w:val="004228DB"/>
    <w:rsid w:val="00422922"/>
    <w:rsid w:val="00422943"/>
    <w:rsid w:val="004229F7"/>
    <w:rsid w:val="004229FD"/>
    <w:rsid w:val="00422A1D"/>
    <w:rsid w:val="00422A96"/>
    <w:rsid w:val="00422C55"/>
    <w:rsid w:val="00422C70"/>
    <w:rsid w:val="00422CFD"/>
    <w:rsid w:val="00422DC5"/>
    <w:rsid w:val="00422E01"/>
    <w:rsid w:val="00422E67"/>
    <w:rsid w:val="00422EF6"/>
    <w:rsid w:val="00422F3B"/>
    <w:rsid w:val="00422F6A"/>
    <w:rsid w:val="0042300E"/>
    <w:rsid w:val="0042305C"/>
    <w:rsid w:val="0042308D"/>
    <w:rsid w:val="0042309D"/>
    <w:rsid w:val="004230BA"/>
    <w:rsid w:val="0042312C"/>
    <w:rsid w:val="00423377"/>
    <w:rsid w:val="00423384"/>
    <w:rsid w:val="0042339B"/>
    <w:rsid w:val="004233A5"/>
    <w:rsid w:val="004233DD"/>
    <w:rsid w:val="004233EA"/>
    <w:rsid w:val="00423435"/>
    <w:rsid w:val="0042349F"/>
    <w:rsid w:val="00423516"/>
    <w:rsid w:val="0042366F"/>
    <w:rsid w:val="00423706"/>
    <w:rsid w:val="004238F3"/>
    <w:rsid w:val="004238F5"/>
    <w:rsid w:val="0042390B"/>
    <w:rsid w:val="00423969"/>
    <w:rsid w:val="00423978"/>
    <w:rsid w:val="004239E9"/>
    <w:rsid w:val="004239FE"/>
    <w:rsid w:val="00423A58"/>
    <w:rsid w:val="00423B45"/>
    <w:rsid w:val="00423BC8"/>
    <w:rsid w:val="00423BF5"/>
    <w:rsid w:val="00423C0F"/>
    <w:rsid w:val="00423C1E"/>
    <w:rsid w:val="00423C3E"/>
    <w:rsid w:val="00423C47"/>
    <w:rsid w:val="00423CAA"/>
    <w:rsid w:val="00423CAE"/>
    <w:rsid w:val="00423CE8"/>
    <w:rsid w:val="00423D2E"/>
    <w:rsid w:val="00423DA9"/>
    <w:rsid w:val="00423E1F"/>
    <w:rsid w:val="00423E90"/>
    <w:rsid w:val="00423E9F"/>
    <w:rsid w:val="00423F0F"/>
    <w:rsid w:val="00424054"/>
    <w:rsid w:val="0042417C"/>
    <w:rsid w:val="004241AD"/>
    <w:rsid w:val="004242A8"/>
    <w:rsid w:val="00424312"/>
    <w:rsid w:val="00424379"/>
    <w:rsid w:val="004245C5"/>
    <w:rsid w:val="00424606"/>
    <w:rsid w:val="00424613"/>
    <w:rsid w:val="00424676"/>
    <w:rsid w:val="004246D2"/>
    <w:rsid w:val="004247C1"/>
    <w:rsid w:val="004247C2"/>
    <w:rsid w:val="004247DB"/>
    <w:rsid w:val="004247F0"/>
    <w:rsid w:val="0042484B"/>
    <w:rsid w:val="0042487A"/>
    <w:rsid w:val="004249D0"/>
    <w:rsid w:val="004249F2"/>
    <w:rsid w:val="00424AEC"/>
    <w:rsid w:val="00424B68"/>
    <w:rsid w:val="00424BC1"/>
    <w:rsid w:val="00424C90"/>
    <w:rsid w:val="00424C91"/>
    <w:rsid w:val="00424D19"/>
    <w:rsid w:val="00424DA4"/>
    <w:rsid w:val="00424DC0"/>
    <w:rsid w:val="00424E23"/>
    <w:rsid w:val="00424E3F"/>
    <w:rsid w:val="00424E9C"/>
    <w:rsid w:val="00424FAC"/>
    <w:rsid w:val="00425079"/>
    <w:rsid w:val="004250DF"/>
    <w:rsid w:val="00425126"/>
    <w:rsid w:val="00425158"/>
    <w:rsid w:val="0042519D"/>
    <w:rsid w:val="00425383"/>
    <w:rsid w:val="004253C7"/>
    <w:rsid w:val="00425455"/>
    <w:rsid w:val="004254B1"/>
    <w:rsid w:val="004254F4"/>
    <w:rsid w:val="00425545"/>
    <w:rsid w:val="00425642"/>
    <w:rsid w:val="00425690"/>
    <w:rsid w:val="004256BE"/>
    <w:rsid w:val="0042571B"/>
    <w:rsid w:val="0042582F"/>
    <w:rsid w:val="0042589B"/>
    <w:rsid w:val="0042589E"/>
    <w:rsid w:val="00425906"/>
    <w:rsid w:val="00425943"/>
    <w:rsid w:val="00425ADD"/>
    <w:rsid w:val="00425B00"/>
    <w:rsid w:val="00425B5D"/>
    <w:rsid w:val="00425B82"/>
    <w:rsid w:val="00425BBB"/>
    <w:rsid w:val="00425BDA"/>
    <w:rsid w:val="00425BEE"/>
    <w:rsid w:val="00425C02"/>
    <w:rsid w:val="00425D30"/>
    <w:rsid w:val="00425DCB"/>
    <w:rsid w:val="00425E14"/>
    <w:rsid w:val="00425FC1"/>
    <w:rsid w:val="0042601D"/>
    <w:rsid w:val="0042602A"/>
    <w:rsid w:val="00426184"/>
    <w:rsid w:val="004261AA"/>
    <w:rsid w:val="00426209"/>
    <w:rsid w:val="00426282"/>
    <w:rsid w:val="004262D0"/>
    <w:rsid w:val="00426306"/>
    <w:rsid w:val="0042636A"/>
    <w:rsid w:val="0042638F"/>
    <w:rsid w:val="004263F7"/>
    <w:rsid w:val="004263FB"/>
    <w:rsid w:val="0042640F"/>
    <w:rsid w:val="00426449"/>
    <w:rsid w:val="0042646C"/>
    <w:rsid w:val="00426503"/>
    <w:rsid w:val="00426575"/>
    <w:rsid w:val="00426599"/>
    <w:rsid w:val="00426659"/>
    <w:rsid w:val="00426793"/>
    <w:rsid w:val="004267AB"/>
    <w:rsid w:val="004267B1"/>
    <w:rsid w:val="004267F4"/>
    <w:rsid w:val="004268CF"/>
    <w:rsid w:val="004268DE"/>
    <w:rsid w:val="00426947"/>
    <w:rsid w:val="0042695A"/>
    <w:rsid w:val="00426A3D"/>
    <w:rsid w:val="00426B09"/>
    <w:rsid w:val="00426B30"/>
    <w:rsid w:val="00426B46"/>
    <w:rsid w:val="00426C23"/>
    <w:rsid w:val="00426C7A"/>
    <w:rsid w:val="00426D60"/>
    <w:rsid w:val="00426DAE"/>
    <w:rsid w:val="00426E28"/>
    <w:rsid w:val="00426E5B"/>
    <w:rsid w:val="00426EA8"/>
    <w:rsid w:val="00426EE4"/>
    <w:rsid w:val="00426EF6"/>
    <w:rsid w:val="00426F0C"/>
    <w:rsid w:val="00426F4B"/>
    <w:rsid w:val="00426FD6"/>
    <w:rsid w:val="00426FD9"/>
    <w:rsid w:val="004270EF"/>
    <w:rsid w:val="00427178"/>
    <w:rsid w:val="0042719A"/>
    <w:rsid w:val="004271A4"/>
    <w:rsid w:val="004271FE"/>
    <w:rsid w:val="00427207"/>
    <w:rsid w:val="004272CB"/>
    <w:rsid w:val="004272E5"/>
    <w:rsid w:val="0042732D"/>
    <w:rsid w:val="00427385"/>
    <w:rsid w:val="004273CD"/>
    <w:rsid w:val="004274B1"/>
    <w:rsid w:val="00427533"/>
    <w:rsid w:val="00427589"/>
    <w:rsid w:val="0042759B"/>
    <w:rsid w:val="004275C9"/>
    <w:rsid w:val="0042765E"/>
    <w:rsid w:val="0042768F"/>
    <w:rsid w:val="004276C2"/>
    <w:rsid w:val="00427822"/>
    <w:rsid w:val="00427844"/>
    <w:rsid w:val="00427942"/>
    <w:rsid w:val="00427951"/>
    <w:rsid w:val="0042797E"/>
    <w:rsid w:val="00427A79"/>
    <w:rsid w:val="00427AB8"/>
    <w:rsid w:val="00427B59"/>
    <w:rsid w:val="00427B69"/>
    <w:rsid w:val="00427B72"/>
    <w:rsid w:val="00427B8F"/>
    <w:rsid w:val="00427C18"/>
    <w:rsid w:val="00427C54"/>
    <w:rsid w:val="00427CB0"/>
    <w:rsid w:val="00427CBF"/>
    <w:rsid w:val="00427DAF"/>
    <w:rsid w:val="00427E24"/>
    <w:rsid w:val="00427E2A"/>
    <w:rsid w:val="00427E9F"/>
    <w:rsid w:val="00427F92"/>
    <w:rsid w:val="00427FEF"/>
    <w:rsid w:val="00430005"/>
    <w:rsid w:val="00430056"/>
    <w:rsid w:val="0043011B"/>
    <w:rsid w:val="0043015F"/>
    <w:rsid w:val="0043017B"/>
    <w:rsid w:val="00430197"/>
    <w:rsid w:val="004301B0"/>
    <w:rsid w:val="0043025E"/>
    <w:rsid w:val="00430288"/>
    <w:rsid w:val="0043033B"/>
    <w:rsid w:val="00430393"/>
    <w:rsid w:val="004303B4"/>
    <w:rsid w:val="004303EC"/>
    <w:rsid w:val="004303FB"/>
    <w:rsid w:val="00430455"/>
    <w:rsid w:val="00430559"/>
    <w:rsid w:val="004305E0"/>
    <w:rsid w:val="0043063B"/>
    <w:rsid w:val="004306D6"/>
    <w:rsid w:val="004307EE"/>
    <w:rsid w:val="00430806"/>
    <w:rsid w:val="0043081B"/>
    <w:rsid w:val="00430938"/>
    <w:rsid w:val="0043095C"/>
    <w:rsid w:val="00430B55"/>
    <w:rsid w:val="00430B78"/>
    <w:rsid w:val="00430B79"/>
    <w:rsid w:val="00430B8B"/>
    <w:rsid w:val="00430BC2"/>
    <w:rsid w:val="00430C2D"/>
    <w:rsid w:val="00430C65"/>
    <w:rsid w:val="00430D43"/>
    <w:rsid w:val="00430F2E"/>
    <w:rsid w:val="00430F87"/>
    <w:rsid w:val="00430FBC"/>
    <w:rsid w:val="00430FD0"/>
    <w:rsid w:val="00431045"/>
    <w:rsid w:val="0043108E"/>
    <w:rsid w:val="00431095"/>
    <w:rsid w:val="00431188"/>
    <w:rsid w:val="004311B7"/>
    <w:rsid w:val="00431218"/>
    <w:rsid w:val="0043121B"/>
    <w:rsid w:val="0043124E"/>
    <w:rsid w:val="00431277"/>
    <w:rsid w:val="004312A8"/>
    <w:rsid w:val="004312AF"/>
    <w:rsid w:val="004313AB"/>
    <w:rsid w:val="004313AE"/>
    <w:rsid w:val="004313DD"/>
    <w:rsid w:val="00431402"/>
    <w:rsid w:val="0043146B"/>
    <w:rsid w:val="00431493"/>
    <w:rsid w:val="00431564"/>
    <w:rsid w:val="004315A7"/>
    <w:rsid w:val="0043160D"/>
    <w:rsid w:val="00431639"/>
    <w:rsid w:val="00431662"/>
    <w:rsid w:val="00431678"/>
    <w:rsid w:val="0043168C"/>
    <w:rsid w:val="00431739"/>
    <w:rsid w:val="00431747"/>
    <w:rsid w:val="00431877"/>
    <w:rsid w:val="004318D6"/>
    <w:rsid w:val="00431926"/>
    <w:rsid w:val="00431A70"/>
    <w:rsid w:val="00431AAA"/>
    <w:rsid w:val="00431BC2"/>
    <w:rsid w:val="00431BC4"/>
    <w:rsid w:val="00431C15"/>
    <w:rsid w:val="00431C62"/>
    <w:rsid w:val="00431D02"/>
    <w:rsid w:val="00431D35"/>
    <w:rsid w:val="00431DC0"/>
    <w:rsid w:val="00431EC6"/>
    <w:rsid w:val="00432094"/>
    <w:rsid w:val="004320B5"/>
    <w:rsid w:val="0043219E"/>
    <w:rsid w:val="004321A5"/>
    <w:rsid w:val="004321A7"/>
    <w:rsid w:val="004321C4"/>
    <w:rsid w:val="004321D1"/>
    <w:rsid w:val="00432238"/>
    <w:rsid w:val="0043228B"/>
    <w:rsid w:val="00432462"/>
    <w:rsid w:val="0043255C"/>
    <w:rsid w:val="004325A5"/>
    <w:rsid w:val="004325A8"/>
    <w:rsid w:val="00432604"/>
    <w:rsid w:val="00432742"/>
    <w:rsid w:val="00432782"/>
    <w:rsid w:val="004327AF"/>
    <w:rsid w:val="00432941"/>
    <w:rsid w:val="00432BE7"/>
    <w:rsid w:val="00432C5D"/>
    <w:rsid w:val="00432CF6"/>
    <w:rsid w:val="00432D67"/>
    <w:rsid w:val="00432F58"/>
    <w:rsid w:val="00432F77"/>
    <w:rsid w:val="00433028"/>
    <w:rsid w:val="0043324D"/>
    <w:rsid w:val="0043327C"/>
    <w:rsid w:val="0043331F"/>
    <w:rsid w:val="0043334D"/>
    <w:rsid w:val="004333E9"/>
    <w:rsid w:val="00433503"/>
    <w:rsid w:val="00433643"/>
    <w:rsid w:val="004336AF"/>
    <w:rsid w:val="00433722"/>
    <w:rsid w:val="00433833"/>
    <w:rsid w:val="0043383C"/>
    <w:rsid w:val="004338CD"/>
    <w:rsid w:val="004338E8"/>
    <w:rsid w:val="00433960"/>
    <w:rsid w:val="00433A62"/>
    <w:rsid w:val="00433A7A"/>
    <w:rsid w:val="00433AAA"/>
    <w:rsid w:val="00433AB4"/>
    <w:rsid w:val="00433AB6"/>
    <w:rsid w:val="00433AE1"/>
    <w:rsid w:val="00433B0D"/>
    <w:rsid w:val="00433B6D"/>
    <w:rsid w:val="00433C2A"/>
    <w:rsid w:val="00433CA8"/>
    <w:rsid w:val="00433D5A"/>
    <w:rsid w:val="00433E65"/>
    <w:rsid w:val="00433E72"/>
    <w:rsid w:val="00434089"/>
    <w:rsid w:val="0043408B"/>
    <w:rsid w:val="00434142"/>
    <w:rsid w:val="00434145"/>
    <w:rsid w:val="00434191"/>
    <w:rsid w:val="0043419C"/>
    <w:rsid w:val="004341F0"/>
    <w:rsid w:val="00434221"/>
    <w:rsid w:val="004342BC"/>
    <w:rsid w:val="0043430D"/>
    <w:rsid w:val="0043431D"/>
    <w:rsid w:val="0043432E"/>
    <w:rsid w:val="004343BB"/>
    <w:rsid w:val="004343C1"/>
    <w:rsid w:val="004343F3"/>
    <w:rsid w:val="004343FB"/>
    <w:rsid w:val="0043440B"/>
    <w:rsid w:val="0043449E"/>
    <w:rsid w:val="0043455E"/>
    <w:rsid w:val="004345AE"/>
    <w:rsid w:val="004345D5"/>
    <w:rsid w:val="004345F6"/>
    <w:rsid w:val="00434749"/>
    <w:rsid w:val="0043474E"/>
    <w:rsid w:val="004347BA"/>
    <w:rsid w:val="004347BB"/>
    <w:rsid w:val="004347BC"/>
    <w:rsid w:val="004347EC"/>
    <w:rsid w:val="00434840"/>
    <w:rsid w:val="0043484F"/>
    <w:rsid w:val="0043497B"/>
    <w:rsid w:val="004349E0"/>
    <w:rsid w:val="00434A0D"/>
    <w:rsid w:val="00434A76"/>
    <w:rsid w:val="00434ACA"/>
    <w:rsid w:val="00434ADD"/>
    <w:rsid w:val="00434B5E"/>
    <w:rsid w:val="00434BF8"/>
    <w:rsid w:val="00434C3A"/>
    <w:rsid w:val="00434C71"/>
    <w:rsid w:val="00434CB4"/>
    <w:rsid w:val="00434D76"/>
    <w:rsid w:val="00434DA2"/>
    <w:rsid w:val="00434E43"/>
    <w:rsid w:val="00434E4B"/>
    <w:rsid w:val="00434F24"/>
    <w:rsid w:val="00434FAE"/>
    <w:rsid w:val="0043504C"/>
    <w:rsid w:val="00435062"/>
    <w:rsid w:val="00435158"/>
    <w:rsid w:val="0043519D"/>
    <w:rsid w:val="004351A5"/>
    <w:rsid w:val="0043524A"/>
    <w:rsid w:val="00435288"/>
    <w:rsid w:val="004352A9"/>
    <w:rsid w:val="004352D6"/>
    <w:rsid w:val="004352EF"/>
    <w:rsid w:val="00435307"/>
    <w:rsid w:val="0043537C"/>
    <w:rsid w:val="00435470"/>
    <w:rsid w:val="00435475"/>
    <w:rsid w:val="00435537"/>
    <w:rsid w:val="0043553F"/>
    <w:rsid w:val="00435554"/>
    <w:rsid w:val="00435573"/>
    <w:rsid w:val="00435591"/>
    <w:rsid w:val="0043564C"/>
    <w:rsid w:val="004356B1"/>
    <w:rsid w:val="00435783"/>
    <w:rsid w:val="0043582F"/>
    <w:rsid w:val="00435850"/>
    <w:rsid w:val="0043587F"/>
    <w:rsid w:val="004358B4"/>
    <w:rsid w:val="004359F7"/>
    <w:rsid w:val="00435A51"/>
    <w:rsid w:val="00435AB2"/>
    <w:rsid w:val="00435B12"/>
    <w:rsid w:val="00435B14"/>
    <w:rsid w:val="00435B1C"/>
    <w:rsid w:val="00435B23"/>
    <w:rsid w:val="00435BE6"/>
    <w:rsid w:val="00435E01"/>
    <w:rsid w:val="00435E0A"/>
    <w:rsid w:val="00435E8D"/>
    <w:rsid w:val="00435F51"/>
    <w:rsid w:val="00435F96"/>
    <w:rsid w:val="00435FA2"/>
    <w:rsid w:val="00435FCB"/>
    <w:rsid w:val="00436051"/>
    <w:rsid w:val="0043609D"/>
    <w:rsid w:val="004360B1"/>
    <w:rsid w:val="004360DB"/>
    <w:rsid w:val="00436116"/>
    <w:rsid w:val="0043614C"/>
    <w:rsid w:val="004361C4"/>
    <w:rsid w:val="0043624C"/>
    <w:rsid w:val="004362A8"/>
    <w:rsid w:val="004362E9"/>
    <w:rsid w:val="004362F1"/>
    <w:rsid w:val="00436316"/>
    <w:rsid w:val="00436352"/>
    <w:rsid w:val="00436358"/>
    <w:rsid w:val="0043639D"/>
    <w:rsid w:val="00436429"/>
    <w:rsid w:val="0043647E"/>
    <w:rsid w:val="00436529"/>
    <w:rsid w:val="00436596"/>
    <w:rsid w:val="004365A6"/>
    <w:rsid w:val="004365B9"/>
    <w:rsid w:val="004365D4"/>
    <w:rsid w:val="004365E6"/>
    <w:rsid w:val="00436604"/>
    <w:rsid w:val="00436612"/>
    <w:rsid w:val="0043669B"/>
    <w:rsid w:val="0043669F"/>
    <w:rsid w:val="00436725"/>
    <w:rsid w:val="00436787"/>
    <w:rsid w:val="004367A5"/>
    <w:rsid w:val="00436872"/>
    <w:rsid w:val="004368A3"/>
    <w:rsid w:val="0043690F"/>
    <w:rsid w:val="00436933"/>
    <w:rsid w:val="00436954"/>
    <w:rsid w:val="0043696B"/>
    <w:rsid w:val="00436988"/>
    <w:rsid w:val="00436AD1"/>
    <w:rsid w:val="00436C32"/>
    <w:rsid w:val="00436CAB"/>
    <w:rsid w:val="00436D7C"/>
    <w:rsid w:val="00436E4F"/>
    <w:rsid w:val="00436EE7"/>
    <w:rsid w:val="00437014"/>
    <w:rsid w:val="00437134"/>
    <w:rsid w:val="00437154"/>
    <w:rsid w:val="004371F4"/>
    <w:rsid w:val="00437238"/>
    <w:rsid w:val="0043737F"/>
    <w:rsid w:val="004373B1"/>
    <w:rsid w:val="004373FE"/>
    <w:rsid w:val="00437449"/>
    <w:rsid w:val="00437471"/>
    <w:rsid w:val="004374C4"/>
    <w:rsid w:val="004374DA"/>
    <w:rsid w:val="004374DE"/>
    <w:rsid w:val="00437503"/>
    <w:rsid w:val="00437556"/>
    <w:rsid w:val="00437606"/>
    <w:rsid w:val="0043762D"/>
    <w:rsid w:val="00437638"/>
    <w:rsid w:val="004376CE"/>
    <w:rsid w:val="00437760"/>
    <w:rsid w:val="00437768"/>
    <w:rsid w:val="00437793"/>
    <w:rsid w:val="00437850"/>
    <w:rsid w:val="00437943"/>
    <w:rsid w:val="00437966"/>
    <w:rsid w:val="00437BB8"/>
    <w:rsid w:val="00437BCE"/>
    <w:rsid w:val="00437C0A"/>
    <w:rsid w:val="00437C0D"/>
    <w:rsid w:val="00437D37"/>
    <w:rsid w:val="00437D6D"/>
    <w:rsid w:val="00437DA3"/>
    <w:rsid w:val="00437DB5"/>
    <w:rsid w:val="00437DC8"/>
    <w:rsid w:val="00437DEA"/>
    <w:rsid w:val="00437DF3"/>
    <w:rsid w:val="00437DF8"/>
    <w:rsid w:val="00437E17"/>
    <w:rsid w:val="00437E64"/>
    <w:rsid w:val="00437E69"/>
    <w:rsid w:val="00437EDD"/>
    <w:rsid w:val="00437EF0"/>
    <w:rsid w:val="00437F2F"/>
    <w:rsid w:val="00437F50"/>
    <w:rsid w:val="00440170"/>
    <w:rsid w:val="0044018C"/>
    <w:rsid w:val="004401A3"/>
    <w:rsid w:val="004402F8"/>
    <w:rsid w:val="0044034E"/>
    <w:rsid w:val="00440355"/>
    <w:rsid w:val="00440357"/>
    <w:rsid w:val="004403A3"/>
    <w:rsid w:val="0044048B"/>
    <w:rsid w:val="004404A7"/>
    <w:rsid w:val="004404B7"/>
    <w:rsid w:val="004404C6"/>
    <w:rsid w:val="004404F5"/>
    <w:rsid w:val="00440510"/>
    <w:rsid w:val="00440558"/>
    <w:rsid w:val="00440574"/>
    <w:rsid w:val="00440689"/>
    <w:rsid w:val="004406AA"/>
    <w:rsid w:val="004406E8"/>
    <w:rsid w:val="0044070C"/>
    <w:rsid w:val="004407E1"/>
    <w:rsid w:val="0044080D"/>
    <w:rsid w:val="00440874"/>
    <w:rsid w:val="004408DD"/>
    <w:rsid w:val="00440AE7"/>
    <w:rsid w:val="00440AEA"/>
    <w:rsid w:val="00440B45"/>
    <w:rsid w:val="00440D79"/>
    <w:rsid w:val="00440E0F"/>
    <w:rsid w:val="00440E3F"/>
    <w:rsid w:val="00440FC6"/>
    <w:rsid w:val="00441091"/>
    <w:rsid w:val="004410C7"/>
    <w:rsid w:val="0044111C"/>
    <w:rsid w:val="00441125"/>
    <w:rsid w:val="0044116F"/>
    <w:rsid w:val="0044119A"/>
    <w:rsid w:val="004411D1"/>
    <w:rsid w:val="00441202"/>
    <w:rsid w:val="0044134D"/>
    <w:rsid w:val="004413A9"/>
    <w:rsid w:val="004413D3"/>
    <w:rsid w:val="004413DA"/>
    <w:rsid w:val="004414B0"/>
    <w:rsid w:val="004414CA"/>
    <w:rsid w:val="004414F7"/>
    <w:rsid w:val="00441545"/>
    <w:rsid w:val="00441583"/>
    <w:rsid w:val="00441621"/>
    <w:rsid w:val="00441629"/>
    <w:rsid w:val="00441659"/>
    <w:rsid w:val="0044169B"/>
    <w:rsid w:val="004416D9"/>
    <w:rsid w:val="004417C1"/>
    <w:rsid w:val="004417DF"/>
    <w:rsid w:val="004417FB"/>
    <w:rsid w:val="004418E0"/>
    <w:rsid w:val="00441905"/>
    <w:rsid w:val="00441919"/>
    <w:rsid w:val="0044192A"/>
    <w:rsid w:val="0044197C"/>
    <w:rsid w:val="00441989"/>
    <w:rsid w:val="004419B0"/>
    <w:rsid w:val="004419E7"/>
    <w:rsid w:val="00441BFF"/>
    <w:rsid w:val="00441C1E"/>
    <w:rsid w:val="00441C1F"/>
    <w:rsid w:val="00441CC3"/>
    <w:rsid w:val="00441CEC"/>
    <w:rsid w:val="00441D00"/>
    <w:rsid w:val="00441DCD"/>
    <w:rsid w:val="00441E07"/>
    <w:rsid w:val="00441E58"/>
    <w:rsid w:val="00441ED6"/>
    <w:rsid w:val="00441EEC"/>
    <w:rsid w:val="00441EEF"/>
    <w:rsid w:val="00442044"/>
    <w:rsid w:val="00442059"/>
    <w:rsid w:val="00442128"/>
    <w:rsid w:val="004421DB"/>
    <w:rsid w:val="004421FD"/>
    <w:rsid w:val="0044221E"/>
    <w:rsid w:val="00442232"/>
    <w:rsid w:val="00442237"/>
    <w:rsid w:val="00442255"/>
    <w:rsid w:val="0044227B"/>
    <w:rsid w:val="00442288"/>
    <w:rsid w:val="004422A5"/>
    <w:rsid w:val="004422E4"/>
    <w:rsid w:val="004422F1"/>
    <w:rsid w:val="004423ED"/>
    <w:rsid w:val="00442468"/>
    <w:rsid w:val="0044246D"/>
    <w:rsid w:val="0044249A"/>
    <w:rsid w:val="004424A0"/>
    <w:rsid w:val="004424A6"/>
    <w:rsid w:val="004424EF"/>
    <w:rsid w:val="00442526"/>
    <w:rsid w:val="0044254D"/>
    <w:rsid w:val="00442655"/>
    <w:rsid w:val="0044268D"/>
    <w:rsid w:val="004427B7"/>
    <w:rsid w:val="004427FB"/>
    <w:rsid w:val="00442847"/>
    <w:rsid w:val="00442870"/>
    <w:rsid w:val="004428A1"/>
    <w:rsid w:val="004428D1"/>
    <w:rsid w:val="00442966"/>
    <w:rsid w:val="0044296C"/>
    <w:rsid w:val="0044298C"/>
    <w:rsid w:val="004429DF"/>
    <w:rsid w:val="00442A15"/>
    <w:rsid w:val="00442A5B"/>
    <w:rsid w:val="00442A8F"/>
    <w:rsid w:val="00442B16"/>
    <w:rsid w:val="00442B88"/>
    <w:rsid w:val="00442BF5"/>
    <w:rsid w:val="00442CCD"/>
    <w:rsid w:val="00442CD1"/>
    <w:rsid w:val="00442D46"/>
    <w:rsid w:val="00442E48"/>
    <w:rsid w:val="00442E6E"/>
    <w:rsid w:val="00442F29"/>
    <w:rsid w:val="00442F2C"/>
    <w:rsid w:val="00442F3E"/>
    <w:rsid w:val="00442FAA"/>
    <w:rsid w:val="00442FC9"/>
    <w:rsid w:val="004430FC"/>
    <w:rsid w:val="00443164"/>
    <w:rsid w:val="00443222"/>
    <w:rsid w:val="0044330A"/>
    <w:rsid w:val="0044331D"/>
    <w:rsid w:val="0044338F"/>
    <w:rsid w:val="004433E1"/>
    <w:rsid w:val="0044347F"/>
    <w:rsid w:val="004434E4"/>
    <w:rsid w:val="00443579"/>
    <w:rsid w:val="0044359B"/>
    <w:rsid w:val="0044365D"/>
    <w:rsid w:val="004436CE"/>
    <w:rsid w:val="00443709"/>
    <w:rsid w:val="004437B9"/>
    <w:rsid w:val="0044381F"/>
    <w:rsid w:val="00443820"/>
    <w:rsid w:val="004438FA"/>
    <w:rsid w:val="00443952"/>
    <w:rsid w:val="00443A66"/>
    <w:rsid w:val="00443A71"/>
    <w:rsid w:val="00443B2E"/>
    <w:rsid w:val="00443B7B"/>
    <w:rsid w:val="00443B96"/>
    <w:rsid w:val="00443BBE"/>
    <w:rsid w:val="00443D50"/>
    <w:rsid w:val="00443D54"/>
    <w:rsid w:val="00443D7C"/>
    <w:rsid w:val="00443DA2"/>
    <w:rsid w:val="00443E22"/>
    <w:rsid w:val="00443F06"/>
    <w:rsid w:val="00443F1E"/>
    <w:rsid w:val="00443F72"/>
    <w:rsid w:val="00444008"/>
    <w:rsid w:val="0044401A"/>
    <w:rsid w:val="0044404A"/>
    <w:rsid w:val="0044415E"/>
    <w:rsid w:val="0044417F"/>
    <w:rsid w:val="00444181"/>
    <w:rsid w:val="004441A2"/>
    <w:rsid w:val="00444239"/>
    <w:rsid w:val="0044429A"/>
    <w:rsid w:val="004442F0"/>
    <w:rsid w:val="00444335"/>
    <w:rsid w:val="00444374"/>
    <w:rsid w:val="004443C3"/>
    <w:rsid w:val="004444C9"/>
    <w:rsid w:val="004445B1"/>
    <w:rsid w:val="004445E7"/>
    <w:rsid w:val="00444686"/>
    <w:rsid w:val="004446C6"/>
    <w:rsid w:val="0044473B"/>
    <w:rsid w:val="00444766"/>
    <w:rsid w:val="00444878"/>
    <w:rsid w:val="004448A3"/>
    <w:rsid w:val="004448A5"/>
    <w:rsid w:val="004448B7"/>
    <w:rsid w:val="004448E0"/>
    <w:rsid w:val="004449D3"/>
    <w:rsid w:val="00444AC9"/>
    <w:rsid w:val="00444BED"/>
    <w:rsid w:val="00444CF5"/>
    <w:rsid w:val="00444D2E"/>
    <w:rsid w:val="00444D7B"/>
    <w:rsid w:val="00444DAA"/>
    <w:rsid w:val="00444DF1"/>
    <w:rsid w:val="00444E83"/>
    <w:rsid w:val="00444EBB"/>
    <w:rsid w:val="00444EDF"/>
    <w:rsid w:val="00444EE0"/>
    <w:rsid w:val="00444F00"/>
    <w:rsid w:val="00444F6F"/>
    <w:rsid w:val="00444FA5"/>
    <w:rsid w:val="00444FAF"/>
    <w:rsid w:val="00445064"/>
    <w:rsid w:val="004450C9"/>
    <w:rsid w:val="004450F8"/>
    <w:rsid w:val="0044512B"/>
    <w:rsid w:val="00445158"/>
    <w:rsid w:val="004451A9"/>
    <w:rsid w:val="004451EB"/>
    <w:rsid w:val="00445221"/>
    <w:rsid w:val="0044525C"/>
    <w:rsid w:val="0044527F"/>
    <w:rsid w:val="004452E3"/>
    <w:rsid w:val="00445323"/>
    <w:rsid w:val="00445331"/>
    <w:rsid w:val="0044533D"/>
    <w:rsid w:val="00445387"/>
    <w:rsid w:val="004453C9"/>
    <w:rsid w:val="00445409"/>
    <w:rsid w:val="004454A1"/>
    <w:rsid w:val="004454E0"/>
    <w:rsid w:val="00445517"/>
    <w:rsid w:val="0044556F"/>
    <w:rsid w:val="004455B8"/>
    <w:rsid w:val="004455DD"/>
    <w:rsid w:val="00445696"/>
    <w:rsid w:val="00445771"/>
    <w:rsid w:val="00445799"/>
    <w:rsid w:val="0044579B"/>
    <w:rsid w:val="004457E6"/>
    <w:rsid w:val="0044594C"/>
    <w:rsid w:val="00445956"/>
    <w:rsid w:val="00445958"/>
    <w:rsid w:val="00445978"/>
    <w:rsid w:val="00445A7E"/>
    <w:rsid w:val="00445B2A"/>
    <w:rsid w:val="00445B6B"/>
    <w:rsid w:val="00445BB7"/>
    <w:rsid w:val="00445C4E"/>
    <w:rsid w:val="00445C95"/>
    <w:rsid w:val="00445E44"/>
    <w:rsid w:val="00445F7B"/>
    <w:rsid w:val="00445F81"/>
    <w:rsid w:val="00445F92"/>
    <w:rsid w:val="00446031"/>
    <w:rsid w:val="0044605D"/>
    <w:rsid w:val="004460A4"/>
    <w:rsid w:val="004460A6"/>
    <w:rsid w:val="004460EB"/>
    <w:rsid w:val="00446249"/>
    <w:rsid w:val="0044635F"/>
    <w:rsid w:val="00446428"/>
    <w:rsid w:val="0044646A"/>
    <w:rsid w:val="004464EF"/>
    <w:rsid w:val="004464F6"/>
    <w:rsid w:val="0044650C"/>
    <w:rsid w:val="00446557"/>
    <w:rsid w:val="004466F2"/>
    <w:rsid w:val="00446745"/>
    <w:rsid w:val="00446878"/>
    <w:rsid w:val="004468A5"/>
    <w:rsid w:val="00446971"/>
    <w:rsid w:val="00446999"/>
    <w:rsid w:val="004469C4"/>
    <w:rsid w:val="00446A65"/>
    <w:rsid w:val="00446AE7"/>
    <w:rsid w:val="00446BA4"/>
    <w:rsid w:val="00446BC7"/>
    <w:rsid w:val="00446C11"/>
    <w:rsid w:val="00446C2E"/>
    <w:rsid w:val="00446C5A"/>
    <w:rsid w:val="00446C6D"/>
    <w:rsid w:val="00446D0B"/>
    <w:rsid w:val="00446D44"/>
    <w:rsid w:val="00446E83"/>
    <w:rsid w:val="00446ECC"/>
    <w:rsid w:val="00446EF0"/>
    <w:rsid w:val="00446F0F"/>
    <w:rsid w:val="00446FDD"/>
    <w:rsid w:val="004470E9"/>
    <w:rsid w:val="00447134"/>
    <w:rsid w:val="00447166"/>
    <w:rsid w:val="004471F3"/>
    <w:rsid w:val="00447237"/>
    <w:rsid w:val="00447239"/>
    <w:rsid w:val="004472A9"/>
    <w:rsid w:val="00447376"/>
    <w:rsid w:val="004473F8"/>
    <w:rsid w:val="0044751F"/>
    <w:rsid w:val="00447550"/>
    <w:rsid w:val="00447554"/>
    <w:rsid w:val="00447572"/>
    <w:rsid w:val="00447573"/>
    <w:rsid w:val="0044757B"/>
    <w:rsid w:val="00447745"/>
    <w:rsid w:val="00447866"/>
    <w:rsid w:val="00447874"/>
    <w:rsid w:val="004479BA"/>
    <w:rsid w:val="004479DC"/>
    <w:rsid w:val="004479E3"/>
    <w:rsid w:val="00447A9D"/>
    <w:rsid w:val="00447AF3"/>
    <w:rsid w:val="00447B23"/>
    <w:rsid w:val="00447BB0"/>
    <w:rsid w:val="00447C78"/>
    <w:rsid w:val="00447D7B"/>
    <w:rsid w:val="00447E88"/>
    <w:rsid w:val="00447ED8"/>
    <w:rsid w:val="00447F48"/>
    <w:rsid w:val="00447F59"/>
    <w:rsid w:val="00447F6D"/>
    <w:rsid w:val="00447F72"/>
    <w:rsid w:val="00450048"/>
    <w:rsid w:val="00450065"/>
    <w:rsid w:val="0045009C"/>
    <w:rsid w:val="0045012E"/>
    <w:rsid w:val="0045015C"/>
    <w:rsid w:val="004501AF"/>
    <w:rsid w:val="0045024D"/>
    <w:rsid w:val="00450347"/>
    <w:rsid w:val="00450436"/>
    <w:rsid w:val="004504D4"/>
    <w:rsid w:val="00450519"/>
    <w:rsid w:val="0045052C"/>
    <w:rsid w:val="0045055E"/>
    <w:rsid w:val="004505CB"/>
    <w:rsid w:val="00450698"/>
    <w:rsid w:val="004506DE"/>
    <w:rsid w:val="00450713"/>
    <w:rsid w:val="004507DD"/>
    <w:rsid w:val="00450881"/>
    <w:rsid w:val="0045089C"/>
    <w:rsid w:val="00450936"/>
    <w:rsid w:val="004509FC"/>
    <w:rsid w:val="00450A36"/>
    <w:rsid w:val="00450A3B"/>
    <w:rsid w:val="00450A71"/>
    <w:rsid w:val="00450BAF"/>
    <w:rsid w:val="00450C7A"/>
    <w:rsid w:val="00450D49"/>
    <w:rsid w:val="00450D65"/>
    <w:rsid w:val="00450E43"/>
    <w:rsid w:val="00450E65"/>
    <w:rsid w:val="00450E87"/>
    <w:rsid w:val="00450EB0"/>
    <w:rsid w:val="00450EC6"/>
    <w:rsid w:val="00450ECA"/>
    <w:rsid w:val="00450ECD"/>
    <w:rsid w:val="00451022"/>
    <w:rsid w:val="0045115B"/>
    <w:rsid w:val="00451168"/>
    <w:rsid w:val="004511B3"/>
    <w:rsid w:val="004511F8"/>
    <w:rsid w:val="0045124A"/>
    <w:rsid w:val="004513A6"/>
    <w:rsid w:val="004514F5"/>
    <w:rsid w:val="00451594"/>
    <w:rsid w:val="00451599"/>
    <w:rsid w:val="004515FF"/>
    <w:rsid w:val="004516C9"/>
    <w:rsid w:val="004516CB"/>
    <w:rsid w:val="004516FA"/>
    <w:rsid w:val="00451771"/>
    <w:rsid w:val="0045187B"/>
    <w:rsid w:val="004518E5"/>
    <w:rsid w:val="0045190C"/>
    <w:rsid w:val="00451924"/>
    <w:rsid w:val="004519A4"/>
    <w:rsid w:val="004519B7"/>
    <w:rsid w:val="00451A35"/>
    <w:rsid w:val="00451AE3"/>
    <w:rsid w:val="00451B7D"/>
    <w:rsid w:val="00451BB5"/>
    <w:rsid w:val="00451BC7"/>
    <w:rsid w:val="00451BF3"/>
    <w:rsid w:val="00451D32"/>
    <w:rsid w:val="00451D75"/>
    <w:rsid w:val="00451D86"/>
    <w:rsid w:val="00451E87"/>
    <w:rsid w:val="00451EE4"/>
    <w:rsid w:val="0045206E"/>
    <w:rsid w:val="004520C3"/>
    <w:rsid w:val="004521EB"/>
    <w:rsid w:val="00452220"/>
    <w:rsid w:val="00452421"/>
    <w:rsid w:val="00452444"/>
    <w:rsid w:val="004524F8"/>
    <w:rsid w:val="00452511"/>
    <w:rsid w:val="0045252E"/>
    <w:rsid w:val="00452535"/>
    <w:rsid w:val="00452554"/>
    <w:rsid w:val="00452569"/>
    <w:rsid w:val="0045268A"/>
    <w:rsid w:val="004526CF"/>
    <w:rsid w:val="004526EC"/>
    <w:rsid w:val="00452738"/>
    <w:rsid w:val="00452762"/>
    <w:rsid w:val="00452776"/>
    <w:rsid w:val="004528EC"/>
    <w:rsid w:val="00452990"/>
    <w:rsid w:val="00452995"/>
    <w:rsid w:val="004529A2"/>
    <w:rsid w:val="004529C3"/>
    <w:rsid w:val="00452A95"/>
    <w:rsid w:val="00452AF1"/>
    <w:rsid w:val="00452B06"/>
    <w:rsid w:val="00452B17"/>
    <w:rsid w:val="00452BB5"/>
    <w:rsid w:val="00452C1C"/>
    <w:rsid w:val="00452C1F"/>
    <w:rsid w:val="00452C4E"/>
    <w:rsid w:val="00452C51"/>
    <w:rsid w:val="00452CB1"/>
    <w:rsid w:val="00452CD3"/>
    <w:rsid w:val="00452CFE"/>
    <w:rsid w:val="00452E2C"/>
    <w:rsid w:val="00452E78"/>
    <w:rsid w:val="00452E7C"/>
    <w:rsid w:val="00452E8E"/>
    <w:rsid w:val="00452F91"/>
    <w:rsid w:val="00452FDD"/>
    <w:rsid w:val="0045317E"/>
    <w:rsid w:val="00453264"/>
    <w:rsid w:val="004532C2"/>
    <w:rsid w:val="004532E8"/>
    <w:rsid w:val="00453326"/>
    <w:rsid w:val="0045332A"/>
    <w:rsid w:val="00453337"/>
    <w:rsid w:val="0045334F"/>
    <w:rsid w:val="0045347C"/>
    <w:rsid w:val="004534E6"/>
    <w:rsid w:val="00453515"/>
    <w:rsid w:val="00453572"/>
    <w:rsid w:val="004535BB"/>
    <w:rsid w:val="0045369D"/>
    <w:rsid w:val="004536DE"/>
    <w:rsid w:val="004536F1"/>
    <w:rsid w:val="004536F9"/>
    <w:rsid w:val="004537C1"/>
    <w:rsid w:val="004537E3"/>
    <w:rsid w:val="00453907"/>
    <w:rsid w:val="00453914"/>
    <w:rsid w:val="00453926"/>
    <w:rsid w:val="0045396E"/>
    <w:rsid w:val="00453A06"/>
    <w:rsid w:val="00453A36"/>
    <w:rsid w:val="00453A4D"/>
    <w:rsid w:val="00453AEB"/>
    <w:rsid w:val="00453B36"/>
    <w:rsid w:val="00453B5F"/>
    <w:rsid w:val="00453B68"/>
    <w:rsid w:val="00453DF8"/>
    <w:rsid w:val="00453E63"/>
    <w:rsid w:val="00453FA2"/>
    <w:rsid w:val="00454008"/>
    <w:rsid w:val="00454065"/>
    <w:rsid w:val="0045409F"/>
    <w:rsid w:val="004540C6"/>
    <w:rsid w:val="004540D2"/>
    <w:rsid w:val="004540EF"/>
    <w:rsid w:val="00454194"/>
    <w:rsid w:val="00454216"/>
    <w:rsid w:val="00454229"/>
    <w:rsid w:val="004542A8"/>
    <w:rsid w:val="00454328"/>
    <w:rsid w:val="0045432A"/>
    <w:rsid w:val="004543C6"/>
    <w:rsid w:val="004543FB"/>
    <w:rsid w:val="00454448"/>
    <w:rsid w:val="00454475"/>
    <w:rsid w:val="00454490"/>
    <w:rsid w:val="004544E5"/>
    <w:rsid w:val="00454535"/>
    <w:rsid w:val="0045454E"/>
    <w:rsid w:val="004545D5"/>
    <w:rsid w:val="004545DF"/>
    <w:rsid w:val="004545F2"/>
    <w:rsid w:val="004545FF"/>
    <w:rsid w:val="0045461B"/>
    <w:rsid w:val="00454666"/>
    <w:rsid w:val="004546BF"/>
    <w:rsid w:val="004546E2"/>
    <w:rsid w:val="004546EC"/>
    <w:rsid w:val="00454727"/>
    <w:rsid w:val="00454786"/>
    <w:rsid w:val="00454802"/>
    <w:rsid w:val="00454844"/>
    <w:rsid w:val="00454860"/>
    <w:rsid w:val="0045486E"/>
    <w:rsid w:val="004549B8"/>
    <w:rsid w:val="00454A31"/>
    <w:rsid w:val="00454A50"/>
    <w:rsid w:val="00454AC6"/>
    <w:rsid w:val="00454B36"/>
    <w:rsid w:val="00454B77"/>
    <w:rsid w:val="00454BDC"/>
    <w:rsid w:val="00454BF3"/>
    <w:rsid w:val="00454BFA"/>
    <w:rsid w:val="00454C39"/>
    <w:rsid w:val="00454CA4"/>
    <w:rsid w:val="00454CD2"/>
    <w:rsid w:val="00454DC0"/>
    <w:rsid w:val="00454DC5"/>
    <w:rsid w:val="00454DCD"/>
    <w:rsid w:val="00454EA9"/>
    <w:rsid w:val="00454EF2"/>
    <w:rsid w:val="00454FEE"/>
    <w:rsid w:val="0045500A"/>
    <w:rsid w:val="00455177"/>
    <w:rsid w:val="0045519D"/>
    <w:rsid w:val="004551AA"/>
    <w:rsid w:val="004551CD"/>
    <w:rsid w:val="004551CF"/>
    <w:rsid w:val="004551D3"/>
    <w:rsid w:val="0045521C"/>
    <w:rsid w:val="004552B2"/>
    <w:rsid w:val="0045530F"/>
    <w:rsid w:val="004553D9"/>
    <w:rsid w:val="004553EF"/>
    <w:rsid w:val="00455434"/>
    <w:rsid w:val="00455439"/>
    <w:rsid w:val="004554E0"/>
    <w:rsid w:val="00455521"/>
    <w:rsid w:val="004555AC"/>
    <w:rsid w:val="004555C8"/>
    <w:rsid w:val="00455615"/>
    <w:rsid w:val="00455743"/>
    <w:rsid w:val="00455782"/>
    <w:rsid w:val="004557D6"/>
    <w:rsid w:val="00455830"/>
    <w:rsid w:val="00455894"/>
    <w:rsid w:val="004558D0"/>
    <w:rsid w:val="004558D1"/>
    <w:rsid w:val="00455A08"/>
    <w:rsid w:val="00455A80"/>
    <w:rsid w:val="00455AB5"/>
    <w:rsid w:val="00455ACB"/>
    <w:rsid w:val="00455AEC"/>
    <w:rsid w:val="00455B60"/>
    <w:rsid w:val="00455BB7"/>
    <w:rsid w:val="00455CC7"/>
    <w:rsid w:val="00455CE0"/>
    <w:rsid w:val="00455CE6"/>
    <w:rsid w:val="00455D3B"/>
    <w:rsid w:val="00455D98"/>
    <w:rsid w:val="00455E62"/>
    <w:rsid w:val="00455F47"/>
    <w:rsid w:val="00455FE9"/>
    <w:rsid w:val="0045600B"/>
    <w:rsid w:val="00456106"/>
    <w:rsid w:val="00456127"/>
    <w:rsid w:val="004561B6"/>
    <w:rsid w:val="004561BA"/>
    <w:rsid w:val="0045624D"/>
    <w:rsid w:val="00456333"/>
    <w:rsid w:val="00456369"/>
    <w:rsid w:val="0045638A"/>
    <w:rsid w:val="004563AC"/>
    <w:rsid w:val="00456432"/>
    <w:rsid w:val="00456467"/>
    <w:rsid w:val="004565B0"/>
    <w:rsid w:val="00456613"/>
    <w:rsid w:val="00456673"/>
    <w:rsid w:val="004566AC"/>
    <w:rsid w:val="004566B6"/>
    <w:rsid w:val="004566BE"/>
    <w:rsid w:val="0045672E"/>
    <w:rsid w:val="00456790"/>
    <w:rsid w:val="004567C5"/>
    <w:rsid w:val="004567DC"/>
    <w:rsid w:val="004568B9"/>
    <w:rsid w:val="004568EF"/>
    <w:rsid w:val="004569C2"/>
    <w:rsid w:val="004569C5"/>
    <w:rsid w:val="00456A26"/>
    <w:rsid w:val="00456A38"/>
    <w:rsid w:val="00456B90"/>
    <w:rsid w:val="00456BA2"/>
    <w:rsid w:val="00456D8A"/>
    <w:rsid w:val="00456D94"/>
    <w:rsid w:val="00456DDE"/>
    <w:rsid w:val="00456E6F"/>
    <w:rsid w:val="00456ECE"/>
    <w:rsid w:val="00456F3D"/>
    <w:rsid w:val="00456F3E"/>
    <w:rsid w:val="00456FF1"/>
    <w:rsid w:val="00456FFB"/>
    <w:rsid w:val="004570E0"/>
    <w:rsid w:val="0045712E"/>
    <w:rsid w:val="0045716A"/>
    <w:rsid w:val="00457186"/>
    <w:rsid w:val="004572F2"/>
    <w:rsid w:val="00457334"/>
    <w:rsid w:val="00457393"/>
    <w:rsid w:val="004574D1"/>
    <w:rsid w:val="00457502"/>
    <w:rsid w:val="00457525"/>
    <w:rsid w:val="00457547"/>
    <w:rsid w:val="004575B2"/>
    <w:rsid w:val="004575CA"/>
    <w:rsid w:val="00457626"/>
    <w:rsid w:val="0045765A"/>
    <w:rsid w:val="00457747"/>
    <w:rsid w:val="00457749"/>
    <w:rsid w:val="004577B6"/>
    <w:rsid w:val="004577BE"/>
    <w:rsid w:val="004577D7"/>
    <w:rsid w:val="004577E1"/>
    <w:rsid w:val="004578DC"/>
    <w:rsid w:val="004579F8"/>
    <w:rsid w:val="00457A1B"/>
    <w:rsid w:val="00457A2E"/>
    <w:rsid w:val="00457A42"/>
    <w:rsid w:val="00457ACF"/>
    <w:rsid w:val="00457B8C"/>
    <w:rsid w:val="00457BFC"/>
    <w:rsid w:val="00457C2A"/>
    <w:rsid w:val="00457DA0"/>
    <w:rsid w:val="00457E36"/>
    <w:rsid w:val="00457EA9"/>
    <w:rsid w:val="00457EC9"/>
    <w:rsid w:val="00457F11"/>
    <w:rsid w:val="00457FC7"/>
    <w:rsid w:val="00460030"/>
    <w:rsid w:val="0046007B"/>
    <w:rsid w:val="004600E7"/>
    <w:rsid w:val="0046012B"/>
    <w:rsid w:val="0046017C"/>
    <w:rsid w:val="00460183"/>
    <w:rsid w:val="004601C0"/>
    <w:rsid w:val="004602B7"/>
    <w:rsid w:val="004602DA"/>
    <w:rsid w:val="0046036B"/>
    <w:rsid w:val="0046041D"/>
    <w:rsid w:val="00460550"/>
    <w:rsid w:val="0046058C"/>
    <w:rsid w:val="004605D0"/>
    <w:rsid w:val="004605DD"/>
    <w:rsid w:val="00460643"/>
    <w:rsid w:val="00460671"/>
    <w:rsid w:val="00460712"/>
    <w:rsid w:val="00460764"/>
    <w:rsid w:val="004607BB"/>
    <w:rsid w:val="004607E6"/>
    <w:rsid w:val="004607F2"/>
    <w:rsid w:val="004607F4"/>
    <w:rsid w:val="00460846"/>
    <w:rsid w:val="0046086E"/>
    <w:rsid w:val="004608A4"/>
    <w:rsid w:val="0046096F"/>
    <w:rsid w:val="00460971"/>
    <w:rsid w:val="004609CE"/>
    <w:rsid w:val="00460A6F"/>
    <w:rsid w:val="00460AFF"/>
    <w:rsid w:val="00460B93"/>
    <w:rsid w:val="00460D10"/>
    <w:rsid w:val="00460D5F"/>
    <w:rsid w:val="00460E40"/>
    <w:rsid w:val="00460E4C"/>
    <w:rsid w:val="00460EA2"/>
    <w:rsid w:val="00460EC9"/>
    <w:rsid w:val="00460F1E"/>
    <w:rsid w:val="00460F80"/>
    <w:rsid w:val="00460FA0"/>
    <w:rsid w:val="00460FA9"/>
    <w:rsid w:val="00460FD4"/>
    <w:rsid w:val="00460FF4"/>
    <w:rsid w:val="00461003"/>
    <w:rsid w:val="0046107C"/>
    <w:rsid w:val="004610D0"/>
    <w:rsid w:val="00461146"/>
    <w:rsid w:val="004611C3"/>
    <w:rsid w:val="004611C4"/>
    <w:rsid w:val="0046122D"/>
    <w:rsid w:val="0046134B"/>
    <w:rsid w:val="004613A3"/>
    <w:rsid w:val="00461461"/>
    <w:rsid w:val="0046168F"/>
    <w:rsid w:val="0046177F"/>
    <w:rsid w:val="00461788"/>
    <w:rsid w:val="004617D8"/>
    <w:rsid w:val="004617DD"/>
    <w:rsid w:val="0046189F"/>
    <w:rsid w:val="0046195F"/>
    <w:rsid w:val="0046199D"/>
    <w:rsid w:val="00461A02"/>
    <w:rsid w:val="00461A81"/>
    <w:rsid w:val="00461B7A"/>
    <w:rsid w:val="00461B89"/>
    <w:rsid w:val="00461BF7"/>
    <w:rsid w:val="00461C5D"/>
    <w:rsid w:val="00461C7A"/>
    <w:rsid w:val="00461D30"/>
    <w:rsid w:val="00461D55"/>
    <w:rsid w:val="00461E25"/>
    <w:rsid w:val="00461E8F"/>
    <w:rsid w:val="00461E9C"/>
    <w:rsid w:val="00461F4D"/>
    <w:rsid w:val="00461F51"/>
    <w:rsid w:val="00462065"/>
    <w:rsid w:val="00462066"/>
    <w:rsid w:val="00462085"/>
    <w:rsid w:val="00462113"/>
    <w:rsid w:val="00462121"/>
    <w:rsid w:val="00462173"/>
    <w:rsid w:val="004621D5"/>
    <w:rsid w:val="004622C8"/>
    <w:rsid w:val="004622FD"/>
    <w:rsid w:val="004623DB"/>
    <w:rsid w:val="004623F0"/>
    <w:rsid w:val="00462419"/>
    <w:rsid w:val="0046241D"/>
    <w:rsid w:val="00462495"/>
    <w:rsid w:val="004624FB"/>
    <w:rsid w:val="00462508"/>
    <w:rsid w:val="00462533"/>
    <w:rsid w:val="004625AF"/>
    <w:rsid w:val="004625E0"/>
    <w:rsid w:val="0046262E"/>
    <w:rsid w:val="00462631"/>
    <w:rsid w:val="00462662"/>
    <w:rsid w:val="0046273F"/>
    <w:rsid w:val="00462818"/>
    <w:rsid w:val="00462834"/>
    <w:rsid w:val="0046289C"/>
    <w:rsid w:val="00462941"/>
    <w:rsid w:val="0046294F"/>
    <w:rsid w:val="00462A05"/>
    <w:rsid w:val="00462A27"/>
    <w:rsid w:val="00462A61"/>
    <w:rsid w:val="00462C16"/>
    <w:rsid w:val="00462D0D"/>
    <w:rsid w:val="00462D6E"/>
    <w:rsid w:val="00462E0B"/>
    <w:rsid w:val="00462EE5"/>
    <w:rsid w:val="00462F1E"/>
    <w:rsid w:val="00462F61"/>
    <w:rsid w:val="00462F64"/>
    <w:rsid w:val="00463169"/>
    <w:rsid w:val="00463172"/>
    <w:rsid w:val="0046317F"/>
    <w:rsid w:val="00463204"/>
    <w:rsid w:val="004632A0"/>
    <w:rsid w:val="00463339"/>
    <w:rsid w:val="0046342A"/>
    <w:rsid w:val="0046357A"/>
    <w:rsid w:val="004635CB"/>
    <w:rsid w:val="00463603"/>
    <w:rsid w:val="0046361F"/>
    <w:rsid w:val="0046363F"/>
    <w:rsid w:val="00463641"/>
    <w:rsid w:val="0046365D"/>
    <w:rsid w:val="0046367F"/>
    <w:rsid w:val="00463687"/>
    <w:rsid w:val="0046369D"/>
    <w:rsid w:val="004636B4"/>
    <w:rsid w:val="0046380D"/>
    <w:rsid w:val="0046381E"/>
    <w:rsid w:val="00463867"/>
    <w:rsid w:val="004638BF"/>
    <w:rsid w:val="004638C6"/>
    <w:rsid w:val="00463992"/>
    <w:rsid w:val="004639C3"/>
    <w:rsid w:val="00463A3D"/>
    <w:rsid w:val="00463A72"/>
    <w:rsid w:val="00463A7C"/>
    <w:rsid w:val="00463AA5"/>
    <w:rsid w:val="00463AC5"/>
    <w:rsid w:val="00463AFE"/>
    <w:rsid w:val="00463B4E"/>
    <w:rsid w:val="00463C6B"/>
    <w:rsid w:val="00463C90"/>
    <w:rsid w:val="00463CEB"/>
    <w:rsid w:val="00463D6F"/>
    <w:rsid w:val="00463D86"/>
    <w:rsid w:val="00463EAE"/>
    <w:rsid w:val="0046408B"/>
    <w:rsid w:val="004640FF"/>
    <w:rsid w:val="00464134"/>
    <w:rsid w:val="0046419D"/>
    <w:rsid w:val="004641D2"/>
    <w:rsid w:val="0046422E"/>
    <w:rsid w:val="00464294"/>
    <w:rsid w:val="0046429C"/>
    <w:rsid w:val="00464329"/>
    <w:rsid w:val="004643A2"/>
    <w:rsid w:val="00464412"/>
    <w:rsid w:val="00464472"/>
    <w:rsid w:val="0046450C"/>
    <w:rsid w:val="0046457C"/>
    <w:rsid w:val="0046458B"/>
    <w:rsid w:val="004645A3"/>
    <w:rsid w:val="0046470B"/>
    <w:rsid w:val="0046471D"/>
    <w:rsid w:val="00464758"/>
    <w:rsid w:val="004647AE"/>
    <w:rsid w:val="0046480C"/>
    <w:rsid w:val="00464880"/>
    <w:rsid w:val="004648B5"/>
    <w:rsid w:val="004649F0"/>
    <w:rsid w:val="00464A35"/>
    <w:rsid w:val="00464ACA"/>
    <w:rsid w:val="00464B9A"/>
    <w:rsid w:val="00464C0F"/>
    <w:rsid w:val="00464C24"/>
    <w:rsid w:val="00464C29"/>
    <w:rsid w:val="00464C3A"/>
    <w:rsid w:val="00464DFD"/>
    <w:rsid w:val="00464E97"/>
    <w:rsid w:val="00464EBD"/>
    <w:rsid w:val="00464EEE"/>
    <w:rsid w:val="00464F03"/>
    <w:rsid w:val="00464F9F"/>
    <w:rsid w:val="00465041"/>
    <w:rsid w:val="0046505C"/>
    <w:rsid w:val="0046505E"/>
    <w:rsid w:val="0046509C"/>
    <w:rsid w:val="00465115"/>
    <w:rsid w:val="004651A4"/>
    <w:rsid w:val="0046520B"/>
    <w:rsid w:val="00465293"/>
    <w:rsid w:val="004652BC"/>
    <w:rsid w:val="0046533B"/>
    <w:rsid w:val="004653EA"/>
    <w:rsid w:val="00465487"/>
    <w:rsid w:val="004654AC"/>
    <w:rsid w:val="004654F6"/>
    <w:rsid w:val="00465555"/>
    <w:rsid w:val="0046557A"/>
    <w:rsid w:val="0046563C"/>
    <w:rsid w:val="00465675"/>
    <w:rsid w:val="0046568F"/>
    <w:rsid w:val="00465732"/>
    <w:rsid w:val="004657DC"/>
    <w:rsid w:val="0046580F"/>
    <w:rsid w:val="004658C5"/>
    <w:rsid w:val="00465918"/>
    <w:rsid w:val="0046597E"/>
    <w:rsid w:val="004659B5"/>
    <w:rsid w:val="004659E1"/>
    <w:rsid w:val="00465A32"/>
    <w:rsid w:val="00465B1E"/>
    <w:rsid w:val="00465B59"/>
    <w:rsid w:val="00465BE2"/>
    <w:rsid w:val="00465BE3"/>
    <w:rsid w:val="00465C87"/>
    <w:rsid w:val="00465CC7"/>
    <w:rsid w:val="00465D40"/>
    <w:rsid w:val="00465D5D"/>
    <w:rsid w:val="00465E1A"/>
    <w:rsid w:val="00465E1D"/>
    <w:rsid w:val="00465E2F"/>
    <w:rsid w:val="00465E9F"/>
    <w:rsid w:val="00465F98"/>
    <w:rsid w:val="00466052"/>
    <w:rsid w:val="00466132"/>
    <w:rsid w:val="004661C9"/>
    <w:rsid w:val="004661EE"/>
    <w:rsid w:val="00466246"/>
    <w:rsid w:val="00466293"/>
    <w:rsid w:val="00466342"/>
    <w:rsid w:val="00466362"/>
    <w:rsid w:val="0046644E"/>
    <w:rsid w:val="00466461"/>
    <w:rsid w:val="004664EF"/>
    <w:rsid w:val="00466541"/>
    <w:rsid w:val="00466557"/>
    <w:rsid w:val="0046658E"/>
    <w:rsid w:val="00466623"/>
    <w:rsid w:val="004666E2"/>
    <w:rsid w:val="004666F8"/>
    <w:rsid w:val="00466728"/>
    <w:rsid w:val="00466765"/>
    <w:rsid w:val="0046678C"/>
    <w:rsid w:val="004667F5"/>
    <w:rsid w:val="0046682E"/>
    <w:rsid w:val="0046685F"/>
    <w:rsid w:val="0046686D"/>
    <w:rsid w:val="004668A0"/>
    <w:rsid w:val="004668A2"/>
    <w:rsid w:val="004668EF"/>
    <w:rsid w:val="00466975"/>
    <w:rsid w:val="00466AD8"/>
    <w:rsid w:val="00466B55"/>
    <w:rsid w:val="00466B8B"/>
    <w:rsid w:val="00466BA2"/>
    <w:rsid w:val="00466C32"/>
    <w:rsid w:val="00466CBD"/>
    <w:rsid w:val="00466D2A"/>
    <w:rsid w:val="00466D59"/>
    <w:rsid w:val="00466DBB"/>
    <w:rsid w:val="00466E67"/>
    <w:rsid w:val="00466E7B"/>
    <w:rsid w:val="00466E93"/>
    <w:rsid w:val="00466E9E"/>
    <w:rsid w:val="00466F41"/>
    <w:rsid w:val="00467013"/>
    <w:rsid w:val="00467055"/>
    <w:rsid w:val="004670C9"/>
    <w:rsid w:val="0046713B"/>
    <w:rsid w:val="004671A0"/>
    <w:rsid w:val="004671A5"/>
    <w:rsid w:val="004671E1"/>
    <w:rsid w:val="00467209"/>
    <w:rsid w:val="004673C3"/>
    <w:rsid w:val="00467547"/>
    <w:rsid w:val="00467576"/>
    <w:rsid w:val="004675AB"/>
    <w:rsid w:val="00467657"/>
    <w:rsid w:val="004676BC"/>
    <w:rsid w:val="004677A5"/>
    <w:rsid w:val="004677A7"/>
    <w:rsid w:val="0046782F"/>
    <w:rsid w:val="00467850"/>
    <w:rsid w:val="004678BA"/>
    <w:rsid w:val="004678E0"/>
    <w:rsid w:val="00467900"/>
    <w:rsid w:val="004679F5"/>
    <w:rsid w:val="00467A3D"/>
    <w:rsid w:val="00467AC9"/>
    <w:rsid w:val="00467AFA"/>
    <w:rsid w:val="00467B42"/>
    <w:rsid w:val="00467B5E"/>
    <w:rsid w:val="00467B69"/>
    <w:rsid w:val="00467BE6"/>
    <w:rsid w:val="00467BF9"/>
    <w:rsid w:val="00467D56"/>
    <w:rsid w:val="00467DDD"/>
    <w:rsid w:val="00467DED"/>
    <w:rsid w:val="00467E6D"/>
    <w:rsid w:val="00467ECE"/>
    <w:rsid w:val="00467F79"/>
    <w:rsid w:val="00467FE0"/>
    <w:rsid w:val="00470025"/>
    <w:rsid w:val="00470043"/>
    <w:rsid w:val="00470136"/>
    <w:rsid w:val="00470152"/>
    <w:rsid w:val="004702CF"/>
    <w:rsid w:val="004702D3"/>
    <w:rsid w:val="00470326"/>
    <w:rsid w:val="00470335"/>
    <w:rsid w:val="0047035C"/>
    <w:rsid w:val="00470389"/>
    <w:rsid w:val="0047044F"/>
    <w:rsid w:val="00470493"/>
    <w:rsid w:val="00470547"/>
    <w:rsid w:val="004705DA"/>
    <w:rsid w:val="004705E0"/>
    <w:rsid w:val="00470611"/>
    <w:rsid w:val="00470663"/>
    <w:rsid w:val="00470686"/>
    <w:rsid w:val="004706D0"/>
    <w:rsid w:val="004706D9"/>
    <w:rsid w:val="00470811"/>
    <w:rsid w:val="0047086C"/>
    <w:rsid w:val="004708B6"/>
    <w:rsid w:val="004708DC"/>
    <w:rsid w:val="0047090A"/>
    <w:rsid w:val="0047095E"/>
    <w:rsid w:val="00470AA7"/>
    <w:rsid w:val="00470ADD"/>
    <w:rsid w:val="00470B35"/>
    <w:rsid w:val="00470B3D"/>
    <w:rsid w:val="00470C35"/>
    <w:rsid w:val="00470C61"/>
    <w:rsid w:val="00470D71"/>
    <w:rsid w:val="00470E34"/>
    <w:rsid w:val="00470F56"/>
    <w:rsid w:val="00470FCD"/>
    <w:rsid w:val="004710C3"/>
    <w:rsid w:val="00471104"/>
    <w:rsid w:val="00471116"/>
    <w:rsid w:val="004711D6"/>
    <w:rsid w:val="0047126C"/>
    <w:rsid w:val="00471292"/>
    <w:rsid w:val="0047132E"/>
    <w:rsid w:val="004713D6"/>
    <w:rsid w:val="00471516"/>
    <w:rsid w:val="0047151E"/>
    <w:rsid w:val="00471550"/>
    <w:rsid w:val="00471582"/>
    <w:rsid w:val="00471596"/>
    <w:rsid w:val="004715F8"/>
    <w:rsid w:val="00471645"/>
    <w:rsid w:val="00471663"/>
    <w:rsid w:val="0047169C"/>
    <w:rsid w:val="00471772"/>
    <w:rsid w:val="00471779"/>
    <w:rsid w:val="00471782"/>
    <w:rsid w:val="004717E9"/>
    <w:rsid w:val="00471845"/>
    <w:rsid w:val="00471A0B"/>
    <w:rsid w:val="00471B28"/>
    <w:rsid w:val="00471B68"/>
    <w:rsid w:val="00471C03"/>
    <w:rsid w:val="00471D22"/>
    <w:rsid w:val="00471D46"/>
    <w:rsid w:val="00471DAF"/>
    <w:rsid w:val="00471DCD"/>
    <w:rsid w:val="00471E0A"/>
    <w:rsid w:val="00471E32"/>
    <w:rsid w:val="00471E37"/>
    <w:rsid w:val="00471E42"/>
    <w:rsid w:val="00471E81"/>
    <w:rsid w:val="00471EC5"/>
    <w:rsid w:val="00471F30"/>
    <w:rsid w:val="00471F5A"/>
    <w:rsid w:val="00471FA5"/>
    <w:rsid w:val="00471FFD"/>
    <w:rsid w:val="004720BD"/>
    <w:rsid w:val="004720C5"/>
    <w:rsid w:val="00472163"/>
    <w:rsid w:val="004721A0"/>
    <w:rsid w:val="004721E4"/>
    <w:rsid w:val="00472218"/>
    <w:rsid w:val="0047231A"/>
    <w:rsid w:val="0047238B"/>
    <w:rsid w:val="004724A8"/>
    <w:rsid w:val="004724F8"/>
    <w:rsid w:val="004724F9"/>
    <w:rsid w:val="0047253A"/>
    <w:rsid w:val="00472550"/>
    <w:rsid w:val="0047262B"/>
    <w:rsid w:val="00472706"/>
    <w:rsid w:val="00472720"/>
    <w:rsid w:val="004727DD"/>
    <w:rsid w:val="00472882"/>
    <w:rsid w:val="00472ABB"/>
    <w:rsid w:val="00472BA3"/>
    <w:rsid w:val="00472C4B"/>
    <w:rsid w:val="00472CBC"/>
    <w:rsid w:val="00472CD4"/>
    <w:rsid w:val="00472CDD"/>
    <w:rsid w:val="00472D15"/>
    <w:rsid w:val="00472D73"/>
    <w:rsid w:val="00472D84"/>
    <w:rsid w:val="00472E28"/>
    <w:rsid w:val="00472E44"/>
    <w:rsid w:val="00472E6E"/>
    <w:rsid w:val="00472E80"/>
    <w:rsid w:val="00472EB6"/>
    <w:rsid w:val="00472EC5"/>
    <w:rsid w:val="00472ED4"/>
    <w:rsid w:val="00472F37"/>
    <w:rsid w:val="00472F85"/>
    <w:rsid w:val="00472F9A"/>
    <w:rsid w:val="00472FDB"/>
    <w:rsid w:val="00472FFB"/>
    <w:rsid w:val="00473052"/>
    <w:rsid w:val="0047306F"/>
    <w:rsid w:val="00473098"/>
    <w:rsid w:val="00473103"/>
    <w:rsid w:val="00473116"/>
    <w:rsid w:val="004732A0"/>
    <w:rsid w:val="004732ED"/>
    <w:rsid w:val="0047330A"/>
    <w:rsid w:val="0047336C"/>
    <w:rsid w:val="00473392"/>
    <w:rsid w:val="004733B5"/>
    <w:rsid w:val="00473467"/>
    <w:rsid w:val="00473477"/>
    <w:rsid w:val="004734F0"/>
    <w:rsid w:val="004735A3"/>
    <w:rsid w:val="004735E2"/>
    <w:rsid w:val="00473697"/>
    <w:rsid w:val="004737B7"/>
    <w:rsid w:val="004737BA"/>
    <w:rsid w:val="004737D9"/>
    <w:rsid w:val="004737F3"/>
    <w:rsid w:val="00473828"/>
    <w:rsid w:val="0047391D"/>
    <w:rsid w:val="00473922"/>
    <w:rsid w:val="004739C7"/>
    <w:rsid w:val="00473A67"/>
    <w:rsid w:val="00473A82"/>
    <w:rsid w:val="00473A95"/>
    <w:rsid w:val="00473BD5"/>
    <w:rsid w:val="00473BEB"/>
    <w:rsid w:val="00473C2A"/>
    <w:rsid w:val="00473C3D"/>
    <w:rsid w:val="00473C49"/>
    <w:rsid w:val="00473C86"/>
    <w:rsid w:val="00473CB6"/>
    <w:rsid w:val="00473D40"/>
    <w:rsid w:val="00473D6C"/>
    <w:rsid w:val="00473D75"/>
    <w:rsid w:val="00473DC3"/>
    <w:rsid w:val="00473DF0"/>
    <w:rsid w:val="00473E45"/>
    <w:rsid w:val="00473F0A"/>
    <w:rsid w:val="00473F99"/>
    <w:rsid w:val="00474055"/>
    <w:rsid w:val="004740F7"/>
    <w:rsid w:val="00474202"/>
    <w:rsid w:val="00474294"/>
    <w:rsid w:val="00474328"/>
    <w:rsid w:val="0047435C"/>
    <w:rsid w:val="0047444D"/>
    <w:rsid w:val="0047444F"/>
    <w:rsid w:val="004744AF"/>
    <w:rsid w:val="004744EA"/>
    <w:rsid w:val="004746C1"/>
    <w:rsid w:val="004746E5"/>
    <w:rsid w:val="0047473E"/>
    <w:rsid w:val="004747FC"/>
    <w:rsid w:val="0047484B"/>
    <w:rsid w:val="00474874"/>
    <w:rsid w:val="004748DC"/>
    <w:rsid w:val="0047494B"/>
    <w:rsid w:val="00474996"/>
    <w:rsid w:val="004749C7"/>
    <w:rsid w:val="00474A01"/>
    <w:rsid w:val="00474A46"/>
    <w:rsid w:val="00474A49"/>
    <w:rsid w:val="00474AEE"/>
    <w:rsid w:val="00474AFD"/>
    <w:rsid w:val="00474B72"/>
    <w:rsid w:val="00474B7D"/>
    <w:rsid w:val="00474C2F"/>
    <w:rsid w:val="00474CF9"/>
    <w:rsid w:val="00474D51"/>
    <w:rsid w:val="00474D54"/>
    <w:rsid w:val="00474D66"/>
    <w:rsid w:val="00474E64"/>
    <w:rsid w:val="00474EE7"/>
    <w:rsid w:val="00474F04"/>
    <w:rsid w:val="00474F0F"/>
    <w:rsid w:val="00474FBE"/>
    <w:rsid w:val="004750A7"/>
    <w:rsid w:val="00475109"/>
    <w:rsid w:val="0047513B"/>
    <w:rsid w:val="004751BE"/>
    <w:rsid w:val="004751CF"/>
    <w:rsid w:val="004751DB"/>
    <w:rsid w:val="00475226"/>
    <w:rsid w:val="00475254"/>
    <w:rsid w:val="00475293"/>
    <w:rsid w:val="0047529C"/>
    <w:rsid w:val="004752C9"/>
    <w:rsid w:val="004752CF"/>
    <w:rsid w:val="00475334"/>
    <w:rsid w:val="00475373"/>
    <w:rsid w:val="00475407"/>
    <w:rsid w:val="0047544E"/>
    <w:rsid w:val="00475453"/>
    <w:rsid w:val="00475535"/>
    <w:rsid w:val="00475582"/>
    <w:rsid w:val="00475786"/>
    <w:rsid w:val="0047580A"/>
    <w:rsid w:val="00475894"/>
    <w:rsid w:val="00475946"/>
    <w:rsid w:val="00475956"/>
    <w:rsid w:val="0047599E"/>
    <w:rsid w:val="004759A9"/>
    <w:rsid w:val="00475A00"/>
    <w:rsid w:val="00475A24"/>
    <w:rsid w:val="00475A50"/>
    <w:rsid w:val="00475A85"/>
    <w:rsid w:val="00475AAB"/>
    <w:rsid w:val="00475AEA"/>
    <w:rsid w:val="00475B0E"/>
    <w:rsid w:val="00475B57"/>
    <w:rsid w:val="00475B5D"/>
    <w:rsid w:val="00475B87"/>
    <w:rsid w:val="00475C3A"/>
    <w:rsid w:val="00475C4A"/>
    <w:rsid w:val="00475C78"/>
    <w:rsid w:val="00475CE0"/>
    <w:rsid w:val="00475CF9"/>
    <w:rsid w:val="00475DD3"/>
    <w:rsid w:val="00475E44"/>
    <w:rsid w:val="00475E4E"/>
    <w:rsid w:val="00475E5F"/>
    <w:rsid w:val="00475ECD"/>
    <w:rsid w:val="00476011"/>
    <w:rsid w:val="0047604F"/>
    <w:rsid w:val="004760AC"/>
    <w:rsid w:val="004760FE"/>
    <w:rsid w:val="004760FF"/>
    <w:rsid w:val="00476152"/>
    <w:rsid w:val="00476159"/>
    <w:rsid w:val="00476172"/>
    <w:rsid w:val="00476183"/>
    <w:rsid w:val="00476236"/>
    <w:rsid w:val="004762D3"/>
    <w:rsid w:val="00476344"/>
    <w:rsid w:val="00476396"/>
    <w:rsid w:val="004763B4"/>
    <w:rsid w:val="00476501"/>
    <w:rsid w:val="00476540"/>
    <w:rsid w:val="00476673"/>
    <w:rsid w:val="0047669D"/>
    <w:rsid w:val="004766C5"/>
    <w:rsid w:val="004766C7"/>
    <w:rsid w:val="004767B8"/>
    <w:rsid w:val="00476889"/>
    <w:rsid w:val="004768CB"/>
    <w:rsid w:val="00476A31"/>
    <w:rsid w:val="00476AEE"/>
    <w:rsid w:val="00476B0F"/>
    <w:rsid w:val="00476BBF"/>
    <w:rsid w:val="00476C03"/>
    <w:rsid w:val="00476C11"/>
    <w:rsid w:val="00476C27"/>
    <w:rsid w:val="00476D38"/>
    <w:rsid w:val="00476D4E"/>
    <w:rsid w:val="00476E4F"/>
    <w:rsid w:val="00476EAA"/>
    <w:rsid w:val="00476F45"/>
    <w:rsid w:val="00476F4E"/>
    <w:rsid w:val="00476F9E"/>
    <w:rsid w:val="00477022"/>
    <w:rsid w:val="0047709D"/>
    <w:rsid w:val="004770DF"/>
    <w:rsid w:val="0047711E"/>
    <w:rsid w:val="00477260"/>
    <w:rsid w:val="00477297"/>
    <w:rsid w:val="004772BB"/>
    <w:rsid w:val="004772DF"/>
    <w:rsid w:val="00477311"/>
    <w:rsid w:val="00477357"/>
    <w:rsid w:val="00477393"/>
    <w:rsid w:val="0047746F"/>
    <w:rsid w:val="00477483"/>
    <w:rsid w:val="004775DE"/>
    <w:rsid w:val="004775DF"/>
    <w:rsid w:val="004775F5"/>
    <w:rsid w:val="00477677"/>
    <w:rsid w:val="00477691"/>
    <w:rsid w:val="00477706"/>
    <w:rsid w:val="00477740"/>
    <w:rsid w:val="00477747"/>
    <w:rsid w:val="00477763"/>
    <w:rsid w:val="0047782D"/>
    <w:rsid w:val="00477897"/>
    <w:rsid w:val="004778E8"/>
    <w:rsid w:val="00477918"/>
    <w:rsid w:val="00477926"/>
    <w:rsid w:val="00477A70"/>
    <w:rsid w:val="00477ACA"/>
    <w:rsid w:val="00477B96"/>
    <w:rsid w:val="00477C0D"/>
    <w:rsid w:val="00477C1C"/>
    <w:rsid w:val="00477C87"/>
    <w:rsid w:val="00477D05"/>
    <w:rsid w:val="00477D06"/>
    <w:rsid w:val="00477D8B"/>
    <w:rsid w:val="00477E23"/>
    <w:rsid w:val="00477EC6"/>
    <w:rsid w:val="00477ECA"/>
    <w:rsid w:val="00477EEE"/>
    <w:rsid w:val="00477F54"/>
    <w:rsid w:val="0048011A"/>
    <w:rsid w:val="00480134"/>
    <w:rsid w:val="004801C1"/>
    <w:rsid w:val="004802FA"/>
    <w:rsid w:val="00480395"/>
    <w:rsid w:val="004803F1"/>
    <w:rsid w:val="00480418"/>
    <w:rsid w:val="004804EA"/>
    <w:rsid w:val="004804F6"/>
    <w:rsid w:val="00480665"/>
    <w:rsid w:val="00480672"/>
    <w:rsid w:val="0048078F"/>
    <w:rsid w:val="004807A9"/>
    <w:rsid w:val="00480878"/>
    <w:rsid w:val="00480934"/>
    <w:rsid w:val="00480935"/>
    <w:rsid w:val="00480960"/>
    <w:rsid w:val="0048099C"/>
    <w:rsid w:val="00480A4E"/>
    <w:rsid w:val="00480A91"/>
    <w:rsid w:val="00480AB6"/>
    <w:rsid w:val="00480BE9"/>
    <w:rsid w:val="00480C28"/>
    <w:rsid w:val="00480C56"/>
    <w:rsid w:val="00480C84"/>
    <w:rsid w:val="00480D4C"/>
    <w:rsid w:val="00480DAF"/>
    <w:rsid w:val="00480E4C"/>
    <w:rsid w:val="00480EBD"/>
    <w:rsid w:val="00480F7F"/>
    <w:rsid w:val="00481014"/>
    <w:rsid w:val="00481072"/>
    <w:rsid w:val="004810B1"/>
    <w:rsid w:val="0048111F"/>
    <w:rsid w:val="00481216"/>
    <w:rsid w:val="0048134D"/>
    <w:rsid w:val="00481350"/>
    <w:rsid w:val="00481384"/>
    <w:rsid w:val="0048141A"/>
    <w:rsid w:val="004814AD"/>
    <w:rsid w:val="004814EF"/>
    <w:rsid w:val="004814F5"/>
    <w:rsid w:val="0048156B"/>
    <w:rsid w:val="004815AB"/>
    <w:rsid w:val="004815DA"/>
    <w:rsid w:val="004815F5"/>
    <w:rsid w:val="00481642"/>
    <w:rsid w:val="00481649"/>
    <w:rsid w:val="0048186E"/>
    <w:rsid w:val="004819C3"/>
    <w:rsid w:val="004819E2"/>
    <w:rsid w:val="00481A0F"/>
    <w:rsid w:val="00481AB8"/>
    <w:rsid w:val="00481B47"/>
    <w:rsid w:val="00481B88"/>
    <w:rsid w:val="00481BA8"/>
    <w:rsid w:val="00481C3F"/>
    <w:rsid w:val="00481C68"/>
    <w:rsid w:val="00481D11"/>
    <w:rsid w:val="00481D74"/>
    <w:rsid w:val="00481DAC"/>
    <w:rsid w:val="00481DD0"/>
    <w:rsid w:val="00481F0D"/>
    <w:rsid w:val="00481F1C"/>
    <w:rsid w:val="00481F2A"/>
    <w:rsid w:val="00481F43"/>
    <w:rsid w:val="00481FE0"/>
    <w:rsid w:val="00482044"/>
    <w:rsid w:val="00482082"/>
    <w:rsid w:val="004820A2"/>
    <w:rsid w:val="004820BD"/>
    <w:rsid w:val="0048213A"/>
    <w:rsid w:val="00482144"/>
    <w:rsid w:val="004821E1"/>
    <w:rsid w:val="00482273"/>
    <w:rsid w:val="00482277"/>
    <w:rsid w:val="004822EB"/>
    <w:rsid w:val="004822F7"/>
    <w:rsid w:val="00482344"/>
    <w:rsid w:val="00482476"/>
    <w:rsid w:val="00482527"/>
    <w:rsid w:val="004825B8"/>
    <w:rsid w:val="004825BE"/>
    <w:rsid w:val="00482622"/>
    <w:rsid w:val="0048262C"/>
    <w:rsid w:val="0048264F"/>
    <w:rsid w:val="00482689"/>
    <w:rsid w:val="004826B8"/>
    <w:rsid w:val="00482745"/>
    <w:rsid w:val="004827A7"/>
    <w:rsid w:val="00482831"/>
    <w:rsid w:val="0048287B"/>
    <w:rsid w:val="004829A4"/>
    <w:rsid w:val="00482AC6"/>
    <w:rsid w:val="00482B7D"/>
    <w:rsid w:val="00482C41"/>
    <w:rsid w:val="00482C6E"/>
    <w:rsid w:val="00482C7E"/>
    <w:rsid w:val="00482CA1"/>
    <w:rsid w:val="00482CB7"/>
    <w:rsid w:val="00482EF2"/>
    <w:rsid w:val="00482F8D"/>
    <w:rsid w:val="00482FF4"/>
    <w:rsid w:val="00483013"/>
    <w:rsid w:val="00483045"/>
    <w:rsid w:val="0048304E"/>
    <w:rsid w:val="00483148"/>
    <w:rsid w:val="00483192"/>
    <w:rsid w:val="0048319F"/>
    <w:rsid w:val="004831FB"/>
    <w:rsid w:val="00483207"/>
    <w:rsid w:val="0048320D"/>
    <w:rsid w:val="00483213"/>
    <w:rsid w:val="00483375"/>
    <w:rsid w:val="00483377"/>
    <w:rsid w:val="00483464"/>
    <w:rsid w:val="00483536"/>
    <w:rsid w:val="0048358E"/>
    <w:rsid w:val="004836DA"/>
    <w:rsid w:val="00483703"/>
    <w:rsid w:val="00483754"/>
    <w:rsid w:val="004837A7"/>
    <w:rsid w:val="0048390A"/>
    <w:rsid w:val="00483967"/>
    <w:rsid w:val="004839A8"/>
    <w:rsid w:val="00483A30"/>
    <w:rsid w:val="00483A37"/>
    <w:rsid w:val="00483AF6"/>
    <w:rsid w:val="00483B3B"/>
    <w:rsid w:val="00483B74"/>
    <w:rsid w:val="00483B7C"/>
    <w:rsid w:val="00483C82"/>
    <w:rsid w:val="00483CE1"/>
    <w:rsid w:val="00483E22"/>
    <w:rsid w:val="00483E23"/>
    <w:rsid w:val="00483EAB"/>
    <w:rsid w:val="00483EBB"/>
    <w:rsid w:val="00483EEA"/>
    <w:rsid w:val="00483F1B"/>
    <w:rsid w:val="00483F2D"/>
    <w:rsid w:val="00483FE3"/>
    <w:rsid w:val="00484163"/>
    <w:rsid w:val="0048419E"/>
    <w:rsid w:val="004841CC"/>
    <w:rsid w:val="004841DA"/>
    <w:rsid w:val="00484266"/>
    <w:rsid w:val="0048426D"/>
    <w:rsid w:val="004842AB"/>
    <w:rsid w:val="00484349"/>
    <w:rsid w:val="0048437C"/>
    <w:rsid w:val="004843C5"/>
    <w:rsid w:val="004843D8"/>
    <w:rsid w:val="00484411"/>
    <w:rsid w:val="0048446F"/>
    <w:rsid w:val="004844A5"/>
    <w:rsid w:val="0048452A"/>
    <w:rsid w:val="00484563"/>
    <w:rsid w:val="0048465E"/>
    <w:rsid w:val="00484899"/>
    <w:rsid w:val="004848D0"/>
    <w:rsid w:val="004849D0"/>
    <w:rsid w:val="004849D5"/>
    <w:rsid w:val="00484A10"/>
    <w:rsid w:val="00484AB9"/>
    <w:rsid w:val="00484ADF"/>
    <w:rsid w:val="00484AF6"/>
    <w:rsid w:val="00484C23"/>
    <w:rsid w:val="00484D14"/>
    <w:rsid w:val="00484D58"/>
    <w:rsid w:val="00484FBE"/>
    <w:rsid w:val="00484FD4"/>
    <w:rsid w:val="0048502C"/>
    <w:rsid w:val="0048506A"/>
    <w:rsid w:val="00485174"/>
    <w:rsid w:val="00485186"/>
    <w:rsid w:val="004851B3"/>
    <w:rsid w:val="004851D0"/>
    <w:rsid w:val="0048520B"/>
    <w:rsid w:val="0048520E"/>
    <w:rsid w:val="00485234"/>
    <w:rsid w:val="004852BC"/>
    <w:rsid w:val="004853CA"/>
    <w:rsid w:val="004854EB"/>
    <w:rsid w:val="0048559F"/>
    <w:rsid w:val="004855B3"/>
    <w:rsid w:val="004855C3"/>
    <w:rsid w:val="00485607"/>
    <w:rsid w:val="00485640"/>
    <w:rsid w:val="0048564D"/>
    <w:rsid w:val="004857E2"/>
    <w:rsid w:val="0048580B"/>
    <w:rsid w:val="004858DA"/>
    <w:rsid w:val="004858DD"/>
    <w:rsid w:val="00485989"/>
    <w:rsid w:val="00485A3F"/>
    <w:rsid w:val="00485CB3"/>
    <w:rsid w:val="00485CB4"/>
    <w:rsid w:val="00485CE1"/>
    <w:rsid w:val="00485CF1"/>
    <w:rsid w:val="00485CF6"/>
    <w:rsid w:val="00485E1F"/>
    <w:rsid w:val="00485E90"/>
    <w:rsid w:val="00485EDD"/>
    <w:rsid w:val="00485F2F"/>
    <w:rsid w:val="00485F47"/>
    <w:rsid w:val="00485FBF"/>
    <w:rsid w:val="00486112"/>
    <w:rsid w:val="00486129"/>
    <w:rsid w:val="00486146"/>
    <w:rsid w:val="004861D5"/>
    <w:rsid w:val="00486206"/>
    <w:rsid w:val="00486227"/>
    <w:rsid w:val="00486249"/>
    <w:rsid w:val="0048624C"/>
    <w:rsid w:val="00486269"/>
    <w:rsid w:val="0048629D"/>
    <w:rsid w:val="004862A3"/>
    <w:rsid w:val="00486341"/>
    <w:rsid w:val="00486343"/>
    <w:rsid w:val="00486399"/>
    <w:rsid w:val="0048652D"/>
    <w:rsid w:val="0048657B"/>
    <w:rsid w:val="0048666A"/>
    <w:rsid w:val="0048668C"/>
    <w:rsid w:val="004866C1"/>
    <w:rsid w:val="00486764"/>
    <w:rsid w:val="004867E9"/>
    <w:rsid w:val="004868C6"/>
    <w:rsid w:val="004868F4"/>
    <w:rsid w:val="004869FA"/>
    <w:rsid w:val="00486AA2"/>
    <w:rsid w:val="00486B24"/>
    <w:rsid w:val="00486C36"/>
    <w:rsid w:val="00486CDC"/>
    <w:rsid w:val="00486D75"/>
    <w:rsid w:val="00487069"/>
    <w:rsid w:val="00487169"/>
    <w:rsid w:val="00487309"/>
    <w:rsid w:val="004874BC"/>
    <w:rsid w:val="004874F7"/>
    <w:rsid w:val="004875B8"/>
    <w:rsid w:val="004875E7"/>
    <w:rsid w:val="0048762F"/>
    <w:rsid w:val="004876F3"/>
    <w:rsid w:val="00487714"/>
    <w:rsid w:val="0048779A"/>
    <w:rsid w:val="0048780E"/>
    <w:rsid w:val="0048782E"/>
    <w:rsid w:val="004879A7"/>
    <w:rsid w:val="004879A9"/>
    <w:rsid w:val="00487A03"/>
    <w:rsid w:val="00487AB4"/>
    <w:rsid w:val="00487B38"/>
    <w:rsid w:val="00487B75"/>
    <w:rsid w:val="00487BDC"/>
    <w:rsid w:val="00487C02"/>
    <w:rsid w:val="00487CE2"/>
    <w:rsid w:val="00487D81"/>
    <w:rsid w:val="00487D9C"/>
    <w:rsid w:val="00487F25"/>
    <w:rsid w:val="00487F84"/>
    <w:rsid w:val="00487FC5"/>
    <w:rsid w:val="0048BC07"/>
    <w:rsid w:val="00490051"/>
    <w:rsid w:val="0049007E"/>
    <w:rsid w:val="004900A1"/>
    <w:rsid w:val="00490151"/>
    <w:rsid w:val="00490154"/>
    <w:rsid w:val="004901D2"/>
    <w:rsid w:val="0049020A"/>
    <w:rsid w:val="00490394"/>
    <w:rsid w:val="0049045A"/>
    <w:rsid w:val="0049046E"/>
    <w:rsid w:val="004904F7"/>
    <w:rsid w:val="0049062A"/>
    <w:rsid w:val="004906BA"/>
    <w:rsid w:val="00490719"/>
    <w:rsid w:val="0049071F"/>
    <w:rsid w:val="00490739"/>
    <w:rsid w:val="004907EF"/>
    <w:rsid w:val="00490815"/>
    <w:rsid w:val="00490936"/>
    <w:rsid w:val="00490956"/>
    <w:rsid w:val="00490961"/>
    <w:rsid w:val="00490A0F"/>
    <w:rsid w:val="00490B03"/>
    <w:rsid w:val="00490D21"/>
    <w:rsid w:val="00490DCE"/>
    <w:rsid w:val="00490E72"/>
    <w:rsid w:val="00490EF6"/>
    <w:rsid w:val="00490F58"/>
    <w:rsid w:val="00490F5F"/>
    <w:rsid w:val="00490FBE"/>
    <w:rsid w:val="004911BC"/>
    <w:rsid w:val="0049125F"/>
    <w:rsid w:val="004912CD"/>
    <w:rsid w:val="00491305"/>
    <w:rsid w:val="00491313"/>
    <w:rsid w:val="00491347"/>
    <w:rsid w:val="004914D2"/>
    <w:rsid w:val="00491503"/>
    <w:rsid w:val="004915A4"/>
    <w:rsid w:val="004915E6"/>
    <w:rsid w:val="00491684"/>
    <w:rsid w:val="0049168B"/>
    <w:rsid w:val="00491749"/>
    <w:rsid w:val="0049177D"/>
    <w:rsid w:val="00491846"/>
    <w:rsid w:val="004918A8"/>
    <w:rsid w:val="004918EC"/>
    <w:rsid w:val="004918F6"/>
    <w:rsid w:val="0049196B"/>
    <w:rsid w:val="004919A4"/>
    <w:rsid w:val="004919F5"/>
    <w:rsid w:val="00491A3E"/>
    <w:rsid w:val="00491A67"/>
    <w:rsid w:val="00491AB5"/>
    <w:rsid w:val="00491ABA"/>
    <w:rsid w:val="00491B6D"/>
    <w:rsid w:val="00491B88"/>
    <w:rsid w:val="00491BD7"/>
    <w:rsid w:val="00491BF7"/>
    <w:rsid w:val="00491C45"/>
    <w:rsid w:val="00491C55"/>
    <w:rsid w:val="00491CBA"/>
    <w:rsid w:val="00491D07"/>
    <w:rsid w:val="00491D0E"/>
    <w:rsid w:val="00491D4E"/>
    <w:rsid w:val="00491E9C"/>
    <w:rsid w:val="00491EC1"/>
    <w:rsid w:val="00491F53"/>
    <w:rsid w:val="00491F88"/>
    <w:rsid w:val="00491F8C"/>
    <w:rsid w:val="0049201B"/>
    <w:rsid w:val="00492026"/>
    <w:rsid w:val="00492094"/>
    <w:rsid w:val="004920EE"/>
    <w:rsid w:val="004921F2"/>
    <w:rsid w:val="00492309"/>
    <w:rsid w:val="00492332"/>
    <w:rsid w:val="00492348"/>
    <w:rsid w:val="004923C1"/>
    <w:rsid w:val="0049258A"/>
    <w:rsid w:val="004925E9"/>
    <w:rsid w:val="0049262F"/>
    <w:rsid w:val="004926C6"/>
    <w:rsid w:val="004926F0"/>
    <w:rsid w:val="004927E6"/>
    <w:rsid w:val="00492835"/>
    <w:rsid w:val="0049287D"/>
    <w:rsid w:val="004928E2"/>
    <w:rsid w:val="0049291E"/>
    <w:rsid w:val="004929FB"/>
    <w:rsid w:val="00492AC9"/>
    <w:rsid w:val="00492AD1"/>
    <w:rsid w:val="00492CBD"/>
    <w:rsid w:val="00492CC3"/>
    <w:rsid w:val="00492D13"/>
    <w:rsid w:val="00492DD1"/>
    <w:rsid w:val="00492DFC"/>
    <w:rsid w:val="00492E25"/>
    <w:rsid w:val="00492E3E"/>
    <w:rsid w:val="00492E6E"/>
    <w:rsid w:val="00492E96"/>
    <w:rsid w:val="00492F0A"/>
    <w:rsid w:val="00492FFA"/>
    <w:rsid w:val="004930AB"/>
    <w:rsid w:val="0049314A"/>
    <w:rsid w:val="00493158"/>
    <w:rsid w:val="00493167"/>
    <w:rsid w:val="004931A1"/>
    <w:rsid w:val="004932C9"/>
    <w:rsid w:val="004932F0"/>
    <w:rsid w:val="004932F4"/>
    <w:rsid w:val="0049330D"/>
    <w:rsid w:val="00493418"/>
    <w:rsid w:val="004934C0"/>
    <w:rsid w:val="004934F7"/>
    <w:rsid w:val="00493544"/>
    <w:rsid w:val="00493571"/>
    <w:rsid w:val="004935B9"/>
    <w:rsid w:val="004935E9"/>
    <w:rsid w:val="00493642"/>
    <w:rsid w:val="0049366D"/>
    <w:rsid w:val="004936D0"/>
    <w:rsid w:val="004936F1"/>
    <w:rsid w:val="004938D0"/>
    <w:rsid w:val="00493AC1"/>
    <w:rsid w:val="00493C28"/>
    <w:rsid w:val="00493C53"/>
    <w:rsid w:val="00493CA3"/>
    <w:rsid w:val="00493CA7"/>
    <w:rsid w:val="00493D0B"/>
    <w:rsid w:val="00493D5F"/>
    <w:rsid w:val="00493D9B"/>
    <w:rsid w:val="00493DC9"/>
    <w:rsid w:val="00493DCF"/>
    <w:rsid w:val="00493E04"/>
    <w:rsid w:val="00493E50"/>
    <w:rsid w:val="00493E9C"/>
    <w:rsid w:val="00493EEC"/>
    <w:rsid w:val="00493F2A"/>
    <w:rsid w:val="00493F2F"/>
    <w:rsid w:val="00493F7D"/>
    <w:rsid w:val="00493F88"/>
    <w:rsid w:val="00493FF8"/>
    <w:rsid w:val="00494023"/>
    <w:rsid w:val="0049407B"/>
    <w:rsid w:val="0049408B"/>
    <w:rsid w:val="004940AB"/>
    <w:rsid w:val="004940C7"/>
    <w:rsid w:val="00494113"/>
    <w:rsid w:val="0049413B"/>
    <w:rsid w:val="00494151"/>
    <w:rsid w:val="0049419D"/>
    <w:rsid w:val="00494213"/>
    <w:rsid w:val="0049430C"/>
    <w:rsid w:val="0049437D"/>
    <w:rsid w:val="004943FB"/>
    <w:rsid w:val="0049443E"/>
    <w:rsid w:val="00494447"/>
    <w:rsid w:val="0049444D"/>
    <w:rsid w:val="00494468"/>
    <w:rsid w:val="004944FE"/>
    <w:rsid w:val="00494510"/>
    <w:rsid w:val="004945B9"/>
    <w:rsid w:val="004945D5"/>
    <w:rsid w:val="004945ED"/>
    <w:rsid w:val="00494691"/>
    <w:rsid w:val="00494746"/>
    <w:rsid w:val="00494749"/>
    <w:rsid w:val="0049475A"/>
    <w:rsid w:val="00494768"/>
    <w:rsid w:val="0049479C"/>
    <w:rsid w:val="004947E7"/>
    <w:rsid w:val="00494819"/>
    <w:rsid w:val="00494848"/>
    <w:rsid w:val="00494894"/>
    <w:rsid w:val="004948AB"/>
    <w:rsid w:val="004948BA"/>
    <w:rsid w:val="0049499E"/>
    <w:rsid w:val="004949B4"/>
    <w:rsid w:val="004949D5"/>
    <w:rsid w:val="00494A3D"/>
    <w:rsid w:val="00494A91"/>
    <w:rsid w:val="00494B2C"/>
    <w:rsid w:val="00494BC1"/>
    <w:rsid w:val="00494BDB"/>
    <w:rsid w:val="00494C22"/>
    <w:rsid w:val="00494C99"/>
    <w:rsid w:val="00494CF8"/>
    <w:rsid w:val="00494D06"/>
    <w:rsid w:val="00494D41"/>
    <w:rsid w:val="00494DAD"/>
    <w:rsid w:val="00494E09"/>
    <w:rsid w:val="00494E3D"/>
    <w:rsid w:val="00494F05"/>
    <w:rsid w:val="00494F15"/>
    <w:rsid w:val="00494F64"/>
    <w:rsid w:val="00494F89"/>
    <w:rsid w:val="00495008"/>
    <w:rsid w:val="00495092"/>
    <w:rsid w:val="004950D6"/>
    <w:rsid w:val="0049511D"/>
    <w:rsid w:val="0049512C"/>
    <w:rsid w:val="00495149"/>
    <w:rsid w:val="0049521D"/>
    <w:rsid w:val="00495223"/>
    <w:rsid w:val="00495262"/>
    <w:rsid w:val="00495289"/>
    <w:rsid w:val="00495327"/>
    <w:rsid w:val="00495434"/>
    <w:rsid w:val="00495499"/>
    <w:rsid w:val="004955ED"/>
    <w:rsid w:val="0049565F"/>
    <w:rsid w:val="00495714"/>
    <w:rsid w:val="00495751"/>
    <w:rsid w:val="00495771"/>
    <w:rsid w:val="00495772"/>
    <w:rsid w:val="00495817"/>
    <w:rsid w:val="00495821"/>
    <w:rsid w:val="00495893"/>
    <w:rsid w:val="004958F7"/>
    <w:rsid w:val="00495950"/>
    <w:rsid w:val="0049598A"/>
    <w:rsid w:val="00495996"/>
    <w:rsid w:val="004959CD"/>
    <w:rsid w:val="00495A65"/>
    <w:rsid w:val="00495ABE"/>
    <w:rsid w:val="00495ACB"/>
    <w:rsid w:val="00495B06"/>
    <w:rsid w:val="00495C43"/>
    <w:rsid w:val="00495CBF"/>
    <w:rsid w:val="00495D2E"/>
    <w:rsid w:val="00495D92"/>
    <w:rsid w:val="00495E0D"/>
    <w:rsid w:val="00495E2A"/>
    <w:rsid w:val="00495E58"/>
    <w:rsid w:val="00495E78"/>
    <w:rsid w:val="00495F36"/>
    <w:rsid w:val="00495F7B"/>
    <w:rsid w:val="00495F8C"/>
    <w:rsid w:val="00496002"/>
    <w:rsid w:val="0049602E"/>
    <w:rsid w:val="004960C0"/>
    <w:rsid w:val="00496117"/>
    <w:rsid w:val="00496118"/>
    <w:rsid w:val="0049611F"/>
    <w:rsid w:val="0049623E"/>
    <w:rsid w:val="00496278"/>
    <w:rsid w:val="0049628D"/>
    <w:rsid w:val="0049629E"/>
    <w:rsid w:val="004962FE"/>
    <w:rsid w:val="004963A5"/>
    <w:rsid w:val="00496518"/>
    <w:rsid w:val="00496545"/>
    <w:rsid w:val="00496596"/>
    <w:rsid w:val="00496709"/>
    <w:rsid w:val="00496781"/>
    <w:rsid w:val="004967B0"/>
    <w:rsid w:val="0049680B"/>
    <w:rsid w:val="00496896"/>
    <w:rsid w:val="00496902"/>
    <w:rsid w:val="00496940"/>
    <w:rsid w:val="00496A4D"/>
    <w:rsid w:val="00496AF9"/>
    <w:rsid w:val="00496B98"/>
    <w:rsid w:val="00496BB1"/>
    <w:rsid w:val="00496D35"/>
    <w:rsid w:val="00496D6A"/>
    <w:rsid w:val="00496D6B"/>
    <w:rsid w:val="00496DD1"/>
    <w:rsid w:val="00496DFA"/>
    <w:rsid w:val="00496EFB"/>
    <w:rsid w:val="00496F9C"/>
    <w:rsid w:val="00496FA5"/>
    <w:rsid w:val="00496FE9"/>
    <w:rsid w:val="00496FEE"/>
    <w:rsid w:val="00497010"/>
    <w:rsid w:val="004970CE"/>
    <w:rsid w:val="004971F7"/>
    <w:rsid w:val="0049723A"/>
    <w:rsid w:val="00497249"/>
    <w:rsid w:val="004972A7"/>
    <w:rsid w:val="00497300"/>
    <w:rsid w:val="0049739F"/>
    <w:rsid w:val="004973E6"/>
    <w:rsid w:val="0049746F"/>
    <w:rsid w:val="00497476"/>
    <w:rsid w:val="004974DC"/>
    <w:rsid w:val="004974E1"/>
    <w:rsid w:val="0049756A"/>
    <w:rsid w:val="00497585"/>
    <w:rsid w:val="0049763D"/>
    <w:rsid w:val="004977C5"/>
    <w:rsid w:val="00497805"/>
    <w:rsid w:val="00497813"/>
    <w:rsid w:val="004978CE"/>
    <w:rsid w:val="0049790C"/>
    <w:rsid w:val="00497A0C"/>
    <w:rsid w:val="00497A3D"/>
    <w:rsid w:val="00497AB4"/>
    <w:rsid w:val="00497BDF"/>
    <w:rsid w:val="00497C57"/>
    <w:rsid w:val="00497C78"/>
    <w:rsid w:val="00497C97"/>
    <w:rsid w:val="00497D42"/>
    <w:rsid w:val="00497DAD"/>
    <w:rsid w:val="00497E09"/>
    <w:rsid w:val="00497E80"/>
    <w:rsid w:val="00497E9F"/>
    <w:rsid w:val="00497ED0"/>
    <w:rsid w:val="00497EE7"/>
    <w:rsid w:val="00497EFD"/>
    <w:rsid w:val="00497F8A"/>
    <w:rsid w:val="00497FFD"/>
    <w:rsid w:val="004A007C"/>
    <w:rsid w:val="004A016D"/>
    <w:rsid w:val="004A0242"/>
    <w:rsid w:val="004A0295"/>
    <w:rsid w:val="004A02AB"/>
    <w:rsid w:val="004A02B2"/>
    <w:rsid w:val="004A0450"/>
    <w:rsid w:val="004A0479"/>
    <w:rsid w:val="004A053E"/>
    <w:rsid w:val="004A0673"/>
    <w:rsid w:val="004A072A"/>
    <w:rsid w:val="004A0798"/>
    <w:rsid w:val="004A08E2"/>
    <w:rsid w:val="004A08F9"/>
    <w:rsid w:val="004A094D"/>
    <w:rsid w:val="004A0966"/>
    <w:rsid w:val="004A0971"/>
    <w:rsid w:val="004A0B14"/>
    <w:rsid w:val="004A0B3E"/>
    <w:rsid w:val="004A0B5F"/>
    <w:rsid w:val="004A0BFD"/>
    <w:rsid w:val="004A0C27"/>
    <w:rsid w:val="004A0CE4"/>
    <w:rsid w:val="004A0D62"/>
    <w:rsid w:val="004A0D77"/>
    <w:rsid w:val="004A0E57"/>
    <w:rsid w:val="004A0EE8"/>
    <w:rsid w:val="004A0F5A"/>
    <w:rsid w:val="004A0F99"/>
    <w:rsid w:val="004A0FE8"/>
    <w:rsid w:val="004A1049"/>
    <w:rsid w:val="004A11B3"/>
    <w:rsid w:val="004A121E"/>
    <w:rsid w:val="004A122B"/>
    <w:rsid w:val="004A122D"/>
    <w:rsid w:val="004A124F"/>
    <w:rsid w:val="004A1250"/>
    <w:rsid w:val="004A1299"/>
    <w:rsid w:val="004A1307"/>
    <w:rsid w:val="004A1319"/>
    <w:rsid w:val="004A1362"/>
    <w:rsid w:val="004A13AE"/>
    <w:rsid w:val="004A1499"/>
    <w:rsid w:val="004A156C"/>
    <w:rsid w:val="004A1594"/>
    <w:rsid w:val="004A15A7"/>
    <w:rsid w:val="004A160E"/>
    <w:rsid w:val="004A1616"/>
    <w:rsid w:val="004A1637"/>
    <w:rsid w:val="004A1644"/>
    <w:rsid w:val="004A1650"/>
    <w:rsid w:val="004A1732"/>
    <w:rsid w:val="004A181B"/>
    <w:rsid w:val="004A185A"/>
    <w:rsid w:val="004A1969"/>
    <w:rsid w:val="004A1992"/>
    <w:rsid w:val="004A1A22"/>
    <w:rsid w:val="004A1A6B"/>
    <w:rsid w:val="004A1ABB"/>
    <w:rsid w:val="004A1AE2"/>
    <w:rsid w:val="004A1B3C"/>
    <w:rsid w:val="004A1B40"/>
    <w:rsid w:val="004A1B52"/>
    <w:rsid w:val="004A1BAB"/>
    <w:rsid w:val="004A1C33"/>
    <w:rsid w:val="004A1D00"/>
    <w:rsid w:val="004A1D3C"/>
    <w:rsid w:val="004A1D6B"/>
    <w:rsid w:val="004A1DB2"/>
    <w:rsid w:val="004A1DD1"/>
    <w:rsid w:val="004A1E00"/>
    <w:rsid w:val="004A1E0B"/>
    <w:rsid w:val="004A1F0A"/>
    <w:rsid w:val="004A1FE0"/>
    <w:rsid w:val="004A208C"/>
    <w:rsid w:val="004A2141"/>
    <w:rsid w:val="004A2159"/>
    <w:rsid w:val="004A2211"/>
    <w:rsid w:val="004A222C"/>
    <w:rsid w:val="004A22B4"/>
    <w:rsid w:val="004A22E1"/>
    <w:rsid w:val="004A23C1"/>
    <w:rsid w:val="004A240A"/>
    <w:rsid w:val="004A2442"/>
    <w:rsid w:val="004A2474"/>
    <w:rsid w:val="004A2500"/>
    <w:rsid w:val="004A260F"/>
    <w:rsid w:val="004A26CC"/>
    <w:rsid w:val="004A27D4"/>
    <w:rsid w:val="004A2835"/>
    <w:rsid w:val="004A2844"/>
    <w:rsid w:val="004A2859"/>
    <w:rsid w:val="004A28C4"/>
    <w:rsid w:val="004A28E8"/>
    <w:rsid w:val="004A2932"/>
    <w:rsid w:val="004A2A59"/>
    <w:rsid w:val="004A2A69"/>
    <w:rsid w:val="004A2ABD"/>
    <w:rsid w:val="004A2B52"/>
    <w:rsid w:val="004A2B6A"/>
    <w:rsid w:val="004A2C15"/>
    <w:rsid w:val="004A2D21"/>
    <w:rsid w:val="004A2D87"/>
    <w:rsid w:val="004A2DA8"/>
    <w:rsid w:val="004A2E74"/>
    <w:rsid w:val="004A2EA5"/>
    <w:rsid w:val="004A2F41"/>
    <w:rsid w:val="004A2FA5"/>
    <w:rsid w:val="004A3020"/>
    <w:rsid w:val="004A3028"/>
    <w:rsid w:val="004A3061"/>
    <w:rsid w:val="004A308F"/>
    <w:rsid w:val="004A30AA"/>
    <w:rsid w:val="004A311C"/>
    <w:rsid w:val="004A3326"/>
    <w:rsid w:val="004A3352"/>
    <w:rsid w:val="004A339F"/>
    <w:rsid w:val="004A351A"/>
    <w:rsid w:val="004A3522"/>
    <w:rsid w:val="004A3539"/>
    <w:rsid w:val="004A3567"/>
    <w:rsid w:val="004A361B"/>
    <w:rsid w:val="004A36F5"/>
    <w:rsid w:val="004A38B5"/>
    <w:rsid w:val="004A391A"/>
    <w:rsid w:val="004A3965"/>
    <w:rsid w:val="004A397E"/>
    <w:rsid w:val="004A3B0B"/>
    <w:rsid w:val="004A3B3F"/>
    <w:rsid w:val="004A3C41"/>
    <w:rsid w:val="004A3CB5"/>
    <w:rsid w:val="004A3CCD"/>
    <w:rsid w:val="004A3D40"/>
    <w:rsid w:val="004A3DA8"/>
    <w:rsid w:val="004A3DCD"/>
    <w:rsid w:val="004A3E45"/>
    <w:rsid w:val="004A3E5A"/>
    <w:rsid w:val="004A3EDD"/>
    <w:rsid w:val="004A3EE3"/>
    <w:rsid w:val="004A3F5F"/>
    <w:rsid w:val="004A407E"/>
    <w:rsid w:val="004A40BD"/>
    <w:rsid w:val="004A40C7"/>
    <w:rsid w:val="004A4101"/>
    <w:rsid w:val="004A414D"/>
    <w:rsid w:val="004A4220"/>
    <w:rsid w:val="004A429E"/>
    <w:rsid w:val="004A42CE"/>
    <w:rsid w:val="004A42E8"/>
    <w:rsid w:val="004A4337"/>
    <w:rsid w:val="004A439F"/>
    <w:rsid w:val="004A43A5"/>
    <w:rsid w:val="004A43E8"/>
    <w:rsid w:val="004A43E9"/>
    <w:rsid w:val="004A4455"/>
    <w:rsid w:val="004A448F"/>
    <w:rsid w:val="004A4491"/>
    <w:rsid w:val="004A45AC"/>
    <w:rsid w:val="004A4670"/>
    <w:rsid w:val="004A4693"/>
    <w:rsid w:val="004A46B0"/>
    <w:rsid w:val="004A46D2"/>
    <w:rsid w:val="004A49EF"/>
    <w:rsid w:val="004A4A06"/>
    <w:rsid w:val="004A4A64"/>
    <w:rsid w:val="004A4AA3"/>
    <w:rsid w:val="004A4AA7"/>
    <w:rsid w:val="004A4AE2"/>
    <w:rsid w:val="004A4C78"/>
    <w:rsid w:val="004A4CD9"/>
    <w:rsid w:val="004A4D35"/>
    <w:rsid w:val="004A4D6D"/>
    <w:rsid w:val="004A4D72"/>
    <w:rsid w:val="004A4D8E"/>
    <w:rsid w:val="004A4DEF"/>
    <w:rsid w:val="004A4F0F"/>
    <w:rsid w:val="004A4FA6"/>
    <w:rsid w:val="004A4FBB"/>
    <w:rsid w:val="004A50B6"/>
    <w:rsid w:val="004A5154"/>
    <w:rsid w:val="004A51F8"/>
    <w:rsid w:val="004A5288"/>
    <w:rsid w:val="004A52BE"/>
    <w:rsid w:val="004A52DD"/>
    <w:rsid w:val="004A532F"/>
    <w:rsid w:val="004A535B"/>
    <w:rsid w:val="004A5374"/>
    <w:rsid w:val="004A542E"/>
    <w:rsid w:val="004A5581"/>
    <w:rsid w:val="004A564D"/>
    <w:rsid w:val="004A5665"/>
    <w:rsid w:val="004A56C5"/>
    <w:rsid w:val="004A56EE"/>
    <w:rsid w:val="004A5710"/>
    <w:rsid w:val="004A578E"/>
    <w:rsid w:val="004A57F0"/>
    <w:rsid w:val="004A5827"/>
    <w:rsid w:val="004A5940"/>
    <w:rsid w:val="004A5994"/>
    <w:rsid w:val="004A59BF"/>
    <w:rsid w:val="004A5A1A"/>
    <w:rsid w:val="004A5AB8"/>
    <w:rsid w:val="004A5B19"/>
    <w:rsid w:val="004A5B21"/>
    <w:rsid w:val="004A5B3D"/>
    <w:rsid w:val="004A5B40"/>
    <w:rsid w:val="004A5B5F"/>
    <w:rsid w:val="004A5B95"/>
    <w:rsid w:val="004A5BBD"/>
    <w:rsid w:val="004A5BD8"/>
    <w:rsid w:val="004A5BDB"/>
    <w:rsid w:val="004A5CCE"/>
    <w:rsid w:val="004A5CF3"/>
    <w:rsid w:val="004A5D64"/>
    <w:rsid w:val="004A5D88"/>
    <w:rsid w:val="004A5DF0"/>
    <w:rsid w:val="004A5DF2"/>
    <w:rsid w:val="004A5E8C"/>
    <w:rsid w:val="004A5F24"/>
    <w:rsid w:val="004A5F2D"/>
    <w:rsid w:val="004A5F5C"/>
    <w:rsid w:val="004A605C"/>
    <w:rsid w:val="004A609B"/>
    <w:rsid w:val="004A60F9"/>
    <w:rsid w:val="004A613B"/>
    <w:rsid w:val="004A613C"/>
    <w:rsid w:val="004A6164"/>
    <w:rsid w:val="004A629B"/>
    <w:rsid w:val="004A62C4"/>
    <w:rsid w:val="004A636A"/>
    <w:rsid w:val="004A63E0"/>
    <w:rsid w:val="004A64D4"/>
    <w:rsid w:val="004A6501"/>
    <w:rsid w:val="004A6521"/>
    <w:rsid w:val="004A6529"/>
    <w:rsid w:val="004A6569"/>
    <w:rsid w:val="004A65B5"/>
    <w:rsid w:val="004A6612"/>
    <w:rsid w:val="004A6664"/>
    <w:rsid w:val="004A6814"/>
    <w:rsid w:val="004A6881"/>
    <w:rsid w:val="004A68D5"/>
    <w:rsid w:val="004A68ED"/>
    <w:rsid w:val="004A68FF"/>
    <w:rsid w:val="004A6A54"/>
    <w:rsid w:val="004A6A8C"/>
    <w:rsid w:val="004A6AD5"/>
    <w:rsid w:val="004A6B3A"/>
    <w:rsid w:val="004A6B5B"/>
    <w:rsid w:val="004A6B92"/>
    <w:rsid w:val="004A6BB6"/>
    <w:rsid w:val="004A6BFA"/>
    <w:rsid w:val="004A6C29"/>
    <w:rsid w:val="004A6D46"/>
    <w:rsid w:val="004A6E96"/>
    <w:rsid w:val="004A6F02"/>
    <w:rsid w:val="004A6F45"/>
    <w:rsid w:val="004A7058"/>
    <w:rsid w:val="004A7122"/>
    <w:rsid w:val="004A7173"/>
    <w:rsid w:val="004A7188"/>
    <w:rsid w:val="004A72C8"/>
    <w:rsid w:val="004A72E7"/>
    <w:rsid w:val="004A73A6"/>
    <w:rsid w:val="004A7465"/>
    <w:rsid w:val="004A7493"/>
    <w:rsid w:val="004A7497"/>
    <w:rsid w:val="004A74AF"/>
    <w:rsid w:val="004A75BB"/>
    <w:rsid w:val="004A75E7"/>
    <w:rsid w:val="004A7667"/>
    <w:rsid w:val="004A7852"/>
    <w:rsid w:val="004A78A7"/>
    <w:rsid w:val="004A795E"/>
    <w:rsid w:val="004A79AC"/>
    <w:rsid w:val="004A79BE"/>
    <w:rsid w:val="004A79CE"/>
    <w:rsid w:val="004A7A56"/>
    <w:rsid w:val="004A7AFE"/>
    <w:rsid w:val="004A7B41"/>
    <w:rsid w:val="004A7BEC"/>
    <w:rsid w:val="004A7CD6"/>
    <w:rsid w:val="004A7D12"/>
    <w:rsid w:val="004A7D52"/>
    <w:rsid w:val="004A7D80"/>
    <w:rsid w:val="004A7DEE"/>
    <w:rsid w:val="004A7E05"/>
    <w:rsid w:val="004A7E81"/>
    <w:rsid w:val="004A7FA7"/>
    <w:rsid w:val="004A7FE5"/>
    <w:rsid w:val="004A7FF7"/>
    <w:rsid w:val="004B0054"/>
    <w:rsid w:val="004B018F"/>
    <w:rsid w:val="004B022F"/>
    <w:rsid w:val="004B0330"/>
    <w:rsid w:val="004B03D4"/>
    <w:rsid w:val="004B0436"/>
    <w:rsid w:val="004B0502"/>
    <w:rsid w:val="004B0588"/>
    <w:rsid w:val="004B05DE"/>
    <w:rsid w:val="004B0649"/>
    <w:rsid w:val="004B0885"/>
    <w:rsid w:val="004B08BA"/>
    <w:rsid w:val="004B09A2"/>
    <w:rsid w:val="004B0A0E"/>
    <w:rsid w:val="004B0A77"/>
    <w:rsid w:val="004B0A82"/>
    <w:rsid w:val="004B0B10"/>
    <w:rsid w:val="004B0B8A"/>
    <w:rsid w:val="004B0B99"/>
    <w:rsid w:val="004B0C5F"/>
    <w:rsid w:val="004B0CBF"/>
    <w:rsid w:val="004B0CDB"/>
    <w:rsid w:val="004B0E08"/>
    <w:rsid w:val="004B0E88"/>
    <w:rsid w:val="004B0F84"/>
    <w:rsid w:val="004B0FCE"/>
    <w:rsid w:val="004B0FF5"/>
    <w:rsid w:val="004B1055"/>
    <w:rsid w:val="004B106E"/>
    <w:rsid w:val="004B10E7"/>
    <w:rsid w:val="004B10F8"/>
    <w:rsid w:val="004B11A2"/>
    <w:rsid w:val="004B13EB"/>
    <w:rsid w:val="004B1458"/>
    <w:rsid w:val="004B1519"/>
    <w:rsid w:val="004B1556"/>
    <w:rsid w:val="004B15CB"/>
    <w:rsid w:val="004B1679"/>
    <w:rsid w:val="004B167F"/>
    <w:rsid w:val="004B16BA"/>
    <w:rsid w:val="004B17B0"/>
    <w:rsid w:val="004B17D2"/>
    <w:rsid w:val="004B186B"/>
    <w:rsid w:val="004B18ED"/>
    <w:rsid w:val="004B19F7"/>
    <w:rsid w:val="004B1A4E"/>
    <w:rsid w:val="004B1A6B"/>
    <w:rsid w:val="004B1A87"/>
    <w:rsid w:val="004B1B4A"/>
    <w:rsid w:val="004B1B88"/>
    <w:rsid w:val="004B1BDB"/>
    <w:rsid w:val="004B1BEA"/>
    <w:rsid w:val="004B1C1C"/>
    <w:rsid w:val="004B1C25"/>
    <w:rsid w:val="004B1C50"/>
    <w:rsid w:val="004B1CD2"/>
    <w:rsid w:val="004B1D0B"/>
    <w:rsid w:val="004B1E27"/>
    <w:rsid w:val="004B1E53"/>
    <w:rsid w:val="004B1E83"/>
    <w:rsid w:val="004B1E96"/>
    <w:rsid w:val="004B2040"/>
    <w:rsid w:val="004B20A1"/>
    <w:rsid w:val="004B20EF"/>
    <w:rsid w:val="004B20F1"/>
    <w:rsid w:val="004B2100"/>
    <w:rsid w:val="004B210F"/>
    <w:rsid w:val="004B21A4"/>
    <w:rsid w:val="004B21B1"/>
    <w:rsid w:val="004B221A"/>
    <w:rsid w:val="004B223C"/>
    <w:rsid w:val="004B2265"/>
    <w:rsid w:val="004B22BF"/>
    <w:rsid w:val="004B22DE"/>
    <w:rsid w:val="004B2304"/>
    <w:rsid w:val="004B2375"/>
    <w:rsid w:val="004B23B2"/>
    <w:rsid w:val="004B2410"/>
    <w:rsid w:val="004B2413"/>
    <w:rsid w:val="004B24F6"/>
    <w:rsid w:val="004B24FA"/>
    <w:rsid w:val="004B2511"/>
    <w:rsid w:val="004B2523"/>
    <w:rsid w:val="004B25AA"/>
    <w:rsid w:val="004B25B2"/>
    <w:rsid w:val="004B25F8"/>
    <w:rsid w:val="004B267F"/>
    <w:rsid w:val="004B269F"/>
    <w:rsid w:val="004B26A2"/>
    <w:rsid w:val="004B2712"/>
    <w:rsid w:val="004B272E"/>
    <w:rsid w:val="004B2798"/>
    <w:rsid w:val="004B2811"/>
    <w:rsid w:val="004B2863"/>
    <w:rsid w:val="004B288A"/>
    <w:rsid w:val="004B28C3"/>
    <w:rsid w:val="004B297B"/>
    <w:rsid w:val="004B29A9"/>
    <w:rsid w:val="004B29CE"/>
    <w:rsid w:val="004B2A6C"/>
    <w:rsid w:val="004B2A91"/>
    <w:rsid w:val="004B2A92"/>
    <w:rsid w:val="004B2AB2"/>
    <w:rsid w:val="004B2ABE"/>
    <w:rsid w:val="004B2B17"/>
    <w:rsid w:val="004B2B55"/>
    <w:rsid w:val="004B2BA6"/>
    <w:rsid w:val="004B2BC2"/>
    <w:rsid w:val="004B2BF6"/>
    <w:rsid w:val="004B2C36"/>
    <w:rsid w:val="004B2C42"/>
    <w:rsid w:val="004B2C8A"/>
    <w:rsid w:val="004B2CC2"/>
    <w:rsid w:val="004B2DFB"/>
    <w:rsid w:val="004B2E22"/>
    <w:rsid w:val="004B2EA5"/>
    <w:rsid w:val="004B2EED"/>
    <w:rsid w:val="004B2EF6"/>
    <w:rsid w:val="004B30CE"/>
    <w:rsid w:val="004B313D"/>
    <w:rsid w:val="004B3179"/>
    <w:rsid w:val="004B323F"/>
    <w:rsid w:val="004B3242"/>
    <w:rsid w:val="004B326B"/>
    <w:rsid w:val="004B32B2"/>
    <w:rsid w:val="004B340C"/>
    <w:rsid w:val="004B3465"/>
    <w:rsid w:val="004B351F"/>
    <w:rsid w:val="004B35AA"/>
    <w:rsid w:val="004B3629"/>
    <w:rsid w:val="004B3641"/>
    <w:rsid w:val="004B36C3"/>
    <w:rsid w:val="004B36D1"/>
    <w:rsid w:val="004B384E"/>
    <w:rsid w:val="004B388C"/>
    <w:rsid w:val="004B39C5"/>
    <w:rsid w:val="004B39CD"/>
    <w:rsid w:val="004B3A14"/>
    <w:rsid w:val="004B3A73"/>
    <w:rsid w:val="004B3B3A"/>
    <w:rsid w:val="004B3B67"/>
    <w:rsid w:val="004B3BBF"/>
    <w:rsid w:val="004B3BC5"/>
    <w:rsid w:val="004B3CA2"/>
    <w:rsid w:val="004B3CB2"/>
    <w:rsid w:val="004B3CC0"/>
    <w:rsid w:val="004B3D00"/>
    <w:rsid w:val="004B3D5B"/>
    <w:rsid w:val="004B3D88"/>
    <w:rsid w:val="004B3D8D"/>
    <w:rsid w:val="004B3D99"/>
    <w:rsid w:val="004B3ECE"/>
    <w:rsid w:val="004B3EE3"/>
    <w:rsid w:val="004B3EE8"/>
    <w:rsid w:val="004B3F1C"/>
    <w:rsid w:val="004B4046"/>
    <w:rsid w:val="004B40A7"/>
    <w:rsid w:val="004B4380"/>
    <w:rsid w:val="004B439E"/>
    <w:rsid w:val="004B43B8"/>
    <w:rsid w:val="004B43C9"/>
    <w:rsid w:val="004B4450"/>
    <w:rsid w:val="004B44A2"/>
    <w:rsid w:val="004B44E9"/>
    <w:rsid w:val="004B455B"/>
    <w:rsid w:val="004B4567"/>
    <w:rsid w:val="004B45AB"/>
    <w:rsid w:val="004B45F0"/>
    <w:rsid w:val="004B4646"/>
    <w:rsid w:val="004B466D"/>
    <w:rsid w:val="004B4675"/>
    <w:rsid w:val="004B4692"/>
    <w:rsid w:val="004B46E5"/>
    <w:rsid w:val="004B475E"/>
    <w:rsid w:val="004B47FC"/>
    <w:rsid w:val="004B4835"/>
    <w:rsid w:val="004B485F"/>
    <w:rsid w:val="004B4893"/>
    <w:rsid w:val="004B48F9"/>
    <w:rsid w:val="004B4920"/>
    <w:rsid w:val="004B4959"/>
    <w:rsid w:val="004B49A4"/>
    <w:rsid w:val="004B49F6"/>
    <w:rsid w:val="004B4A50"/>
    <w:rsid w:val="004B4A75"/>
    <w:rsid w:val="004B4AEE"/>
    <w:rsid w:val="004B4B0F"/>
    <w:rsid w:val="004B4B25"/>
    <w:rsid w:val="004B4BAE"/>
    <w:rsid w:val="004B4C22"/>
    <w:rsid w:val="004B4C4A"/>
    <w:rsid w:val="004B4CE0"/>
    <w:rsid w:val="004B4D5B"/>
    <w:rsid w:val="004B4E6D"/>
    <w:rsid w:val="004B4E70"/>
    <w:rsid w:val="004B4F61"/>
    <w:rsid w:val="004B4F6F"/>
    <w:rsid w:val="004B4F9E"/>
    <w:rsid w:val="004B4FC3"/>
    <w:rsid w:val="004B4FE0"/>
    <w:rsid w:val="004B5035"/>
    <w:rsid w:val="004B50A1"/>
    <w:rsid w:val="004B50C2"/>
    <w:rsid w:val="004B5117"/>
    <w:rsid w:val="004B5181"/>
    <w:rsid w:val="004B51BE"/>
    <w:rsid w:val="004B527E"/>
    <w:rsid w:val="004B52C1"/>
    <w:rsid w:val="004B52E9"/>
    <w:rsid w:val="004B5328"/>
    <w:rsid w:val="004B5340"/>
    <w:rsid w:val="004B5393"/>
    <w:rsid w:val="004B53C7"/>
    <w:rsid w:val="004B53D9"/>
    <w:rsid w:val="004B53E6"/>
    <w:rsid w:val="004B53EF"/>
    <w:rsid w:val="004B55B1"/>
    <w:rsid w:val="004B55D4"/>
    <w:rsid w:val="004B55D7"/>
    <w:rsid w:val="004B5801"/>
    <w:rsid w:val="004B5936"/>
    <w:rsid w:val="004B59DB"/>
    <w:rsid w:val="004B59EF"/>
    <w:rsid w:val="004B5A7E"/>
    <w:rsid w:val="004B5ADF"/>
    <w:rsid w:val="004B5B2D"/>
    <w:rsid w:val="004B5B94"/>
    <w:rsid w:val="004B5B9C"/>
    <w:rsid w:val="004B5CEF"/>
    <w:rsid w:val="004B5DEB"/>
    <w:rsid w:val="004B5DEC"/>
    <w:rsid w:val="004B5E7E"/>
    <w:rsid w:val="004B5F09"/>
    <w:rsid w:val="004B5FB5"/>
    <w:rsid w:val="004B5FC8"/>
    <w:rsid w:val="004B601B"/>
    <w:rsid w:val="004B603B"/>
    <w:rsid w:val="004B6059"/>
    <w:rsid w:val="004B60A4"/>
    <w:rsid w:val="004B61C0"/>
    <w:rsid w:val="004B61FE"/>
    <w:rsid w:val="004B6252"/>
    <w:rsid w:val="004B625A"/>
    <w:rsid w:val="004B62FB"/>
    <w:rsid w:val="004B6337"/>
    <w:rsid w:val="004B636A"/>
    <w:rsid w:val="004B6386"/>
    <w:rsid w:val="004B6391"/>
    <w:rsid w:val="004B64F6"/>
    <w:rsid w:val="004B657E"/>
    <w:rsid w:val="004B6609"/>
    <w:rsid w:val="004B6619"/>
    <w:rsid w:val="004B6677"/>
    <w:rsid w:val="004B6707"/>
    <w:rsid w:val="004B6744"/>
    <w:rsid w:val="004B6815"/>
    <w:rsid w:val="004B6823"/>
    <w:rsid w:val="004B68AB"/>
    <w:rsid w:val="004B68BB"/>
    <w:rsid w:val="004B6934"/>
    <w:rsid w:val="004B6994"/>
    <w:rsid w:val="004B69D1"/>
    <w:rsid w:val="004B69E5"/>
    <w:rsid w:val="004B6A55"/>
    <w:rsid w:val="004B6A56"/>
    <w:rsid w:val="004B6AB3"/>
    <w:rsid w:val="004B6AF0"/>
    <w:rsid w:val="004B6C13"/>
    <w:rsid w:val="004B6D77"/>
    <w:rsid w:val="004B6DD0"/>
    <w:rsid w:val="004B6DD4"/>
    <w:rsid w:val="004B6E20"/>
    <w:rsid w:val="004B6E3F"/>
    <w:rsid w:val="004B6E54"/>
    <w:rsid w:val="004B6E6F"/>
    <w:rsid w:val="004B6F21"/>
    <w:rsid w:val="004B6F66"/>
    <w:rsid w:val="004B6F7E"/>
    <w:rsid w:val="004B6FB9"/>
    <w:rsid w:val="004B6FC2"/>
    <w:rsid w:val="004B7058"/>
    <w:rsid w:val="004B7098"/>
    <w:rsid w:val="004B70A1"/>
    <w:rsid w:val="004B70BD"/>
    <w:rsid w:val="004B7130"/>
    <w:rsid w:val="004B7147"/>
    <w:rsid w:val="004B7170"/>
    <w:rsid w:val="004B7194"/>
    <w:rsid w:val="004B7195"/>
    <w:rsid w:val="004B71BC"/>
    <w:rsid w:val="004B736D"/>
    <w:rsid w:val="004B738A"/>
    <w:rsid w:val="004B738F"/>
    <w:rsid w:val="004B73CB"/>
    <w:rsid w:val="004B746B"/>
    <w:rsid w:val="004B74A1"/>
    <w:rsid w:val="004B74D1"/>
    <w:rsid w:val="004B7591"/>
    <w:rsid w:val="004B7695"/>
    <w:rsid w:val="004B76DF"/>
    <w:rsid w:val="004B7735"/>
    <w:rsid w:val="004B7744"/>
    <w:rsid w:val="004B7783"/>
    <w:rsid w:val="004B77D2"/>
    <w:rsid w:val="004B77E5"/>
    <w:rsid w:val="004B77EE"/>
    <w:rsid w:val="004B77FB"/>
    <w:rsid w:val="004B7868"/>
    <w:rsid w:val="004B78CD"/>
    <w:rsid w:val="004B7948"/>
    <w:rsid w:val="004B7999"/>
    <w:rsid w:val="004B7A02"/>
    <w:rsid w:val="004B7A47"/>
    <w:rsid w:val="004B7AE0"/>
    <w:rsid w:val="004B7B16"/>
    <w:rsid w:val="004B7B45"/>
    <w:rsid w:val="004B7C8D"/>
    <w:rsid w:val="004B7FFE"/>
    <w:rsid w:val="004C00C3"/>
    <w:rsid w:val="004C00D7"/>
    <w:rsid w:val="004C0115"/>
    <w:rsid w:val="004C01AF"/>
    <w:rsid w:val="004C021B"/>
    <w:rsid w:val="004C0222"/>
    <w:rsid w:val="004C0262"/>
    <w:rsid w:val="004C0284"/>
    <w:rsid w:val="004C02B5"/>
    <w:rsid w:val="004C02D5"/>
    <w:rsid w:val="004C02E5"/>
    <w:rsid w:val="004C02F0"/>
    <w:rsid w:val="004C034D"/>
    <w:rsid w:val="004C036F"/>
    <w:rsid w:val="004C0380"/>
    <w:rsid w:val="004C03E9"/>
    <w:rsid w:val="004C045D"/>
    <w:rsid w:val="004C0472"/>
    <w:rsid w:val="004C048D"/>
    <w:rsid w:val="004C04AB"/>
    <w:rsid w:val="004C04D3"/>
    <w:rsid w:val="004C051A"/>
    <w:rsid w:val="004C052D"/>
    <w:rsid w:val="004C05AC"/>
    <w:rsid w:val="004C066D"/>
    <w:rsid w:val="004C06C8"/>
    <w:rsid w:val="004C071C"/>
    <w:rsid w:val="004C0847"/>
    <w:rsid w:val="004C0878"/>
    <w:rsid w:val="004C0939"/>
    <w:rsid w:val="004C095D"/>
    <w:rsid w:val="004C0A5E"/>
    <w:rsid w:val="004C0A64"/>
    <w:rsid w:val="004C0A7A"/>
    <w:rsid w:val="004C0A89"/>
    <w:rsid w:val="004C0C15"/>
    <w:rsid w:val="004C0CAF"/>
    <w:rsid w:val="004C0CD9"/>
    <w:rsid w:val="004C0D34"/>
    <w:rsid w:val="004C0D88"/>
    <w:rsid w:val="004C0E0B"/>
    <w:rsid w:val="004C0F8E"/>
    <w:rsid w:val="004C10CE"/>
    <w:rsid w:val="004C1143"/>
    <w:rsid w:val="004C1151"/>
    <w:rsid w:val="004C1167"/>
    <w:rsid w:val="004C11ED"/>
    <w:rsid w:val="004C1240"/>
    <w:rsid w:val="004C12C8"/>
    <w:rsid w:val="004C12E9"/>
    <w:rsid w:val="004C130D"/>
    <w:rsid w:val="004C131C"/>
    <w:rsid w:val="004C13A4"/>
    <w:rsid w:val="004C1501"/>
    <w:rsid w:val="004C16D2"/>
    <w:rsid w:val="004C18B4"/>
    <w:rsid w:val="004C196D"/>
    <w:rsid w:val="004C1A0D"/>
    <w:rsid w:val="004C1A6C"/>
    <w:rsid w:val="004C1BDD"/>
    <w:rsid w:val="004C1BF6"/>
    <w:rsid w:val="004C1C0F"/>
    <w:rsid w:val="004C1C14"/>
    <w:rsid w:val="004C1C23"/>
    <w:rsid w:val="004C1C6A"/>
    <w:rsid w:val="004C1DAD"/>
    <w:rsid w:val="004C1E78"/>
    <w:rsid w:val="004C1E92"/>
    <w:rsid w:val="004C1FE9"/>
    <w:rsid w:val="004C2018"/>
    <w:rsid w:val="004C2059"/>
    <w:rsid w:val="004C2075"/>
    <w:rsid w:val="004C20E3"/>
    <w:rsid w:val="004C20F2"/>
    <w:rsid w:val="004C21EE"/>
    <w:rsid w:val="004C21F2"/>
    <w:rsid w:val="004C2234"/>
    <w:rsid w:val="004C224D"/>
    <w:rsid w:val="004C229B"/>
    <w:rsid w:val="004C2342"/>
    <w:rsid w:val="004C2434"/>
    <w:rsid w:val="004C2467"/>
    <w:rsid w:val="004C264E"/>
    <w:rsid w:val="004C278B"/>
    <w:rsid w:val="004C28CB"/>
    <w:rsid w:val="004C293C"/>
    <w:rsid w:val="004C2982"/>
    <w:rsid w:val="004C29DD"/>
    <w:rsid w:val="004C2A8D"/>
    <w:rsid w:val="004C2AE8"/>
    <w:rsid w:val="004C2B81"/>
    <w:rsid w:val="004C2B8B"/>
    <w:rsid w:val="004C2BE5"/>
    <w:rsid w:val="004C2D49"/>
    <w:rsid w:val="004C2E36"/>
    <w:rsid w:val="004C2F80"/>
    <w:rsid w:val="004C3009"/>
    <w:rsid w:val="004C304B"/>
    <w:rsid w:val="004C3067"/>
    <w:rsid w:val="004C30BF"/>
    <w:rsid w:val="004C3155"/>
    <w:rsid w:val="004C3199"/>
    <w:rsid w:val="004C31A6"/>
    <w:rsid w:val="004C321E"/>
    <w:rsid w:val="004C3264"/>
    <w:rsid w:val="004C3270"/>
    <w:rsid w:val="004C3294"/>
    <w:rsid w:val="004C3298"/>
    <w:rsid w:val="004C32F1"/>
    <w:rsid w:val="004C3361"/>
    <w:rsid w:val="004C33F8"/>
    <w:rsid w:val="004C346E"/>
    <w:rsid w:val="004C34DB"/>
    <w:rsid w:val="004C34F9"/>
    <w:rsid w:val="004C357F"/>
    <w:rsid w:val="004C3585"/>
    <w:rsid w:val="004C358F"/>
    <w:rsid w:val="004C3599"/>
    <w:rsid w:val="004C3654"/>
    <w:rsid w:val="004C367B"/>
    <w:rsid w:val="004C3709"/>
    <w:rsid w:val="004C389E"/>
    <w:rsid w:val="004C38DE"/>
    <w:rsid w:val="004C3929"/>
    <w:rsid w:val="004C3974"/>
    <w:rsid w:val="004C39E3"/>
    <w:rsid w:val="004C3A14"/>
    <w:rsid w:val="004C3A20"/>
    <w:rsid w:val="004C3A5F"/>
    <w:rsid w:val="004C3A7E"/>
    <w:rsid w:val="004C3AC1"/>
    <w:rsid w:val="004C3B28"/>
    <w:rsid w:val="004C3B50"/>
    <w:rsid w:val="004C3B98"/>
    <w:rsid w:val="004C3C12"/>
    <w:rsid w:val="004C3CA1"/>
    <w:rsid w:val="004C3CB4"/>
    <w:rsid w:val="004C3DD2"/>
    <w:rsid w:val="004C3E53"/>
    <w:rsid w:val="004C3ED2"/>
    <w:rsid w:val="004C3FCC"/>
    <w:rsid w:val="004C4101"/>
    <w:rsid w:val="004C4194"/>
    <w:rsid w:val="004C41C1"/>
    <w:rsid w:val="004C41F6"/>
    <w:rsid w:val="004C4201"/>
    <w:rsid w:val="004C42A8"/>
    <w:rsid w:val="004C42EE"/>
    <w:rsid w:val="004C4315"/>
    <w:rsid w:val="004C434A"/>
    <w:rsid w:val="004C4420"/>
    <w:rsid w:val="004C451F"/>
    <w:rsid w:val="004C464D"/>
    <w:rsid w:val="004C46B0"/>
    <w:rsid w:val="004C4717"/>
    <w:rsid w:val="004C4771"/>
    <w:rsid w:val="004C47F9"/>
    <w:rsid w:val="004C4815"/>
    <w:rsid w:val="004C4851"/>
    <w:rsid w:val="004C48A2"/>
    <w:rsid w:val="004C48FB"/>
    <w:rsid w:val="004C4935"/>
    <w:rsid w:val="004C493F"/>
    <w:rsid w:val="004C4A42"/>
    <w:rsid w:val="004C4AF6"/>
    <w:rsid w:val="004C4B34"/>
    <w:rsid w:val="004C4BFF"/>
    <w:rsid w:val="004C4C40"/>
    <w:rsid w:val="004C4C62"/>
    <w:rsid w:val="004C4D8C"/>
    <w:rsid w:val="004C4DDA"/>
    <w:rsid w:val="004C4DDD"/>
    <w:rsid w:val="004C4E7A"/>
    <w:rsid w:val="004C4EBA"/>
    <w:rsid w:val="004C4ECC"/>
    <w:rsid w:val="004C4ED7"/>
    <w:rsid w:val="004C4F25"/>
    <w:rsid w:val="004C5189"/>
    <w:rsid w:val="004C51DD"/>
    <w:rsid w:val="004C525E"/>
    <w:rsid w:val="004C525F"/>
    <w:rsid w:val="004C5289"/>
    <w:rsid w:val="004C52AA"/>
    <w:rsid w:val="004C52DA"/>
    <w:rsid w:val="004C52EE"/>
    <w:rsid w:val="004C52F8"/>
    <w:rsid w:val="004C536B"/>
    <w:rsid w:val="004C53D7"/>
    <w:rsid w:val="004C549A"/>
    <w:rsid w:val="004C54CB"/>
    <w:rsid w:val="004C552D"/>
    <w:rsid w:val="004C55B3"/>
    <w:rsid w:val="004C55CC"/>
    <w:rsid w:val="004C55D1"/>
    <w:rsid w:val="004C56E5"/>
    <w:rsid w:val="004C56E8"/>
    <w:rsid w:val="004C5789"/>
    <w:rsid w:val="004C5826"/>
    <w:rsid w:val="004C58A9"/>
    <w:rsid w:val="004C58D9"/>
    <w:rsid w:val="004C58E2"/>
    <w:rsid w:val="004C58FA"/>
    <w:rsid w:val="004C59F5"/>
    <w:rsid w:val="004C5A8A"/>
    <w:rsid w:val="004C5AC2"/>
    <w:rsid w:val="004C5ACE"/>
    <w:rsid w:val="004C5B39"/>
    <w:rsid w:val="004C5BC2"/>
    <w:rsid w:val="004C5BD4"/>
    <w:rsid w:val="004C5BE6"/>
    <w:rsid w:val="004C5C52"/>
    <w:rsid w:val="004C5DB2"/>
    <w:rsid w:val="004C5DEE"/>
    <w:rsid w:val="004C5E8E"/>
    <w:rsid w:val="004C5F1F"/>
    <w:rsid w:val="004C5F29"/>
    <w:rsid w:val="004C5FA0"/>
    <w:rsid w:val="004C6043"/>
    <w:rsid w:val="004C6085"/>
    <w:rsid w:val="004C60AE"/>
    <w:rsid w:val="004C60E7"/>
    <w:rsid w:val="004C6161"/>
    <w:rsid w:val="004C61C6"/>
    <w:rsid w:val="004C61C8"/>
    <w:rsid w:val="004C6208"/>
    <w:rsid w:val="004C6250"/>
    <w:rsid w:val="004C63A4"/>
    <w:rsid w:val="004C63EA"/>
    <w:rsid w:val="004C646B"/>
    <w:rsid w:val="004C647E"/>
    <w:rsid w:val="004C6528"/>
    <w:rsid w:val="004C65CF"/>
    <w:rsid w:val="004C6640"/>
    <w:rsid w:val="004C6759"/>
    <w:rsid w:val="004C6838"/>
    <w:rsid w:val="004C68A8"/>
    <w:rsid w:val="004C6900"/>
    <w:rsid w:val="004C69A8"/>
    <w:rsid w:val="004C69B9"/>
    <w:rsid w:val="004C6A5B"/>
    <w:rsid w:val="004C6AAE"/>
    <w:rsid w:val="004C6B84"/>
    <w:rsid w:val="004C6BF1"/>
    <w:rsid w:val="004C6C17"/>
    <w:rsid w:val="004C6C7A"/>
    <w:rsid w:val="004C6C83"/>
    <w:rsid w:val="004C6CA1"/>
    <w:rsid w:val="004C6CA9"/>
    <w:rsid w:val="004C6D09"/>
    <w:rsid w:val="004C6D2F"/>
    <w:rsid w:val="004C6D7C"/>
    <w:rsid w:val="004C6DFB"/>
    <w:rsid w:val="004C6E2D"/>
    <w:rsid w:val="004C6E33"/>
    <w:rsid w:val="004C6E6F"/>
    <w:rsid w:val="004C6EE5"/>
    <w:rsid w:val="004C6F14"/>
    <w:rsid w:val="004C6F3E"/>
    <w:rsid w:val="004C6F86"/>
    <w:rsid w:val="004C6FD8"/>
    <w:rsid w:val="004C705C"/>
    <w:rsid w:val="004C70C2"/>
    <w:rsid w:val="004C7188"/>
    <w:rsid w:val="004C7220"/>
    <w:rsid w:val="004C72CD"/>
    <w:rsid w:val="004C732A"/>
    <w:rsid w:val="004C73B2"/>
    <w:rsid w:val="004C74EE"/>
    <w:rsid w:val="004C750E"/>
    <w:rsid w:val="004C7533"/>
    <w:rsid w:val="004C75AE"/>
    <w:rsid w:val="004C762C"/>
    <w:rsid w:val="004C7687"/>
    <w:rsid w:val="004C769E"/>
    <w:rsid w:val="004C7730"/>
    <w:rsid w:val="004C776F"/>
    <w:rsid w:val="004C7803"/>
    <w:rsid w:val="004C781A"/>
    <w:rsid w:val="004C7858"/>
    <w:rsid w:val="004C788B"/>
    <w:rsid w:val="004C791D"/>
    <w:rsid w:val="004C79F9"/>
    <w:rsid w:val="004C79FB"/>
    <w:rsid w:val="004C7AA7"/>
    <w:rsid w:val="004C7B2C"/>
    <w:rsid w:val="004C7BA4"/>
    <w:rsid w:val="004C7BBB"/>
    <w:rsid w:val="004C7BC2"/>
    <w:rsid w:val="004C7C47"/>
    <w:rsid w:val="004C7C67"/>
    <w:rsid w:val="004C7CE4"/>
    <w:rsid w:val="004C7CF6"/>
    <w:rsid w:val="004C7CFE"/>
    <w:rsid w:val="004C7D33"/>
    <w:rsid w:val="004C7D40"/>
    <w:rsid w:val="004C7DC2"/>
    <w:rsid w:val="004C7DEB"/>
    <w:rsid w:val="004C7E51"/>
    <w:rsid w:val="004C7F05"/>
    <w:rsid w:val="004C7F2B"/>
    <w:rsid w:val="004C7F33"/>
    <w:rsid w:val="004C7F45"/>
    <w:rsid w:val="004C7F8D"/>
    <w:rsid w:val="004C7FE6"/>
    <w:rsid w:val="004D0109"/>
    <w:rsid w:val="004D0144"/>
    <w:rsid w:val="004D0197"/>
    <w:rsid w:val="004D0250"/>
    <w:rsid w:val="004D029A"/>
    <w:rsid w:val="004D02F1"/>
    <w:rsid w:val="004D037E"/>
    <w:rsid w:val="004D03F5"/>
    <w:rsid w:val="004D040C"/>
    <w:rsid w:val="004D04AB"/>
    <w:rsid w:val="004D0584"/>
    <w:rsid w:val="004D0592"/>
    <w:rsid w:val="004D0607"/>
    <w:rsid w:val="004D0633"/>
    <w:rsid w:val="004D0642"/>
    <w:rsid w:val="004D0717"/>
    <w:rsid w:val="004D076A"/>
    <w:rsid w:val="004D0787"/>
    <w:rsid w:val="004D0791"/>
    <w:rsid w:val="004D08AA"/>
    <w:rsid w:val="004D09F7"/>
    <w:rsid w:val="004D09FA"/>
    <w:rsid w:val="004D0A5A"/>
    <w:rsid w:val="004D0BCC"/>
    <w:rsid w:val="004D0C4D"/>
    <w:rsid w:val="004D0CF4"/>
    <w:rsid w:val="004D0D0A"/>
    <w:rsid w:val="004D0D70"/>
    <w:rsid w:val="004D0D8F"/>
    <w:rsid w:val="004D0DB4"/>
    <w:rsid w:val="004D0DCD"/>
    <w:rsid w:val="004D0EE9"/>
    <w:rsid w:val="004D0F06"/>
    <w:rsid w:val="004D0FB5"/>
    <w:rsid w:val="004D0FCF"/>
    <w:rsid w:val="004D0FE3"/>
    <w:rsid w:val="004D1134"/>
    <w:rsid w:val="004D120A"/>
    <w:rsid w:val="004D1365"/>
    <w:rsid w:val="004D1460"/>
    <w:rsid w:val="004D14D7"/>
    <w:rsid w:val="004D1507"/>
    <w:rsid w:val="004D1538"/>
    <w:rsid w:val="004D158A"/>
    <w:rsid w:val="004D1610"/>
    <w:rsid w:val="004D1647"/>
    <w:rsid w:val="004D1691"/>
    <w:rsid w:val="004D1736"/>
    <w:rsid w:val="004D1768"/>
    <w:rsid w:val="004D1809"/>
    <w:rsid w:val="004D1882"/>
    <w:rsid w:val="004D1910"/>
    <w:rsid w:val="004D1917"/>
    <w:rsid w:val="004D19DB"/>
    <w:rsid w:val="004D1A61"/>
    <w:rsid w:val="004D1AB1"/>
    <w:rsid w:val="004D1B0E"/>
    <w:rsid w:val="004D1B75"/>
    <w:rsid w:val="004D1BE6"/>
    <w:rsid w:val="004D1C87"/>
    <w:rsid w:val="004D1C9D"/>
    <w:rsid w:val="004D1D1C"/>
    <w:rsid w:val="004D1D1D"/>
    <w:rsid w:val="004D1D3E"/>
    <w:rsid w:val="004D1F11"/>
    <w:rsid w:val="004D206C"/>
    <w:rsid w:val="004D2073"/>
    <w:rsid w:val="004D2079"/>
    <w:rsid w:val="004D20BC"/>
    <w:rsid w:val="004D20DD"/>
    <w:rsid w:val="004D219F"/>
    <w:rsid w:val="004D21EE"/>
    <w:rsid w:val="004D22B5"/>
    <w:rsid w:val="004D22BB"/>
    <w:rsid w:val="004D2317"/>
    <w:rsid w:val="004D2324"/>
    <w:rsid w:val="004D23BD"/>
    <w:rsid w:val="004D23CE"/>
    <w:rsid w:val="004D23E9"/>
    <w:rsid w:val="004D240E"/>
    <w:rsid w:val="004D2433"/>
    <w:rsid w:val="004D24E3"/>
    <w:rsid w:val="004D2502"/>
    <w:rsid w:val="004D2515"/>
    <w:rsid w:val="004D25A8"/>
    <w:rsid w:val="004D2632"/>
    <w:rsid w:val="004D2668"/>
    <w:rsid w:val="004D2684"/>
    <w:rsid w:val="004D2771"/>
    <w:rsid w:val="004D27C7"/>
    <w:rsid w:val="004D27E9"/>
    <w:rsid w:val="004D280E"/>
    <w:rsid w:val="004D2824"/>
    <w:rsid w:val="004D2831"/>
    <w:rsid w:val="004D285C"/>
    <w:rsid w:val="004D2951"/>
    <w:rsid w:val="004D2A22"/>
    <w:rsid w:val="004D2A9F"/>
    <w:rsid w:val="004D2D12"/>
    <w:rsid w:val="004D2D43"/>
    <w:rsid w:val="004D2D48"/>
    <w:rsid w:val="004D2D7F"/>
    <w:rsid w:val="004D2D92"/>
    <w:rsid w:val="004D2D95"/>
    <w:rsid w:val="004D2DBE"/>
    <w:rsid w:val="004D2DF3"/>
    <w:rsid w:val="004D2DFC"/>
    <w:rsid w:val="004D2EA0"/>
    <w:rsid w:val="004D2EEF"/>
    <w:rsid w:val="004D2F99"/>
    <w:rsid w:val="004D3084"/>
    <w:rsid w:val="004D3141"/>
    <w:rsid w:val="004D31B2"/>
    <w:rsid w:val="004D3211"/>
    <w:rsid w:val="004D337E"/>
    <w:rsid w:val="004D3386"/>
    <w:rsid w:val="004D3399"/>
    <w:rsid w:val="004D3450"/>
    <w:rsid w:val="004D3456"/>
    <w:rsid w:val="004D34ED"/>
    <w:rsid w:val="004D3514"/>
    <w:rsid w:val="004D3582"/>
    <w:rsid w:val="004D3651"/>
    <w:rsid w:val="004D369D"/>
    <w:rsid w:val="004D36C8"/>
    <w:rsid w:val="004D370A"/>
    <w:rsid w:val="004D378B"/>
    <w:rsid w:val="004D38E2"/>
    <w:rsid w:val="004D38F7"/>
    <w:rsid w:val="004D3951"/>
    <w:rsid w:val="004D3A12"/>
    <w:rsid w:val="004D3AB6"/>
    <w:rsid w:val="004D3ABD"/>
    <w:rsid w:val="004D3AF6"/>
    <w:rsid w:val="004D3B1D"/>
    <w:rsid w:val="004D3B9D"/>
    <w:rsid w:val="004D3C08"/>
    <w:rsid w:val="004D3C1E"/>
    <w:rsid w:val="004D3C22"/>
    <w:rsid w:val="004D3D0C"/>
    <w:rsid w:val="004D3DD4"/>
    <w:rsid w:val="004D3DE9"/>
    <w:rsid w:val="004D3EDB"/>
    <w:rsid w:val="004D3EE6"/>
    <w:rsid w:val="004D3F48"/>
    <w:rsid w:val="004D3F4C"/>
    <w:rsid w:val="004D3F65"/>
    <w:rsid w:val="004D3F86"/>
    <w:rsid w:val="004D3FA3"/>
    <w:rsid w:val="004D3FC5"/>
    <w:rsid w:val="004D4089"/>
    <w:rsid w:val="004D408B"/>
    <w:rsid w:val="004D41B9"/>
    <w:rsid w:val="004D429A"/>
    <w:rsid w:val="004D42F3"/>
    <w:rsid w:val="004D432B"/>
    <w:rsid w:val="004D437D"/>
    <w:rsid w:val="004D43AE"/>
    <w:rsid w:val="004D43E0"/>
    <w:rsid w:val="004D43EE"/>
    <w:rsid w:val="004D4460"/>
    <w:rsid w:val="004D44AE"/>
    <w:rsid w:val="004D452B"/>
    <w:rsid w:val="004D4643"/>
    <w:rsid w:val="004D46E4"/>
    <w:rsid w:val="004D46E6"/>
    <w:rsid w:val="004D470C"/>
    <w:rsid w:val="004D47CC"/>
    <w:rsid w:val="004D4820"/>
    <w:rsid w:val="004D4875"/>
    <w:rsid w:val="004D4915"/>
    <w:rsid w:val="004D4943"/>
    <w:rsid w:val="004D4A69"/>
    <w:rsid w:val="004D4A86"/>
    <w:rsid w:val="004D4A8A"/>
    <w:rsid w:val="004D4ADE"/>
    <w:rsid w:val="004D4B71"/>
    <w:rsid w:val="004D4BD4"/>
    <w:rsid w:val="004D4BFA"/>
    <w:rsid w:val="004D4C2D"/>
    <w:rsid w:val="004D4C66"/>
    <w:rsid w:val="004D4C6F"/>
    <w:rsid w:val="004D4D41"/>
    <w:rsid w:val="004D4D89"/>
    <w:rsid w:val="004D4D95"/>
    <w:rsid w:val="004D4DAB"/>
    <w:rsid w:val="004D4E88"/>
    <w:rsid w:val="004D4F6E"/>
    <w:rsid w:val="004D4FA0"/>
    <w:rsid w:val="004D4FC8"/>
    <w:rsid w:val="004D50C4"/>
    <w:rsid w:val="004D50DB"/>
    <w:rsid w:val="004D5206"/>
    <w:rsid w:val="004D5264"/>
    <w:rsid w:val="004D529D"/>
    <w:rsid w:val="004D52A9"/>
    <w:rsid w:val="004D53A7"/>
    <w:rsid w:val="004D5425"/>
    <w:rsid w:val="004D542A"/>
    <w:rsid w:val="004D5499"/>
    <w:rsid w:val="004D551B"/>
    <w:rsid w:val="004D5524"/>
    <w:rsid w:val="004D554A"/>
    <w:rsid w:val="004D5582"/>
    <w:rsid w:val="004D55CE"/>
    <w:rsid w:val="004D562A"/>
    <w:rsid w:val="004D5687"/>
    <w:rsid w:val="004D575F"/>
    <w:rsid w:val="004D5878"/>
    <w:rsid w:val="004D5964"/>
    <w:rsid w:val="004D5966"/>
    <w:rsid w:val="004D5971"/>
    <w:rsid w:val="004D5BCE"/>
    <w:rsid w:val="004D5C60"/>
    <w:rsid w:val="004D5CC0"/>
    <w:rsid w:val="004D5CDE"/>
    <w:rsid w:val="004D5EF0"/>
    <w:rsid w:val="004D5EFE"/>
    <w:rsid w:val="004D5F2F"/>
    <w:rsid w:val="004D5FCF"/>
    <w:rsid w:val="004D5FEF"/>
    <w:rsid w:val="004D60E6"/>
    <w:rsid w:val="004D62CC"/>
    <w:rsid w:val="004D6387"/>
    <w:rsid w:val="004D63DA"/>
    <w:rsid w:val="004D648C"/>
    <w:rsid w:val="004D64E4"/>
    <w:rsid w:val="004D6530"/>
    <w:rsid w:val="004D6593"/>
    <w:rsid w:val="004D65B1"/>
    <w:rsid w:val="004D663D"/>
    <w:rsid w:val="004D6680"/>
    <w:rsid w:val="004D66D4"/>
    <w:rsid w:val="004D6717"/>
    <w:rsid w:val="004D6824"/>
    <w:rsid w:val="004D685C"/>
    <w:rsid w:val="004D6866"/>
    <w:rsid w:val="004D686E"/>
    <w:rsid w:val="004D687C"/>
    <w:rsid w:val="004D6880"/>
    <w:rsid w:val="004D68DB"/>
    <w:rsid w:val="004D68FF"/>
    <w:rsid w:val="004D690B"/>
    <w:rsid w:val="004D690F"/>
    <w:rsid w:val="004D6961"/>
    <w:rsid w:val="004D6A84"/>
    <w:rsid w:val="004D6B5C"/>
    <w:rsid w:val="004D6B77"/>
    <w:rsid w:val="004D6B8A"/>
    <w:rsid w:val="004D6BCA"/>
    <w:rsid w:val="004D6C33"/>
    <w:rsid w:val="004D6CC1"/>
    <w:rsid w:val="004D6CCF"/>
    <w:rsid w:val="004D6CF7"/>
    <w:rsid w:val="004D6D1A"/>
    <w:rsid w:val="004D6E1F"/>
    <w:rsid w:val="004D6E47"/>
    <w:rsid w:val="004D6E62"/>
    <w:rsid w:val="004D6E73"/>
    <w:rsid w:val="004D6EB0"/>
    <w:rsid w:val="004D6F94"/>
    <w:rsid w:val="004D7039"/>
    <w:rsid w:val="004D703F"/>
    <w:rsid w:val="004D70DB"/>
    <w:rsid w:val="004D7107"/>
    <w:rsid w:val="004D7271"/>
    <w:rsid w:val="004D72CE"/>
    <w:rsid w:val="004D7305"/>
    <w:rsid w:val="004D7374"/>
    <w:rsid w:val="004D73D2"/>
    <w:rsid w:val="004D7466"/>
    <w:rsid w:val="004D74E4"/>
    <w:rsid w:val="004D74EF"/>
    <w:rsid w:val="004D7667"/>
    <w:rsid w:val="004D76B8"/>
    <w:rsid w:val="004D76FA"/>
    <w:rsid w:val="004D7724"/>
    <w:rsid w:val="004D772C"/>
    <w:rsid w:val="004D778E"/>
    <w:rsid w:val="004D7923"/>
    <w:rsid w:val="004D7931"/>
    <w:rsid w:val="004D7950"/>
    <w:rsid w:val="004D7B26"/>
    <w:rsid w:val="004D7B78"/>
    <w:rsid w:val="004D7C08"/>
    <w:rsid w:val="004D7C2A"/>
    <w:rsid w:val="004D7C41"/>
    <w:rsid w:val="004D7C49"/>
    <w:rsid w:val="004D7C6C"/>
    <w:rsid w:val="004D7D11"/>
    <w:rsid w:val="004D7D6C"/>
    <w:rsid w:val="004D7F65"/>
    <w:rsid w:val="004D7FED"/>
    <w:rsid w:val="004E004B"/>
    <w:rsid w:val="004E00F6"/>
    <w:rsid w:val="004E0107"/>
    <w:rsid w:val="004E01DE"/>
    <w:rsid w:val="004E02A4"/>
    <w:rsid w:val="004E0330"/>
    <w:rsid w:val="004E035E"/>
    <w:rsid w:val="004E03D3"/>
    <w:rsid w:val="004E0433"/>
    <w:rsid w:val="004E04CD"/>
    <w:rsid w:val="004E0558"/>
    <w:rsid w:val="004E0618"/>
    <w:rsid w:val="004E0674"/>
    <w:rsid w:val="004E0695"/>
    <w:rsid w:val="004E0758"/>
    <w:rsid w:val="004E0781"/>
    <w:rsid w:val="004E0785"/>
    <w:rsid w:val="004E07BD"/>
    <w:rsid w:val="004E082D"/>
    <w:rsid w:val="004E0837"/>
    <w:rsid w:val="004E0899"/>
    <w:rsid w:val="004E08FB"/>
    <w:rsid w:val="004E0933"/>
    <w:rsid w:val="004E09F1"/>
    <w:rsid w:val="004E0BAC"/>
    <w:rsid w:val="004E0BEE"/>
    <w:rsid w:val="004E0CE5"/>
    <w:rsid w:val="004E0D5A"/>
    <w:rsid w:val="004E0D74"/>
    <w:rsid w:val="004E0DC3"/>
    <w:rsid w:val="004E0DCA"/>
    <w:rsid w:val="004E0DE9"/>
    <w:rsid w:val="004E0E2B"/>
    <w:rsid w:val="004E0ECB"/>
    <w:rsid w:val="004E0FB1"/>
    <w:rsid w:val="004E1018"/>
    <w:rsid w:val="004E101E"/>
    <w:rsid w:val="004E1079"/>
    <w:rsid w:val="004E111C"/>
    <w:rsid w:val="004E112D"/>
    <w:rsid w:val="004E1183"/>
    <w:rsid w:val="004E11FA"/>
    <w:rsid w:val="004E1275"/>
    <w:rsid w:val="004E1280"/>
    <w:rsid w:val="004E13A4"/>
    <w:rsid w:val="004E140F"/>
    <w:rsid w:val="004E1497"/>
    <w:rsid w:val="004E1499"/>
    <w:rsid w:val="004E149D"/>
    <w:rsid w:val="004E14DE"/>
    <w:rsid w:val="004E1598"/>
    <w:rsid w:val="004E15D6"/>
    <w:rsid w:val="004E15EE"/>
    <w:rsid w:val="004E161A"/>
    <w:rsid w:val="004E1661"/>
    <w:rsid w:val="004E16C9"/>
    <w:rsid w:val="004E16CF"/>
    <w:rsid w:val="004E177E"/>
    <w:rsid w:val="004E17A5"/>
    <w:rsid w:val="004E17CD"/>
    <w:rsid w:val="004E1829"/>
    <w:rsid w:val="004E1885"/>
    <w:rsid w:val="004E18BD"/>
    <w:rsid w:val="004E1984"/>
    <w:rsid w:val="004E19BF"/>
    <w:rsid w:val="004E1ABC"/>
    <w:rsid w:val="004E1AFC"/>
    <w:rsid w:val="004E1D12"/>
    <w:rsid w:val="004E1D6F"/>
    <w:rsid w:val="004E1D94"/>
    <w:rsid w:val="004E1D9B"/>
    <w:rsid w:val="004E1DEE"/>
    <w:rsid w:val="004E1F13"/>
    <w:rsid w:val="004E1F66"/>
    <w:rsid w:val="004E20AC"/>
    <w:rsid w:val="004E20D4"/>
    <w:rsid w:val="004E20E5"/>
    <w:rsid w:val="004E20E8"/>
    <w:rsid w:val="004E20FD"/>
    <w:rsid w:val="004E215A"/>
    <w:rsid w:val="004E2169"/>
    <w:rsid w:val="004E23AA"/>
    <w:rsid w:val="004E23BF"/>
    <w:rsid w:val="004E2450"/>
    <w:rsid w:val="004E256B"/>
    <w:rsid w:val="004E25C4"/>
    <w:rsid w:val="004E25D8"/>
    <w:rsid w:val="004E2661"/>
    <w:rsid w:val="004E26E1"/>
    <w:rsid w:val="004E272E"/>
    <w:rsid w:val="004E2746"/>
    <w:rsid w:val="004E2757"/>
    <w:rsid w:val="004E2758"/>
    <w:rsid w:val="004E277B"/>
    <w:rsid w:val="004E27E3"/>
    <w:rsid w:val="004E2837"/>
    <w:rsid w:val="004E2844"/>
    <w:rsid w:val="004E286F"/>
    <w:rsid w:val="004E28D7"/>
    <w:rsid w:val="004E2A68"/>
    <w:rsid w:val="004E2C05"/>
    <w:rsid w:val="004E2C3B"/>
    <w:rsid w:val="004E2C62"/>
    <w:rsid w:val="004E2C72"/>
    <w:rsid w:val="004E2CC3"/>
    <w:rsid w:val="004E2CF9"/>
    <w:rsid w:val="004E2D06"/>
    <w:rsid w:val="004E2D0F"/>
    <w:rsid w:val="004E2D1E"/>
    <w:rsid w:val="004E2DF5"/>
    <w:rsid w:val="004E2E26"/>
    <w:rsid w:val="004E2E46"/>
    <w:rsid w:val="004E2E61"/>
    <w:rsid w:val="004E2EB3"/>
    <w:rsid w:val="004E2EBA"/>
    <w:rsid w:val="004E2F0D"/>
    <w:rsid w:val="004E3009"/>
    <w:rsid w:val="004E302C"/>
    <w:rsid w:val="004E3043"/>
    <w:rsid w:val="004E3046"/>
    <w:rsid w:val="004E3059"/>
    <w:rsid w:val="004E3217"/>
    <w:rsid w:val="004E3259"/>
    <w:rsid w:val="004E32B3"/>
    <w:rsid w:val="004E32F1"/>
    <w:rsid w:val="004E330F"/>
    <w:rsid w:val="004E3334"/>
    <w:rsid w:val="004E33B9"/>
    <w:rsid w:val="004E33DE"/>
    <w:rsid w:val="004E34AE"/>
    <w:rsid w:val="004E353A"/>
    <w:rsid w:val="004E3608"/>
    <w:rsid w:val="004E3680"/>
    <w:rsid w:val="004E36D3"/>
    <w:rsid w:val="004E3704"/>
    <w:rsid w:val="004E374B"/>
    <w:rsid w:val="004E3775"/>
    <w:rsid w:val="004E377F"/>
    <w:rsid w:val="004E37A5"/>
    <w:rsid w:val="004E3852"/>
    <w:rsid w:val="004E3985"/>
    <w:rsid w:val="004E39BC"/>
    <w:rsid w:val="004E39FE"/>
    <w:rsid w:val="004E3A7B"/>
    <w:rsid w:val="004E3A85"/>
    <w:rsid w:val="004E3AEC"/>
    <w:rsid w:val="004E3B19"/>
    <w:rsid w:val="004E3B41"/>
    <w:rsid w:val="004E3B4B"/>
    <w:rsid w:val="004E3B58"/>
    <w:rsid w:val="004E3C0A"/>
    <w:rsid w:val="004E3C9C"/>
    <w:rsid w:val="004E3D0E"/>
    <w:rsid w:val="004E3E35"/>
    <w:rsid w:val="004E3FE0"/>
    <w:rsid w:val="004E404D"/>
    <w:rsid w:val="004E4107"/>
    <w:rsid w:val="004E4193"/>
    <w:rsid w:val="004E41A9"/>
    <w:rsid w:val="004E420A"/>
    <w:rsid w:val="004E420B"/>
    <w:rsid w:val="004E4257"/>
    <w:rsid w:val="004E4273"/>
    <w:rsid w:val="004E42FD"/>
    <w:rsid w:val="004E437E"/>
    <w:rsid w:val="004E4451"/>
    <w:rsid w:val="004E446D"/>
    <w:rsid w:val="004E44EA"/>
    <w:rsid w:val="004E4564"/>
    <w:rsid w:val="004E45D5"/>
    <w:rsid w:val="004E462C"/>
    <w:rsid w:val="004E469D"/>
    <w:rsid w:val="004E46E9"/>
    <w:rsid w:val="004E46F9"/>
    <w:rsid w:val="004E4756"/>
    <w:rsid w:val="004E4783"/>
    <w:rsid w:val="004E47A8"/>
    <w:rsid w:val="004E482A"/>
    <w:rsid w:val="004E484A"/>
    <w:rsid w:val="004E48DA"/>
    <w:rsid w:val="004E4910"/>
    <w:rsid w:val="004E4922"/>
    <w:rsid w:val="004E4A3B"/>
    <w:rsid w:val="004E4B3C"/>
    <w:rsid w:val="004E4BC9"/>
    <w:rsid w:val="004E4C4A"/>
    <w:rsid w:val="004E4C81"/>
    <w:rsid w:val="004E4C9B"/>
    <w:rsid w:val="004E4CB6"/>
    <w:rsid w:val="004E4CBD"/>
    <w:rsid w:val="004E4CE2"/>
    <w:rsid w:val="004E4D27"/>
    <w:rsid w:val="004E4DA0"/>
    <w:rsid w:val="004E4DCE"/>
    <w:rsid w:val="004E4DDD"/>
    <w:rsid w:val="004E4E71"/>
    <w:rsid w:val="004E4F3B"/>
    <w:rsid w:val="004E4F53"/>
    <w:rsid w:val="004E4FCE"/>
    <w:rsid w:val="004E501B"/>
    <w:rsid w:val="004E506C"/>
    <w:rsid w:val="004E5074"/>
    <w:rsid w:val="004E5080"/>
    <w:rsid w:val="004E50AC"/>
    <w:rsid w:val="004E514B"/>
    <w:rsid w:val="004E5242"/>
    <w:rsid w:val="004E5274"/>
    <w:rsid w:val="004E52A3"/>
    <w:rsid w:val="004E53FA"/>
    <w:rsid w:val="004E5428"/>
    <w:rsid w:val="004E543A"/>
    <w:rsid w:val="004E54CC"/>
    <w:rsid w:val="004E54F2"/>
    <w:rsid w:val="004E5559"/>
    <w:rsid w:val="004E55D8"/>
    <w:rsid w:val="004E564B"/>
    <w:rsid w:val="004E568C"/>
    <w:rsid w:val="004E56A6"/>
    <w:rsid w:val="004E5790"/>
    <w:rsid w:val="004E57E2"/>
    <w:rsid w:val="004E5809"/>
    <w:rsid w:val="004E5988"/>
    <w:rsid w:val="004E59B0"/>
    <w:rsid w:val="004E5A33"/>
    <w:rsid w:val="004E5A34"/>
    <w:rsid w:val="004E5AEB"/>
    <w:rsid w:val="004E5AF6"/>
    <w:rsid w:val="004E5B1D"/>
    <w:rsid w:val="004E5B1F"/>
    <w:rsid w:val="004E5B4B"/>
    <w:rsid w:val="004E5B4F"/>
    <w:rsid w:val="004E5BEF"/>
    <w:rsid w:val="004E5C04"/>
    <w:rsid w:val="004E5CBD"/>
    <w:rsid w:val="004E5D15"/>
    <w:rsid w:val="004E5D24"/>
    <w:rsid w:val="004E5D66"/>
    <w:rsid w:val="004E5D68"/>
    <w:rsid w:val="004E5D7A"/>
    <w:rsid w:val="004E5DAE"/>
    <w:rsid w:val="004E5F5D"/>
    <w:rsid w:val="004E5FD7"/>
    <w:rsid w:val="004E605B"/>
    <w:rsid w:val="004E60D0"/>
    <w:rsid w:val="004E60D6"/>
    <w:rsid w:val="004E629B"/>
    <w:rsid w:val="004E62BE"/>
    <w:rsid w:val="004E62C2"/>
    <w:rsid w:val="004E634B"/>
    <w:rsid w:val="004E6396"/>
    <w:rsid w:val="004E63AE"/>
    <w:rsid w:val="004E63C9"/>
    <w:rsid w:val="004E63D8"/>
    <w:rsid w:val="004E6443"/>
    <w:rsid w:val="004E6460"/>
    <w:rsid w:val="004E6470"/>
    <w:rsid w:val="004E64E9"/>
    <w:rsid w:val="004E654A"/>
    <w:rsid w:val="004E654D"/>
    <w:rsid w:val="004E65EE"/>
    <w:rsid w:val="004E6646"/>
    <w:rsid w:val="004E6760"/>
    <w:rsid w:val="004E68A3"/>
    <w:rsid w:val="004E696A"/>
    <w:rsid w:val="004E6A00"/>
    <w:rsid w:val="004E6A1A"/>
    <w:rsid w:val="004E6B2D"/>
    <w:rsid w:val="004E6B32"/>
    <w:rsid w:val="004E6BBC"/>
    <w:rsid w:val="004E6C10"/>
    <w:rsid w:val="004E6C16"/>
    <w:rsid w:val="004E6C24"/>
    <w:rsid w:val="004E6C44"/>
    <w:rsid w:val="004E6D1D"/>
    <w:rsid w:val="004E6D20"/>
    <w:rsid w:val="004E6D6A"/>
    <w:rsid w:val="004E6DE9"/>
    <w:rsid w:val="004E6E9A"/>
    <w:rsid w:val="004E6F1F"/>
    <w:rsid w:val="004E6F5A"/>
    <w:rsid w:val="004E70B4"/>
    <w:rsid w:val="004E7136"/>
    <w:rsid w:val="004E7157"/>
    <w:rsid w:val="004E719D"/>
    <w:rsid w:val="004E727E"/>
    <w:rsid w:val="004E72CD"/>
    <w:rsid w:val="004E7358"/>
    <w:rsid w:val="004E73DD"/>
    <w:rsid w:val="004E73E5"/>
    <w:rsid w:val="004E7453"/>
    <w:rsid w:val="004E75B9"/>
    <w:rsid w:val="004E76EC"/>
    <w:rsid w:val="004E7715"/>
    <w:rsid w:val="004E774E"/>
    <w:rsid w:val="004E7810"/>
    <w:rsid w:val="004E784B"/>
    <w:rsid w:val="004E789A"/>
    <w:rsid w:val="004E790D"/>
    <w:rsid w:val="004E7983"/>
    <w:rsid w:val="004E7A5B"/>
    <w:rsid w:val="004E7AD9"/>
    <w:rsid w:val="004E7B44"/>
    <w:rsid w:val="004E7B9D"/>
    <w:rsid w:val="004E7BAE"/>
    <w:rsid w:val="004E7BB4"/>
    <w:rsid w:val="004E7BE9"/>
    <w:rsid w:val="004E7C28"/>
    <w:rsid w:val="004E7C2A"/>
    <w:rsid w:val="004E7C33"/>
    <w:rsid w:val="004E7D28"/>
    <w:rsid w:val="004E7E13"/>
    <w:rsid w:val="004E7E99"/>
    <w:rsid w:val="004E7EAF"/>
    <w:rsid w:val="004E7ECF"/>
    <w:rsid w:val="004E7F50"/>
    <w:rsid w:val="004E7F5E"/>
    <w:rsid w:val="004F0035"/>
    <w:rsid w:val="004F0079"/>
    <w:rsid w:val="004F00D7"/>
    <w:rsid w:val="004F0142"/>
    <w:rsid w:val="004F0144"/>
    <w:rsid w:val="004F0189"/>
    <w:rsid w:val="004F01C8"/>
    <w:rsid w:val="004F01EE"/>
    <w:rsid w:val="004F02D4"/>
    <w:rsid w:val="004F02E4"/>
    <w:rsid w:val="004F0363"/>
    <w:rsid w:val="004F038B"/>
    <w:rsid w:val="004F040B"/>
    <w:rsid w:val="004F057C"/>
    <w:rsid w:val="004F077C"/>
    <w:rsid w:val="004F0821"/>
    <w:rsid w:val="004F086D"/>
    <w:rsid w:val="004F0877"/>
    <w:rsid w:val="004F08F1"/>
    <w:rsid w:val="004F0948"/>
    <w:rsid w:val="004F09B0"/>
    <w:rsid w:val="004F0A01"/>
    <w:rsid w:val="004F0AA1"/>
    <w:rsid w:val="004F0ABA"/>
    <w:rsid w:val="004F0B1E"/>
    <w:rsid w:val="004F0BA9"/>
    <w:rsid w:val="004F0C0C"/>
    <w:rsid w:val="004F0CD5"/>
    <w:rsid w:val="004F0D6D"/>
    <w:rsid w:val="004F0D7E"/>
    <w:rsid w:val="004F0D92"/>
    <w:rsid w:val="004F0E4B"/>
    <w:rsid w:val="004F0E65"/>
    <w:rsid w:val="004F0E66"/>
    <w:rsid w:val="004F0E7C"/>
    <w:rsid w:val="004F0EBD"/>
    <w:rsid w:val="004F0F41"/>
    <w:rsid w:val="004F0F5A"/>
    <w:rsid w:val="004F0F79"/>
    <w:rsid w:val="004F0F80"/>
    <w:rsid w:val="004F0FDC"/>
    <w:rsid w:val="004F10FF"/>
    <w:rsid w:val="004F1188"/>
    <w:rsid w:val="004F11A3"/>
    <w:rsid w:val="004F1250"/>
    <w:rsid w:val="004F1294"/>
    <w:rsid w:val="004F12DC"/>
    <w:rsid w:val="004F1316"/>
    <w:rsid w:val="004F13BB"/>
    <w:rsid w:val="004F13D2"/>
    <w:rsid w:val="004F1430"/>
    <w:rsid w:val="004F14C8"/>
    <w:rsid w:val="004F14E7"/>
    <w:rsid w:val="004F14F2"/>
    <w:rsid w:val="004F14FA"/>
    <w:rsid w:val="004F1523"/>
    <w:rsid w:val="004F16B0"/>
    <w:rsid w:val="004F1723"/>
    <w:rsid w:val="004F1A69"/>
    <w:rsid w:val="004F1AAF"/>
    <w:rsid w:val="004F1B1D"/>
    <w:rsid w:val="004F1B27"/>
    <w:rsid w:val="004F1B9C"/>
    <w:rsid w:val="004F1C16"/>
    <w:rsid w:val="004F1CBE"/>
    <w:rsid w:val="004F1D61"/>
    <w:rsid w:val="004F1E54"/>
    <w:rsid w:val="004F1E59"/>
    <w:rsid w:val="004F1E88"/>
    <w:rsid w:val="004F1E97"/>
    <w:rsid w:val="004F1E9E"/>
    <w:rsid w:val="004F1EBA"/>
    <w:rsid w:val="004F1F9B"/>
    <w:rsid w:val="004F1FAE"/>
    <w:rsid w:val="004F2044"/>
    <w:rsid w:val="004F2050"/>
    <w:rsid w:val="004F2057"/>
    <w:rsid w:val="004F205E"/>
    <w:rsid w:val="004F20BB"/>
    <w:rsid w:val="004F214D"/>
    <w:rsid w:val="004F227B"/>
    <w:rsid w:val="004F249B"/>
    <w:rsid w:val="004F24BD"/>
    <w:rsid w:val="004F2601"/>
    <w:rsid w:val="004F263F"/>
    <w:rsid w:val="004F26E2"/>
    <w:rsid w:val="004F274D"/>
    <w:rsid w:val="004F27A5"/>
    <w:rsid w:val="004F2898"/>
    <w:rsid w:val="004F2A1D"/>
    <w:rsid w:val="004F2A39"/>
    <w:rsid w:val="004F2ABC"/>
    <w:rsid w:val="004F2ADC"/>
    <w:rsid w:val="004F2B43"/>
    <w:rsid w:val="004F2C32"/>
    <w:rsid w:val="004F2C74"/>
    <w:rsid w:val="004F2CD5"/>
    <w:rsid w:val="004F2EB4"/>
    <w:rsid w:val="004F2F0E"/>
    <w:rsid w:val="004F2F6C"/>
    <w:rsid w:val="004F3066"/>
    <w:rsid w:val="004F30E9"/>
    <w:rsid w:val="004F30EC"/>
    <w:rsid w:val="004F3171"/>
    <w:rsid w:val="004F319D"/>
    <w:rsid w:val="004F31D8"/>
    <w:rsid w:val="004F3219"/>
    <w:rsid w:val="004F32BA"/>
    <w:rsid w:val="004F32D7"/>
    <w:rsid w:val="004F33A9"/>
    <w:rsid w:val="004F33E4"/>
    <w:rsid w:val="004F3434"/>
    <w:rsid w:val="004F3436"/>
    <w:rsid w:val="004F351E"/>
    <w:rsid w:val="004F3575"/>
    <w:rsid w:val="004F3623"/>
    <w:rsid w:val="004F363A"/>
    <w:rsid w:val="004F363F"/>
    <w:rsid w:val="004F36DC"/>
    <w:rsid w:val="004F36EC"/>
    <w:rsid w:val="004F372D"/>
    <w:rsid w:val="004F379F"/>
    <w:rsid w:val="004F3810"/>
    <w:rsid w:val="004F3821"/>
    <w:rsid w:val="004F38DB"/>
    <w:rsid w:val="004F38E9"/>
    <w:rsid w:val="004F3A07"/>
    <w:rsid w:val="004F3A1B"/>
    <w:rsid w:val="004F3A56"/>
    <w:rsid w:val="004F3AEA"/>
    <w:rsid w:val="004F3AF1"/>
    <w:rsid w:val="004F3BAA"/>
    <w:rsid w:val="004F3BC7"/>
    <w:rsid w:val="004F3C5B"/>
    <w:rsid w:val="004F3C90"/>
    <w:rsid w:val="004F3CCA"/>
    <w:rsid w:val="004F3D8D"/>
    <w:rsid w:val="004F3E18"/>
    <w:rsid w:val="004F3E3C"/>
    <w:rsid w:val="004F3F0C"/>
    <w:rsid w:val="004F3FAF"/>
    <w:rsid w:val="004F3FB2"/>
    <w:rsid w:val="004F40BD"/>
    <w:rsid w:val="004F4144"/>
    <w:rsid w:val="004F41DB"/>
    <w:rsid w:val="004F41E8"/>
    <w:rsid w:val="004F427C"/>
    <w:rsid w:val="004F4293"/>
    <w:rsid w:val="004F42E4"/>
    <w:rsid w:val="004F4366"/>
    <w:rsid w:val="004F43E4"/>
    <w:rsid w:val="004F443B"/>
    <w:rsid w:val="004F4575"/>
    <w:rsid w:val="004F45BE"/>
    <w:rsid w:val="004F45D9"/>
    <w:rsid w:val="004F4616"/>
    <w:rsid w:val="004F4653"/>
    <w:rsid w:val="004F46AC"/>
    <w:rsid w:val="004F46C6"/>
    <w:rsid w:val="004F4721"/>
    <w:rsid w:val="004F4742"/>
    <w:rsid w:val="004F4751"/>
    <w:rsid w:val="004F4754"/>
    <w:rsid w:val="004F4760"/>
    <w:rsid w:val="004F479F"/>
    <w:rsid w:val="004F47A9"/>
    <w:rsid w:val="004F4827"/>
    <w:rsid w:val="004F483E"/>
    <w:rsid w:val="004F4853"/>
    <w:rsid w:val="004F4922"/>
    <w:rsid w:val="004F4942"/>
    <w:rsid w:val="004F4985"/>
    <w:rsid w:val="004F4A1E"/>
    <w:rsid w:val="004F4A42"/>
    <w:rsid w:val="004F4A82"/>
    <w:rsid w:val="004F4B0B"/>
    <w:rsid w:val="004F4B59"/>
    <w:rsid w:val="004F4C22"/>
    <w:rsid w:val="004F4D04"/>
    <w:rsid w:val="004F4D6C"/>
    <w:rsid w:val="004F4D84"/>
    <w:rsid w:val="004F4DDA"/>
    <w:rsid w:val="004F4E0C"/>
    <w:rsid w:val="004F4E1E"/>
    <w:rsid w:val="004F4F3A"/>
    <w:rsid w:val="004F4F8E"/>
    <w:rsid w:val="004F4FA2"/>
    <w:rsid w:val="004F5014"/>
    <w:rsid w:val="004F50B6"/>
    <w:rsid w:val="004F50E1"/>
    <w:rsid w:val="004F5128"/>
    <w:rsid w:val="004F515A"/>
    <w:rsid w:val="004F51A1"/>
    <w:rsid w:val="004F51F8"/>
    <w:rsid w:val="004F52D2"/>
    <w:rsid w:val="004F5421"/>
    <w:rsid w:val="004F5442"/>
    <w:rsid w:val="004F55E8"/>
    <w:rsid w:val="004F56A7"/>
    <w:rsid w:val="004F56F9"/>
    <w:rsid w:val="004F5881"/>
    <w:rsid w:val="004F58E5"/>
    <w:rsid w:val="004F59A3"/>
    <w:rsid w:val="004F59C4"/>
    <w:rsid w:val="004F59DD"/>
    <w:rsid w:val="004F5A08"/>
    <w:rsid w:val="004F5AEE"/>
    <w:rsid w:val="004F5B91"/>
    <w:rsid w:val="004F5BDB"/>
    <w:rsid w:val="004F5BF1"/>
    <w:rsid w:val="004F5CC6"/>
    <w:rsid w:val="004F5D39"/>
    <w:rsid w:val="004F5D3F"/>
    <w:rsid w:val="004F5D7C"/>
    <w:rsid w:val="004F5D93"/>
    <w:rsid w:val="004F5F10"/>
    <w:rsid w:val="004F5F6A"/>
    <w:rsid w:val="004F600A"/>
    <w:rsid w:val="004F6039"/>
    <w:rsid w:val="004F6055"/>
    <w:rsid w:val="004F60D9"/>
    <w:rsid w:val="004F6196"/>
    <w:rsid w:val="004F6299"/>
    <w:rsid w:val="004F62C0"/>
    <w:rsid w:val="004F62D0"/>
    <w:rsid w:val="004F636D"/>
    <w:rsid w:val="004F63BB"/>
    <w:rsid w:val="004F63C0"/>
    <w:rsid w:val="004F63F1"/>
    <w:rsid w:val="004F6476"/>
    <w:rsid w:val="004F6480"/>
    <w:rsid w:val="004F6514"/>
    <w:rsid w:val="004F65FA"/>
    <w:rsid w:val="004F667C"/>
    <w:rsid w:val="004F668E"/>
    <w:rsid w:val="004F66B6"/>
    <w:rsid w:val="004F66BF"/>
    <w:rsid w:val="004F67AB"/>
    <w:rsid w:val="004F67B5"/>
    <w:rsid w:val="004F67C5"/>
    <w:rsid w:val="004F67F4"/>
    <w:rsid w:val="004F686B"/>
    <w:rsid w:val="004F6875"/>
    <w:rsid w:val="004F68E9"/>
    <w:rsid w:val="004F6936"/>
    <w:rsid w:val="004F6A41"/>
    <w:rsid w:val="004F6AD0"/>
    <w:rsid w:val="004F6B6F"/>
    <w:rsid w:val="004F6B70"/>
    <w:rsid w:val="004F6D5F"/>
    <w:rsid w:val="004F6D62"/>
    <w:rsid w:val="004F6E08"/>
    <w:rsid w:val="004F6E48"/>
    <w:rsid w:val="004F6EDC"/>
    <w:rsid w:val="004F6F40"/>
    <w:rsid w:val="004F700A"/>
    <w:rsid w:val="004F7101"/>
    <w:rsid w:val="004F7124"/>
    <w:rsid w:val="004F723A"/>
    <w:rsid w:val="004F72B9"/>
    <w:rsid w:val="004F72C3"/>
    <w:rsid w:val="004F7305"/>
    <w:rsid w:val="004F734B"/>
    <w:rsid w:val="004F7382"/>
    <w:rsid w:val="004F742A"/>
    <w:rsid w:val="004F7450"/>
    <w:rsid w:val="004F747C"/>
    <w:rsid w:val="004F74C3"/>
    <w:rsid w:val="004F7555"/>
    <w:rsid w:val="004F765B"/>
    <w:rsid w:val="004F77AB"/>
    <w:rsid w:val="004F7867"/>
    <w:rsid w:val="004F786D"/>
    <w:rsid w:val="004F793E"/>
    <w:rsid w:val="004F7949"/>
    <w:rsid w:val="004F7970"/>
    <w:rsid w:val="004F79DA"/>
    <w:rsid w:val="004F7B27"/>
    <w:rsid w:val="004F7B69"/>
    <w:rsid w:val="004F7B9E"/>
    <w:rsid w:val="004F7BA3"/>
    <w:rsid w:val="004F7C47"/>
    <w:rsid w:val="004F7DAB"/>
    <w:rsid w:val="004F7E4C"/>
    <w:rsid w:val="004F7E69"/>
    <w:rsid w:val="004F7E80"/>
    <w:rsid w:val="004F7E81"/>
    <w:rsid w:val="004F7EAC"/>
    <w:rsid w:val="004F7EDB"/>
    <w:rsid w:val="004F7F40"/>
    <w:rsid w:val="004F7FB4"/>
    <w:rsid w:val="004FE78C"/>
    <w:rsid w:val="00500014"/>
    <w:rsid w:val="005000A7"/>
    <w:rsid w:val="005000B1"/>
    <w:rsid w:val="005000C0"/>
    <w:rsid w:val="00500119"/>
    <w:rsid w:val="0050012C"/>
    <w:rsid w:val="00500161"/>
    <w:rsid w:val="005001A0"/>
    <w:rsid w:val="005001BA"/>
    <w:rsid w:val="005001D7"/>
    <w:rsid w:val="005001F0"/>
    <w:rsid w:val="005002BB"/>
    <w:rsid w:val="005003BA"/>
    <w:rsid w:val="005003C5"/>
    <w:rsid w:val="005003DE"/>
    <w:rsid w:val="005004E2"/>
    <w:rsid w:val="00500547"/>
    <w:rsid w:val="00500566"/>
    <w:rsid w:val="005005DD"/>
    <w:rsid w:val="005005E8"/>
    <w:rsid w:val="005006EF"/>
    <w:rsid w:val="005007E8"/>
    <w:rsid w:val="005007EB"/>
    <w:rsid w:val="0050082B"/>
    <w:rsid w:val="00500833"/>
    <w:rsid w:val="00500849"/>
    <w:rsid w:val="0050085C"/>
    <w:rsid w:val="005008B4"/>
    <w:rsid w:val="00500CA0"/>
    <w:rsid w:val="00500CED"/>
    <w:rsid w:val="00500D19"/>
    <w:rsid w:val="00500D51"/>
    <w:rsid w:val="00500DB7"/>
    <w:rsid w:val="00500DBC"/>
    <w:rsid w:val="00500DD2"/>
    <w:rsid w:val="00500DDD"/>
    <w:rsid w:val="00500E63"/>
    <w:rsid w:val="00500E76"/>
    <w:rsid w:val="00500E77"/>
    <w:rsid w:val="00500F43"/>
    <w:rsid w:val="0050102C"/>
    <w:rsid w:val="0050112B"/>
    <w:rsid w:val="0050113A"/>
    <w:rsid w:val="0050115C"/>
    <w:rsid w:val="00501246"/>
    <w:rsid w:val="0050131E"/>
    <w:rsid w:val="005013B5"/>
    <w:rsid w:val="005013E0"/>
    <w:rsid w:val="0050143F"/>
    <w:rsid w:val="00501499"/>
    <w:rsid w:val="005014A2"/>
    <w:rsid w:val="005014D6"/>
    <w:rsid w:val="00501529"/>
    <w:rsid w:val="0050161C"/>
    <w:rsid w:val="0050163A"/>
    <w:rsid w:val="0050173B"/>
    <w:rsid w:val="005017B7"/>
    <w:rsid w:val="005017E4"/>
    <w:rsid w:val="00501820"/>
    <w:rsid w:val="00501858"/>
    <w:rsid w:val="005018B9"/>
    <w:rsid w:val="00501917"/>
    <w:rsid w:val="00501966"/>
    <w:rsid w:val="00501A14"/>
    <w:rsid w:val="00501A71"/>
    <w:rsid w:val="00501A7F"/>
    <w:rsid w:val="00501AD2"/>
    <w:rsid w:val="00501AD6"/>
    <w:rsid w:val="00501BB2"/>
    <w:rsid w:val="00501BDE"/>
    <w:rsid w:val="00501C03"/>
    <w:rsid w:val="00501C57"/>
    <w:rsid w:val="00501D15"/>
    <w:rsid w:val="00501DD9"/>
    <w:rsid w:val="00501DDB"/>
    <w:rsid w:val="00501E43"/>
    <w:rsid w:val="00501E59"/>
    <w:rsid w:val="00501E6D"/>
    <w:rsid w:val="00501F4A"/>
    <w:rsid w:val="00501F66"/>
    <w:rsid w:val="0050200C"/>
    <w:rsid w:val="0050208A"/>
    <w:rsid w:val="00502139"/>
    <w:rsid w:val="005022EB"/>
    <w:rsid w:val="00502408"/>
    <w:rsid w:val="00502410"/>
    <w:rsid w:val="00502433"/>
    <w:rsid w:val="0050249A"/>
    <w:rsid w:val="005024BA"/>
    <w:rsid w:val="005024EF"/>
    <w:rsid w:val="0050250B"/>
    <w:rsid w:val="00502512"/>
    <w:rsid w:val="00502574"/>
    <w:rsid w:val="0050274F"/>
    <w:rsid w:val="00502765"/>
    <w:rsid w:val="00502793"/>
    <w:rsid w:val="0050279E"/>
    <w:rsid w:val="005028E8"/>
    <w:rsid w:val="005029AE"/>
    <w:rsid w:val="00502ADC"/>
    <w:rsid w:val="00502B79"/>
    <w:rsid w:val="00502B98"/>
    <w:rsid w:val="00502BC5"/>
    <w:rsid w:val="00502CA2"/>
    <w:rsid w:val="00502CA4"/>
    <w:rsid w:val="00502D2C"/>
    <w:rsid w:val="00502D64"/>
    <w:rsid w:val="00502D84"/>
    <w:rsid w:val="00502DA7"/>
    <w:rsid w:val="00502EB7"/>
    <w:rsid w:val="00502EFC"/>
    <w:rsid w:val="00502FA1"/>
    <w:rsid w:val="00502FAF"/>
    <w:rsid w:val="00502FB7"/>
    <w:rsid w:val="00502FBE"/>
    <w:rsid w:val="00502FED"/>
    <w:rsid w:val="00503024"/>
    <w:rsid w:val="0050304F"/>
    <w:rsid w:val="005030D5"/>
    <w:rsid w:val="005030E9"/>
    <w:rsid w:val="0050311C"/>
    <w:rsid w:val="005032AD"/>
    <w:rsid w:val="00503356"/>
    <w:rsid w:val="00503397"/>
    <w:rsid w:val="005033CD"/>
    <w:rsid w:val="00503414"/>
    <w:rsid w:val="005034D1"/>
    <w:rsid w:val="00503594"/>
    <w:rsid w:val="005035C7"/>
    <w:rsid w:val="0050364D"/>
    <w:rsid w:val="00503671"/>
    <w:rsid w:val="005036BD"/>
    <w:rsid w:val="005036E2"/>
    <w:rsid w:val="00503734"/>
    <w:rsid w:val="00503753"/>
    <w:rsid w:val="00503788"/>
    <w:rsid w:val="005037A7"/>
    <w:rsid w:val="005037B3"/>
    <w:rsid w:val="005037FE"/>
    <w:rsid w:val="00503826"/>
    <w:rsid w:val="0050382C"/>
    <w:rsid w:val="00503867"/>
    <w:rsid w:val="005038FE"/>
    <w:rsid w:val="0050395D"/>
    <w:rsid w:val="0050396A"/>
    <w:rsid w:val="00503974"/>
    <w:rsid w:val="00503AC7"/>
    <w:rsid w:val="00503AD4"/>
    <w:rsid w:val="00503B12"/>
    <w:rsid w:val="00503B36"/>
    <w:rsid w:val="00503BB2"/>
    <w:rsid w:val="00503DD2"/>
    <w:rsid w:val="00503E66"/>
    <w:rsid w:val="00503F3A"/>
    <w:rsid w:val="00503FB6"/>
    <w:rsid w:val="00503FF8"/>
    <w:rsid w:val="00504020"/>
    <w:rsid w:val="005040BF"/>
    <w:rsid w:val="00504189"/>
    <w:rsid w:val="00504226"/>
    <w:rsid w:val="00504290"/>
    <w:rsid w:val="005042D4"/>
    <w:rsid w:val="0050443F"/>
    <w:rsid w:val="00504471"/>
    <w:rsid w:val="0050447A"/>
    <w:rsid w:val="00504526"/>
    <w:rsid w:val="00504557"/>
    <w:rsid w:val="00504565"/>
    <w:rsid w:val="005045DE"/>
    <w:rsid w:val="005045E5"/>
    <w:rsid w:val="00504660"/>
    <w:rsid w:val="00504669"/>
    <w:rsid w:val="00504723"/>
    <w:rsid w:val="00504725"/>
    <w:rsid w:val="00504784"/>
    <w:rsid w:val="005047D7"/>
    <w:rsid w:val="005047D9"/>
    <w:rsid w:val="00504804"/>
    <w:rsid w:val="0050480D"/>
    <w:rsid w:val="00504863"/>
    <w:rsid w:val="0050487C"/>
    <w:rsid w:val="00504898"/>
    <w:rsid w:val="0050499D"/>
    <w:rsid w:val="00504A23"/>
    <w:rsid w:val="00504A71"/>
    <w:rsid w:val="00504A80"/>
    <w:rsid w:val="00504AF1"/>
    <w:rsid w:val="00504B6A"/>
    <w:rsid w:val="00504BC4"/>
    <w:rsid w:val="00504BD0"/>
    <w:rsid w:val="00504C10"/>
    <w:rsid w:val="00504C23"/>
    <w:rsid w:val="00504D14"/>
    <w:rsid w:val="00504D36"/>
    <w:rsid w:val="00504D4C"/>
    <w:rsid w:val="00504DA7"/>
    <w:rsid w:val="00504DFC"/>
    <w:rsid w:val="00504E0A"/>
    <w:rsid w:val="00504E57"/>
    <w:rsid w:val="00504E60"/>
    <w:rsid w:val="0050503A"/>
    <w:rsid w:val="0050507E"/>
    <w:rsid w:val="0050509A"/>
    <w:rsid w:val="00505137"/>
    <w:rsid w:val="0050523A"/>
    <w:rsid w:val="00505386"/>
    <w:rsid w:val="005053AF"/>
    <w:rsid w:val="00505574"/>
    <w:rsid w:val="0050559E"/>
    <w:rsid w:val="005055C3"/>
    <w:rsid w:val="00505615"/>
    <w:rsid w:val="005056D3"/>
    <w:rsid w:val="005056EF"/>
    <w:rsid w:val="00505703"/>
    <w:rsid w:val="00505730"/>
    <w:rsid w:val="00505758"/>
    <w:rsid w:val="00505767"/>
    <w:rsid w:val="00505783"/>
    <w:rsid w:val="00505796"/>
    <w:rsid w:val="0050586A"/>
    <w:rsid w:val="0050598F"/>
    <w:rsid w:val="005059E6"/>
    <w:rsid w:val="00505A77"/>
    <w:rsid w:val="00505A7A"/>
    <w:rsid w:val="00505C74"/>
    <w:rsid w:val="00505CD2"/>
    <w:rsid w:val="00505D34"/>
    <w:rsid w:val="00505E2D"/>
    <w:rsid w:val="00505E93"/>
    <w:rsid w:val="00505EB8"/>
    <w:rsid w:val="00505EFD"/>
    <w:rsid w:val="00506116"/>
    <w:rsid w:val="00506136"/>
    <w:rsid w:val="0050613F"/>
    <w:rsid w:val="0050614E"/>
    <w:rsid w:val="005062C0"/>
    <w:rsid w:val="0050630C"/>
    <w:rsid w:val="0050630D"/>
    <w:rsid w:val="0050632A"/>
    <w:rsid w:val="00506366"/>
    <w:rsid w:val="005063D2"/>
    <w:rsid w:val="00506472"/>
    <w:rsid w:val="005065CA"/>
    <w:rsid w:val="00506624"/>
    <w:rsid w:val="00506662"/>
    <w:rsid w:val="005066F0"/>
    <w:rsid w:val="0050677F"/>
    <w:rsid w:val="0050680A"/>
    <w:rsid w:val="005068FE"/>
    <w:rsid w:val="0050695A"/>
    <w:rsid w:val="0050698E"/>
    <w:rsid w:val="005069B6"/>
    <w:rsid w:val="00506A19"/>
    <w:rsid w:val="00506AC2"/>
    <w:rsid w:val="00506B3E"/>
    <w:rsid w:val="00506C40"/>
    <w:rsid w:val="00506C41"/>
    <w:rsid w:val="00506CCB"/>
    <w:rsid w:val="00506D16"/>
    <w:rsid w:val="00506D27"/>
    <w:rsid w:val="00506D2D"/>
    <w:rsid w:val="00506D38"/>
    <w:rsid w:val="00506DBA"/>
    <w:rsid w:val="00506DC9"/>
    <w:rsid w:val="00506DFD"/>
    <w:rsid w:val="00506E02"/>
    <w:rsid w:val="00506E19"/>
    <w:rsid w:val="00506E87"/>
    <w:rsid w:val="00506ED4"/>
    <w:rsid w:val="00506F55"/>
    <w:rsid w:val="00506F6D"/>
    <w:rsid w:val="00506FC3"/>
    <w:rsid w:val="0050703B"/>
    <w:rsid w:val="00507067"/>
    <w:rsid w:val="00507082"/>
    <w:rsid w:val="0050710A"/>
    <w:rsid w:val="005071A4"/>
    <w:rsid w:val="00507214"/>
    <w:rsid w:val="005072AE"/>
    <w:rsid w:val="005073A0"/>
    <w:rsid w:val="005073E1"/>
    <w:rsid w:val="00507402"/>
    <w:rsid w:val="00507462"/>
    <w:rsid w:val="00507479"/>
    <w:rsid w:val="005074C3"/>
    <w:rsid w:val="005074E2"/>
    <w:rsid w:val="005075C6"/>
    <w:rsid w:val="0050764C"/>
    <w:rsid w:val="005076AC"/>
    <w:rsid w:val="00507712"/>
    <w:rsid w:val="00507759"/>
    <w:rsid w:val="005077FD"/>
    <w:rsid w:val="00507817"/>
    <w:rsid w:val="00507871"/>
    <w:rsid w:val="00507900"/>
    <w:rsid w:val="0050790C"/>
    <w:rsid w:val="005079C8"/>
    <w:rsid w:val="00507A76"/>
    <w:rsid w:val="00507AAE"/>
    <w:rsid w:val="00507BB0"/>
    <w:rsid w:val="00507CF7"/>
    <w:rsid w:val="00507D33"/>
    <w:rsid w:val="00507D3A"/>
    <w:rsid w:val="00507DE4"/>
    <w:rsid w:val="00507EB7"/>
    <w:rsid w:val="00507EC3"/>
    <w:rsid w:val="00507EFD"/>
    <w:rsid w:val="00507F01"/>
    <w:rsid w:val="00507F66"/>
    <w:rsid w:val="00507F6F"/>
    <w:rsid w:val="00507FCE"/>
    <w:rsid w:val="00510053"/>
    <w:rsid w:val="0051011C"/>
    <w:rsid w:val="005101F7"/>
    <w:rsid w:val="005102B1"/>
    <w:rsid w:val="00510308"/>
    <w:rsid w:val="00510318"/>
    <w:rsid w:val="0051031B"/>
    <w:rsid w:val="00510346"/>
    <w:rsid w:val="00510361"/>
    <w:rsid w:val="005103BC"/>
    <w:rsid w:val="005105BB"/>
    <w:rsid w:val="005105F8"/>
    <w:rsid w:val="00510744"/>
    <w:rsid w:val="00510945"/>
    <w:rsid w:val="00510951"/>
    <w:rsid w:val="005109DC"/>
    <w:rsid w:val="00510A44"/>
    <w:rsid w:val="00510B2C"/>
    <w:rsid w:val="00510B46"/>
    <w:rsid w:val="00510B7C"/>
    <w:rsid w:val="00510B83"/>
    <w:rsid w:val="00510B89"/>
    <w:rsid w:val="00510BE3"/>
    <w:rsid w:val="00510C0F"/>
    <w:rsid w:val="00510C7D"/>
    <w:rsid w:val="00510C84"/>
    <w:rsid w:val="00510CBD"/>
    <w:rsid w:val="00510CD7"/>
    <w:rsid w:val="00510CE7"/>
    <w:rsid w:val="00510D09"/>
    <w:rsid w:val="00510D22"/>
    <w:rsid w:val="00510D64"/>
    <w:rsid w:val="00510ECD"/>
    <w:rsid w:val="00510F24"/>
    <w:rsid w:val="00510F35"/>
    <w:rsid w:val="00510F38"/>
    <w:rsid w:val="00510F77"/>
    <w:rsid w:val="00510F8D"/>
    <w:rsid w:val="0051105A"/>
    <w:rsid w:val="0051107C"/>
    <w:rsid w:val="00511080"/>
    <w:rsid w:val="0051111C"/>
    <w:rsid w:val="0051114C"/>
    <w:rsid w:val="00511164"/>
    <w:rsid w:val="005111CB"/>
    <w:rsid w:val="005111D7"/>
    <w:rsid w:val="00511257"/>
    <w:rsid w:val="005112F3"/>
    <w:rsid w:val="00511411"/>
    <w:rsid w:val="00511413"/>
    <w:rsid w:val="00511464"/>
    <w:rsid w:val="00511490"/>
    <w:rsid w:val="00511519"/>
    <w:rsid w:val="0051157F"/>
    <w:rsid w:val="005115F5"/>
    <w:rsid w:val="0051176E"/>
    <w:rsid w:val="005118A2"/>
    <w:rsid w:val="00511946"/>
    <w:rsid w:val="00511980"/>
    <w:rsid w:val="005119A7"/>
    <w:rsid w:val="00511C0D"/>
    <w:rsid w:val="00511C25"/>
    <w:rsid w:val="00511CBC"/>
    <w:rsid w:val="00511D45"/>
    <w:rsid w:val="00511EDA"/>
    <w:rsid w:val="00511FA2"/>
    <w:rsid w:val="00511FB8"/>
    <w:rsid w:val="0051208D"/>
    <w:rsid w:val="0051219A"/>
    <w:rsid w:val="005121EA"/>
    <w:rsid w:val="005121FB"/>
    <w:rsid w:val="00512280"/>
    <w:rsid w:val="005122BF"/>
    <w:rsid w:val="00512398"/>
    <w:rsid w:val="0051239E"/>
    <w:rsid w:val="005123DA"/>
    <w:rsid w:val="005123ED"/>
    <w:rsid w:val="005123FF"/>
    <w:rsid w:val="005124C3"/>
    <w:rsid w:val="005124D0"/>
    <w:rsid w:val="00512585"/>
    <w:rsid w:val="005125EF"/>
    <w:rsid w:val="0051267E"/>
    <w:rsid w:val="005126C9"/>
    <w:rsid w:val="00512783"/>
    <w:rsid w:val="00512810"/>
    <w:rsid w:val="0051292E"/>
    <w:rsid w:val="0051298B"/>
    <w:rsid w:val="0051299E"/>
    <w:rsid w:val="005129FA"/>
    <w:rsid w:val="00512B9E"/>
    <w:rsid w:val="00512BE2"/>
    <w:rsid w:val="00512C14"/>
    <w:rsid w:val="00512C63"/>
    <w:rsid w:val="00512CAD"/>
    <w:rsid w:val="00512CEF"/>
    <w:rsid w:val="00512CF0"/>
    <w:rsid w:val="00512D4C"/>
    <w:rsid w:val="00512D71"/>
    <w:rsid w:val="00512DEE"/>
    <w:rsid w:val="00512EA6"/>
    <w:rsid w:val="00512F6D"/>
    <w:rsid w:val="00513030"/>
    <w:rsid w:val="00513163"/>
    <w:rsid w:val="005131EF"/>
    <w:rsid w:val="00513224"/>
    <w:rsid w:val="0051326F"/>
    <w:rsid w:val="00513565"/>
    <w:rsid w:val="0051359E"/>
    <w:rsid w:val="005135A1"/>
    <w:rsid w:val="005135FA"/>
    <w:rsid w:val="00513671"/>
    <w:rsid w:val="00513702"/>
    <w:rsid w:val="00513754"/>
    <w:rsid w:val="00513921"/>
    <w:rsid w:val="00513948"/>
    <w:rsid w:val="00513977"/>
    <w:rsid w:val="00513979"/>
    <w:rsid w:val="00513A67"/>
    <w:rsid w:val="00513B7B"/>
    <w:rsid w:val="00513BB1"/>
    <w:rsid w:val="00513C4C"/>
    <w:rsid w:val="00513C75"/>
    <w:rsid w:val="00513CD3"/>
    <w:rsid w:val="00513DCC"/>
    <w:rsid w:val="00513E9E"/>
    <w:rsid w:val="00513F8A"/>
    <w:rsid w:val="00513FF9"/>
    <w:rsid w:val="00514031"/>
    <w:rsid w:val="00514074"/>
    <w:rsid w:val="005140D9"/>
    <w:rsid w:val="00514199"/>
    <w:rsid w:val="0051424A"/>
    <w:rsid w:val="005142B8"/>
    <w:rsid w:val="005142CF"/>
    <w:rsid w:val="005142E8"/>
    <w:rsid w:val="00514318"/>
    <w:rsid w:val="00514355"/>
    <w:rsid w:val="0051436B"/>
    <w:rsid w:val="0051448B"/>
    <w:rsid w:val="005144AF"/>
    <w:rsid w:val="005144EB"/>
    <w:rsid w:val="0051455E"/>
    <w:rsid w:val="00514588"/>
    <w:rsid w:val="00514590"/>
    <w:rsid w:val="005146AC"/>
    <w:rsid w:val="005146CE"/>
    <w:rsid w:val="0051473B"/>
    <w:rsid w:val="0051474E"/>
    <w:rsid w:val="005147EE"/>
    <w:rsid w:val="00514838"/>
    <w:rsid w:val="00514898"/>
    <w:rsid w:val="0051493F"/>
    <w:rsid w:val="0051497A"/>
    <w:rsid w:val="005149A0"/>
    <w:rsid w:val="005149E3"/>
    <w:rsid w:val="00514A36"/>
    <w:rsid w:val="00514B2D"/>
    <w:rsid w:val="00514B30"/>
    <w:rsid w:val="00514B35"/>
    <w:rsid w:val="00514B7B"/>
    <w:rsid w:val="00514BE3"/>
    <w:rsid w:val="00514BF6"/>
    <w:rsid w:val="00514D4D"/>
    <w:rsid w:val="00514DBB"/>
    <w:rsid w:val="00514E0F"/>
    <w:rsid w:val="00514E57"/>
    <w:rsid w:val="00514E91"/>
    <w:rsid w:val="00514EBC"/>
    <w:rsid w:val="00514F37"/>
    <w:rsid w:val="00514F84"/>
    <w:rsid w:val="00514FA0"/>
    <w:rsid w:val="0051509B"/>
    <w:rsid w:val="005151B9"/>
    <w:rsid w:val="0051523D"/>
    <w:rsid w:val="0051523E"/>
    <w:rsid w:val="0051528F"/>
    <w:rsid w:val="005152E4"/>
    <w:rsid w:val="0051531D"/>
    <w:rsid w:val="00515368"/>
    <w:rsid w:val="0051538C"/>
    <w:rsid w:val="00515392"/>
    <w:rsid w:val="00515394"/>
    <w:rsid w:val="00515435"/>
    <w:rsid w:val="0051548B"/>
    <w:rsid w:val="0051548C"/>
    <w:rsid w:val="005154FB"/>
    <w:rsid w:val="0051554C"/>
    <w:rsid w:val="00515561"/>
    <w:rsid w:val="0051556E"/>
    <w:rsid w:val="0051568A"/>
    <w:rsid w:val="005156ED"/>
    <w:rsid w:val="00515867"/>
    <w:rsid w:val="005158AE"/>
    <w:rsid w:val="005158C5"/>
    <w:rsid w:val="00515915"/>
    <w:rsid w:val="005159AA"/>
    <w:rsid w:val="005159CE"/>
    <w:rsid w:val="005159E8"/>
    <w:rsid w:val="00515B23"/>
    <w:rsid w:val="00515B88"/>
    <w:rsid w:val="00515CB4"/>
    <w:rsid w:val="00515D5D"/>
    <w:rsid w:val="00515DC7"/>
    <w:rsid w:val="00515E4A"/>
    <w:rsid w:val="00515E59"/>
    <w:rsid w:val="00516063"/>
    <w:rsid w:val="005160A1"/>
    <w:rsid w:val="005160E9"/>
    <w:rsid w:val="005160FC"/>
    <w:rsid w:val="00516132"/>
    <w:rsid w:val="0051617A"/>
    <w:rsid w:val="00516231"/>
    <w:rsid w:val="005162BC"/>
    <w:rsid w:val="00516319"/>
    <w:rsid w:val="00516357"/>
    <w:rsid w:val="005163CD"/>
    <w:rsid w:val="00516434"/>
    <w:rsid w:val="00516459"/>
    <w:rsid w:val="00516462"/>
    <w:rsid w:val="005164A0"/>
    <w:rsid w:val="005164D8"/>
    <w:rsid w:val="005164F7"/>
    <w:rsid w:val="00516501"/>
    <w:rsid w:val="00516530"/>
    <w:rsid w:val="0051658A"/>
    <w:rsid w:val="00516619"/>
    <w:rsid w:val="0051673B"/>
    <w:rsid w:val="005167D7"/>
    <w:rsid w:val="00516876"/>
    <w:rsid w:val="005168C4"/>
    <w:rsid w:val="005168C6"/>
    <w:rsid w:val="005168D2"/>
    <w:rsid w:val="005168D5"/>
    <w:rsid w:val="005168EC"/>
    <w:rsid w:val="00516962"/>
    <w:rsid w:val="00516967"/>
    <w:rsid w:val="005169BE"/>
    <w:rsid w:val="00516AAF"/>
    <w:rsid w:val="00516C01"/>
    <w:rsid w:val="00516C0A"/>
    <w:rsid w:val="00516C1A"/>
    <w:rsid w:val="00516C77"/>
    <w:rsid w:val="00516E98"/>
    <w:rsid w:val="00516EA4"/>
    <w:rsid w:val="00516EC3"/>
    <w:rsid w:val="00516EED"/>
    <w:rsid w:val="00516F07"/>
    <w:rsid w:val="00516F70"/>
    <w:rsid w:val="00516FC6"/>
    <w:rsid w:val="00516FE3"/>
    <w:rsid w:val="00517081"/>
    <w:rsid w:val="005170DE"/>
    <w:rsid w:val="00517197"/>
    <w:rsid w:val="0051728F"/>
    <w:rsid w:val="005172F2"/>
    <w:rsid w:val="00517307"/>
    <w:rsid w:val="0051733F"/>
    <w:rsid w:val="005173AB"/>
    <w:rsid w:val="005173D7"/>
    <w:rsid w:val="005173DF"/>
    <w:rsid w:val="005173EE"/>
    <w:rsid w:val="005173F5"/>
    <w:rsid w:val="0051741C"/>
    <w:rsid w:val="00517461"/>
    <w:rsid w:val="00517518"/>
    <w:rsid w:val="00517561"/>
    <w:rsid w:val="0051760B"/>
    <w:rsid w:val="00517622"/>
    <w:rsid w:val="005177F1"/>
    <w:rsid w:val="005177F2"/>
    <w:rsid w:val="00517874"/>
    <w:rsid w:val="005178AE"/>
    <w:rsid w:val="005178CF"/>
    <w:rsid w:val="0051798C"/>
    <w:rsid w:val="00517994"/>
    <w:rsid w:val="00517997"/>
    <w:rsid w:val="005179D3"/>
    <w:rsid w:val="00517A0D"/>
    <w:rsid w:val="00517AD4"/>
    <w:rsid w:val="00517BE5"/>
    <w:rsid w:val="00517BEC"/>
    <w:rsid w:val="00517C06"/>
    <w:rsid w:val="00517C8E"/>
    <w:rsid w:val="00517D25"/>
    <w:rsid w:val="00517E29"/>
    <w:rsid w:val="00517E50"/>
    <w:rsid w:val="00517ECE"/>
    <w:rsid w:val="00517EE7"/>
    <w:rsid w:val="00517F09"/>
    <w:rsid w:val="00517F0D"/>
    <w:rsid w:val="00517F41"/>
    <w:rsid w:val="00517F77"/>
    <w:rsid w:val="00517FB6"/>
    <w:rsid w:val="00517FE0"/>
    <w:rsid w:val="00517FE1"/>
    <w:rsid w:val="005201F7"/>
    <w:rsid w:val="00520242"/>
    <w:rsid w:val="00520270"/>
    <w:rsid w:val="00520284"/>
    <w:rsid w:val="005202B8"/>
    <w:rsid w:val="005202D5"/>
    <w:rsid w:val="00520312"/>
    <w:rsid w:val="0052039A"/>
    <w:rsid w:val="005203C9"/>
    <w:rsid w:val="005203CE"/>
    <w:rsid w:val="0052042C"/>
    <w:rsid w:val="0052044D"/>
    <w:rsid w:val="0052046E"/>
    <w:rsid w:val="005204C9"/>
    <w:rsid w:val="005204E1"/>
    <w:rsid w:val="005204F3"/>
    <w:rsid w:val="005204FC"/>
    <w:rsid w:val="0052057D"/>
    <w:rsid w:val="005205B3"/>
    <w:rsid w:val="0052062B"/>
    <w:rsid w:val="00520689"/>
    <w:rsid w:val="005206E2"/>
    <w:rsid w:val="0052070F"/>
    <w:rsid w:val="00520794"/>
    <w:rsid w:val="005207B3"/>
    <w:rsid w:val="005207CE"/>
    <w:rsid w:val="005207F1"/>
    <w:rsid w:val="00520839"/>
    <w:rsid w:val="00520840"/>
    <w:rsid w:val="00520855"/>
    <w:rsid w:val="00520931"/>
    <w:rsid w:val="00520961"/>
    <w:rsid w:val="005209DF"/>
    <w:rsid w:val="005209E3"/>
    <w:rsid w:val="00520AAD"/>
    <w:rsid w:val="00520AC1"/>
    <w:rsid w:val="00520AE6"/>
    <w:rsid w:val="00520C25"/>
    <w:rsid w:val="00520C93"/>
    <w:rsid w:val="00520CB2"/>
    <w:rsid w:val="00520CD8"/>
    <w:rsid w:val="00520CFF"/>
    <w:rsid w:val="00520D11"/>
    <w:rsid w:val="00520D80"/>
    <w:rsid w:val="00520DA0"/>
    <w:rsid w:val="00520DAB"/>
    <w:rsid w:val="00520E2B"/>
    <w:rsid w:val="00520E3A"/>
    <w:rsid w:val="00521010"/>
    <w:rsid w:val="00521071"/>
    <w:rsid w:val="00521080"/>
    <w:rsid w:val="005210B1"/>
    <w:rsid w:val="0052113C"/>
    <w:rsid w:val="00521276"/>
    <w:rsid w:val="00521310"/>
    <w:rsid w:val="0052134E"/>
    <w:rsid w:val="00521366"/>
    <w:rsid w:val="00521403"/>
    <w:rsid w:val="005214CD"/>
    <w:rsid w:val="005214CE"/>
    <w:rsid w:val="005214EB"/>
    <w:rsid w:val="005214FB"/>
    <w:rsid w:val="0052153F"/>
    <w:rsid w:val="005215DC"/>
    <w:rsid w:val="005215FF"/>
    <w:rsid w:val="005216AB"/>
    <w:rsid w:val="005216F6"/>
    <w:rsid w:val="005217FC"/>
    <w:rsid w:val="0052180A"/>
    <w:rsid w:val="0052180D"/>
    <w:rsid w:val="0052185E"/>
    <w:rsid w:val="005218EB"/>
    <w:rsid w:val="00521979"/>
    <w:rsid w:val="005219C1"/>
    <w:rsid w:val="00521A31"/>
    <w:rsid w:val="00521AD2"/>
    <w:rsid w:val="00521B6D"/>
    <w:rsid w:val="00521B9F"/>
    <w:rsid w:val="00521BEC"/>
    <w:rsid w:val="00521C19"/>
    <w:rsid w:val="00521D1B"/>
    <w:rsid w:val="00521D74"/>
    <w:rsid w:val="00521DA8"/>
    <w:rsid w:val="00521DBB"/>
    <w:rsid w:val="00521DCB"/>
    <w:rsid w:val="00521E96"/>
    <w:rsid w:val="00521EA0"/>
    <w:rsid w:val="00521F77"/>
    <w:rsid w:val="00521FC9"/>
    <w:rsid w:val="00521FCC"/>
    <w:rsid w:val="005220A7"/>
    <w:rsid w:val="00522177"/>
    <w:rsid w:val="00522186"/>
    <w:rsid w:val="005221F7"/>
    <w:rsid w:val="00522237"/>
    <w:rsid w:val="00522258"/>
    <w:rsid w:val="0052225A"/>
    <w:rsid w:val="00522269"/>
    <w:rsid w:val="0052226B"/>
    <w:rsid w:val="00522440"/>
    <w:rsid w:val="00522482"/>
    <w:rsid w:val="0052250E"/>
    <w:rsid w:val="0052257C"/>
    <w:rsid w:val="005225CC"/>
    <w:rsid w:val="005226D4"/>
    <w:rsid w:val="005226DA"/>
    <w:rsid w:val="00522762"/>
    <w:rsid w:val="0052276D"/>
    <w:rsid w:val="00522772"/>
    <w:rsid w:val="00522791"/>
    <w:rsid w:val="00522798"/>
    <w:rsid w:val="005227BC"/>
    <w:rsid w:val="005227DA"/>
    <w:rsid w:val="00522820"/>
    <w:rsid w:val="00522863"/>
    <w:rsid w:val="0052293A"/>
    <w:rsid w:val="005229ED"/>
    <w:rsid w:val="00522A8A"/>
    <w:rsid w:val="00522A98"/>
    <w:rsid w:val="00522AE6"/>
    <w:rsid w:val="00522B07"/>
    <w:rsid w:val="00522B14"/>
    <w:rsid w:val="00522B4E"/>
    <w:rsid w:val="00522B5F"/>
    <w:rsid w:val="00522C29"/>
    <w:rsid w:val="00522C4F"/>
    <w:rsid w:val="00522C6C"/>
    <w:rsid w:val="00522D39"/>
    <w:rsid w:val="00522DD6"/>
    <w:rsid w:val="00522DDC"/>
    <w:rsid w:val="00522E4A"/>
    <w:rsid w:val="00522F0C"/>
    <w:rsid w:val="00522F80"/>
    <w:rsid w:val="0052303C"/>
    <w:rsid w:val="005230B2"/>
    <w:rsid w:val="00523206"/>
    <w:rsid w:val="0052327D"/>
    <w:rsid w:val="005232A2"/>
    <w:rsid w:val="005232A9"/>
    <w:rsid w:val="00523348"/>
    <w:rsid w:val="0052336E"/>
    <w:rsid w:val="00523394"/>
    <w:rsid w:val="00523439"/>
    <w:rsid w:val="0052354D"/>
    <w:rsid w:val="005235D3"/>
    <w:rsid w:val="00523637"/>
    <w:rsid w:val="0052363B"/>
    <w:rsid w:val="0052367A"/>
    <w:rsid w:val="00523740"/>
    <w:rsid w:val="005237C6"/>
    <w:rsid w:val="005237CA"/>
    <w:rsid w:val="005237E4"/>
    <w:rsid w:val="00523822"/>
    <w:rsid w:val="00523A0C"/>
    <w:rsid w:val="00523A4C"/>
    <w:rsid w:val="00523A77"/>
    <w:rsid w:val="00523AB0"/>
    <w:rsid w:val="00523B3B"/>
    <w:rsid w:val="00523B5E"/>
    <w:rsid w:val="00523BB9"/>
    <w:rsid w:val="00523D2A"/>
    <w:rsid w:val="00523D3A"/>
    <w:rsid w:val="00523DAF"/>
    <w:rsid w:val="00523DB3"/>
    <w:rsid w:val="00523DC2"/>
    <w:rsid w:val="00523E08"/>
    <w:rsid w:val="00523E99"/>
    <w:rsid w:val="00523EC0"/>
    <w:rsid w:val="00523F5D"/>
    <w:rsid w:val="00524019"/>
    <w:rsid w:val="00524036"/>
    <w:rsid w:val="0052409D"/>
    <w:rsid w:val="00524127"/>
    <w:rsid w:val="00524156"/>
    <w:rsid w:val="005241D7"/>
    <w:rsid w:val="005242F4"/>
    <w:rsid w:val="00524394"/>
    <w:rsid w:val="005243E4"/>
    <w:rsid w:val="00524429"/>
    <w:rsid w:val="0052444B"/>
    <w:rsid w:val="005244E1"/>
    <w:rsid w:val="005244E4"/>
    <w:rsid w:val="005245C3"/>
    <w:rsid w:val="005245E1"/>
    <w:rsid w:val="00524646"/>
    <w:rsid w:val="00524649"/>
    <w:rsid w:val="00524653"/>
    <w:rsid w:val="0052467F"/>
    <w:rsid w:val="005246D2"/>
    <w:rsid w:val="00524743"/>
    <w:rsid w:val="0052478A"/>
    <w:rsid w:val="0052481D"/>
    <w:rsid w:val="00524838"/>
    <w:rsid w:val="00524882"/>
    <w:rsid w:val="005248D2"/>
    <w:rsid w:val="005248FC"/>
    <w:rsid w:val="00524A55"/>
    <w:rsid w:val="00524A76"/>
    <w:rsid w:val="00524AFB"/>
    <w:rsid w:val="00524BAB"/>
    <w:rsid w:val="00524BD2"/>
    <w:rsid w:val="00524C0A"/>
    <w:rsid w:val="00524C2C"/>
    <w:rsid w:val="00524CD2"/>
    <w:rsid w:val="00524CD3"/>
    <w:rsid w:val="00524CFA"/>
    <w:rsid w:val="00524E19"/>
    <w:rsid w:val="00524E47"/>
    <w:rsid w:val="00524EC3"/>
    <w:rsid w:val="00524EC4"/>
    <w:rsid w:val="00524FA3"/>
    <w:rsid w:val="00524FC4"/>
    <w:rsid w:val="00524FF4"/>
    <w:rsid w:val="00524FFE"/>
    <w:rsid w:val="00525001"/>
    <w:rsid w:val="00525006"/>
    <w:rsid w:val="0052500C"/>
    <w:rsid w:val="00525010"/>
    <w:rsid w:val="00525020"/>
    <w:rsid w:val="0052504E"/>
    <w:rsid w:val="005250DD"/>
    <w:rsid w:val="00525123"/>
    <w:rsid w:val="00525220"/>
    <w:rsid w:val="00525242"/>
    <w:rsid w:val="0052528D"/>
    <w:rsid w:val="005252A8"/>
    <w:rsid w:val="0052532F"/>
    <w:rsid w:val="00525382"/>
    <w:rsid w:val="00525394"/>
    <w:rsid w:val="005253AC"/>
    <w:rsid w:val="00525420"/>
    <w:rsid w:val="00525439"/>
    <w:rsid w:val="00525481"/>
    <w:rsid w:val="005254E6"/>
    <w:rsid w:val="005255A2"/>
    <w:rsid w:val="005255CA"/>
    <w:rsid w:val="0052566E"/>
    <w:rsid w:val="0052567C"/>
    <w:rsid w:val="005256FE"/>
    <w:rsid w:val="005257BD"/>
    <w:rsid w:val="005258D1"/>
    <w:rsid w:val="005258EE"/>
    <w:rsid w:val="00525905"/>
    <w:rsid w:val="0052596D"/>
    <w:rsid w:val="00525ABF"/>
    <w:rsid w:val="00525AF8"/>
    <w:rsid w:val="00525B2E"/>
    <w:rsid w:val="00525B33"/>
    <w:rsid w:val="00525B4B"/>
    <w:rsid w:val="00525B7C"/>
    <w:rsid w:val="00525B98"/>
    <w:rsid w:val="00525C53"/>
    <w:rsid w:val="00525C8D"/>
    <w:rsid w:val="00525CC0"/>
    <w:rsid w:val="00525CFF"/>
    <w:rsid w:val="00525D7E"/>
    <w:rsid w:val="00525E4D"/>
    <w:rsid w:val="00525E55"/>
    <w:rsid w:val="00526014"/>
    <w:rsid w:val="00526081"/>
    <w:rsid w:val="005260A1"/>
    <w:rsid w:val="005260CF"/>
    <w:rsid w:val="005260FA"/>
    <w:rsid w:val="00526157"/>
    <w:rsid w:val="0052618D"/>
    <w:rsid w:val="00526198"/>
    <w:rsid w:val="00526206"/>
    <w:rsid w:val="00526271"/>
    <w:rsid w:val="0052634B"/>
    <w:rsid w:val="005263B7"/>
    <w:rsid w:val="00526453"/>
    <w:rsid w:val="005264AE"/>
    <w:rsid w:val="00526537"/>
    <w:rsid w:val="00526618"/>
    <w:rsid w:val="00526623"/>
    <w:rsid w:val="00526687"/>
    <w:rsid w:val="005266DB"/>
    <w:rsid w:val="005266EB"/>
    <w:rsid w:val="00526723"/>
    <w:rsid w:val="0052673E"/>
    <w:rsid w:val="00526783"/>
    <w:rsid w:val="005267F7"/>
    <w:rsid w:val="0052681F"/>
    <w:rsid w:val="0052692E"/>
    <w:rsid w:val="00526958"/>
    <w:rsid w:val="00526A0D"/>
    <w:rsid w:val="00526A45"/>
    <w:rsid w:val="00526A82"/>
    <w:rsid w:val="00526AFD"/>
    <w:rsid w:val="00526B13"/>
    <w:rsid w:val="00526B14"/>
    <w:rsid w:val="00526B1E"/>
    <w:rsid w:val="00526C27"/>
    <w:rsid w:val="00526C94"/>
    <w:rsid w:val="00526CD1"/>
    <w:rsid w:val="00526E4D"/>
    <w:rsid w:val="00526E5B"/>
    <w:rsid w:val="00526EC4"/>
    <w:rsid w:val="00526EF2"/>
    <w:rsid w:val="00526FDB"/>
    <w:rsid w:val="00527462"/>
    <w:rsid w:val="00527538"/>
    <w:rsid w:val="005275EA"/>
    <w:rsid w:val="005275F3"/>
    <w:rsid w:val="00527626"/>
    <w:rsid w:val="0052772C"/>
    <w:rsid w:val="00527780"/>
    <w:rsid w:val="005277AD"/>
    <w:rsid w:val="005277BB"/>
    <w:rsid w:val="005277FC"/>
    <w:rsid w:val="005278A5"/>
    <w:rsid w:val="005278AE"/>
    <w:rsid w:val="005278E7"/>
    <w:rsid w:val="005279A1"/>
    <w:rsid w:val="005279DD"/>
    <w:rsid w:val="005279E5"/>
    <w:rsid w:val="00527A32"/>
    <w:rsid w:val="00527B23"/>
    <w:rsid w:val="00527B66"/>
    <w:rsid w:val="00527BA4"/>
    <w:rsid w:val="00527CF4"/>
    <w:rsid w:val="00527D44"/>
    <w:rsid w:val="00527D53"/>
    <w:rsid w:val="00527D5F"/>
    <w:rsid w:val="00527E41"/>
    <w:rsid w:val="00527FCA"/>
    <w:rsid w:val="00530141"/>
    <w:rsid w:val="0053017A"/>
    <w:rsid w:val="00530238"/>
    <w:rsid w:val="0053030E"/>
    <w:rsid w:val="00530366"/>
    <w:rsid w:val="005305B6"/>
    <w:rsid w:val="005306D1"/>
    <w:rsid w:val="0053072E"/>
    <w:rsid w:val="00530743"/>
    <w:rsid w:val="00530744"/>
    <w:rsid w:val="005307B5"/>
    <w:rsid w:val="005307C2"/>
    <w:rsid w:val="005307C4"/>
    <w:rsid w:val="00530832"/>
    <w:rsid w:val="005308CD"/>
    <w:rsid w:val="00530968"/>
    <w:rsid w:val="00530A04"/>
    <w:rsid w:val="00530A9E"/>
    <w:rsid w:val="00530B1F"/>
    <w:rsid w:val="00530B3E"/>
    <w:rsid w:val="00530B62"/>
    <w:rsid w:val="00530B87"/>
    <w:rsid w:val="00530BB1"/>
    <w:rsid w:val="00530C29"/>
    <w:rsid w:val="00530C64"/>
    <w:rsid w:val="00530CBD"/>
    <w:rsid w:val="00530E6A"/>
    <w:rsid w:val="00530ECB"/>
    <w:rsid w:val="00530F20"/>
    <w:rsid w:val="00530F4F"/>
    <w:rsid w:val="00530FDB"/>
    <w:rsid w:val="00531046"/>
    <w:rsid w:val="005310AD"/>
    <w:rsid w:val="0053114C"/>
    <w:rsid w:val="005311B0"/>
    <w:rsid w:val="0053129C"/>
    <w:rsid w:val="005312BB"/>
    <w:rsid w:val="00531334"/>
    <w:rsid w:val="0053135D"/>
    <w:rsid w:val="00531479"/>
    <w:rsid w:val="00531491"/>
    <w:rsid w:val="005314D6"/>
    <w:rsid w:val="005314E8"/>
    <w:rsid w:val="0053150A"/>
    <w:rsid w:val="0053154A"/>
    <w:rsid w:val="00531577"/>
    <w:rsid w:val="00531651"/>
    <w:rsid w:val="005316FD"/>
    <w:rsid w:val="00531765"/>
    <w:rsid w:val="005317CC"/>
    <w:rsid w:val="005317D2"/>
    <w:rsid w:val="005318E7"/>
    <w:rsid w:val="00531951"/>
    <w:rsid w:val="0053195D"/>
    <w:rsid w:val="005319A3"/>
    <w:rsid w:val="005319E6"/>
    <w:rsid w:val="00531ABF"/>
    <w:rsid w:val="00531AD0"/>
    <w:rsid w:val="00531B64"/>
    <w:rsid w:val="00531BCE"/>
    <w:rsid w:val="00531C06"/>
    <w:rsid w:val="00531C70"/>
    <w:rsid w:val="00531C77"/>
    <w:rsid w:val="00531C8D"/>
    <w:rsid w:val="00531C93"/>
    <w:rsid w:val="00531CC6"/>
    <w:rsid w:val="00531D41"/>
    <w:rsid w:val="00531E32"/>
    <w:rsid w:val="00531EBF"/>
    <w:rsid w:val="00531F37"/>
    <w:rsid w:val="00531F5E"/>
    <w:rsid w:val="00532070"/>
    <w:rsid w:val="005320A6"/>
    <w:rsid w:val="005320BD"/>
    <w:rsid w:val="00532117"/>
    <w:rsid w:val="0053220D"/>
    <w:rsid w:val="0053221A"/>
    <w:rsid w:val="00532281"/>
    <w:rsid w:val="005323D7"/>
    <w:rsid w:val="00532451"/>
    <w:rsid w:val="00532523"/>
    <w:rsid w:val="005325CF"/>
    <w:rsid w:val="0053260E"/>
    <w:rsid w:val="005326CB"/>
    <w:rsid w:val="00532780"/>
    <w:rsid w:val="005327A0"/>
    <w:rsid w:val="005327D0"/>
    <w:rsid w:val="00532826"/>
    <w:rsid w:val="0053284D"/>
    <w:rsid w:val="0053289D"/>
    <w:rsid w:val="005328E5"/>
    <w:rsid w:val="00532952"/>
    <w:rsid w:val="0053297A"/>
    <w:rsid w:val="005329A3"/>
    <w:rsid w:val="00532A5D"/>
    <w:rsid w:val="00532B51"/>
    <w:rsid w:val="00532B95"/>
    <w:rsid w:val="00532B9E"/>
    <w:rsid w:val="00532BC6"/>
    <w:rsid w:val="00532C8C"/>
    <w:rsid w:val="00532C9D"/>
    <w:rsid w:val="00532CE6"/>
    <w:rsid w:val="00532DDB"/>
    <w:rsid w:val="00532DEF"/>
    <w:rsid w:val="00532E20"/>
    <w:rsid w:val="00532E25"/>
    <w:rsid w:val="00532E76"/>
    <w:rsid w:val="00532EA1"/>
    <w:rsid w:val="00532FDB"/>
    <w:rsid w:val="00533061"/>
    <w:rsid w:val="00533262"/>
    <w:rsid w:val="00533299"/>
    <w:rsid w:val="005332CB"/>
    <w:rsid w:val="005332D5"/>
    <w:rsid w:val="0053330F"/>
    <w:rsid w:val="0053333B"/>
    <w:rsid w:val="00533496"/>
    <w:rsid w:val="005335FB"/>
    <w:rsid w:val="00533605"/>
    <w:rsid w:val="0053362B"/>
    <w:rsid w:val="0053365E"/>
    <w:rsid w:val="00533685"/>
    <w:rsid w:val="00533716"/>
    <w:rsid w:val="00533762"/>
    <w:rsid w:val="00533829"/>
    <w:rsid w:val="0053396D"/>
    <w:rsid w:val="0053397B"/>
    <w:rsid w:val="00533A07"/>
    <w:rsid w:val="00533A7A"/>
    <w:rsid w:val="00533AEB"/>
    <w:rsid w:val="00533B19"/>
    <w:rsid w:val="00533B98"/>
    <w:rsid w:val="00533BB9"/>
    <w:rsid w:val="00533C31"/>
    <w:rsid w:val="00533D94"/>
    <w:rsid w:val="00533DC1"/>
    <w:rsid w:val="00533E2E"/>
    <w:rsid w:val="00533E7E"/>
    <w:rsid w:val="00533EAB"/>
    <w:rsid w:val="00533FAE"/>
    <w:rsid w:val="00533FB2"/>
    <w:rsid w:val="00533FBD"/>
    <w:rsid w:val="00533FF1"/>
    <w:rsid w:val="0053400D"/>
    <w:rsid w:val="00534084"/>
    <w:rsid w:val="005340AA"/>
    <w:rsid w:val="0053413C"/>
    <w:rsid w:val="00534176"/>
    <w:rsid w:val="0053417B"/>
    <w:rsid w:val="0053418D"/>
    <w:rsid w:val="00534266"/>
    <w:rsid w:val="0053436B"/>
    <w:rsid w:val="00534395"/>
    <w:rsid w:val="005343C0"/>
    <w:rsid w:val="005343D6"/>
    <w:rsid w:val="00534400"/>
    <w:rsid w:val="00534455"/>
    <w:rsid w:val="00534482"/>
    <w:rsid w:val="005344A5"/>
    <w:rsid w:val="005345CC"/>
    <w:rsid w:val="00534648"/>
    <w:rsid w:val="0053469A"/>
    <w:rsid w:val="00534767"/>
    <w:rsid w:val="0053477C"/>
    <w:rsid w:val="005347E7"/>
    <w:rsid w:val="0053497E"/>
    <w:rsid w:val="0053498B"/>
    <w:rsid w:val="005349F2"/>
    <w:rsid w:val="005349F7"/>
    <w:rsid w:val="00534A63"/>
    <w:rsid w:val="00534AA1"/>
    <w:rsid w:val="00534B3D"/>
    <w:rsid w:val="00534BC1"/>
    <w:rsid w:val="00534BF6"/>
    <w:rsid w:val="00534C5B"/>
    <w:rsid w:val="00534CC2"/>
    <w:rsid w:val="00534D6A"/>
    <w:rsid w:val="00534DD5"/>
    <w:rsid w:val="00534DDC"/>
    <w:rsid w:val="00534DEF"/>
    <w:rsid w:val="00534E93"/>
    <w:rsid w:val="00534EB3"/>
    <w:rsid w:val="00534EF0"/>
    <w:rsid w:val="00534F8A"/>
    <w:rsid w:val="00535008"/>
    <w:rsid w:val="005350EA"/>
    <w:rsid w:val="005350EF"/>
    <w:rsid w:val="005350F4"/>
    <w:rsid w:val="005351CC"/>
    <w:rsid w:val="005351D8"/>
    <w:rsid w:val="00535244"/>
    <w:rsid w:val="00535321"/>
    <w:rsid w:val="005353C7"/>
    <w:rsid w:val="00535493"/>
    <w:rsid w:val="005355F1"/>
    <w:rsid w:val="00535635"/>
    <w:rsid w:val="0053572B"/>
    <w:rsid w:val="005357BD"/>
    <w:rsid w:val="005357FE"/>
    <w:rsid w:val="00535851"/>
    <w:rsid w:val="00535898"/>
    <w:rsid w:val="005358B9"/>
    <w:rsid w:val="005358D5"/>
    <w:rsid w:val="0053590E"/>
    <w:rsid w:val="00535AE2"/>
    <w:rsid w:val="00535B36"/>
    <w:rsid w:val="00535B7F"/>
    <w:rsid w:val="00535BBA"/>
    <w:rsid w:val="00535D17"/>
    <w:rsid w:val="00535D2B"/>
    <w:rsid w:val="00535D48"/>
    <w:rsid w:val="00535DA3"/>
    <w:rsid w:val="00535EE7"/>
    <w:rsid w:val="00535F47"/>
    <w:rsid w:val="00535FAD"/>
    <w:rsid w:val="00535FF3"/>
    <w:rsid w:val="00536060"/>
    <w:rsid w:val="0053609E"/>
    <w:rsid w:val="005360CB"/>
    <w:rsid w:val="0053620E"/>
    <w:rsid w:val="00536285"/>
    <w:rsid w:val="00536387"/>
    <w:rsid w:val="005363AE"/>
    <w:rsid w:val="005363FD"/>
    <w:rsid w:val="00536557"/>
    <w:rsid w:val="00536568"/>
    <w:rsid w:val="00536593"/>
    <w:rsid w:val="0053662C"/>
    <w:rsid w:val="005366BD"/>
    <w:rsid w:val="005366F3"/>
    <w:rsid w:val="00536724"/>
    <w:rsid w:val="00536757"/>
    <w:rsid w:val="005367DA"/>
    <w:rsid w:val="00536895"/>
    <w:rsid w:val="0053690E"/>
    <w:rsid w:val="00536956"/>
    <w:rsid w:val="0053696C"/>
    <w:rsid w:val="005369D6"/>
    <w:rsid w:val="00536A35"/>
    <w:rsid w:val="00536AE4"/>
    <w:rsid w:val="00536B55"/>
    <w:rsid w:val="00536C6B"/>
    <w:rsid w:val="00536D93"/>
    <w:rsid w:val="00536DF4"/>
    <w:rsid w:val="00536E32"/>
    <w:rsid w:val="00536E36"/>
    <w:rsid w:val="00536F3F"/>
    <w:rsid w:val="00536F98"/>
    <w:rsid w:val="00536FFE"/>
    <w:rsid w:val="00537050"/>
    <w:rsid w:val="005370AC"/>
    <w:rsid w:val="00537203"/>
    <w:rsid w:val="0053729E"/>
    <w:rsid w:val="005372C1"/>
    <w:rsid w:val="005372C6"/>
    <w:rsid w:val="005372F0"/>
    <w:rsid w:val="005373FF"/>
    <w:rsid w:val="0053741D"/>
    <w:rsid w:val="00537460"/>
    <w:rsid w:val="005374BE"/>
    <w:rsid w:val="00537614"/>
    <w:rsid w:val="00537616"/>
    <w:rsid w:val="00537695"/>
    <w:rsid w:val="00537765"/>
    <w:rsid w:val="0053776E"/>
    <w:rsid w:val="005377AF"/>
    <w:rsid w:val="0053780C"/>
    <w:rsid w:val="00537832"/>
    <w:rsid w:val="00537862"/>
    <w:rsid w:val="00537876"/>
    <w:rsid w:val="005378E7"/>
    <w:rsid w:val="005378F1"/>
    <w:rsid w:val="00537A47"/>
    <w:rsid w:val="00537A6C"/>
    <w:rsid w:val="00537AB7"/>
    <w:rsid w:val="00537ACD"/>
    <w:rsid w:val="00537AD7"/>
    <w:rsid w:val="00537B67"/>
    <w:rsid w:val="00537B71"/>
    <w:rsid w:val="00537C0B"/>
    <w:rsid w:val="00537D15"/>
    <w:rsid w:val="00537D36"/>
    <w:rsid w:val="00537D79"/>
    <w:rsid w:val="00537D8A"/>
    <w:rsid w:val="00537DB9"/>
    <w:rsid w:val="00537EC9"/>
    <w:rsid w:val="00537EFF"/>
    <w:rsid w:val="00537F6A"/>
    <w:rsid w:val="00540026"/>
    <w:rsid w:val="0054003A"/>
    <w:rsid w:val="005400B9"/>
    <w:rsid w:val="00540262"/>
    <w:rsid w:val="00540271"/>
    <w:rsid w:val="00540278"/>
    <w:rsid w:val="005402EE"/>
    <w:rsid w:val="00540308"/>
    <w:rsid w:val="00540369"/>
    <w:rsid w:val="00540379"/>
    <w:rsid w:val="005403A5"/>
    <w:rsid w:val="005403B6"/>
    <w:rsid w:val="00540401"/>
    <w:rsid w:val="0054042C"/>
    <w:rsid w:val="0054046B"/>
    <w:rsid w:val="00540560"/>
    <w:rsid w:val="005405C9"/>
    <w:rsid w:val="0054063F"/>
    <w:rsid w:val="00540641"/>
    <w:rsid w:val="00540670"/>
    <w:rsid w:val="0054073E"/>
    <w:rsid w:val="005407BB"/>
    <w:rsid w:val="005407F4"/>
    <w:rsid w:val="0054084D"/>
    <w:rsid w:val="005409F5"/>
    <w:rsid w:val="00540A35"/>
    <w:rsid w:val="00540AB0"/>
    <w:rsid w:val="00540B9D"/>
    <w:rsid w:val="00540C19"/>
    <w:rsid w:val="00540C21"/>
    <w:rsid w:val="00540CBB"/>
    <w:rsid w:val="00540CED"/>
    <w:rsid w:val="00540DEE"/>
    <w:rsid w:val="00540E32"/>
    <w:rsid w:val="00540E71"/>
    <w:rsid w:val="00541186"/>
    <w:rsid w:val="0054123F"/>
    <w:rsid w:val="005412CA"/>
    <w:rsid w:val="00541325"/>
    <w:rsid w:val="00541362"/>
    <w:rsid w:val="0054136C"/>
    <w:rsid w:val="005413B9"/>
    <w:rsid w:val="0054142F"/>
    <w:rsid w:val="00541448"/>
    <w:rsid w:val="00541495"/>
    <w:rsid w:val="00541554"/>
    <w:rsid w:val="0054164C"/>
    <w:rsid w:val="00541673"/>
    <w:rsid w:val="00541749"/>
    <w:rsid w:val="005418A2"/>
    <w:rsid w:val="005418C3"/>
    <w:rsid w:val="005418CF"/>
    <w:rsid w:val="005418D0"/>
    <w:rsid w:val="00541904"/>
    <w:rsid w:val="005419F2"/>
    <w:rsid w:val="00541AD7"/>
    <w:rsid w:val="00541B04"/>
    <w:rsid w:val="00541B45"/>
    <w:rsid w:val="00541C19"/>
    <w:rsid w:val="00541C41"/>
    <w:rsid w:val="00541CA2"/>
    <w:rsid w:val="00541D80"/>
    <w:rsid w:val="00541E1F"/>
    <w:rsid w:val="00541E6C"/>
    <w:rsid w:val="00541EFE"/>
    <w:rsid w:val="00541F4B"/>
    <w:rsid w:val="00541F5B"/>
    <w:rsid w:val="00541F75"/>
    <w:rsid w:val="00541F8A"/>
    <w:rsid w:val="00541FDF"/>
    <w:rsid w:val="0054200D"/>
    <w:rsid w:val="0054200F"/>
    <w:rsid w:val="0054203C"/>
    <w:rsid w:val="005420A1"/>
    <w:rsid w:val="0054216B"/>
    <w:rsid w:val="005421C8"/>
    <w:rsid w:val="0054224C"/>
    <w:rsid w:val="005422AA"/>
    <w:rsid w:val="00542372"/>
    <w:rsid w:val="00542418"/>
    <w:rsid w:val="0054242A"/>
    <w:rsid w:val="00542430"/>
    <w:rsid w:val="00542459"/>
    <w:rsid w:val="00542463"/>
    <w:rsid w:val="00542486"/>
    <w:rsid w:val="005424AA"/>
    <w:rsid w:val="00542500"/>
    <w:rsid w:val="0054258E"/>
    <w:rsid w:val="00542655"/>
    <w:rsid w:val="005426AE"/>
    <w:rsid w:val="00542728"/>
    <w:rsid w:val="005427CD"/>
    <w:rsid w:val="005429B4"/>
    <w:rsid w:val="005429C4"/>
    <w:rsid w:val="00542A41"/>
    <w:rsid w:val="00542AA8"/>
    <w:rsid w:val="00542AC6"/>
    <w:rsid w:val="00542B78"/>
    <w:rsid w:val="00542BE8"/>
    <w:rsid w:val="00542CC8"/>
    <w:rsid w:val="00542CCB"/>
    <w:rsid w:val="00542DD2"/>
    <w:rsid w:val="00542EAC"/>
    <w:rsid w:val="00542F64"/>
    <w:rsid w:val="00542FAB"/>
    <w:rsid w:val="0054304D"/>
    <w:rsid w:val="00543121"/>
    <w:rsid w:val="00543137"/>
    <w:rsid w:val="0054314E"/>
    <w:rsid w:val="00543188"/>
    <w:rsid w:val="00543220"/>
    <w:rsid w:val="0054323F"/>
    <w:rsid w:val="00543387"/>
    <w:rsid w:val="005433AF"/>
    <w:rsid w:val="00543502"/>
    <w:rsid w:val="00543503"/>
    <w:rsid w:val="00543541"/>
    <w:rsid w:val="005435A9"/>
    <w:rsid w:val="005435F3"/>
    <w:rsid w:val="00543652"/>
    <w:rsid w:val="005436A7"/>
    <w:rsid w:val="005436B2"/>
    <w:rsid w:val="005436FA"/>
    <w:rsid w:val="0054371E"/>
    <w:rsid w:val="00543747"/>
    <w:rsid w:val="0054377B"/>
    <w:rsid w:val="0054378C"/>
    <w:rsid w:val="005437C4"/>
    <w:rsid w:val="00543890"/>
    <w:rsid w:val="005438ED"/>
    <w:rsid w:val="0054390F"/>
    <w:rsid w:val="00543974"/>
    <w:rsid w:val="00543978"/>
    <w:rsid w:val="00543986"/>
    <w:rsid w:val="00543B01"/>
    <w:rsid w:val="00543B5F"/>
    <w:rsid w:val="00543B79"/>
    <w:rsid w:val="00543B81"/>
    <w:rsid w:val="00543B9B"/>
    <w:rsid w:val="00543CC0"/>
    <w:rsid w:val="00543CEE"/>
    <w:rsid w:val="00543E3A"/>
    <w:rsid w:val="00543E41"/>
    <w:rsid w:val="00543E73"/>
    <w:rsid w:val="00543F13"/>
    <w:rsid w:val="00543F21"/>
    <w:rsid w:val="00543F34"/>
    <w:rsid w:val="0054403B"/>
    <w:rsid w:val="0054405B"/>
    <w:rsid w:val="005440EA"/>
    <w:rsid w:val="005440FF"/>
    <w:rsid w:val="00544111"/>
    <w:rsid w:val="0054419C"/>
    <w:rsid w:val="00544244"/>
    <w:rsid w:val="00544263"/>
    <w:rsid w:val="00544279"/>
    <w:rsid w:val="005442A2"/>
    <w:rsid w:val="005442AB"/>
    <w:rsid w:val="005442E1"/>
    <w:rsid w:val="00544319"/>
    <w:rsid w:val="00544334"/>
    <w:rsid w:val="0054433B"/>
    <w:rsid w:val="00544351"/>
    <w:rsid w:val="005443D1"/>
    <w:rsid w:val="00544437"/>
    <w:rsid w:val="005445DE"/>
    <w:rsid w:val="00544621"/>
    <w:rsid w:val="0054475B"/>
    <w:rsid w:val="005447BF"/>
    <w:rsid w:val="0054480D"/>
    <w:rsid w:val="0054486E"/>
    <w:rsid w:val="005448D0"/>
    <w:rsid w:val="005448D5"/>
    <w:rsid w:val="005448EC"/>
    <w:rsid w:val="00544918"/>
    <w:rsid w:val="0054495A"/>
    <w:rsid w:val="00544AA6"/>
    <w:rsid w:val="00544B87"/>
    <w:rsid w:val="00544B9F"/>
    <w:rsid w:val="00544BF3"/>
    <w:rsid w:val="00544C3A"/>
    <w:rsid w:val="00544C47"/>
    <w:rsid w:val="00544C68"/>
    <w:rsid w:val="00544C8D"/>
    <w:rsid w:val="00544CB6"/>
    <w:rsid w:val="00544DC4"/>
    <w:rsid w:val="00544E42"/>
    <w:rsid w:val="00544E78"/>
    <w:rsid w:val="00544E8F"/>
    <w:rsid w:val="00544F7E"/>
    <w:rsid w:val="00544FA2"/>
    <w:rsid w:val="00544FA5"/>
    <w:rsid w:val="0054500A"/>
    <w:rsid w:val="005450B8"/>
    <w:rsid w:val="005450D8"/>
    <w:rsid w:val="005450E6"/>
    <w:rsid w:val="00545173"/>
    <w:rsid w:val="00545188"/>
    <w:rsid w:val="005451B6"/>
    <w:rsid w:val="00545225"/>
    <w:rsid w:val="00545233"/>
    <w:rsid w:val="0054523F"/>
    <w:rsid w:val="0054524F"/>
    <w:rsid w:val="005453AA"/>
    <w:rsid w:val="005453F6"/>
    <w:rsid w:val="0054542F"/>
    <w:rsid w:val="00545474"/>
    <w:rsid w:val="005454C3"/>
    <w:rsid w:val="00545540"/>
    <w:rsid w:val="005456EC"/>
    <w:rsid w:val="005456FB"/>
    <w:rsid w:val="00545710"/>
    <w:rsid w:val="0054572C"/>
    <w:rsid w:val="00545794"/>
    <w:rsid w:val="005457AB"/>
    <w:rsid w:val="005457BE"/>
    <w:rsid w:val="005457E3"/>
    <w:rsid w:val="00545865"/>
    <w:rsid w:val="005458B9"/>
    <w:rsid w:val="005458BF"/>
    <w:rsid w:val="00545946"/>
    <w:rsid w:val="00545976"/>
    <w:rsid w:val="00545978"/>
    <w:rsid w:val="00545A83"/>
    <w:rsid w:val="00545B21"/>
    <w:rsid w:val="00545BBA"/>
    <w:rsid w:val="00545BC3"/>
    <w:rsid w:val="00545BC4"/>
    <w:rsid w:val="00545C05"/>
    <w:rsid w:val="00545C87"/>
    <w:rsid w:val="00545D3A"/>
    <w:rsid w:val="00545DB4"/>
    <w:rsid w:val="00545E3F"/>
    <w:rsid w:val="00545E66"/>
    <w:rsid w:val="00545EFB"/>
    <w:rsid w:val="00545F3C"/>
    <w:rsid w:val="00545F50"/>
    <w:rsid w:val="00545F59"/>
    <w:rsid w:val="00545FD1"/>
    <w:rsid w:val="00545FEF"/>
    <w:rsid w:val="0054603E"/>
    <w:rsid w:val="0054621B"/>
    <w:rsid w:val="0054622C"/>
    <w:rsid w:val="00546253"/>
    <w:rsid w:val="0054626D"/>
    <w:rsid w:val="00546350"/>
    <w:rsid w:val="005463B0"/>
    <w:rsid w:val="00546441"/>
    <w:rsid w:val="0054645A"/>
    <w:rsid w:val="00546552"/>
    <w:rsid w:val="00546613"/>
    <w:rsid w:val="005466DA"/>
    <w:rsid w:val="00546729"/>
    <w:rsid w:val="005467C2"/>
    <w:rsid w:val="00546817"/>
    <w:rsid w:val="0054686B"/>
    <w:rsid w:val="0054686C"/>
    <w:rsid w:val="00546876"/>
    <w:rsid w:val="005468A9"/>
    <w:rsid w:val="005468DB"/>
    <w:rsid w:val="005468EE"/>
    <w:rsid w:val="00546A31"/>
    <w:rsid w:val="00546A7C"/>
    <w:rsid w:val="00546CEC"/>
    <w:rsid w:val="00546E31"/>
    <w:rsid w:val="00546EC8"/>
    <w:rsid w:val="00546F1A"/>
    <w:rsid w:val="00546F54"/>
    <w:rsid w:val="0054700B"/>
    <w:rsid w:val="0054709F"/>
    <w:rsid w:val="005470AB"/>
    <w:rsid w:val="005470BF"/>
    <w:rsid w:val="005470E8"/>
    <w:rsid w:val="00547122"/>
    <w:rsid w:val="00547139"/>
    <w:rsid w:val="005471CA"/>
    <w:rsid w:val="005471F8"/>
    <w:rsid w:val="0054722A"/>
    <w:rsid w:val="0054723C"/>
    <w:rsid w:val="00547292"/>
    <w:rsid w:val="00547302"/>
    <w:rsid w:val="005474D7"/>
    <w:rsid w:val="00547528"/>
    <w:rsid w:val="005475A4"/>
    <w:rsid w:val="0054760F"/>
    <w:rsid w:val="0054766F"/>
    <w:rsid w:val="005476D6"/>
    <w:rsid w:val="00547733"/>
    <w:rsid w:val="005477A0"/>
    <w:rsid w:val="005477CB"/>
    <w:rsid w:val="005477F0"/>
    <w:rsid w:val="00547827"/>
    <w:rsid w:val="00547840"/>
    <w:rsid w:val="00547877"/>
    <w:rsid w:val="005478BB"/>
    <w:rsid w:val="00547932"/>
    <w:rsid w:val="00547933"/>
    <w:rsid w:val="0054799E"/>
    <w:rsid w:val="005479A1"/>
    <w:rsid w:val="00547A40"/>
    <w:rsid w:val="00547C29"/>
    <w:rsid w:val="00547C32"/>
    <w:rsid w:val="00547C4C"/>
    <w:rsid w:val="00547D13"/>
    <w:rsid w:val="00547D82"/>
    <w:rsid w:val="00547DAD"/>
    <w:rsid w:val="00547DAF"/>
    <w:rsid w:val="00547DF5"/>
    <w:rsid w:val="00547E5C"/>
    <w:rsid w:val="00547EDA"/>
    <w:rsid w:val="00547F42"/>
    <w:rsid w:val="00547FA7"/>
    <w:rsid w:val="00547FAA"/>
    <w:rsid w:val="00550029"/>
    <w:rsid w:val="0055003B"/>
    <w:rsid w:val="0055004A"/>
    <w:rsid w:val="0055005C"/>
    <w:rsid w:val="00550082"/>
    <w:rsid w:val="00550123"/>
    <w:rsid w:val="00550129"/>
    <w:rsid w:val="005502D0"/>
    <w:rsid w:val="00550321"/>
    <w:rsid w:val="005503C7"/>
    <w:rsid w:val="00550420"/>
    <w:rsid w:val="0055048F"/>
    <w:rsid w:val="005505A8"/>
    <w:rsid w:val="005505D1"/>
    <w:rsid w:val="005505D9"/>
    <w:rsid w:val="00550615"/>
    <w:rsid w:val="0055064C"/>
    <w:rsid w:val="0055069E"/>
    <w:rsid w:val="005506DA"/>
    <w:rsid w:val="00550722"/>
    <w:rsid w:val="00550746"/>
    <w:rsid w:val="0055074B"/>
    <w:rsid w:val="00550847"/>
    <w:rsid w:val="005508B5"/>
    <w:rsid w:val="005509FC"/>
    <w:rsid w:val="00550A1A"/>
    <w:rsid w:val="00550A50"/>
    <w:rsid w:val="00550AE6"/>
    <w:rsid w:val="00550C39"/>
    <w:rsid w:val="00550CB1"/>
    <w:rsid w:val="00550D30"/>
    <w:rsid w:val="00550DC2"/>
    <w:rsid w:val="00550E31"/>
    <w:rsid w:val="00550E50"/>
    <w:rsid w:val="00550FDF"/>
    <w:rsid w:val="0055106B"/>
    <w:rsid w:val="005510B7"/>
    <w:rsid w:val="0055112D"/>
    <w:rsid w:val="005511A2"/>
    <w:rsid w:val="0055130B"/>
    <w:rsid w:val="005513F7"/>
    <w:rsid w:val="0055141F"/>
    <w:rsid w:val="005514A1"/>
    <w:rsid w:val="0055155B"/>
    <w:rsid w:val="00551581"/>
    <w:rsid w:val="005515E0"/>
    <w:rsid w:val="0055164D"/>
    <w:rsid w:val="00551668"/>
    <w:rsid w:val="0055167F"/>
    <w:rsid w:val="00551686"/>
    <w:rsid w:val="00551698"/>
    <w:rsid w:val="005517D9"/>
    <w:rsid w:val="0055180F"/>
    <w:rsid w:val="005518B7"/>
    <w:rsid w:val="005519F4"/>
    <w:rsid w:val="005519F5"/>
    <w:rsid w:val="00551B2F"/>
    <w:rsid w:val="00551B33"/>
    <w:rsid w:val="00551B49"/>
    <w:rsid w:val="00551CC1"/>
    <w:rsid w:val="00551CDF"/>
    <w:rsid w:val="00551E10"/>
    <w:rsid w:val="00551EFA"/>
    <w:rsid w:val="00551F69"/>
    <w:rsid w:val="00551F8B"/>
    <w:rsid w:val="00552041"/>
    <w:rsid w:val="00552091"/>
    <w:rsid w:val="00552120"/>
    <w:rsid w:val="0055213C"/>
    <w:rsid w:val="00552160"/>
    <w:rsid w:val="00552166"/>
    <w:rsid w:val="005521EE"/>
    <w:rsid w:val="00552266"/>
    <w:rsid w:val="00552395"/>
    <w:rsid w:val="00552469"/>
    <w:rsid w:val="0055250C"/>
    <w:rsid w:val="0055252D"/>
    <w:rsid w:val="00552575"/>
    <w:rsid w:val="0055266E"/>
    <w:rsid w:val="0055267B"/>
    <w:rsid w:val="005526B7"/>
    <w:rsid w:val="00552755"/>
    <w:rsid w:val="005527E3"/>
    <w:rsid w:val="0055287B"/>
    <w:rsid w:val="00552B75"/>
    <w:rsid w:val="00552D26"/>
    <w:rsid w:val="00552DC1"/>
    <w:rsid w:val="00552DEA"/>
    <w:rsid w:val="00552E34"/>
    <w:rsid w:val="00552EB7"/>
    <w:rsid w:val="00552F59"/>
    <w:rsid w:val="005530D8"/>
    <w:rsid w:val="005530E5"/>
    <w:rsid w:val="00553102"/>
    <w:rsid w:val="005532CA"/>
    <w:rsid w:val="0055348B"/>
    <w:rsid w:val="00553494"/>
    <w:rsid w:val="005534A8"/>
    <w:rsid w:val="00553530"/>
    <w:rsid w:val="0055362B"/>
    <w:rsid w:val="0055365E"/>
    <w:rsid w:val="00553664"/>
    <w:rsid w:val="00553760"/>
    <w:rsid w:val="00553832"/>
    <w:rsid w:val="005538CC"/>
    <w:rsid w:val="005538DF"/>
    <w:rsid w:val="005538FE"/>
    <w:rsid w:val="00553904"/>
    <w:rsid w:val="00553941"/>
    <w:rsid w:val="005539B4"/>
    <w:rsid w:val="005539C6"/>
    <w:rsid w:val="00553A18"/>
    <w:rsid w:val="00553A60"/>
    <w:rsid w:val="00553A69"/>
    <w:rsid w:val="00553B32"/>
    <w:rsid w:val="00553B38"/>
    <w:rsid w:val="00553B7A"/>
    <w:rsid w:val="00553B89"/>
    <w:rsid w:val="00553C44"/>
    <w:rsid w:val="00553C6F"/>
    <w:rsid w:val="00553C85"/>
    <w:rsid w:val="00553CBA"/>
    <w:rsid w:val="00553D71"/>
    <w:rsid w:val="00553D77"/>
    <w:rsid w:val="00553DAB"/>
    <w:rsid w:val="00553E67"/>
    <w:rsid w:val="00553E8C"/>
    <w:rsid w:val="00553EB8"/>
    <w:rsid w:val="00553F53"/>
    <w:rsid w:val="00553F95"/>
    <w:rsid w:val="00553FA4"/>
    <w:rsid w:val="00553FD4"/>
    <w:rsid w:val="005540B3"/>
    <w:rsid w:val="005540BC"/>
    <w:rsid w:val="005540CD"/>
    <w:rsid w:val="0055411D"/>
    <w:rsid w:val="00554214"/>
    <w:rsid w:val="0055422B"/>
    <w:rsid w:val="0055424F"/>
    <w:rsid w:val="005542AA"/>
    <w:rsid w:val="00554335"/>
    <w:rsid w:val="00554366"/>
    <w:rsid w:val="00554572"/>
    <w:rsid w:val="00554586"/>
    <w:rsid w:val="005545DD"/>
    <w:rsid w:val="005545EC"/>
    <w:rsid w:val="005545EF"/>
    <w:rsid w:val="005546B2"/>
    <w:rsid w:val="005546B4"/>
    <w:rsid w:val="005546BE"/>
    <w:rsid w:val="005546FD"/>
    <w:rsid w:val="0055475E"/>
    <w:rsid w:val="005547D4"/>
    <w:rsid w:val="005547D6"/>
    <w:rsid w:val="005548A6"/>
    <w:rsid w:val="00554AC0"/>
    <w:rsid w:val="00554ADE"/>
    <w:rsid w:val="00554B34"/>
    <w:rsid w:val="00554B46"/>
    <w:rsid w:val="00554B4B"/>
    <w:rsid w:val="00554BCB"/>
    <w:rsid w:val="00554CB3"/>
    <w:rsid w:val="00554CE2"/>
    <w:rsid w:val="00554DBF"/>
    <w:rsid w:val="00554DCF"/>
    <w:rsid w:val="00554E30"/>
    <w:rsid w:val="00554E3A"/>
    <w:rsid w:val="00554EB6"/>
    <w:rsid w:val="00554EFE"/>
    <w:rsid w:val="00554F1C"/>
    <w:rsid w:val="00554F46"/>
    <w:rsid w:val="00554F96"/>
    <w:rsid w:val="00555067"/>
    <w:rsid w:val="00555097"/>
    <w:rsid w:val="00555116"/>
    <w:rsid w:val="0055513D"/>
    <w:rsid w:val="00555193"/>
    <w:rsid w:val="0055519A"/>
    <w:rsid w:val="005551A3"/>
    <w:rsid w:val="005551DC"/>
    <w:rsid w:val="005551E3"/>
    <w:rsid w:val="00555255"/>
    <w:rsid w:val="0055525B"/>
    <w:rsid w:val="0055544D"/>
    <w:rsid w:val="00555477"/>
    <w:rsid w:val="005554F3"/>
    <w:rsid w:val="00555545"/>
    <w:rsid w:val="005555DE"/>
    <w:rsid w:val="005555E3"/>
    <w:rsid w:val="0055561E"/>
    <w:rsid w:val="005556A8"/>
    <w:rsid w:val="005556FB"/>
    <w:rsid w:val="00555720"/>
    <w:rsid w:val="0055575D"/>
    <w:rsid w:val="00555792"/>
    <w:rsid w:val="005557A6"/>
    <w:rsid w:val="00555816"/>
    <w:rsid w:val="0055583C"/>
    <w:rsid w:val="0055585A"/>
    <w:rsid w:val="00555874"/>
    <w:rsid w:val="005558E8"/>
    <w:rsid w:val="0055599E"/>
    <w:rsid w:val="00555A42"/>
    <w:rsid w:val="00555A5C"/>
    <w:rsid w:val="00555A75"/>
    <w:rsid w:val="00555ABA"/>
    <w:rsid w:val="00555B59"/>
    <w:rsid w:val="00555C8E"/>
    <w:rsid w:val="00555CF2"/>
    <w:rsid w:val="00555D3A"/>
    <w:rsid w:val="00555DB8"/>
    <w:rsid w:val="00555F59"/>
    <w:rsid w:val="00555F5D"/>
    <w:rsid w:val="00555F85"/>
    <w:rsid w:val="00555F8E"/>
    <w:rsid w:val="00555FCE"/>
    <w:rsid w:val="00556016"/>
    <w:rsid w:val="00556030"/>
    <w:rsid w:val="0055607A"/>
    <w:rsid w:val="0055607F"/>
    <w:rsid w:val="005560D8"/>
    <w:rsid w:val="00556125"/>
    <w:rsid w:val="00556172"/>
    <w:rsid w:val="0055623F"/>
    <w:rsid w:val="005562FE"/>
    <w:rsid w:val="0055636A"/>
    <w:rsid w:val="005563E4"/>
    <w:rsid w:val="00556551"/>
    <w:rsid w:val="005565B4"/>
    <w:rsid w:val="005565C4"/>
    <w:rsid w:val="005565F5"/>
    <w:rsid w:val="005566F7"/>
    <w:rsid w:val="005566FA"/>
    <w:rsid w:val="00556741"/>
    <w:rsid w:val="005567F8"/>
    <w:rsid w:val="00556849"/>
    <w:rsid w:val="00556859"/>
    <w:rsid w:val="00556941"/>
    <w:rsid w:val="0055696C"/>
    <w:rsid w:val="005569A6"/>
    <w:rsid w:val="00556AC3"/>
    <w:rsid w:val="00556B4D"/>
    <w:rsid w:val="00556BBE"/>
    <w:rsid w:val="00556BCD"/>
    <w:rsid w:val="00556C72"/>
    <w:rsid w:val="00556D36"/>
    <w:rsid w:val="00556D97"/>
    <w:rsid w:val="00556E92"/>
    <w:rsid w:val="00556EA3"/>
    <w:rsid w:val="00556EE4"/>
    <w:rsid w:val="00556F04"/>
    <w:rsid w:val="00556F81"/>
    <w:rsid w:val="00557057"/>
    <w:rsid w:val="005570EF"/>
    <w:rsid w:val="00557181"/>
    <w:rsid w:val="0055720F"/>
    <w:rsid w:val="0055721F"/>
    <w:rsid w:val="0055728A"/>
    <w:rsid w:val="005572AA"/>
    <w:rsid w:val="00557309"/>
    <w:rsid w:val="0055732F"/>
    <w:rsid w:val="005573EB"/>
    <w:rsid w:val="00557449"/>
    <w:rsid w:val="0055747D"/>
    <w:rsid w:val="005574A1"/>
    <w:rsid w:val="0055751B"/>
    <w:rsid w:val="00557542"/>
    <w:rsid w:val="0055759A"/>
    <w:rsid w:val="00557668"/>
    <w:rsid w:val="00557674"/>
    <w:rsid w:val="005576D3"/>
    <w:rsid w:val="005576FF"/>
    <w:rsid w:val="0055773F"/>
    <w:rsid w:val="00557763"/>
    <w:rsid w:val="005577D7"/>
    <w:rsid w:val="00557A1D"/>
    <w:rsid w:val="00557A65"/>
    <w:rsid w:val="00557A80"/>
    <w:rsid w:val="00557ADC"/>
    <w:rsid w:val="00557B41"/>
    <w:rsid w:val="00557B9A"/>
    <w:rsid w:val="00557C2E"/>
    <w:rsid w:val="00557C4E"/>
    <w:rsid w:val="00557CFE"/>
    <w:rsid w:val="00557E4D"/>
    <w:rsid w:val="00557E74"/>
    <w:rsid w:val="00557F9E"/>
    <w:rsid w:val="00557FA0"/>
    <w:rsid w:val="00560015"/>
    <w:rsid w:val="0056001C"/>
    <w:rsid w:val="00560154"/>
    <w:rsid w:val="005601A9"/>
    <w:rsid w:val="005601E1"/>
    <w:rsid w:val="0056029B"/>
    <w:rsid w:val="005602F4"/>
    <w:rsid w:val="00560476"/>
    <w:rsid w:val="00560478"/>
    <w:rsid w:val="005604A9"/>
    <w:rsid w:val="005604D2"/>
    <w:rsid w:val="0056052A"/>
    <w:rsid w:val="00560542"/>
    <w:rsid w:val="0056066B"/>
    <w:rsid w:val="00560775"/>
    <w:rsid w:val="0056077A"/>
    <w:rsid w:val="00560783"/>
    <w:rsid w:val="00560856"/>
    <w:rsid w:val="0056086A"/>
    <w:rsid w:val="00560896"/>
    <w:rsid w:val="005608E3"/>
    <w:rsid w:val="00560921"/>
    <w:rsid w:val="00560A36"/>
    <w:rsid w:val="00560A47"/>
    <w:rsid w:val="00560AC7"/>
    <w:rsid w:val="00560ADD"/>
    <w:rsid w:val="00560B79"/>
    <w:rsid w:val="00560B93"/>
    <w:rsid w:val="00560C6B"/>
    <w:rsid w:val="00560CE0"/>
    <w:rsid w:val="00560D3D"/>
    <w:rsid w:val="00560D93"/>
    <w:rsid w:val="00560DA6"/>
    <w:rsid w:val="00560DC0"/>
    <w:rsid w:val="00560E28"/>
    <w:rsid w:val="00560EE6"/>
    <w:rsid w:val="00560EEE"/>
    <w:rsid w:val="00560EFC"/>
    <w:rsid w:val="00560F76"/>
    <w:rsid w:val="00560FAA"/>
    <w:rsid w:val="00560FB3"/>
    <w:rsid w:val="00560FD8"/>
    <w:rsid w:val="00560FDC"/>
    <w:rsid w:val="0056102B"/>
    <w:rsid w:val="0056103A"/>
    <w:rsid w:val="00561056"/>
    <w:rsid w:val="00561066"/>
    <w:rsid w:val="00561134"/>
    <w:rsid w:val="00561150"/>
    <w:rsid w:val="005611FB"/>
    <w:rsid w:val="0056127E"/>
    <w:rsid w:val="005612E8"/>
    <w:rsid w:val="005612F9"/>
    <w:rsid w:val="0056143B"/>
    <w:rsid w:val="00561490"/>
    <w:rsid w:val="0056149A"/>
    <w:rsid w:val="005615A4"/>
    <w:rsid w:val="00561662"/>
    <w:rsid w:val="00561666"/>
    <w:rsid w:val="005616EE"/>
    <w:rsid w:val="00561759"/>
    <w:rsid w:val="00561789"/>
    <w:rsid w:val="00561798"/>
    <w:rsid w:val="00561860"/>
    <w:rsid w:val="0056187B"/>
    <w:rsid w:val="00561890"/>
    <w:rsid w:val="005618C9"/>
    <w:rsid w:val="0056190A"/>
    <w:rsid w:val="005619E6"/>
    <w:rsid w:val="00561A08"/>
    <w:rsid w:val="00561B20"/>
    <w:rsid w:val="00561B8A"/>
    <w:rsid w:val="00561BB1"/>
    <w:rsid w:val="00561BC3"/>
    <w:rsid w:val="00561C8D"/>
    <w:rsid w:val="00561D21"/>
    <w:rsid w:val="00561E1B"/>
    <w:rsid w:val="00561E4D"/>
    <w:rsid w:val="00561EA3"/>
    <w:rsid w:val="00561EFC"/>
    <w:rsid w:val="00561F2E"/>
    <w:rsid w:val="00561F7F"/>
    <w:rsid w:val="00562055"/>
    <w:rsid w:val="0056205F"/>
    <w:rsid w:val="00562061"/>
    <w:rsid w:val="00562090"/>
    <w:rsid w:val="005620CA"/>
    <w:rsid w:val="0056210C"/>
    <w:rsid w:val="0056223A"/>
    <w:rsid w:val="005622B9"/>
    <w:rsid w:val="0056231D"/>
    <w:rsid w:val="0056232E"/>
    <w:rsid w:val="0056237F"/>
    <w:rsid w:val="00562399"/>
    <w:rsid w:val="005623BE"/>
    <w:rsid w:val="005623CB"/>
    <w:rsid w:val="00562438"/>
    <w:rsid w:val="00562458"/>
    <w:rsid w:val="005624AC"/>
    <w:rsid w:val="005624B3"/>
    <w:rsid w:val="0056254A"/>
    <w:rsid w:val="0056258C"/>
    <w:rsid w:val="00562657"/>
    <w:rsid w:val="00562661"/>
    <w:rsid w:val="00562668"/>
    <w:rsid w:val="0056266D"/>
    <w:rsid w:val="00562681"/>
    <w:rsid w:val="005626DE"/>
    <w:rsid w:val="0056277A"/>
    <w:rsid w:val="00562787"/>
    <w:rsid w:val="005628DB"/>
    <w:rsid w:val="00562903"/>
    <w:rsid w:val="0056299E"/>
    <w:rsid w:val="00562A9A"/>
    <w:rsid w:val="00562AA2"/>
    <w:rsid w:val="00562AD5"/>
    <w:rsid w:val="00562BA0"/>
    <w:rsid w:val="00562C01"/>
    <w:rsid w:val="00562C45"/>
    <w:rsid w:val="00562D49"/>
    <w:rsid w:val="00562D60"/>
    <w:rsid w:val="00562DBB"/>
    <w:rsid w:val="00562DC3"/>
    <w:rsid w:val="00562E64"/>
    <w:rsid w:val="00562F39"/>
    <w:rsid w:val="00562F83"/>
    <w:rsid w:val="00562FF6"/>
    <w:rsid w:val="00563072"/>
    <w:rsid w:val="0056309A"/>
    <w:rsid w:val="00563117"/>
    <w:rsid w:val="00563176"/>
    <w:rsid w:val="005631A6"/>
    <w:rsid w:val="005632DF"/>
    <w:rsid w:val="0056337E"/>
    <w:rsid w:val="005633EC"/>
    <w:rsid w:val="0056348E"/>
    <w:rsid w:val="005634C6"/>
    <w:rsid w:val="005634F8"/>
    <w:rsid w:val="005635A8"/>
    <w:rsid w:val="005636CF"/>
    <w:rsid w:val="005636D4"/>
    <w:rsid w:val="0056380B"/>
    <w:rsid w:val="005638E1"/>
    <w:rsid w:val="005638FD"/>
    <w:rsid w:val="00563973"/>
    <w:rsid w:val="0056398B"/>
    <w:rsid w:val="00563A58"/>
    <w:rsid w:val="00563A74"/>
    <w:rsid w:val="00563B16"/>
    <w:rsid w:val="00563B26"/>
    <w:rsid w:val="00563B3F"/>
    <w:rsid w:val="00563D36"/>
    <w:rsid w:val="00563D97"/>
    <w:rsid w:val="00563EFD"/>
    <w:rsid w:val="0056410C"/>
    <w:rsid w:val="00564150"/>
    <w:rsid w:val="0056418D"/>
    <w:rsid w:val="005641AC"/>
    <w:rsid w:val="005641BA"/>
    <w:rsid w:val="00564266"/>
    <w:rsid w:val="005642D8"/>
    <w:rsid w:val="00564324"/>
    <w:rsid w:val="00564383"/>
    <w:rsid w:val="005643C4"/>
    <w:rsid w:val="005643E9"/>
    <w:rsid w:val="00564403"/>
    <w:rsid w:val="00564481"/>
    <w:rsid w:val="005645B2"/>
    <w:rsid w:val="005645C7"/>
    <w:rsid w:val="005645F4"/>
    <w:rsid w:val="00564605"/>
    <w:rsid w:val="0056467F"/>
    <w:rsid w:val="005646B1"/>
    <w:rsid w:val="00564726"/>
    <w:rsid w:val="00564778"/>
    <w:rsid w:val="005647FC"/>
    <w:rsid w:val="005649F9"/>
    <w:rsid w:val="00564A77"/>
    <w:rsid w:val="00564A7F"/>
    <w:rsid w:val="00564B6A"/>
    <w:rsid w:val="00564B84"/>
    <w:rsid w:val="00564C05"/>
    <w:rsid w:val="00564C19"/>
    <w:rsid w:val="00564C31"/>
    <w:rsid w:val="00564D33"/>
    <w:rsid w:val="00564D6B"/>
    <w:rsid w:val="00564DDE"/>
    <w:rsid w:val="00564E10"/>
    <w:rsid w:val="00564EE4"/>
    <w:rsid w:val="00564F8C"/>
    <w:rsid w:val="00564FE1"/>
    <w:rsid w:val="00565076"/>
    <w:rsid w:val="00565092"/>
    <w:rsid w:val="005650C2"/>
    <w:rsid w:val="00565272"/>
    <w:rsid w:val="005652CD"/>
    <w:rsid w:val="005652D0"/>
    <w:rsid w:val="005652D4"/>
    <w:rsid w:val="00565300"/>
    <w:rsid w:val="0056534C"/>
    <w:rsid w:val="00565360"/>
    <w:rsid w:val="00565364"/>
    <w:rsid w:val="00565382"/>
    <w:rsid w:val="005653F4"/>
    <w:rsid w:val="005654CF"/>
    <w:rsid w:val="005655ED"/>
    <w:rsid w:val="0056560E"/>
    <w:rsid w:val="00565639"/>
    <w:rsid w:val="00565678"/>
    <w:rsid w:val="0056568C"/>
    <w:rsid w:val="005656EE"/>
    <w:rsid w:val="0056574D"/>
    <w:rsid w:val="00565764"/>
    <w:rsid w:val="0056576A"/>
    <w:rsid w:val="005657AC"/>
    <w:rsid w:val="005658A5"/>
    <w:rsid w:val="00565A35"/>
    <w:rsid w:val="00565ABB"/>
    <w:rsid w:val="00565C5F"/>
    <w:rsid w:val="00565C6C"/>
    <w:rsid w:val="00565CFC"/>
    <w:rsid w:val="00565D12"/>
    <w:rsid w:val="00565DCF"/>
    <w:rsid w:val="00565F03"/>
    <w:rsid w:val="00565F6E"/>
    <w:rsid w:val="00566029"/>
    <w:rsid w:val="00566059"/>
    <w:rsid w:val="005660AD"/>
    <w:rsid w:val="00566149"/>
    <w:rsid w:val="00566161"/>
    <w:rsid w:val="00566191"/>
    <w:rsid w:val="0056620E"/>
    <w:rsid w:val="00566284"/>
    <w:rsid w:val="0056628A"/>
    <w:rsid w:val="00566417"/>
    <w:rsid w:val="00566543"/>
    <w:rsid w:val="0056659B"/>
    <w:rsid w:val="0056665F"/>
    <w:rsid w:val="005666AC"/>
    <w:rsid w:val="005667A4"/>
    <w:rsid w:val="005667BC"/>
    <w:rsid w:val="0056688B"/>
    <w:rsid w:val="005669B3"/>
    <w:rsid w:val="005669CF"/>
    <w:rsid w:val="00566A06"/>
    <w:rsid w:val="00566A68"/>
    <w:rsid w:val="00566B6F"/>
    <w:rsid w:val="00566B77"/>
    <w:rsid w:val="00566B9F"/>
    <w:rsid w:val="00566C15"/>
    <w:rsid w:val="00566C2E"/>
    <w:rsid w:val="00566C4D"/>
    <w:rsid w:val="00566C5A"/>
    <w:rsid w:val="00566D33"/>
    <w:rsid w:val="00566E1A"/>
    <w:rsid w:val="00566E2A"/>
    <w:rsid w:val="00566E52"/>
    <w:rsid w:val="00566E7C"/>
    <w:rsid w:val="00566EC6"/>
    <w:rsid w:val="00566ED0"/>
    <w:rsid w:val="00566F90"/>
    <w:rsid w:val="00566FF4"/>
    <w:rsid w:val="0056700A"/>
    <w:rsid w:val="005670E1"/>
    <w:rsid w:val="005670FD"/>
    <w:rsid w:val="00567108"/>
    <w:rsid w:val="0056711E"/>
    <w:rsid w:val="00567149"/>
    <w:rsid w:val="005671BB"/>
    <w:rsid w:val="005671CE"/>
    <w:rsid w:val="0056725F"/>
    <w:rsid w:val="0056728C"/>
    <w:rsid w:val="005673B8"/>
    <w:rsid w:val="0056740A"/>
    <w:rsid w:val="00567431"/>
    <w:rsid w:val="00567482"/>
    <w:rsid w:val="005674C4"/>
    <w:rsid w:val="005674DC"/>
    <w:rsid w:val="005674EC"/>
    <w:rsid w:val="00567543"/>
    <w:rsid w:val="00567626"/>
    <w:rsid w:val="00567648"/>
    <w:rsid w:val="0056767B"/>
    <w:rsid w:val="005676C8"/>
    <w:rsid w:val="0056774B"/>
    <w:rsid w:val="005678B6"/>
    <w:rsid w:val="00567948"/>
    <w:rsid w:val="005679FD"/>
    <w:rsid w:val="00567A12"/>
    <w:rsid w:val="00567A3B"/>
    <w:rsid w:val="00567BA7"/>
    <w:rsid w:val="00567BF4"/>
    <w:rsid w:val="00567D16"/>
    <w:rsid w:val="00567D4A"/>
    <w:rsid w:val="00567F04"/>
    <w:rsid w:val="00567F3A"/>
    <w:rsid w:val="00567FCC"/>
    <w:rsid w:val="00567FD1"/>
    <w:rsid w:val="00567FE1"/>
    <w:rsid w:val="0056FA52"/>
    <w:rsid w:val="00570049"/>
    <w:rsid w:val="00570080"/>
    <w:rsid w:val="005700DA"/>
    <w:rsid w:val="00570264"/>
    <w:rsid w:val="00570334"/>
    <w:rsid w:val="00570367"/>
    <w:rsid w:val="005703A3"/>
    <w:rsid w:val="005703D1"/>
    <w:rsid w:val="00570423"/>
    <w:rsid w:val="00570438"/>
    <w:rsid w:val="0057045D"/>
    <w:rsid w:val="00570495"/>
    <w:rsid w:val="005704C6"/>
    <w:rsid w:val="00570566"/>
    <w:rsid w:val="0057056C"/>
    <w:rsid w:val="005705AA"/>
    <w:rsid w:val="005705BC"/>
    <w:rsid w:val="00570660"/>
    <w:rsid w:val="00570732"/>
    <w:rsid w:val="00570738"/>
    <w:rsid w:val="0057077B"/>
    <w:rsid w:val="0057078E"/>
    <w:rsid w:val="005707CF"/>
    <w:rsid w:val="0057081E"/>
    <w:rsid w:val="00570856"/>
    <w:rsid w:val="00570881"/>
    <w:rsid w:val="00570A7D"/>
    <w:rsid w:val="00570A8D"/>
    <w:rsid w:val="00570AA8"/>
    <w:rsid w:val="00570ADB"/>
    <w:rsid w:val="00570B96"/>
    <w:rsid w:val="00570BDE"/>
    <w:rsid w:val="00570BF6"/>
    <w:rsid w:val="00570C71"/>
    <w:rsid w:val="00570C9A"/>
    <w:rsid w:val="00570CFA"/>
    <w:rsid w:val="00570D03"/>
    <w:rsid w:val="00570D18"/>
    <w:rsid w:val="00570D1E"/>
    <w:rsid w:val="00570D44"/>
    <w:rsid w:val="00570D48"/>
    <w:rsid w:val="00570D75"/>
    <w:rsid w:val="00570DFD"/>
    <w:rsid w:val="00570E26"/>
    <w:rsid w:val="00570E36"/>
    <w:rsid w:val="00570E44"/>
    <w:rsid w:val="00570F93"/>
    <w:rsid w:val="00571005"/>
    <w:rsid w:val="0057100F"/>
    <w:rsid w:val="005710B2"/>
    <w:rsid w:val="005710FE"/>
    <w:rsid w:val="00571153"/>
    <w:rsid w:val="00571166"/>
    <w:rsid w:val="0057121F"/>
    <w:rsid w:val="0057127C"/>
    <w:rsid w:val="0057132A"/>
    <w:rsid w:val="005713DE"/>
    <w:rsid w:val="005713F7"/>
    <w:rsid w:val="00571417"/>
    <w:rsid w:val="0057143A"/>
    <w:rsid w:val="0057143C"/>
    <w:rsid w:val="00571448"/>
    <w:rsid w:val="0057158D"/>
    <w:rsid w:val="00571699"/>
    <w:rsid w:val="005716B0"/>
    <w:rsid w:val="0057174A"/>
    <w:rsid w:val="0057179A"/>
    <w:rsid w:val="00571817"/>
    <w:rsid w:val="00571875"/>
    <w:rsid w:val="005718B0"/>
    <w:rsid w:val="005718D6"/>
    <w:rsid w:val="005718E8"/>
    <w:rsid w:val="00571ABC"/>
    <w:rsid w:val="00571BBD"/>
    <w:rsid w:val="00571BC4"/>
    <w:rsid w:val="00571C33"/>
    <w:rsid w:val="00571C51"/>
    <w:rsid w:val="00571C8F"/>
    <w:rsid w:val="00571CAB"/>
    <w:rsid w:val="00571E36"/>
    <w:rsid w:val="00571EED"/>
    <w:rsid w:val="00571F0B"/>
    <w:rsid w:val="00571F6A"/>
    <w:rsid w:val="00571FF8"/>
    <w:rsid w:val="00572004"/>
    <w:rsid w:val="0057200B"/>
    <w:rsid w:val="0057203C"/>
    <w:rsid w:val="005720C7"/>
    <w:rsid w:val="00572100"/>
    <w:rsid w:val="00572159"/>
    <w:rsid w:val="005721A5"/>
    <w:rsid w:val="00572213"/>
    <w:rsid w:val="00572276"/>
    <w:rsid w:val="00572290"/>
    <w:rsid w:val="00572305"/>
    <w:rsid w:val="00572312"/>
    <w:rsid w:val="00572344"/>
    <w:rsid w:val="00572566"/>
    <w:rsid w:val="005725A0"/>
    <w:rsid w:val="00572629"/>
    <w:rsid w:val="00572652"/>
    <w:rsid w:val="005726EF"/>
    <w:rsid w:val="0057273F"/>
    <w:rsid w:val="005727E3"/>
    <w:rsid w:val="00572885"/>
    <w:rsid w:val="005728D3"/>
    <w:rsid w:val="005729B2"/>
    <w:rsid w:val="005729D0"/>
    <w:rsid w:val="005729E3"/>
    <w:rsid w:val="005729F8"/>
    <w:rsid w:val="00572A15"/>
    <w:rsid w:val="00572B26"/>
    <w:rsid w:val="00572B32"/>
    <w:rsid w:val="00572B9A"/>
    <w:rsid w:val="00572C6C"/>
    <w:rsid w:val="00572D8A"/>
    <w:rsid w:val="00572F36"/>
    <w:rsid w:val="00572F5C"/>
    <w:rsid w:val="00572F8E"/>
    <w:rsid w:val="00572FA1"/>
    <w:rsid w:val="00572FB5"/>
    <w:rsid w:val="00572FE4"/>
    <w:rsid w:val="0057301A"/>
    <w:rsid w:val="00573234"/>
    <w:rsid w:val="00573257"/>
    <w:rsid w:val="00573273"/>
    <w:rsid w:val="00573276"/>
    <w:rsid w:val="00573326"/>
    <w:rsid w:val="005733A5"/>
    <w:rsid w:val="005733E1"/>
    <w:rsid w:val="0057341D"/>
    <w:rsid w:val="0057352B"/>
    <w:rsid w:val="0057352F"/>
    <w:rsid w:val="0057353D"/>
    <w:rsid w:val="00573582"/>
    <w:rsid w:val="0057358D"/>
    <w:rsid w:val="005736B3"/>
    <w:rsid w:val="005736D3"/>
    <w:rsid w:val="005736F3"/>
    <w:rsid w:val="005737BD"/>
    <w:rsid w:val="005739A4"/>
    <w:rsid w:val="00573A69"/>
    <w:rsid w:val="00573AA6"/>
    <w:rsid w:val="00573BBC"/>
    <w:rsid w:val="00573C7F"/>
    <w:rsid w:val="00573C8E"/>
    <w:rsid w:val="00573DC6"/>
    <w:rsid w:val="00573E9A"/>
    <w:rsid w:val="00574002"/>
    <w:rsid w:val="005740F9"/>
    <w:rsid w:val="00574109"/>
    <w:rsid w:val="00574169"/>
    <w:rsid w:val="0057421C"/>
    <w:rsid w:val="00574295"/>
    <w:rsid w:val="005742B5"/>
    <w:rsid w:val="005743F0"/>
    <w:rsid w:val="00574452"/>
    <w:rsid w:val="00574576"/>
    <w:rsid w:val="00574765"/>
    <w:rsid w:val="00574854"/>
    <w:rsid w:val="005748D6"/>
    <w:rsid w:val="005748DF"/>
    <w:rsid w:val="005748E3"/>
    <w:rsid w:val="00574A5F"/>
    <w:rsid w:val="00574AA2"/>
    <w:rsid w:val="00574ABC"/>
    <w:rsid w:val="00574B83"/>
    <w:rsid w:val="00574C19"/>
    <w:rsid w:val="00574C58"/>
    <w:rsid w:val="00574CBE"/>
    <w:rsid w:val="00574CD5"/>
    <w:rsid w:val="00574E7D"/>
    <w:rsid w:val="00574E9E"/>
    <w:rsid w:val="00574EA0"/>
    <w:rsid w:val="00574EAE"/>
    <w:rsid w:val="00574EB5"/>
    <w:rsid w:val="00574F6F"/>
    <w:rsid w:val="00574FAB"/>
    <w:rsid w:val="00574FF6"/>
    <w:rsid w:val="0057516B"/>
    <w:rsid w:val="005752E8"/>
    <w:rsid w:val="0057536B"/>
    <w:rsid w:val="00575382"/>
    <w:rsid w:val="00575388"/>
    <w:rsid w:val="005754AA"/>
    <w:rsid w:val="005754DD"/>
    <w:rsid w:val="0057556C"/>
    <w:rsid w:val="00575577"/>
    <w:rsid w:val="005755C5"/>
    <w:rsid w:val="005755D4"/>
    <w:rsid w:val="00575693"/>
    <w:rsid w:val="005756AB"/>
    <w:rsid w:val="00575733"/>
    <w:rsid w:val="00575794"/>
    <w:rsid w:val="0057582E"/>
    <w:rsid w:val="0057589F"/>
    <w:rsid w:val="005758D3"/>
    <w:rsid w:val="0057591E"/>
    <w:rsid w:val="00575952"/>
    <w:rsid w:val="005759E3"/>
    <w:rsid w:val="00575A36"/>
    <w:rsid w:val="00575AD8"/>
    <w:rsid w:val="00575AE9"/>
    <w:rsid w:val="00575AFE"/>
    <w:rsid w:val="00575B08"/>
    <w:rsid w:val="00575B25"/>
    <w:rsid w:val="00575BE1"/>
    <w:rsid w:val="00575C36"/>
    <w:rsid w:val="00575C3D"/>
    <w:rsid w:val="00575D74"/>
    <w:rsid w:val="00575DB7"/>
    <w:rsid w:val="00575DC6"/>
    <w:rsid w:val="00575DDD"/>
    <w:rsid w:val="00575ED8"/>
    <w:rsid w:val="00575F76"/>
    <w:rsid w:val="005760F7"/>
    <w:rsid w:val="00576158"/>
    <w:rsid w:val="005761A3"/>
    <w:rsid w:val="005761DB"/>
    <w:rsid w:val="0057624C"/>
    <w:rsid w:val="00576275"/>
    <w:rsid w:val="005762BD"/>
    <w:rsid w:val="00576352"/>
    <w:rsid w:val="00576384"/>
    <w:rsid w:val="00576389"/>
    <w:rsid w:val="00576462"/>
    <w:rsid w:val="0057649F"/>
    <w:rsid w:val="005765BF"/>
    <w:rsid w:val="00576670"/>
    <w:rsid w:val="00576675"/>
    <w:rsid w:val="005766CC"/>
    <w:rsid w:val="0057676B"/>
    <w:rsid w:val="005767CF"/>
    <w:rsid w:val="00576857"/>
    <w:rsid w:val="005768E9"/>
    <w:rsid w:val="00576998"/>
    <w:rsid w:val="005769FD"/>
    <w:rsid w:val="00576AF3"/>
    <w:rsid w:val="00576AFB"/>
    <w:rsid w:val="00576C1D"/>
    <w:rsid w:val="00576CCB"/>
    <w:rsid w:val="00576CD5"/>
    <w:rsid w:val="00576CF4"/>
    <w:rsid w:val="00576E29"/>
    <w:rsid w:val="00576E35"/>
    <w:rsid w:val="00576E37"/>
    <w:rsid w:val="00576EE2"/>
    <w:rsid w:val="00576FA1"/>
    <w:rsid w:val="00576FB7"/>
    <w:rsid w:val="0057708F"/>
    <w:rsid w:val="005770A6"/>
    <w:rsid w:val="005770C0"/>
    <w:rsid w:val="005770C7"/>
    <w:rsid w:val="005770C8"/>
    <w:rsid w:val="005770CB"/>
    <w:rsid w:val="0057712D"/>
    <w:rsid w:val="005771F5"/>
    <w:rsid w:val="005771FB"/>
    <w:rsid w:val="0057739C"/>
    <w:rsid w:val="005773A3"/>
    <w:rsid w:val="005773EB"/>
    <w:rsid w:val="00577536"/>
    <w:rsid w:val="005775B2"/>
    <w:rsid w:val="0057769F"/>
    <w:rsid w:val="005776AF"/>
    <w:rsid w:val="005776FD"/>
    <w:rsid w:val="005776FF"/>
    <w:rsid w:val="00577721"/>
    <w:rsid w:val="0057776B"/>
    <w:rsid w:val="00577785"/>
    <w:rsid w:val="0057778F"/>
    <w:rsid w:val="00577797"/>
    <w:rsid w:val="00577812"/>
    <w:rsid w:val="00577836"/>
    <w:rsid w:val="005778A7"/>
    <w:rsid w:val="005778F3"/>
    <w:rsid w:val="0057798C"/>
    <w:rsid w:val="005779AD"/>
    <w:rsid w:val="005779EF"/>
    <w:rsid w:val="00577A4F"/>
    <w:rsid w:val="00577A50"/>
    <w:rsid w:val="00577C30"/>
    <w:rsid w:val="00577C39"/>
    <w:rsid w:val="00577CEC"/>
    <w:rsid w:val="00577D6D"/>
    <w:rsid w:val="00577DB7"/>
    <w:rsid w:val="00577E16"/>
    <w:rsid w:val="00577F44"/>
    <w:rsid w:val="00577F62"/>
    <w:rsid w:val="00577F90"/>
    <w:rsid w:val="00577FC9"/>
    <w:rsid w:val="00580010"/>
    <w:rsid w:val="00580013"/>
    <w:rsid w:val="00580023"/>
    <w:rsid w:val="00580083"/>
    <w:rsid w:val="005800C9"/>
    <w:rsid w:val="0058019F"/>
    <w:rsid w:val="005801AD"/>
    <w:rsid w:val="005801FD"/>
    <w:rsid w:val="00580219"/>
    <w:rsid w:val="005802E5"/>
    <w:rsid w:val="00580345"/>
    <w:rsid w:val="005804DC"/>
    <w:rsid w:val="005804DD"/>
    <w:rsid w:val="0058056C"/>
    <w:rsid w:val="0058060B"/>
    <w:rsid w:val="00580696"/>
    <w:rsid w:val="005806F1"/>
    <w:rsid w:val="005806F7"/>
    <w:rsid w:val="005806F9"/>
    <w:rsid w:val="00580708"/>
    <w:rsid w:val="005807F8"/>
    <w:rsid w:val="00580817"/>
    <w:rsid w:val="00580844"/>
    <w:rsid w:val="005808A3"/>
    <w:rsid w:val="005808AE"/>
    <w:rsid w:val="00580903"/>
    <w:rsid w:val="005809B8"/>
    <w:rsid w:val="005809C5"/>
    <w:rsid w:val="005809F9"/>
    <w:rsid w:val="00580A17"/>
    <w:rsid w:val="00580A3E"/>
    <w:rsid w:val="00580B19"/>
    <w:rsid w:val="00580B2D"/>
    <w:rsid w:val="00580B59"/>
    <w:rsid w:val="00580BF9"/>
    <w:rsid w:val="00580CB7"/>
    <w:rsid w:val="00580CBE"/>
    <w:rsid w:val="00580D19"/>
    <w:rsid w:val="00580D29"/>
    <w:rsid w:val="00580D57"/>
    <w:rsid w:val="00580D89"/>
    <w:rsid w:val="00580D9A"/>
    <w:rsid w:val="00580EA3"/>
    <w:rsid w:val="00580EE7"/>
    <w:rsid w:val="00580F05"/>
    <w:rsid w:val="00580F7C"/>
    <w:rsid w:val="00580F87"/>
    <w:rsid w:val="00580FCC"/>
    <w:rsid w:val="0058102E"/>
    <w:rsid w:val="005810C8"/>
    <w:rsid w:val="0058116F"/>
    <w:rsid w:val="005811E8"/>
    <w:rsid w:val="005811ED"/>
    <w:rsid w:val="0058123F"/>
    <w:rsid w:val="00581252"/>
    <w:rsid w:val="00581273"/>
    <w:rsid w:val="00581279"/>
    <w:rsid w:val="005812AE"/>
    <w:rsid w:val="005812F7"/>
    <w:rsid w:val="0058132D"/>
    <w:rsid w:val="00581394"/>
    <w:rsid w:val="0058144F"/>
    <w:rsid w:val="00581452"/>
    <w:rsid w:val="00581462"/>
    <w:rsid w:val="005814AC"/>
    <w:rsid w:val="005814E7"/>
    <w:rsid w:val="0058152D"/>
    <w:rsid w:val="00581569"/>
    <w:rsid w:val="00581619"/>
    <w:rsid w:val="0058161C"/>
    <w:rsid w:val="005816EA"/>
    <w:rsid w:val="00581765"/>
    <w:rsid w:val="0058179C"/>
    <w:rsid w:val="005818A0"/>
    <w:rsid w:val="005818BA"/>
    <w:rsid w:val="005818C3"/>
    <w:rsid w:val="0058190D"/>
    <w:rsid w:val="00581929"/>
    <w:rsid w:val="00581991"/>
    <w:rsid w:val="0058199C"/>
    <w:rsid w:val="005819ED"/>
    <w:rsid w:val="00581A2D"/>
    <w:rsid w:val="00581A5C"/>
    <w:rsid w:val="00581AE5"/>
    <w:rsid w:val="00581AF8"/>
    <w:rsid w:val="00581AFE"/>
    <w:rsid w:val="00581B09"/>
    <w:rsid w:val="00581B62"/>
    <w:rsid w:val="00581C28"/>
    <w:rsid w:val="00581C2A"/>
    <w:rsid w:val="00581C85"/>
    <w:rsid w:val="00581D24"/>
    <w:rsid w:val="00581D37"/>
    <w:rsid w:val="00581D61"/>
    <w:rsid w:val="00581DDF"/>
    <w:rsid w:val="00581E94"/>
    <w:rsid w:val="00581EB4"/>
    <w:rsid w:val="00581F32"/>
    <w:rsid w:val="0058203F"/>
    <w:rsid w:val="00582165"/>
    <w:rsid w:val="0058219F"/>
    <w:rsid w:val="00582247"/>
    <w:rsid w:val="0058225A"/>
    <w:rsid w:val="005822BB"/>
    <w:rsid w:val="00582348"/>
    <w:rsid w:val="00582394"/>
    <w:rsid w:val="0058249E"/>
    <w:rsid w:val="005824EA"/>
    <w:rsid w:val="00582521"/>
    <w:rsid w:val="00582541"/>
    <w:rsid w:val="00582585"/>
    <w:rsid w:val="0058259B"/>
    <w:rsid w:val="005825B3"/>
    <w:rsid w:val="005825BD"/>
    <w:rsid w:val="005825CD"/>
    <w:rsid w:val="005825F2"/>
    <w:rsid w:val="00582627"/>
    <w:rsid w:val="0058262B"/>
    <w:rsid w:val="005827C0"/>
    <w:rsid w:val="0058293A"/>
    <w:rsid w:val="005829C4"/>
    <w:rsid w:val="00582A10"/>
    <w:rsid w:val="00582AE0"/>
    <w:rsid w:val="00582B77"/>
    <w:rsid w:val="00582B9D"/>
    <w:rsid w:val="00582BBB"/>
    <w:rsid w:val="00582C09"/>
    <w:rsid w:val="00582D36"/>
    <w:rsid w:val="00582D50"/>
    <w:rsid w:val="00582DC8"/>
    <w:rsid w:val="00582DCF"/>
    <w:rsid w:val="00582E44"/>
    <w:rsid w:val="00582ECE"/>
    <w:rsid w:val="00582F2B"/>
    <w:rsid w:val="00582F4C"/>
    <w:rsid w:val="00582F50"/>
    <w:rsid w:val="00582FD3"/>
    <w:rsid w:val="00582FDE"/>
    <w:rsid w:val="00583037"/>
    <w:rsid w:val="0058313B"/>
    <w:rsid w:val="00583238"/>
    <w:rsid w:val="00583251"/>
    <w:rsid w:val="00583335"/>
    <w:rsid w:val="00583371"/>
    <w:rsid w:val="005833CA"/>
    <w:rsid w:val="005834A9"/>
    <w:rsid w:val="00583500"/>
    <w:rsid w:val="0058358A"/>
    <w:rsid w:val="0058363A"/>
    <w:rsid w:val="0058364A"/>
    <w:rsid w:val="00583667"/>
    <w:rsid w:val="0058369E"/>
    <w:rsid w:val="005836B0"/>
    <w:rsid w:val="00583755"/>
    <w:rsid w:val="0058376D"/>
    <w:rsid w:val="00583782"/>
    <w:rsid w:val="005837CA"/>
    <w:rsid w:val="005837E3"/>
    <w:rsid w:val="005837ED"/>
    <w:rsid w:val="0058383F"/>
    <w:rsid w:val="005838A9"/>
    <w:rsid w:val="0058399D"/>
    <w:rsid w:val="005839EC"/>
    <w:rsid w:val="005839F6"/>
    <w:rsid w:val="00583B12"/>
    <w:rsid w:val="00583B33"/>
    <w:rsid w:val="00583BCF"/>
    <w:rsid w:val="00583BF7"/>
    <w:rsid w:val="00583C03"/>
    <w:rsid w:val="00583C05"/>
    <w:rsid w:val="00583C0A"/>
    <w:rsid w:val="00583C15"/>
    <w:rsid w:val="00583C68"/>
    <w:rsid w:val="00583C6B"/>
    <w:rsid w:val="00583C97"/>
    <w:rsid w:val="00583D08"/>
    <w:rsid w:val="00583D23"/>
    <w:rsid w:val="00583E0A"/>
    <w:rsid w:val="00583E4E"/>
    <w:rsid w:val="00583F55"/>
    <w:rsid w:val="00583FD8"/>
    <w:rsid w:val="00583FE2"/>
    <w:rsid w:val="00584057"/>
    <w:rsid w:val="00584091"/>
    <w:rsid w:val="005840B3"/>
    <w:rsid w:val="005840CA"/>
    <w:rsid w:val="00584110"/>
    <w:rsid w:val="005841A9"/>
    <w:rsid w:val="005841ED"/>
    <w:rsid w:val="00584223"/>
    <w:rsid w:val="0058439C"/>
    <w:rsid w:val="005843F5"/>
    <w:rsid w:val="00584461"/>
    <w:rsid w:val="00584486"/>
    <w:rsid w:val="005844C9"/>
    <w:rsid w:val="005844FD"/>
    <w:rsid w:val="0058454C"/>
    <w:rsid w:val="00584609"/>
    <w:rsid w:val="005846D6"/>
    <w:rsid w:val="00584737"/>
    <w:rsid w:val="0058474E"/>
    <w:rsid w:val="00584788"/>
    <w:rsid w:val="00584795"/>
    <w:rsid w:val="0058483F"/>
    <w:rsid w:val="0058484A"/>
    <w:rsid w:val="00584891"/>
    <w:rsid w:val="0058489C"/>
    <w:rsid w:val="00584A67"/>
    <w:rsid w:val="00584A7C"/>
    <w:rsid w:val="00584B08"/>
    <w:rsid w:val="00584BA4"/>
    <w:rsid w:val="00584C04"/>
    <w:rsid w:val="00584C35"/>
    <w:rsid w:val="00584C95"/>
    <w:rsid w:val="00584C97"/>
    <w:rsid w:val="00584D7D"/>
    <w:rsid w:val="00584D7F"/>
    <w:rsid w:val="00584DA9"/>
    <w:rsid w:val="00584E07"/>
    <w:rsid w:val="00584EB0"/>
    <w:rsid w:val="00584ED2"/>
    <w:rsid w:val="00584F88"/>
    <w:rsid w:val="005850A4"/>
    <w:rsid w:val="005851DF"/>
    <w:rsid w:val="00585247"/>
    <w:rsid w:val="005852F1"/>
    <w:rsid w:val="00585315"/>
    <w:rsid w:val="00585345"/>
    <w:rsid w:val="0058537D"/>
    <w:rsid w:val="005853B1"/>
    <w:rsid w:val="005853B6"/>
    <w:rsid w:val="00585410"/>
    <w:rsid w:val="0058549A"/>
    <w:rsid w:val="0058555F"/>
    <w:rsid w:val="005855BE"/>
    <w:rsid w:val="005855BF"/>
    <w:rsid w:val="005855D0"/>
    <w:rsid w:val="005855EC"/>
    <w:rsid w:val="005856B2"/>
    <w:rsid w:val="0058571C"/>
    <w:rsid w:val="005857AB"/>
    <w:rsid w:val="00585878"/>
    <w:rsid w:val="005858AC"/>
    <w:rsid w:val="00585965"/>
    <w:rsid w:val="0058596E"/>
    <w:rsid w:val="00585980"/>
    <w:rsid w:val="00585988"/>
    <w:rsid w:val="005859A6"/>
    <w:rsid w:val="00585A42"/>
    <w:rsid w:val="00585A65"/>
    <w:rsid w:val="00585A76"/>
    <w:rsid w:val="00585A87"/>
    <w:rsid w:val="00585BF8"/>
    <w:rsid w:val="00585C1C"/>
    <w:rsid w:val="00585CCC"/>
    <w:rsid w:val="00585CED"/>
    <w:rsid w:val="00585E27"/>
    <w:rsid w:val="00585E90"/>
    <w:rsid w:val="00585EA3"/>
    <w:rsid w:val="00585FE3"/>
    <w:rsid w:val="005860CC"/>
    <w:rsid w:val="005860E0"/>
    <w:rsid w:val="005860F2"/>
    <w:rsid w:val="0058614D"/>
    <w:rsid w:val="00586161"/>
    <w:rsid w:val="005861EE"/>
    <w:rsid w:val="0058625C"/>
    <w:rsid w:val="00586300"/>
    <w:rsid w:val="00586378"/>
    <w:rsid w:val="005863F2"/>
    <w:rsid w:val="0058641F"/>
    <w:rsid w:val="00586628"/>
    <w:rsid w:val="00586631"/>
    <w:rsid w:val="005866C2"/>
    <w:rsid w:val="005867DB"/>
    <w:rsid w:val="00586844"/>
    <w:rsid w:val="00586888"/>
    <w:rsid w:val="005868A0"/>
    <w:rsid w:val="005868C7"/>
    <w:rsid w:val="005869CE"/>
    <w:rsid w:val="00586A06"/>
    <w:rsid w:val="00586A24"/>
    <w:rsid w:val="00586A5A"/>
    <w:rsid w:val="00586A8C"/>
    <w:rsid w:val="00586BB2"/>
    <w:rsid w:val="00586BC5"/>
    <w:rsid w:val="00586BF2"/>
    <w:rsid w:val="00586C98"/>
    <w:rsid w:val="00586CB7"/>
    <w:rsid w:val="00586D55"/>
    <w:rsid w:val="00586DEC"/>
    <w:rsid w:val="00586DFC"/>
    <w:rsid w:val="00586E4E"/>
    <w:rsid w:val="00586E94"/>
    <w:rsid w:val="00586F3A"/>
    <w:rsid w:val="00586FF6"/>
    <w:rsid w:val="00587013"/>
    <w:rsid w:val="0058707A"/>
    <w:rsid w:val="00587080"/>
    <w:rsid w:val="005870A5"/>
    <w:rsid w:val="00587104"/>
    <w:rsid w:val="00587148"/>
    <w:rsid w:val="0058719A"/>
    <w:rsid w:val="005871E9"/>
    <w:rsid w:val="005871FF"/>
    <w:rsid w:val="00587234"/>
    <w:rsid w:val="00587377"/>
    <w:rsid w:val="00587391"/>
    <w:rsid w:val="005873E7"/>
    <w:rsid w:val="0058750A"/>
    <w:rsid w:val="00587578"/>
    <w:rsid w:val="0058759F"/>
    <w:rsid w:val="0058763C"/>
    <w:rsid w:val="00587660"/>
    <w:rsid w:val="00587692"/>
    <w:rsid w:val="005876B2"/>
    <w:rsid w:val="00587755"/>
    <w:rsid w:val="00587777"/>
    <w:rsid w:val="00587786"/>
    <w:rsid w:val="0058779B"/>
    <w:rsid w:val="005877C0"/>
    <w:rsid w:val="005877CC"/>
    <w:rsid w:val="005877CD"/>
    <w:rsid w:val="005877DD"/>
    <w:rsid w:val="0058785A"/>
    <w:rsid w:val="005879B9"/>
    <w:rsid w:val="00587AE6"/>
    <w:rsid w:val="00587B02"/>
    <w:rsid w:val="00587B9D"/>
    <w:rsid w:val="00587BC4"/>
    <w:rsid w:val="00587C53"/>
    <w:rsid w:val="00587D12"/>
    <w:rsid w:val="00587D39"/>
    <w:rsid w:val="00587E8C"/>
    <w:rsid w:val="00587FA1"/>
    <w:rsid w:val="00590016"/>
    <w:rsid w:val="00590034"/>
    <w:rsid w:val="00590048"/>
    <w:rsid w:val="005900F7"/>
    <w:rsid w:val="0059015A"/>
    <w:rsid w:val="00590195"/>
    <w:rsid w:val="005902B9"/>
    <w:rsid w:val="005902BB"/>
    <w:rsid w:val="0059032D"/>
    <w:rsid w:val="00590334"/>
    <w:rsid w:val="0059033C"/>
    <w:rsid w:val="00590343"/>
    <w:rsid w:val="0059036D"/>
    <w:rsid w:val="00590397"/>
    <w:rsid w:val="0059047D"/>
    <w:rsid w:val="005904DE"/>
    <w:rsid w:val="00590553"/>
    <w:rsid w:val="00590593"/>
    <w:rsid w:val="005905A3"/>
    <w:rsid w:val="005905BC"/>
    <w:rsid w:val="00590625"/>
    <w:rsid w:val="005906D4"/>
    <w:rsid w:val="0059078B"/>
    <w:rsid w:val="005907DF"/>
    <w:rsid w:val="0059086A"/>
    <w:rsid w:val="00590871"/>
    <w:rsid w:val="0059088F"/>
    <w:rsid w:val="00590972"/>
    <w:rsid w:val="005909BC"/>
    <w:rsid w:val="005909F3"/>
    <w:rsid w:val="00590A3D"/>
    <w:rsid w:val="00590A49"/>
    <w:rsid w:val="00590A93"/>
    <w:rsid w:val="00590AD4"/>
    <w:rsid w:val="00590ADC"/>
    <w:rsid w:val="00590B58"/>
    <w:rsid w:val="00590BC4"/>
    <w:rsid w:val="00590BD5"/>
    <w:rsid w:val="00590BD6"/>
    <w:rsid w:val="00590C08"/>
    <w:rsid w:val="00590C62"/>
    <w:rsid w:val="00590D03"/>
    <w:rsid w:val="00590D1D"/>
    <w:rsid w:val="00590DEF"/>
    <w:rsid w:val="00590E51"/>
    <w:rsid w:val="00591094"/>
    <w:rsid w:val="005910CC"/>
    <w:rsid w:val="005910F6"/>
    <w:rsid w:val="00591136"/>
    <w:rsid w:val="005911B9"/>
    <w:rsid w:val="005911E4"/>
    <w:rsid w:val="005911F5"/>
    <w:rsid w:val="00591241"/>
    <w:rsid w:val="0059125B"/>
    <w:rsid w:val="005912B7"/>
    <w:rsid w:val="005912DE"/>
    <w:rsid w:val="005912E0"/>
    <w:rsid w:val="00591361"/>
    <w:rsid w:val="005913A1"/>
    <w:rsid w:val="00591440"/>
    <w:rsid w:val="005914B2"/>
    <w:rsid w:val="005914D7"/>
    <w:rsid w:val="0059161C"/>
    <w:rsid w:val="00591696"/>
    <w:rsid w:val="005916D4"/>
    <w:rsid w:val="005916FF"/>
    <w:rsid w:val="00591797"/>
    <w:rsid w:val="005917E6"/>
    <w:rsid w:val="0059181D"/>
    <w:rsid w:val="00591826"/>
    <w:rsid w:val="005918BB"/>
    <w:rsid w:val="005918C1"/>
    <w:rsid w:val="0059193F"/>
    <w:rsid w:val="005919D5"/>
    <w:rsid w:val="00591A45"/>
    <w:rsid w:val="00591A4C"/>
    <w:rsid w:val="00591AFB"/>
    <w:rsid w:val="00591BBB"/>
    <w:rsid w:val="00591BEB"/>
    <w:rsid w:val="00591C80"/>
    <w:rsid w:val="00591D25"/>
    <w:rsid w:val="00591F1F"/>
    <w:rsid w:val="00591F20"/>
    <w:rsid w:val="00592063"/>
    <w:rsid w:val="00592134"/>
    <w:rsid w:val="00592153"/>
    <w:rsid w:val="00592192"/>
    <w:rsid w:val="005921AD"/>
    <w:rsid w:val="005921BD"/>
    <w:rsid w:val="00592258"/>
    <w:rsid w:val="005923DB"/>
    <w:rsid w:val="005923F1"/>
    <w:rsid w:val="0059242C"/>
    <w:rsid w:val="005924E1"/>
    <w:rsid w:val="00592519"/>
    <w:rsid w:val="0059253A"/>
    <w:rsid w:val="005926DB"/>
    <w:rsid w:val="005926F1"/>
    <w:rsid w:val="0059277D"/>
    <w:rsid w:val="005927E8"/>
    <w:rsid w:val="005927FD"/>
    <w:rsid w:val="00592805"/>
    <w:rsid w:val="0059286C"/>
    <w:rsid w:val="00592898"/>
    <w:rsid w:val="0059297D"/>
    <w:rsid w:val="00592990"/>
    <w:rsid w:val="005929DB"/>
    <w:rsid w:val="00592A64"/>
    <w:rsid w:val="00592A83"/>
    <w:rsid w:val="00592AAD"/>
    <w:rsid w:val="00592AD6"/>
    <w:rsid w:val="00592B2D"/>
    <w:rsid w:val="00592C09"/>
    <w:rsid w:val="00592C1B"/>
    <w:rsid w:val="00592C34"/>
    <w:rsid w:val="00592C47"/>
    <w:rsid w:val="00592C60"/>
    <w:rsid w:val="00592C73"/>
    <w:rsid w:val="00592C84"/>
    <w:rsid w:val="00592CF8"/>
    <w:rsid w:val="00592D0E"/>
    <w:rsid w:val="00592DF2"/>
    <w:rsid w:val="00592EB7"/>
    <w:rsid w:val="00592F7F"/>
    <w:rsid w:val="00592F94"/>
    <w:rsid w:val="00593050"/>
    <w:rsid w:val="00593139"/>
    <w:rsid w:val="00593147"/>
    <w:rsid w:val="00593149"/>
    <w:rsid w:val="0059314A"/>
    <w:rsid w:val="005931A8"/>
    <w:rsid w:val="0059323F"/>
    <w:rsid w:val="00593271"/>
    <w:rsid w:val="005932A8"/>
    <w:rsid w:val="00593416"/>
    <w:rsid w:val="0059345E"/>
    <w:rsid w:val="00593520"/>
    <w:rsid w:val="0059355B"/>
    <w:rsid w:val="005935B0"/>
    <w:rsid w:val="00593603"/>
    <w:rsid w:val="005936AC"/>
    <w:rsid w:val="00593766"/>
    <w:rsid w:val="005937BC"/>
    <w:rsid w:val="005937D1"/>
    <w:rsid w:val="005937DB"/>
    <w:rsid w:val="0059381A"/>
    <w:rsid w:val="0059388D"/>
    <w:rsid w:val="005938AD"/>
    <w:rsid w:val="005938E9"/>
    <w:rsid w:val="005939D8"/>
    <w:rsid w:val="00593A15"/>
    <w:rsid w:val="00593A68"/>
    <w:rsid w:val="00593B9E"/>
    <w:rsid w:val="00593BE9"/>
    <w:rsid w:val="00593C04"/>
    <w:rsid w:val="00593C14"/>
    <w:rsid w:val="00593C57"/>
    <w:rsid w:val="00593D1B"/>
    <w:rsid w:val="00593DB9"/>
    <w:rsid w:val="00593DCE"/>
    <w:rsid w:val="00593DE0"/>
    <w:rsid w:val="00593E0F"/>
    <w:rsid w:val="00593E38"/>
    <w:rsid w:val="00593ED4"/>
    <w:rsid w:val="00593EF7"/>
    <w:rsid w:val="00594101"/>
    <w:rsid w:val="00594137"/>
    <w:rsid w:val="00594147"/>
    <w:rsid w:val="005941D4"/>
    <w:rsid w:val="0059429A"/>
    <w:rsid w:val="00594304"/>
    <w:rsid w:val="00594374"/>
    <w:rsid w:val="00594393"/>
    <w:rsid w:val="00594458"/>
    <w:rsid w:val="005945B2"/>
    <w:rsid w:val="005946D7"/>
    <w:rsid w:val="0059475A"/>
    <w:rsid w:val="0059477D"/>
    <w:rsid w:val="00594880"/>
    <w:rsid w:val="00594892"/>
    <w:rsid w:val="005948D3"/>
    <w:rsid w:val="00594917"/>
    <w:rsid w:val="0059498B"/>
    <w:rsid w:val="005949B7"/>
    <w:rsid w:val="00594ABF"/>
    <w:rsid w:val="00594B6D"/>
    <w:rsid w:val="00594BEC"/>
    <w:rsid w:val="00594C34"/>
    <w:rsid w:val="00594C3C"/>
    <w:rsid w:val="00594C63"/>
    <w:rsid w:val="00594DF3"/>
    <w:rsid w:val="00594E31"/>
    <w:rsid w:val="00594E54"/>
    <w:rsid w:val="00594E83"/>
    <w:rsid w:val="00594F27"/>
    <w:rsid w:val="00594F3A"/>
    <w:rsid w:val="00594FF2"/>
    <w:rsid w:val="0059500A"/>
    <w:rsid w:val="00595114"/>
    <w:rsid w:val="00595161"/>
    <w:rsid w:val="00595247"/>
    <w:rsid w:val="0059524B"/>
    <w:rsid w:val="00595293"/>
    <w:rsid w:val="00595297"/>
    <w:rsid w:val="005952AA"/>
    <w:rsid w:val="0059534F"/>
    <w:rsid w:val="005953C6"/>
    <w:rsid w:val="0059540D"/>
    <w:rsid w:val="005954E2"/>
    <w:rsid w:val="005954F7"/>
    <w:rsid w:val="00595519"/>
    <w:rsid w:val="00595552"/>
    <w:rsid w:val="005955BD"/>
    <w:rsid w:val="00595602"/>
    <w:rsid w:val="00595643"/>
    <w:rsid w:val="0059567B"/>
    <w:rsid w:val="0059576B"/>
    <w:rsid w:val="00595807"/>
    <w:rsid w:val="00595907"/>
    <w:rsid w:val="0059590D"/>
    <w:rsid w:val="0059594E"/>
    <w:rsid w:val="00595A72"/>
    <w:rsid w:val="00595AC0"/>
    <w:rsid w:val="00595B69"/>
    <w:rsid w:val="00595C57"/>
    <w:rsid w:val="00595C87"/>
    <w:rsid w:val="00595CBA"/>
    <w:rsid w:val="00595ECB"/>
    <w:rsid w:val="00595F14"/>
    <w:rsid w:val="00595F88"/>
    <w:rsid w:val="00596250"/>
    <w:rsid w:val="005962D9"/>
    <w:rsid w:val="005962DC"/>
    <w:rsid w:val="00596344"/>
    <w:rsid w:val="005963C0"/>
    <w:rsid w:val="00596478"/>
    <w:rsid w:val="005964F1"/>
    <w:rsid w:val="0059659B"/>
    <w:rsid w:val="00596612"/>
    <w:rsid w:val="005966C0"/>
    <w:rsid w:val="005966D5"/>
    <w:rsid w:val="005966DF"/>
    <w:rsid w:val="0059671E"/>
    <w:rsid w:val="00596924"/>
    <w:rsid w:val="00596948"/>
    <w:rsid w:val="0059697D"/>
    <w:rsid w:val="00596983"/>
    <w:rsid w:val="005969D0"/>
    <w:rsid w:val="00596A3A"/>
    <w:rsid w:val="00596AF6"/>
    <w:rsid w:val="00596B14"/>
    <w:rsid w:val="00596BE7"/>
    <w:rsid w:val="00596C29"/>
    <w:rsid w:val="00596CB5"/>
    <w:rsid w:val="00596CBE"/>
    <w:rsid w:val="00596CCE"/>
    <w:rsid w:val="00596D02"/>
    <w:rsid w:val="00596D0D"/>
    <w:rsid w:val="00596D86"/>
    <w:rsid w:val="00596E2C"/>
    <w:rsid w:val="00596E66"/>
    <w:rsid w:val="00596EE0"/>
    <w:rsid w:val="00596F20"/>
    <w:rsid w:val="00596F79"/>
    <w:rsid w:val="00596F88"/>
    <w:rsid w:val="00596FF1"/>
    <w:rsid w:val="005970F7"/>
    <w:rsid w:val="00597135"/>
    <w:rsid w:val="0059713A"/>
    <w:rsid w:val="00597175"/>
    <w:rsid w:val="00597277"/>
    <w:rsid w:val="0059727E"/>
    <w:rsid w:val="005972B0"/>
    <w:rsid w:val="005972F9"/>
    <w:rsid w:val="00597380"/>
    <w:rsid w:val="005973EB"/>
    <w:rsid w:val="0059753C"/>
    <w:rsid w:val="005976F4"/>
    <w:rsid w:val="00597750"/>
    <w:rsid w:val="00597823"/>
    <w:rsid w:val="00597858"/>
    <w:rsid w:val="005978EE"/>
    <w:rsid w:val="00597922"/>
    <w:rsid w:val="005979DB"/>
    <w:rsid w:val="00597AE3"/>
    <w:rsid w:val="00597AE9"/>
    <w:rsid w:val="00597B91"/>
    <w:rsid w:val="00597C01"/>
    <w:rsid w:val="00597C4B"/>
    <w:rsid w:val="00597CF6"/>
    <w:rsid w:val="00597CF7"/>
    <w:rsid w:val="00597D3F"/>
    <w:rsid w:val="00597D94"/>
    <w:rsid w:val="00597E4F"/>
    <w:rsid w:val="00597F12"/>
    <w:rsid w:val="00597F24"/>
    <w:rsid w:val="00597F2A"/>
    <w:rsid w:val="00597F9D"/>
    <w:rsid w:val="005A0016"/>
    <w:rsid w:val="005A0019"/>
    <w:rsid w:val="005A001C"/>
    <w:rsid w:val="005A003B"/>
    <w:rsid w:val="005A0088"/>
    <w:rsid w:val="005A009E"/>
    <w:rsid w:val="005A00D7"/>
    <w:rsid w:val="005A00E3"/>
    <w:rsid w:val="005A00F8"/>
    <w:rsid w:val="005A020F"/>
    <w:rsid w:val="005A0373"/>
    <w:rsid w:val="005A0382"/>
    <w:rsid w:val="005A0487"/>
    <w:rsid w:val="005A049A"/>
    <w:rsid w:val="005A058C"/>
    <w:rsid w:val="005A05E3"/>
    <w:rsid w:val="005A069D"/>
    <w:rsid w:val="005A0776"/>
    <w:rsid w:val="005A082B"/>
    <w:rsid w:val="005A086D"/>
    <w:rsid w:val="005A08B0"/>
    <w:rsid w:val="005A08C0"/>
    <w:rsid w:val="005A09F9"/>
    <w:rsid w:val="005A0A92"/>
    <w:rsid w:val="005A0AC9"/>
    <w:rsid w:val="005A0C68"/>
    <w:rsid w:val="005A0C7D"/>
    <w:rsid w:val="005A0DB6"/>
    <w:rsid w:val="005A0E22"/>
    <w:rsid w:val="005A0E33"/>
    <w:rsid w:val="005A0F3F"/>
    <w:rsid w:val="005A0FA4"/>
    <w:rsid w:val="005A0FA6"/>
    <w:rsid w:val="005A1004"/>
    <w:rsid w:val="005A1040"/>
    <w:rsid w:val="005A114D"/>
    <w:rsid w:val="005A115A"/>
    <w:rsid w:val="005A124B"/>
    <w:rsid w:val="005A1325"/>
    <w:rsid w:val="005A1334"/>
    <w:rsid w:val="005A13A6"/>
    <w:rsid w:val="005A13BD"/>
    <w:rsid w:val="005A13EF"/>
    <w:rsid w:val="005A1414"/>
    <w:rsid w:val="005A1462"/>
    <w:rsid w:val="005A14A1"/>
    <w:rsid w:val="005A14A2"/>
    <w:rsid w:val="005A1504"/>
    <w:rsid w:val="005A15E3"/>
    <w:rsid w:val="005A15E5"/>
    <w:rsid w:val="005A163A"/>
    <w:rsid w:val="005A1693"/>
    <w:rsid w:val="005A17D0"/>
    <w:rsid w:val="005A18BE"/>
    <w:rsid w:val="005A18F6"/>
    <w:rsid w:val="005A191D"/>
    <w:rsid w:val="005A191F"/>
    <w:rsid w:val="005A19CC"/>
    <w:rsid w:val="005A1A0C"/>
    <w:rsid w:val="005A1A45"/>
    <w:rsid w:val="005A1A59"/>
    <w:rsid w:val="005A1AFB"/>
    <w:rsid w:val="005A1B1A"/>
    <w:rsid w:val="005A1B3B"/>
    <w:rsid w:val="005A1B72"/>
    <w:rsid w:val="005A1BF6"/>
    <w:rsid w:val="005A1CF1"/>
    <w:rsid w:val="005A1D3D"/>
    <w:rsid w:val="005A1D6E"/>
    <w:rsid w:val="005A2017"/>
    <w:rsid w:val="005A201F"/>
    <w:rsid w:val="005A20AB"/>
    <w:rsid w:val="005A20AD"/>
    <w:rsid w:val="005A21A8"/>
    <w:rsid w:val="005A2280"/>
    <w:rsid w:val="005A244B"/>
    <w:rsid w:val="005A248B"/>
    <w:rsid w:val="005A24AB"/>
    <w:rsid w:val="005A24E2"/>
    <w:rsid w:val="005A253B"/>
    <w:rsid w:val="005A2560"/>
    <w:rsid w:val="005A25B1"/>
    <w:rsid w:val="005A2617"/>
    <w:rsid w:val="005A263A"/>
    <w:rsid w:val="005A26E0"/>
    <w:rsid w:val="005A2748"/>
    <w:rsid w:val="005A276F"/>
    <w:rsid w:val="005A28E8"/>
    <w:rsid w:val="005A2901"/>
    <w:rsid w:val="005A2A33"/>
    <w:rsid w:val="005A2B60"/>
    <w:rsid w:val="005A2BDB"/>
    <w:rsid w:val="005A2C0C"/>
    <w:rsid w:val="005A2D2C"/>
    <w:rsid w:val="005A2DA7"/>
    <w:rsid w:val="005A2E3A"/>
    <w:rsid w:val="005A2E3B"/>
    <w:rsid w:val="005A2F30"/>
    <w:rsid w:val="005A2FEE"/>
    <w:rsid w:val="005A2FF5"/>
    <w:rsid w:val="005A3027"/>
    <w:rsid w:val="005A3131"/>
    <w:rsid w:val="005A3180"/>
    <w:rsid w:val="005A3197"/>
    <w:rsid w:val="005A31CB"/>
    <w:rsid w:val="005A32CC"/>
    <w:rsid w:val="005A32E6"/>
    <w:rsid w:val="005A32ED"/>
    <w:rsid w:val="005A3301"/>
    <w:rsid w:val="005A3309"/>
    <w:rsid w:val="005A3364"/>
    <w:rsid w:val="005A343A"/>
    <w:rsid w:val="005A34E3"/>
    <w:rsid w:val="005A35BA"/>
    <w:rsid w:val="005A35C0"/>
    <w:rsid w:val="005A35CE"/>
    <w:rsid w:val="005A35D1"/>
    <w:rsid w:val="005A3638"/>
    <w:rsid w:val="005A363A"/>
    <w:rsid w:val="005A366D"/>
    <w:rsid w:val="005A3688"/>
    <w:rsid w:val="005A37F5"/>
    <w:rsid w:val="005A38DB"/>
    <w:rsid w:val="005A392B"/>
    <w:rsid w:val="005A3939"/>
    <w:rsid w:val="005A396A"/>
    <w:rsid w:val="005A39A4"/>
    <w:rsid w:val="005A3A01"/>
    <w:rsid w:val="005A3A4D"/>
    <w:rsid w:val="005A3A90"/>
    <w:rsid w:val="005A3B2B"/>
    <w:rsid w:val="005A3B4C"/>
    <w:rsid w:val="005A3BC5"/>
    <w:rsid w:val="005A3BF8"/>
    <w:rsid w:val="005A3C42"/>
    <w:rsid w:val="005A3CA2"/>
    <w:rsid w:val="005A3CBB"/>
    <w:rsid w:val="005A3CE3"/>
    <w:rsid w:val="005A3D38"/>
    <w:rsid w:val="005A3E54"/>
    <w:rsid w:val="005A3E7D"/>
    <w:rsid w:val="005A3E85"/>
    <w:rsid w:val="005A3F44"/>
    <w:rsid w:val="005A3F74"/>
    <w:rsid w:val="005A4068"/>
    <w:rsid w:val="005A4070"/>
    <w:rsid w:val="005A412C"/>
    <w:rsid w:val="005A420B"/>
    <w:rsid w:val="005A425C"/>
    <w:rsid w:val="005A42A4"/>
    <w:rsid w:val="005A42ED"/>
    <w:rsid w:val="005A4398"/>
    <w:rsid w:val="005A440E"/>
    <w:rsid w:val="005A441F"/>
    <w:rsid w:val="005A4457"/>
    <w:rsid w:val="005A4513"/>
    <w:rsid w:val="005A4518"/>
    <w:rsid w:val="005A4520"/>
    <w:rsid w:val="005A4542"/>
    <w:rsid w:val="005A460F"/>
    <w:rsid w:val="005A467B"/>
    <w:rsid w:val="005A46A0"/>
    <w:rsid w:val="005A4738"/>
    <w:rsid w:val="005A4742"/>
    <w:rsid w:val="005A47A9"/>
    <w:rsid w:val="005A4942"/>
    <w:rsid w:val="005A4975"/>
    <w:rsid w:val="005A497D"/>
    <w:rsid w:val="005A499D"/>
    <w:rsid w:val="005A499E"/>
    <w:rsid w:val="005A49ED"/>
    <w:rsid w:val="005A4A1F"/>
    <w:rsid w:val="005A4A93"/>
    <w:rsid w:val="005A4ABC"/>
    <w:rsid w:val="005A4AC4"/>
    <w:rsid w:val="005A4ADD"/>
    <w:rsid w:val="005A4C2A"/>
    <w:rsid w:val="005A4C49"/>
    <w:rsid w:val="005A4CBE"/>
    <w:rsid w:val="005A4E1D"/>
    <w:rsid w:val="005A4E76"/>
    <w:rsid w:val="005A4EFA"/>
    <w:rsid w:val="005A4F0C"/>
    <w:rsid w:val="005A4FA2"/>
    <w:rsid w:val="005A4FE3"/>
    <w:rsid w:val="005A5134"/>
    <w:rsid w:val="005A5166"/>
    <w:rsid w:val="005A51F2"/>
    <w:rsid w:val="005A5236"/>
    <w:rsid w:val="005A5291"/>
    <w:rsid w:val="005A5363"/>
    <w:rsid w:val="005A540B"/>
    <w:rsid w:val="005A5445"/>
    <w:rsid w:val="005A54BA"/>
    <w:rsid w:val="005A552B"/>
    <w:rsid w:val="005A5530"/>
    <w:rsid w:val="005A5581"/>
    <w:rsid w:val="005A5582"/>
    <w:rsid w:val="005A55DE"/>
    <w:rsid w:val="005A55ED"/>
    <w:rsid w:val="005A563F"/>
    <w:rsid w:val="005A572E"/>
    <w:rsid w:val="005A574E"/>
    <w:rsid w:val="005A5783"/>
    <w:rsid w:val="005A5854"/>
    <w:rsid w:val="005A585A"/>
    <w:rsid w:val="005A5860"/>
    <w:rsid w:val="005A5890"/>
    <w:rsid w:val="005A58F1"/>
    <w:rsid w:val="005A5958"/>
    <w:rsid w:val="005A597C"/>
    <w:rsid w:val="005A5A09"/>
    <w:rsid w:val="005A5A23"/>
    <w:rsid w:val="005A5A9A"/>
    <w:rsid w:val="005A5AFF"/>
    <w:rsid w:val="005A5B7A"/>
    <w:rsid w:val="005A5BEC"/>
    <w:rsid w:val="005A5C5E"/>
    <w:rsid w:val="005A5CE1"/>
    <w:rsid w:val="005A5E5B"/>
    <w:rsid w:val="005A5ED9"/>
    <w:rsid w:val="005A5F21"/>
    <w:rsid w:val="005A5F33"/>
    <w:rsid w:val="005A5F7B"/>
    <w:rsid w:val="005A5F8C"/>
    <w:rsid w:val="005A5FE0"/>
    <w:rsid w:val="005A608C"/>
    <w:rsid w:val="005A60BE"/>
    <w:rsid w:val="005A6119"/>
    <w:rsid w:val="005A615F"/>
    <w:rsid w:val="005A617B"/>
    <w:rsid w:val="005A6212"/>
    <w:rsid w:val="005A635E"/>
    <w:rsid w:val="005A63C7"/>
    <w:rsid w:val="005A642B"/>
    <w:rsid w:val="005A6492"/>
    <w:rsid w:val="005A64E8"/>
    <w:rsid w:val="005A662A"/>
    <w:rsid w:val="005A66AF"/>
    <w:rsid w:val="005A66F7"/>
    <w:rsid w:val="005A67FB"/>
    <w:rsid w:val="005A6904"/>
    <w:rsid w:val="005A691C"/>
    <w:rsid w:val="005A693B"/>
    <w:rsid w:val="005A6A08"/>
    <w:rsid w:val="005A6B37"/>
    <w:rsid w:val="005A6C3C"/>
    <w:rsid w:val="005A6C43"/>
    <w:rsid w:val="005A6CEC"/>
    <w:rsid w:val="005A6D25"/>
    <w:rsid w:val="005A6D7E"/>
    <w:rsid w:val="005A6DA6"/>
    <w:rsid w:val="005A6E2E"/>
    <w:rsid w:val="005A6ECF"/>
    <w:rsid w:val="005A6ED0"/>
    <w:rsid w:val="005A6EF3"/>
    <w:rsid w:val="005A7108"/>
    <w:rsid w:val="005A7148"/>
    <w:rsid w:val="005A71E4"/>
    <w:rsid w:val="005A7288"/>
    <w:rsid w:val="005A728F"/>
    <w:rsid w:val="005A72C1"/>
    <w:rsid w:val="005A7315"/>
    <w:rsid w:val="005A737E"/>
    <w:rsid w:val="005A73CF"/>
    <w:rsid w:val="005A7426"/>
    <w:rsid w:val="005A749E"/>
    <w:rsid w:val="005A7528"/>
    <w:rsid w:val="005A7550"/>
    <w:rsid w:val="005A7557"/>
    <w:rsid w:val="005A765E"/>
    <w:rsid w:val="005A7664"/>
    <w:rsid w:val="005A7698"/>
    <w:rsid w:val="005A76C9"/>
    <w:rsid w:val="005A76D7"/>
    <w:rsid w:val="005A76FE"/>
    <w:rsid w:val="005A77CC"/>
    <w:rsid w:val="005A77EF"/>
    <w:rsid w:val="005A7877"/>
    <w:rsid w:val="005A7887"/>
    <w:rsid w:val="005A78EB"/>
    <w:rsid w:val="005A790C"/>
    <w:rsid w:val="005A7915"/>
    <w:rsid w:val="005A79D4"/>
    <w:rsid w:val="005A79ED"/>
    <w:rsid w:val="005A7A42"/>
    <w:rsid w:val="005A7A95"/>
    <w:rsid w:val="005A7AEA"/>
    <w:rsid w:val="005A7B5C"/>
    <w:rsid w:val="005A7BE1"/>
    <w:rsid w:val="005A7C11"/>
    <w:rsid w:val="005A7C4F"/>
    <w:rsid w:val="005A7CA5"/>
    <w:rsid w:val="005A7CD6"/>
    <w:rsid w:val="005A7CFD"/>
    <w:rsid w:val="005A7D14"/>
    <w:rsid w:val="005A7DC5"/>
    <w:rsid w:val="005A7F61"/>
    <w:rsid w:val="005A7FCC"/>
    <w:rsid w:val="005B02F1"/>
    <w:rsid w:val="005B03A9"/>
    <w:rsid w:val="005B0404"/>
    <w:rsid w:val="005B04CA"/>
    <w:rsid w:val="005B0507"/>
    <w:rsid w:val="005B0521"/>
    <w:rsid w:val="005B0558"/>
    <w:rsid w:val="005B0679"/>
    <w:rsid w:val="005B067A"/>
    <w:rsid w:val="005B0689"/>
    <w:rsid w:val="005B077A"/>
    <w:rsid w:val="005B0781"/>
    <w:rsid w:val="005B085B"/>
    <w:rsid w:val="005B0907"/>
    <w:rsid w:val="005B091D"/>
    <w:rsid w:val="005B092E"/>
    <w:rsid w:val="005B09B9"/>
    <w:rsid w:val="005B09CB"/>
    <w:rsid w:val="005B0B67"/>
    <w:rsid w:val="005B0C32"/>
    <w:rsid w:val="005B0D56"/>
    <w:rsid w:val="005B0EBE"/>
    <w:rsid w:val="005B0EC6"/>
    <w:rsid w:val="005B0EF2"/>
    <w:rsid w:val="005B0F6F"/>
    <w:rsid w:val="005B0F83"/>
    <w:rsid w:val="005B0F89"/>
    <w:rsid w:val="005B104C"/>
    <w:rsid w:val="005B1058"/>
    <w:rsid w:val="005B1083"/>
    <w:rsid w:val="005B10E9"/>
    <w:rsid w:val="005B121D"/>
    <w:rsid w:val="005B1231"/>
    <w:rsid w:val="005B128D"/>
    <w:rsid w:val="005B136C"/>
    <w:rsid w:val="005B13BD"/>
    <w:rsid w:val="005B157D"/>
    <w:rsid w:val="005B15A4"/>
    <w:rsid w:val="005B15DB"/>
    <w:rsid w:val="005B1657"/>
    <w:rsid w:val="005B176B"/>
    <w:rsid w:val="005B1773"/>
    <w:rsid w:val="005B1827"/>
    <w:rsid w:val="005B1841"/>
    <w:rsid w:val="005B18A3"/>
    <w:rsid w:val="005B18AB"/>
    <w:rsid w:val="005B1902"/>
    <w:rsid w:val="005B19A4"/>
    <w:rsid w:val="005B19D1"/>
    <w:rsid w:val="005B19EB"/>
    <w:rsid w:val="005B19FA"/>
    <w:rsid w:val="005B1A32"/>
    <w:rsid w:val="005B1A38"/>
    <w:rsid w:val="005B1B1C"/>
    <w:rsid w:val="005B1B32"/>
    <w:rsid w:val="005B1B5E"/>
    <w:rsid w:val="005B1BB6"/>
    <w:rsid w:val="005B1BCE"/>
    <w:rsid w:val="005B1C5A"/>
    <w:rsid w:val="005B1C79"/>
    <w:rsid w:val="005B1CB3"/>
    <w:rsid w:val="005B1CE8"/>
    <w:rsid w:val="005B1D26"/>
    <w:rsid w:val="005B1D2A"/>
    <w:rsid w:val="005B1D61"/>
    <w:rsid w:val="005B1E4C"/>
    <w:rsid w:val="005B1E61"/>
    <w:rsid w:val="005B1EC2"/>
    <w:rsid w:val="005B1F72"/>
    <w:rsid w:val="005B1F9C"/>
    <w:rsid w:val="005B1F9F"/>
    <w:rsid w:val="005B2000"/>
    <w:rsid w:val="005B20B0"/>
    <w:rsid w:val="005B20E1"/>
    <w:rsid w:val="005B21CE"/>
    <w:rsid w:val="005B223D"/>
    <w:rsid w:val="005B22AC"/>
    <w:rsid w:val="005B22D7"/>
    <w:rsid w:val="005B22DB"/>
    <w:rsid w:val="005B239B"/>
    <w:rsid w:val="005B23AD"/>
    <w:rsid w:val="005B249C"/>
    <w:rsid w:val="005B24C8"/>
    <w:rsid w:val="005B2552"/>
    <w:rsid w:val="005B264D"/>
    <w:rsid w:val="005B2707"/>
    <w:rsid w:val="005B2759"/>
    <w:rsid w:val="005B27F9"/>
    <w:rsid w:val="005B27FD"/>
    <w:rsid w:val="005B28C2"/>
    <w:rsid w:val="005B2970"/>
    <w:rsid w:val="005B2A24"/>
    <w:rsid w:val="005B2B38"/>
    <w:rsid w:val="005B2B48"/>
    <w:rsid w:val="005B2BA4"/>
    <w:rsid w:val="005B2C70"/>
    <w:rsid w:val="005B2C88"/>
    <w:rsid w:val="005B2CF4"/>
    <w:rsid w:val="005B2E20"/>
    <w:rsid w:val="005B2EA1"/>
    <w:rsid w:val="005B2F0E"/>
    <w:rsid w:val="005B2FCA"/>
    <w:rsid w:val="005B2FD5"/>
    <w:rsid w:val="005B2FFD"/>
    <w:rsid w:val="005B304C"/>
    <w:rsid w:val="005B3051"/>
    <w:rsid w:val="005B3076"/>
    <w:rsid w:val="005B30A2"/>
    <w:rsid w:val="005B30FC"/>
    <w:rsid w:val="005B31E3"/>
    <w:rsid w:val="005B31E7"/>
    <w:rsid w:val="005B31EC"/>
    <w:rsid w:val="005B31F1"/>
    <w:rsid w:val="005B3294"/>
    <w:rsid w:val="005B32DC"/>
    <w:rsid w:val="005B32F5"/>
    <w:rsid w:val="005B33A4"/>
    <w:rsid w:val="005B33BA"/>
    <w:rsid w:val="005B33D4"/>
    <w:rsid w:val="005B33FB"/>
    <w:rsid w:val="005B3593"/>
    <w:rsid w:val="005B35AB"/>
    <w:rsid w:val="005B38B0"/>
    <w:rsid w:val="005B38D7"/>
    <w:rsid w:val="005B38FA"/>
    <w:rsid w:val="005B392A"/>
    <w:rsid w:val="005B3987"/>
    <w:rsid w:val="005B398B"/>
    <w:rsid w:val="005B39BB"/>
    <w:rsid w:val="005B39D4"/>
    <w:rsid w:val="005B39FF"/>
    <w:rsid w:val="005B3A48"/>
    <w:rsid w:val="005B3AE5"/>
    <w:rsid w:val="005B3B08"/>
    <w:rsid w:val="005B3B3C"/>
    <w:rsid w:val="005B3B85"/>
    <w:rsid w:val="005B3B8B"/>
    <w:rsid w:val="005B3B94"/>
    <w:rsid w:val="005B3BED"/>
    <w:rsid w:val="005B3C4F"/>
    <w:rsid w:val="005B3D03"/>
    <w:rsid w:val="005B3D4C"/>
    <w:rsid w:val="005B3D7A"/>
    <w:rsid w:val="005B3DAE"/>
    <w:rsid w:val="005B3DBF"/>
    <w:rsid w:val="005B3E39"/>
    <w:rsid w:val="005B3E4C"/>
    <w:rsid w:val="005B3E55"/>
    <w:rsid w:val="005B3EA8"/>
    <w:rsid w:val="005B3EE0"/>
    <w:rsid w:val="005B3EFE"/>
    <w:rsid w:val="005B404B"/>
    <w:rsid w:val="005B41C9"/>
    <w:rsid w:val="005B41E8"/>
    <w:rsid w:val="005B4283"/>
    <w:rsid w:val="005B4404"/>
    <w:rsid w:val="005B4423"/>
    <w:rsid w:val="005B4436"/>
    <w:rsid w:val="005B45E2"/>
    <w:rsid w:val="005B4696"/>
    <w:rsid w:val="005B46DA"/>
    <w:rsid w:val="005B472B"/>
    <w:rsid w:val="005B475C"/>
    <w:rsid w:val="005B4778"/>
    <w:rsid w:val="005B47DC"/>
    <w:rsid w:val="005B487A"/>
    <w:rsid w:val="005B489A"/>
    <w:rsid w:val="005B49DE"/>
    <w:rsid w:val="005B4A20"/>
    <w:rsid w:val="005B4A82"/>
    <w:rsid w:val="005B4A9E"/>
    <w:rsid w:val="005B4AB2"/>
    <w:rsid w:val="005B4BBC"/>
    <w:rsid w:val="005B4BCC"/>
    <w:rsid w:val="005B4CB6"/>
    <w:rsid w:val="005B4CBC"/>
    <w:rsid w:val="005B4D99"/>
    <w:rsid w:val="005B4DE6"/>
    <w:rsid w:val="005B4E15"/>
    <w:rsid w:val="005B4E1F"/>
    <w:rsid w:val="005B4EA3"/>
    <w:rsid w:val="005B4ECF"/>
    <w:rsid w:val="005B4F01"/>
    <w:rsid w:val="005B4F5D"/>
    <w:rsid w:val="005B4FA3"/>
    <w:rsid w:val="005B50EF"/>
    <w:rsid w:val="005B5187"/>
    <w:rsid w:val="005B51EE"/>
    <w:rsid w:val="005B51F0"/>
    <w:rsid w:val="005B527F"/>
    <w:rsid w:val="005B52C0"/>
    <w:rsid w:val="005B5316"/>
    <w:rsid w:val="005B53A1"/>
    <w:rsid w:val="005B54A9"/>
    <w:rsid w:val="005B55A4"/>
    <w:rsid w:val="005B55B3"/>
    <w:rsid w:val="005B55F2"/>
    <w:rsid w:val="005B561E"/>
    <w:rsid w:val="005B5641"/>
    <w:rsid w:val="005B565A"/>
    <w:rsid w:val="005B573F"/>
    <w:rsid w:val="005B57C3"/>
    <w:rsid w:val="005B57EC"/>
    <w:rsid w:val="005B582E"/>
    <w:rsid w:val="005B588A"/>
    <w:rsid w:val="005B5891"/>
    <w:rsid w:val="005B5924"/>
    <w:rsid w:val="005B5BF1"/>
    <w:rsid w:val="005B5C5D"/>
    <w:rsid w:val="005B5C93"/>
    <w:rsid w:val="005B5CA8"/>
    <w:rsid w:val="005B5CBE"/>
    <w:rsid w:val="005B5D01"/>
    <w:rsid w:val="005B5D44"/>
    <w:rsid w:val="005B5D87"/>
    <w:rsid w:val="005B5E2E"/>
    <w:rsid w:val="005B5FA7"/>
    <w:rsid w:val="005B603C"/>
    <w:rsid w:val="005B60CA"/>
    <w:rsid w:val="005B60E0"/>
    <w:rsid w:val="005B6117"/>
    <w:rsid w:val="005B6213"/>
    <w:rsid w:val="005B6269"/>
    <w:rsid w:val="005B626D"/>
    <w:rsid w:val="005B63E7"/>
    <w:rsid w:val="005B6422"/>
    <w:rsid w:val="005B642F"/>
    <w:rsid w:val="005B643C"/>
    <w:rsid w:val="005B643E"/>
    <w:rsid w:val="005B6442"/>
    <w:rsid w:val="005B6467"/>
    <w:rsid w:val="005B6737"/>
    <w:rsid w:val="005B6821"/>
    <w:rsid w:val="005B684A"/>
    <w:rsid w:val="005B685D"/>
    <w:rsid w:val="005B6924"/>
    <w:rsid w:val="005B6A3C"/>
    <w:rsid w:val="005B6AB8"/>
    <w:rsid w:val="005B6AC7"/>
    <w:rsid w:val="005B6BBC"/>
    <w:rsid w:val="005B6C8F"/>
    <w:rsid w:val="005B6CE4"/>
    <w:rsid w:val="005B6D5D"/>
    <w:rsid w:val="005B6D99"/>
    <w:rsid w:val="005B6DB8"/>
    <w:rsid w:val="005B6DBA"/>
    <w:rsid w:val="005B6F03"/>
    <w:rsid w:val="005B6F45"/>
    <w:rsid w:val="005B6F69"/>
    <w:rsid w:val="005B6F72"/>
    <w:rsid w:val="005B70A6"/>
    <w:rsid w:val="005B70D9"/>
    <w:rsid w:val="005B7113"/>
    <w:rsid w:val="005B715C"/>
    <w:rsid w:val="005B7178"/>
    <w:rsid w:val="005B71E6"/>
    <w:rsid w:val="005B726D"/>
    <w:rsid w:val="005B72A7"/>
    <w:rsid w:val="005B7328"/>
    <w:rsid w:val="005B7334"/>
    <w:rsid w:val="005B73CE"/>
    <w:rsid w:val="005B7444"/>
    <w:rsid w:val="005B746F"/>
    <w:rsid w:val="005B74B1"/>
    <w:rsid w:val="005B759A"/>
    <w:rsid w:val="005B759F"/>
    <w:rsid w:val="005B75DC"/>
    <w:rsid w:val="005B7618"/>
    <w:rsid w:val="005B761F"/>
    <w:rsid w:val="005B7623"/>
    <w:rsid w:val="005B77C7"/>
    <w:rsid w:val="005B77CA"/>
    <w:rsid w:val="005B77F2"/>
    <w:rsid w:val="005B77F3"/>
    <w:rsid w:val="005B78C0"/>
    <w:rsid w:val="005B78C3"/>
    <w:rsid w:val="005B78C6"/>
    <w:rsid w:val="005B78D0"/>
    <w:rsid w:val="005B78E2"/>
    <w:rsid w:val="005B7A3F"/>
    <w:rsid w:val="005B7A5D"/>
    <w:rsid w:val="005B7AF3"/>
    <w:rsid w:val="005B7B59"/>
    <w:rsid w:val="005B7B90"/>
    <w:rsid w:val="005B7B93"/>
    <w:rsid w:val="005B7BB8"/>
    <w:rsid w:val="005B7CFF"/>
    <w:rsid w:val="005B7D13"/>
    <w:rsid w:val="005B7D94"/>
    <w:rsid w:val="005B7DF6"/>
    <w:rsid w:val="005B7E6E"/>
    <w:rsid w:val="005B7EC0"/>
    <w:rsid w:val="005B7FA9"/>
    <w:rsid w:val="005B7FDD"/>
    <w:rsid w:val="005C0051"/>
    <w:rsid w:val="005C006E"/>
    <w:rsid w:val="005C00B6"/>
    <w:rsid w:val="005C01B7"/>
    <w:rsid w:val="005C026A"/>
    <w:rsid w:val="005C0271"/>
    <w:rsid w:val="005C0301"/>
    <w:rsid w:val="005C0342"/>
    <w:rsid w:val="005C0360"/>
    <w:rsid w:val="005C0389"/>
    <w:rsid w:val="005C038B"/>
    <w:rsid w:val="005C03E4"/>
    <w:rsid w:val="005C06C7"/>
    <w:rsid w:val="005C06F4"/>
    <w:rsid w:val="005C0779"/>
    <w:rsid w:val="005C08C0"/>
    <w:rsid w:val="005C0938"/>
    <w:rsid w:val="005C09BB"/>
    <w:rsid w:val="005C0A3A"/>
    <w:rsid w:val="005C0A5B"/>
    <w:rsid w:val="005C0AAA"/>
    <w:rsid w:val="005C0AFC"/>
    <w:rsid w:val="005C0C48"/>
    <w:rsid w:val="005C0C90"/>
    <w:rsid w:val="005C0CD0"/>
    <w:rsid w:val="005C0D0A"/>
    <w:rsid w:val="005C0D41"/>
    <w:rsid w:val="005C0D4D"/>
    <w:rsid w:val="005C0EB6"/>
    <w:rsid w:val="005C0EFB"/>
    <w:rsid w:val="005C0F39"/>
    <w:rsid w:val="005C0F5A"/>
    <w:rsid w:val="005C0F6C"/>
    <w:rsid w:val="005C0F82"/>
    <w:rsid w:val="005C0FAE"/>
    <w:rsid w:val="005C0FC8"/>
    <w:rsid w:val="005C109E"/>
    <w:rsid w:val="005C10B6"/>
    <w:rsid w:val="005C10BA"/>
    <w:rsid w:val="005C1122"/>
    <w:rsid w:val="005C11BB"/>
    <w:rsid w:val="005C139C"/>
    <w:rsid w:val="005C13E2"/>
    <w:rsid w:val="005C14CE"/>
    <w:rsid w:val="005C14D7"/>
    <w:rsid w:val="005C1565"/>
    <w:rsid w:val="005C156B"/>
    <w:rsid w:val="005C1604"/>
    <w:rsid w:val="005C1647"/>
    <w:rsid w:val="005C173A"/>
    <w:rsid w:val="005C1783"/>
    <w:rsid w:val="005C1834"/>
    <w:rsid w:val="005C1857"/>
    <w:rsid w:val="005C18D0"/>
    <w:rsid w:val="005C1946"/>
    <w:rsid w:val="005C1A66"/>
    <w:rsid w:val="005C1A9A"/>
    <w:rsid w:val="005C1AA7"/>
    <w:rsid w:val="005C1AE4"/>
    <w:rsid w:val="005C1B0A"/>
    <w:rsid w:val="005C1B43"/>
    <w:rsid w:val="005C1CEC"/>
    <w:rsid w:val="005C1DA1"/>
    <w:rsid w:val="005C1DA7"/>
    <w:rsid w:val="005C1DBB"/>
    <w:rsid w:val="005C1DC3"/>
    <w:rsid w:val="005C1E90"/>
    <w:rsid w:val="005C1E9A"/>
    <w:rsid w:val="005C1EA0"/>
    <w:rsid w:val="005C1F8C"/>
    <w:rsid w:val="005C1F97"/>
    <w:rsid w:val="005C2052"/>
    <w:rsid w:val="005C20AF"/>
    <w:rsid w:val="005C21BC"/>
    <w:rsid w:val="005C21BD"/>
    <w:rsid w:val="005C22CE"/>
    <w:rsid w:val="005C231A"/>
    <w:rsid w:val="005C2342"/>
    <w:rsid w:val="005C2365"/>
    <w:rsid w:val="005C23CD"/>
    <w:rsid w:val="005C254B"/>
    <w:rsid w:val="005C2587"/>
    <w:rsid w:val="005C25E6"/>
    <w:rsid w:val="005C265E"/>
    <w:rsid w:val="005C2696"/>
    <w:rsid w:val="005C26A2"/>
    <w:rsid w:val="005C28D1"/>
    <w:rsid w:val="005C294A"/>
    <w:rsid w:val="005C297B"/>
    <w:rsid w:val="005C2996"/>
    <w:rsid w:val="005C2CB7"/>
    <w:rsid w:val="005C2D35"/>
    <w:rsid w:val="005C2D3D"/>
    <w:rsid w:val="005C2D7A"/>
    <w:rsid w:val="005C2D84"/>
    <w:rsid w:val="005C2DE3"/>
    <w:rsid w:val="005C2E0E"/>
    <w:rsid w:val="005C2F7F"/>
    <w:rsid w:val="005C3067"/>
    <w:rsid w:val="005C309B"/>
    <w:rsid w:val="005C30B5"/>
    <w:rsid w:val="005C3151"/>
    <w:rsid w:val="005C31DD"/>
    <w:rsid w:val="005C3259"/>
    <w:rsid w:val="005C32BA"/>
    <w:rsid w:val="005C3387"/>
    <w:rsid w:val="005C33C4"/>
    <w:rsid w:val="005C3474"/>
    <w:rsid w:val="005C3506"/>
    <w:rsid w:val="005C355F"/>
    <w:rsid w:val="005C356E"/>
    <w:rsid w:val="005C3637"/>
    <w:rsid w:val="005C36A2"/>
    <w:rsid w:val="005C3724"/>
    <w:rsid w:val="005C372C"/>
    <w:rsid w:val="005C3761"/>
    <w:rsid w:val="005C377B"/>
    <w:rsid w:val="005C3834"/>
    <w:rsid w:val="005C3839"/>
    <w:rsid w:val="005C38F6"/>
    <w:rsid w:val="005C3949"/>
    <w:rsid w:val="005C3965"/>
    <w:rsid w:val="005C398F"/>
    <w:rsid w:val="005C3A08"/>
    <w:rsid w:val="005C3A3A"/>
    <w:rsid w:val="005C3AC1"/>
    <w:rsid w:val="005C3B1A"/>
    <w:rsid w:val="005C3B21"/>
    <w:rsid w:val="005C3B61"/>
    <w:rsid w:val="005C3B77"/>
    <w:rsid w:val="005C3BB7"/>
    <w:rsid w:val="005C3CE4"/>
    <w:rsid w:val="005C3D14"/>
    <w:rsid w:val="005C3D86"/>
    <w:rsid w:val="005C3DCF"/>
    <w:rsid w:val="005C3DF8"/>
    <w:rsid w:val="005C3E54"/>
    <w:rsid w:val="005C3EBD"/>
    <w:rsid w:val="005C3FD2"/>
    <w:rsid w:val="005C4054"/>
    <w:rsid w:val="005C40BE"/>
    <w:rsid w:val="005C4140"/>
    <w:rsid w:val="005C4159"/>
    <w:rsid w:val="005C41B3"/>
    <w:rsid w:val="005C430E"/>
    <w:rsid w:val="005C4329"/>
    <w:rsid w:val="005C436F"/>
    <w:rsid w:val="005C43A3"/>
    <w:rsid w:val="005C445F"/>
    <w:rsid w:val="005C4464"/>
    <w:rsid w:val="005C4498"/>
    <w:rsid w:val="005C44EB"/>
    <w:rsid w:val="005C4646"/>
    <w:rsid w:val="005C464B"/>
    <w:rsid w:val="005C46E0"/>
    <w:rsid w:val="005C4715"/>
    <w:rsid w:val="005C4717"/>
    <w:rsid w:val="005C4751"/>
    <w:rsid w:val="005C47C8"/>
    <w:rsid w:val="005C4834"/>
    <w:rsid w:val="005C4840"/>
    <w:rsid w:val="005C4859"/>
    <w:rsid w:val="005C485A"/>
    <w:rsid w:val="005C49CB"/>
    <w:rsid w:val="005C49EC"/>
    <w:rsid w:val="005C4A4F"/>
    <w:rsid w:val="005C4A98"/>
    <w:rsid w:val="005C4BC8"/>
    <w:rsid w:val="005C4BF1"/>
    <w:rsid w:val="005C4C65"/>
    <w:rsid w:val="005C4C8A"/>
    <w:rsid w:val="005C4C8D"/>
    <w:rsid w:val="005C4CE1"/>
    <w:rsid w:val="005C4D3F"/>
    <w:rsid w:val="005C4D69"/>
    <w:rsid w:val="005C4E08"/>
    <w:rsid w:val="005C4E14"/>
    <w:rsid w:val="005C4E68"/>
    <w:rsid w:val="005C4EFD"/>
    <w:rsid w:val="005C505C"/>
    <w:rsid w:val="005C50EF"/>
    <w:rsid w:val="005C50F9"/>
    <w:rsid w:val="005C511C"/>
    <w:rsid w:val="005C5125"/>
    <w:rsid w:val="005C516C"/>
    <w:rsid w:val="005C524A"/>
    <w:rsid w:val="005C5333"/>
    <w:rsid w:val="005C535B"/>
    <w:rsid w:val="005C5387"/>
    <w:rsid w:val="005C538E"/>
    <w:rsid w:val="005C53ED"/>
    <w:rsid w:val="005C5447"/>
    <w:rsid w:val="005C5472"/>
    <w:rsid w:val="005C54A9"/>
    <w:rsid w:val="005C54B6"/>
    <w:rsid w:val="005C5546"/>
    <w:rsid w:val="005C55AF"/>
    <w:rsid w:val="005C561E"/>
    <w:rsid w:val="005C5657"/>
    <w:rsid w:val="005C56AA"/>
    <w:rsid w:val="005C56EE"/>
    <w:rsid w:val="005C5771"/>
    <w:rsid w:val="005C57D0"/>
    <w:rsid w:val="005C5898"/>
    <w:rsid w:val="005C59E8"/>
    <w:rsid w:val="005C5A21"/>
    <w:rsid w:val="005C5A30"/>
    <w:rsid w:val="005C5B34"/>
    <w:rsid w:val="005C5B43"/>
    <w:rsid w:val="005C5BC4"/>
    <w:rsid w:val="005C5CA3"/>
    <w:rsid w:val="005C5CFD"/>
    <w:rsid w:val="005C5D39"/>
    <w:rsid w:val="005C5D73"/>
    <w:rsid w:val="005C5F84"/>
    <w:rsid w:val="005C60AC"/>
    <w:rsid w:val="005C60EE"/>
    <w:rsid w:val="005C6111"/>
    <w:rsid w:val="005C6190"/>
    <w:rsid w:val="005C6228"/>
    <w:rsid w:val="005C6234"/>
    <w:rsid w:val="005C6354"/>
    <w:rsid w:val="005C6359"/>
    <w:rsid w:val="005C6378"/>
    <w:rsid w:val="005C63CD"/>
    <w:rsid w:val="005C63F2"/>
    <w:rsid w:val="005C6421"/>
    <w:rsid w:val="005C64CD"/>
    <w:rsid w:val="005C65C4"/>
    <w:rsid w:val="005C65DE"/>
    <w:rsid w:val="005C6625"/>
    <w:rsid w:val="005C6668"/>
    <w:rsid w:val="005C671A"/>
    <w:rsid w:val="005C67F0"/>
    <w:rsid w:val="005C684D"/>
    <w:rsid w:val="005C6902"/>
    <w:rsid w:val="005C6960"/>
    <w:rsid w:val="005C69F2"/>
    <w:rsid w:val="005C6AE2"/>
    <w:rsid w:val="005C6B10"/>
    <w:rsid w:val="005C6B70"/>
    <w:rsid w:val="005C6BBC"/>
    <w:rsid w:val="005C6BC7"/>
    <w:rsid w:val="005C6C42"/>
    <w:rsid w:val="005C6CD5"/>
    <w:rsid w:val="005C6CE1"/>
    <w:rsid w:val="005C6D50"/>
    <w:rsid w:val="005C6E09"/>
    <w:rsid w:val="005C6EED"/>
    <w:rsid w:val="005C6F0C"/>
    <w:rsid w:val="005C6FC2"/>
    <w:rsid w:val="005C6FD8"/>
    <w:rsid w:val="005C6FF8"/>
    <w:rsid w:val="005C702F"/>
    <w:rsid w:val="005C7215"/>
    <w:rsid w:val="005C7350"/>
    <w:rsid w:val="005C7396"/>
    <w:rsid w:val="005C73C9"/>
    <w:rsid w:val="005C742B"/>
    <w:rsid w:val="005C7471"/>
    <w:rsid w:val="005C752D"/>
    <w:rsid w:val="005C75A9"/>
    <w:rsid w:val="005C76A4"/>
    <w:rsid w:val="005C7700"/>
    <w:rsid w:val="005C7707"/>
    <w:rsid w:val="005C7731"/>
    <w:rsid w:val="005C774A"/>
    <w:rsid w:val="005C778A"/>
    <w:rsid w:val="005C779F"/>
    <w:rsid w:val="005C7811"/>
    <w:rsid w:val="005C7868"/>
    <w:rsid w:val="005C7907"/>
    <w:rsid w:val="005C7935"/>
    <w:rsid w:val="005C7937"/>
    <w:rsid w:val="005C798C"/>
    <w:rsid w:val="005C79E9"/>
    <w:rsid w:val="005C79F6"/>
    <w:rsid w:val="005C7B19"/>
    <w:rsid w:val="005C7B47"/>
    <w:rsid w:val="005C7B5A"/>
    <w:rsid w:val="005C7BBD"/>
    <w:rsid w:val="005C7C46"/>
    <w:rsid w:val="005C7C87"/>
    <w:rsid w:val="005C7CE7"/>
    <w:rsid w:val="005C7D4B"/>
    <w:rsid w:val="005C7D4C"/>
    <w:rsid w:val="005C7DBC"/>
    <w:rsid w:val="005C7DD8"/>
    <w:rsid w:val="005C7DEF"/>
    <w:rsid w:val="005C7E42"/>
    <w:rsid w:val="005C7E87"/>
    <w:rsid w:val="005C7EA7"/>
    <w:rsid w:val="005C7EAB"/>
    <w:rsid w:val="005C7ED8"/>
    <w:rsid w:val="005C7F51"/>
    <w:rsid w:val="005C7F7C"/>
    <w:rsid w:val="005D000C"/>
    <w:rsid w:val="005D000E"/>
    <w:rsid w:val="005D00F9"/>
    <w:rsid w:val="005D010D"/>
    <w:rsid w:val="005D0121"/>
    <w:rsid w:val="005D0205"/>
    <w:rsid w:val="005D0265"/>
    <w:rsid w:val="005D02CD"/>
    <w:rsid w:val="005D02E1"/>
    <w:rsid w:val="005D02E7"/>
    <w:rsid w:val="005D02EE"/>
    <w:rsid w:val="005D04B5"/>
    <w:rsid w:val="005D04D8"/>
    <w:rsid w:val="005D052B"/>
    <w:rsid w:val="005D075D"/>
    <w:rsid w:val="005D07F6"/>
    <w:rsid w:val="005D0817"/>
    <w:rsid w:val="005D0836"/>
    <w:rsid w:val="005D0864"/>
    <w:rsid w:val="005D08C8"/>
    <w:rsid w:val="005D097D"/>
    <w:rsid w:val="005D0A90"/>
    <w:rsid w:val="005D0A94"/>
    <w:rsid w:val="005D0B30"/>
    <w:rsid w:val="005D0B64"/>
    <w:rsid w:val="005D0C1E"/>
    <w:rsid w:val="005D0C60"/>
    <w:rsid w:val="005D0C7E"/>
    <w:rsid w:val="005D0D8E"/>
    <w:rsid w:val="005D0DB2"/>
    <w:rsid w:val="005D0E94"/>
    <w:rsid w:val="005D0EA4"/>
    <w:rsid w:val="005D0F32"/>
    <w:rsid w:val="005D0F41"/>
    <w:rsid w:val="005D0F43"/>
    <w:rsid w:val="005D0F5D"/>
    <w:rsid w:val="005D1008"/>
    <w:rsid w:val="005D1041"/>
    <w:rsid w:val="005D10A3"/>
    <w:rsid w:val="005D10F5"/>
    <w:rsid w:val="005D110E"/>
    <w:rsid w:val="005D118A"/>
    <w:rsid w:val="005D1211"/>
    <w:rsid w:val="005D1292"/>
    <w:rsid w:val="005D12F7"/>
    <w:rsid w:val="005D1310"/>
    <w:rsid w:val="005D1313"/>
    <w:rsid w:val="005D13F7"/>
    <w:rsid w:val="005D1408"/>
    <w:rsid w:val="005D140D"/>
    <w:rsid w:val="005D1541"/>
    <w:rsid w:val="005D158E"/>
    <w:rsid w:val="005D159F"/>
    <w:rsid w:val="005D15B7"/>
    <w:rsid w:val="005D15DF"/>
    <w:rsid w:val="005D165B"/>
    <w:rsid w:val="005D1662"/>
    <w:rsid w:val="005D1711"/>
    <w:rsid w:val="005D1747"/>
    <w:rsid w:val="005D1791"/>
    <w:rsid w:val="005D1797"/>
    <w:rsid w:val="005D17A4"/>
    <w:rsid w:val="005D189C"/>
    <w:rsid w:val="005D18BB"/>
    <w:rsid w:val="005D1902"/>
    <w:rsid w:val="005D1922"/>
    <w:rsid w:val="005D1939"/>
    <w:rsid w:val="005D1A81"/>
    <w:rsid w:val="005D1AF0"/>
    <w:rsid w:val="005D1B51"/>
    <w:rsid w:val="005D1B7C"/>
    <w:rsid w:val="005D1C2D"/>
    <w:rsid w:val="005D1CC0"/>
    <w:rsid w:val="005D1CF6"/>
    <w:rsid w:val="005D1D2C"/>
    <w:rsid w:val="005D1D8C"/>
    <w:rsid w:val="005D1E69"/>
    <w:rsid w:val="005D1E8C"/>
    <w:rsid w:val="005D1F1B"/>
    <w:rsid w:val="005D1F60"/>
    <w:rsid w:val="005D1F82"/>
    <w:rsid w:val="005D1FA5"/>
    <w:rsid w:val="005D2019"/>
    <w:rsid w:val="005D2023"/>
    <w:rsid w:val="005D20BF"/>
    <w:rsid w:val="005D2138"/>
    <w:rsid w:val="005D2142"/>
    <w:rsid w:val="005D2177"/>
    <w:rsid w:val="005D21CA"/>
    <w:rsid w:val="005D2243"/>
    <w:rsid w:val="005D23F0"/>
    <w:rsid w:val="005D2413"/>
    <w:rsid w:val="005D241F"/>
    <w:rsid w:val="005D243E"/>
    <w:rsid w:val="005D24DE"/>
    <w:rsid w:val="005D2525"/>
    <w:rsid w:val="005D25C2"/>
    <w:rsid w:val="005D261D"/>
    <w:rsid w:val="005D265D"/>
    <w:rsid w:val="005D279B"/>
    <w:rsid w:val="005D2804"/>
    <w:rsid w:val="005D28F4"/>
    <w:rsid w:val="005D29D4"/>
    <w:rsid w:val="005D29E6"/>
    <w:rsid w:val="005D2A39"/>
    <w:rsid w:val="005D2A3D"/>
    <w:rsid w:val="005D2A73"/>
    <w:rsid w:val="005D2B6E"/>
    <w:rsid w:val="005D2B7B"/>
    <w:rsid w:val="005D2BDD"/>
    <w:rsid w:val="005D2BEE"/>
    <w:rsid w:val="005D2C0E"/>
    <w:rsid w:val="005D2CCF"/>
    <w:rsid w:val="005D2CDA"/>
    <w:rsid w:val="005D2D1C"/>
    <w:rsid w:val="005D2D4E"/>
    <w:rsid w:val="005D2DFB"/>
    <w:rsid w:val="005D2E35"/>
    <w:rsid w:val="005D2F27"/>
    <w:rsid w:val="005D2F35"/>
    <w:rsid w:val="005D30F3"/>
    <w:rsid w:val="005D30F5"/>
    <w:rsid w:val="005D3111"/>
    <w:rsid w:val="005D314A"/>
    <w:rsid w:val="005D3166"/>
    <w:rsid w:val="005D3192"/>
    <w:rsid w:val="005D31A1"/>
    <w:rsid w:val="005D31DF"/>
    <w:rsid w:val="005D3243"/>
    <w:rsid w:val="005D3258"/>
    <w:rsid w:val="005D3282"/>
    <w:rsid w:val="005D329E"/>
    <w:rsid w:val="005D3389"/>
    <w:rsid w:val="005D33A4"/>
    <w:rsid w:val="005D34E0"/>
    <w:rsid w:val="005D3565"/>
    <w:rsid w:val="005D35EF"/>
    <w:rsid w:val="005D3636"/>
    <w:rsid w:val="005D3650"/>
    <w:rsid w:val="005D367E"/>
    <w:rsid w:val="005D379D"/>
    <w:rsid w:val="005D384A"/>
    <w:rsid w:val="005D3864"/>
    <w:rsid w:val="005D386B"/>
    <w:rsid w:val="005D38F0"/>
    <w:rsid w:val="005D39D7"/>
    <w:rsid w:val="005D39E7"/>
    <w:rsid w:val="005D39EE"/>
    <w:rsid w:val="005D3ADB"/>
    <w:rsid w:val="005D3B05"/>
    <w:rsid w:val="005D3B2F"/>
    <w:rsid w:val="005D3BFD"/>
    <w:rsid w:val="005D3C82"/>
    <w:rsid w:val="005D3CB9"/>
    <w:rsid w:val="005D3CDA"/>
    <w:rsid w:val="005D3DD1"/>
    <w:rsid w:val="005D3E4A"/>
    <w:rsid w:val="005D3E68"/>
    <w:rsid w:val="005D3E7A"/>
    <w:rsid w:val="005D3F1B"/>
    <w:rsid w:val="005D3F46"/>
    <w:rsid w:val="005D3F99"/>
    <w:rsid w:val="005D4001"/>
    <w:rsid w:val="005D4099"/>
    <w:rsid w:val="005D4124"/>
    <w:rsid w:val="005D413C"/>
    <w:rsid w:val="005D4181"/>
    <w:rsid w:val="005D41A2"/>
    <w:rsid w:val="005D422E"/>
    <w:rsid w:val="005D4259"/>
    <w:rsid w:val="005D428B"/>
    <w:rsid w:val="005D4290"/>
    <w:rsid w:val="005D42F7"/>
    <w:rsid w:val="005D435F"/>
    <w:rsid w:val="005D43BE"/>
    <w:rsid w:val="005D43F9"/>
    <w:rsid w:val="005D4453"/>
    <w:rsid w:val="005D44BC"/>
    <w:rsid w:val="005D450C"/>
    <w:rsid w:val="005D45B6"/>
    <w:rsid w:val="005D4617"/>
    <w:rsid w:val="005D4667"/>
    <w:rsid w:val="005D46AE"/>
    <w:rsid w:val="005D471A"/>
    <w:rsid w:val="005D488B"/>
    <w:rsid w:val="005D4947"/>
    <w:rsid w:val="005D4959"/>
    <w:rsid w:val="005D4A27"/>
    <w:rsid w:val="005D4A64"/>
    <w:rsid w:val="005D4AD3"/>
    <w:rsid w:val="005D4B2D"/>
    <w:rsid w:val="005D4B34"/>
    <w:rsid w:val="005D4C07"/>
    <w:rsid w:val="005D4CAD"/>
    <w:rsid w:val="005D4D3A"/>
    <w:rsid w:val="005D4D57"/>
    <w:rsid w:val="005D4E67"/>
    <w:rsid w:val="005D4E7D"/>
    <w:rsid w:val="005D4E86"/>
    <w:rsid w:val="005D4EC9"/>
    <w:rsid w:val="005D4ECC"/>
    <w:rsid w:val="005D4EDE"/>
    <w:rsid w:val="005D4F0F"/>
    <w:rsid w:val="005D4F4D"/>
    <w:rsid w:val="005D4F52"/>
    <w:rsid w:val="005D4F54"/>
    <w:rsid w:val="005D4F5F"/>
    <w:rsid w:val="005D4F6E"/>
    <w:rsid w:val="005D4FCB"/>
    <w:rsid w:val="005D5001"/>
    <w:rsid w:val="005D50EB"/>
    <w:rsid w:val="005D51DF"/>
    <w:rsid w:val="005D52DC"/>
    <w:rsid w:val="005D53D8"/>
    <w:rsid w:val="005D53F2"/>
    <w:rsid w:val="005D5400"/>
    <w:rsid w:val="005D557A"/>
    <w:rsid w:val="005D562A"/>
    <w:rsid w:val="005D56C6"/>
    <w:rsid w:val="005D5717"/>
    <w:rsid w:val="005D57D7"/>
    <w:rsid w:val="005D5805"/>
    <w:rsid w:val="005D584F"/>
    <w:rsid w:val="005D5952"/>
    <w:rsid w:val="005D59FF"/>
    <w:rsid w:val="005D5A26"/>
    <w:rsid w:val="005D5ADE"/>
    <w:rsid w:val="005D5B21"/>
    <w:rsid w:val="005D5BB4"/>
    <w:rsid w:val="005D5C3A"/>
    <w:rsid w:val="005D5C56"/>
    <w:rsid w:val="005D5D12"/>
    <w:rsid w:val="005D5DF2"/>
    <w:rsid w:val="005D5F1B"/>
    <w:rsid w:val="005D5F88"/>
    <w:rsid w:val="005D5FAB"/>
    <w:rsid w:val="005D60D0"/>
    <w:rsid w:val="005D60FE"/>
    <w:rsid w:val="005D6183"/>
    <w:rsid w:val="005D6276"/>
    <w:rsid w:val="005D6289"/>
    <w:rsid w:val="005D63C5"/>
    <w:rsid w:val="005D63F3"/>
    <w:rsid w:val="005D63FC"/>
    <w:rsid w:val="005D6734"/>
    <w:rsid w:val="005D677F"/>
    <w:rsid w:val="005D6851"/>
    <w:rsid w:val="005D6876"/>
    <w:rsid w:val="005D6919"/>
    <w:rsid w:val="005D69FC"/>
    <w:rsid w:val="005D6ABD"/>
    <w:rsid w:val="005D6AD8"/>
    <w:rsid w:val="005D6B6B"/>
    <w:rsid w:val="005D6B90"/>
    <w:rsid w:val="005D6C3F"/>
    <w:rsid w:val="005D6C9B"/>
    <w:rsid w:val="005D6CA1"/>
    <w:rsid w:val="005D6CAD"/>
    <w:rsid w:val="005D6CB4"/>
    <w:rsid w:val="005D6D06"/>
    <w:rsid w:val="005D6DA9"/>
    <w:rsid w:val="005D6DC4"/>
    <w:rsid w:val="005D6E06"/>
    <w:rsid w:val="005D6E0E"/>
    <w:rsid w:val="005D6E98"/>
    <w:rsid w:val="005D6EA5"/>
    <w:rsid w:val="005D6EFF"/>
    <w:rsid w:val="005D6F1D"/>
    <w:rsid w:val="005D6F75"/>
    <w:rsid w:val="005D6F81"/>
    <w:rsid w:val="005D6FD0"/>
    <w:rsid w:val="005D70BE"/>
    <w:rsid w:val="005D7139"/>
    <w:rsid w:val="005D7180"/>
    <w:rsid w:val="005D71E0"/>
    <w:rsid w:val="005D72AA"/>
    <w:rsid w:val="005D72BE"/>
    <w:rsid w:val="005D72E7"/>
    <w:rsid w:val="005D72F3"/>
    <w:rsid w:val="005D734A"/>
    <w:rsid w:val="005D734F"/>
    <w:rsid w:val="005D7417"/>
    <w:rsid w:val="005D74C5"/>
    <w:rsid w:val="005D751F"/>
    <w:rsid w:val="005D7598"/>
    <w:rsid w:val="005D75E8"/>
    <w:rsid w:val="005D7682"/>
    <w:rsid w:val="005D7751"/>
    <w:rsid w:val="005D77B2"/>
    <w:rsid w:val="005D7892"/>
    <w:rsid w:val="005D794B"/>
    <w:rsid w:val="005D797D"/>
    <w:rsid w:val="005D7982"/>
    <w:rsid w:val="005D798A"/>
    <w:rsid w:val="005D7A00"/>
    <w:rsid w:val="005D7A38"/>
    <w:rsid w:val="005D7AC1"/>
    <w:rsid w:val="005D7AC7"/>
    <w:rsid w:val="005D7B3B"/>
    <w:rsid w:val="005D7B51"/>
    <w:rsid w:val="005D7CDC"/>
    <w:rsid w:val="005D7EFB"/>
    <w:rsid w:val="005D7F6A"/>
    <w:rsid w:val="005E0053"/>
    <w:rsid w:val="005E0082"/>
    <w:rsid w:val="005E00CA"/>
    <w:rsid w:val="005E010F"/>
    <w:rsid w:val="005E021F"/>
    <w:rsid w:val="005E0273"/>
    <w:rsid w:val="005E032E"/>
    <w:rsid w:val="005E035C"/>
    <w:rsid w:val="005E0399"/>
    <w:rsid w:val="005E04E6"/>
    <w:rsid w:val="005E04F7"/>
    <w:rsid w:val="005E0514"/>
    <w:rsid w:val="005E05DF"/>
    <w:rsid w:val="005E06EA"/>
    <w:rsid w:val="005E0707"/>
    <w:rsid w:val="005E0757"/>
    <w:rsid w:val="005E0778"/>
    <w:rsid w:val="005E077F"/>
    <w:rsid w:val="005E079A"/>
    <w:rsid w:val="005E07B3"/>
    <w:rsid w:val="005E07B8"/>
    <w:rsid w:val="005E07C2"/>
    <w:rsid w:val="005E07D4"/>
    <w:rsid w:val="005E090D"/>
    <w:rsid w:val="005E0BD7"/>
    <w:rsid w:val="005E0C45"/>
    <w:rsid w:val="005E0C69"/>
    <w:rsid w:val="005E0D22"/>
    <w:rsid w:val="005E0D6E"/>
    <w:rsid w:val="005E0DA5"/>
    <w:rsid w:val="005E0DA7"/>
    <w:rsid w:val="005E0DC3"/>
    <w:rsid w:val="005E0E01"/>
    <w:rsid w:val="005E0E16"/>
    <w:rsid w:val="005E0E2B"/>
    <w:rsid w:val="005E0E54"/>
    <w:rsid w:val="005E0E94"/>
    <w:rsid w:val="005E0EA4"/>
    <w:rsid w:val="005E0F2B"/>
    <w:rsid w:val="005E0F69"/>
    <w:rsid w:val="005E0FAA"/>
    <w:rsid w:val="005E103F"/>
    <w:rsid w:val="005E1146"/>
    <w:rsid w:val="005E11B1"/>
    <w:rsid w:val="005E11B2"/>
    <w:rsid w:val="005E1231"/>
    <w:rsid w:val="005E1356"/>
    <w:rsid w:val="005E13A4"/>
    <w:rsid w:val="005E13FC"/>
    <w:rsid w:val="005E157D"/>
    <w:rsid w:val="005E1580"/>
    <w:rsid w:val="005E15A2"/>
    <w:rsid w:val="005E1601"/>
    <w:rsid w:val="005E1638"/>
    <w:rsid w:val="005E1676"/>
    <w:rsid w:val="005E16B9"/>
    <w:rsid w:val="005E17B7"/>
    <w:rsid w:val="005E198B"/>
    <w:rsid w:val="005E1A1A"/>
    <w:rsid w:val="005E1A1D"/>
    <w:rsid w:val="005E1B8C"/>
    <w:rsid w:val="005E1BA0"/>
    <w:rsid w:val="005E1C1E"/>
    <w:rsid w:val="005E1C82"/>
    <w:rsid w:val="005E1CD0"/>
    <w:rsid w:val="005E1D24"/>
    <w:rsid w:val="005E1E32"/>
    <w:rsid w:val="005E1E53"/>
    <w:rsid w:val="005E1E76"/>
    <w:rsid w:val="005E1E7A"/>
    <w:rsid w:val="005E1EB2"/>
    <w:rsid w:val="005E1EB9"/>
    <w:rsid w:val="005E1F47"/>
    <w:rsid w:val="005E1FF6"/>
    <w:rsid w:val="005E2010"/>
    <w:rsid w:val="005E201A"/>
    <w:rsid w:val="005E2050"/>
    <w:rsid w:val="005E20C5"/>
    <w:rsid w:val="005E20E7"/>
    <w:rsid w:val="005E210C"/>
    <w:rsid w:val="005E2194"/>
    <w:rsid w:val="005E2278"/>
    <w:rsid w:val="005E235A"/>
    <w:rsid w:val="005E2382"/>
    <w:rsid w:val="005E23C2"/>
    <w:rsid w:val="005E2464"/>
    <w:rsid w:val="005E24D1"/>
    <w:rsid w:val="005E25CA"/>
    <w:rsid w:val="005E2630"/>
    <w:rsid w:val="005E265A"/>
    <w:rsid w:val="005E26AC"/>
    <w:rsid w:val="005E26F7"/>
    <w:rsid w:val="005E2775"/>
    <w:rsid w:val="005E277E"/>
    <w:rsid w:val="005E2785"/>
    <w:rsid w:val="005E27E4"/>
    <w:rsid w:val="005E27ED"/>
    <w:rsid w:val="005E27F7"/>
    <w:rsid w:val="005E28B1"/>
    <w:rsid w:val="005E293B"/>
    <w:rsid w:val="005E297D"/>
    <w:rsid w:val="005E29C2"/>
    <w:rsid w:val="005E2A0F"/>
    <w:rsid w:val="005E2A28"/>
    <w:rsid w:val="005E2A50"/>
    <w:rsid w:val="005E2A8C"/>
    <w:rsid w:val="005E2AB3"/>
    <w:rsid w:val="005E2B01"/>
    <w:rsid w:val="005E2BA2"/>
    <w:rsid w:val="005E2C03"/>
    <w:rsid w:val="005E2C46"/>
    <w:rsid w:val="005E2C7E"/>
    <w:rsid w:val="005E2CAE"/>
    <w:rsid w:val="005E2CF8"/>
    <w:rsid w:val="005E2D98"/>
    <w:rsid w:val="005E2DAC"/>
    <w:rsid w:val="005E2E05"/>
    <w:rsid w:val="005E2E0F"/>
    <w:rsid w:val="005E2E6A"/>
    <w:rsid w:val="005E2ED2"/>
    <w:rsid w:val="005E2F21"/>
    <w:rsid w:val="005E3165"/>
    <w:rsid w:val="005E316D"/>
    <w:rsid w:val="005E31E6"/>
    <w:rsid w:val="005E320E"/>
    <w:rsid w:val="005E3298"/>
    <w:rsid w:val="005E32FE"/>
    <w:rsid w:val="005E3364"/>
    <w:rsid w:val="005E336F"/>
    <w:rsid w:val="005E33C9"/>
    <w:rsid w:val="005E3439"/>
    <w:rsid w:val="005E343C"/>
    <w:rsid w:val="005E351C"/>
    <w:rsid w:val="005E3540"/>
    <w:rsid w:val="005E35B7"/>
    <w:rsid w:val="005E35BE"/>
    <w:rsid w:val="005E35D0"/>
    <w:rsid w:val="005E35E9"/>
    <w:rsid w:val="005E3625"/>
    <w:rsid w:val="005E3693"/>
    <w:rsid w:val="005E377B"/>
    <w:rsid w:val="005E3929"/>
    <w:rsid w:val="005E394B"/>
    <w:rsid w:val="005E3971"/>
    <w:rsid w:val="005E39CD"/>
    <w:rsid w:val="005E3A0E"/>
    <w:rsid w:val="005E3A88"/>
    <w:rsid w:val="005E3AC6"/>
    <w:rsid w:val="005E3B2A"/>
    <w:rsid w:val="005E3D33"/>
    <w:rsid w:val="005E3D5B"/>
    <w:rsid w:val="005E3D85"/>
    <w:rsid w:val="005E3DD3"/>
    <w:rsid w:val="005E3E14"/>
    <w:rsid w:val="005E3EFD"/>
    <w:rsid w:val="005E4033"/>
    <w:rsid w:val="005E406A"/>
    <w:rsid w:val="005E4080"/>
    <w:rsid w:val="005E40DF"/>
    <w:rsid w:val="005E4179"/>
    <w:rsid w:val="005E41CD"/>
    <w:rsid w:val="005E41FB"/>
    <w:rsid w:val="005E4231"/>
    <w:rsid w:val="005E4289"/>
    <w:rsid w:val="005E438A"/>
    <w:rsid w:val="005E441E"/>
    <w:rsid w:val="005E4428"/>
    <w:rsid w:val="005E44A5"/>
    <w:rsid w:val="005E456E"/>
    <w:rsid w:val="005E4685"/>
    <w:rsid w:val="005E46BB"/>
    <w:rsid w:val="005E46C2"/>
    <w:rsid w:val="005E46CF"/>
    <w:rsid w:val="005E470E"/>
    <w:rsid w:val="005E4732"/>
    <w:rsid w:val="005E473F"/>
    <w:rsid w:val="005E474E"/>
    <w:rsid w:val="005E47FD"/>
    <w:rsid w:val="005E499F"/>
    <w:rsid w:val="005E4B15"/>
    <w:rsid w:val="005E4BC9"/>
    <w:rsid w:val="005E4C62"/>
    <w:rsid w:val="005E4C64"/>
    <w:rsid w:val="005E4CB0"/>
    <w:rsid w:val="005E4D14"/>
    <w:rsid w:val="005E4D52"/>
    <w:rsid w:val="005E4D65"/>
    <w:rsid w:val="005E4DB7"/>
    <w:rsid w:val="005E4DFC"/>
    <w:rsid w:val="005E4E2F"/>
    <w:rsid w:val="005E4E62"/>
    <w:rsid w:val="005E4E75"/>
    <w:rsid w:val="005E4ED8"/>
    <w:rsid w:val="005E4F18"/>
    <w:rsid w:val="005E4F43"/>
    <w:rsid w:val="005E4FBB"/>
    <w:rsid w:val="005E5002"/>
    <w:rsid w:val="005E5005"/>
    <w:rsid w:val="005E5013"/>
    <w:rsid w:val="005E5072"/>
    <w:rsid w:val="005E5073"/>
    <w:rsid w:val="005E50B1"/>
    <w:rsid w:val="005E50F9"/>
    <w:rsid w:val="005E516E"/>
    <w:rsid w:val="005E526B"/>
    <w:rsid w:val="005E5318"/>
    <w:rsid w:val="005E534E"/>
    <w:rsid w:val="005E5387"/>
    <w:rsid w:val="005E5444"/>
    <w:rsid w:val="005E544A"/>
    <w:rsid w:val="005E54E3"/>
    <w:rsid w:val="005E553E"/>
    <w:rsid w:val="005E55B9"/>
    <w:rsid w:val="005E56F0"/>
    <w:rsid w:val="005E56FD"/>
    <w:rsid w:val="005E5720"/>
    <w:rsid w:val="005E5786"/>
    <w:rsid w:val="005E57E2"/>
    <w:rsid w:val="005E57ED"/>
    <w:rsid w:val="005E57FE"/>
    <w:rsid w:val="005E580E"/>
    <w:rsid w:val="005E588D"/>
    <w:rsid w:val="005E58AC"/>
    <w:rsid w:val="005E5904"/>
    <w:rsid w:val="005E592A"/>
    <w:rsid w:val="005E5A6E"/>
    <w:rsid w:val="005E5ACA"/>
    <w:rsid w:val="005E5ADB"/>
    <w:rsid w:val="005E5B27"/>
    <w:rsid w:val="005E5B4B"/>
    <w:rsid w:val="005E5BB9"/>
    <w:rsid w:val="005E5BDB"/>
    <w:rsid w:val="005E5BEF"/>
    <w:rsid w:val="005E5BFC"/>
    <w:rsid w:val="005E5C28"/>
    <w:rsid w:val="005E5C64"/>
    <w:rsid w:val="005E5CDA"/>
    <w:rsid w:val="005E5D5A"/>
    <w:rsid w:val="005E5E4A"/>
    <w:rsid w:val="005E5E4C"/>
    <w:rsid w:val="005E5E6C"/>
    <w:rsid w:val="005E5F0C"/>
    <w:rsid w:val="005E5F35"/>
    <w:rsid w:val="005E5F37"/>
    <w:rsid w:val="005E601C"/>
    <w:rsid w:val="005E6161"/>
    <w:rsid w:val="005E6215"/>
    <w:rsid w:val="005E62EF"/>
    <w:rsid w:val="005E6335"/>
    <w:rsid w:val="005E64DC"/>
    <w:rsid w:val="005E64DE"/>
    <w:rsid w:val="005E65A7"/>
    <w:rsid w:val="005E673B"/>
    <w:rsid w:val="005E676D"/>
    <w:rsid w:val="005E6776"/>
    <w:rsid w:val="005E67CE"/>
    <w:rsid w:val="005E67EE"/>
    <w:rsid w:val="005E6870"/>
    <w:rsid w:val="005E68F6"/>
    <w:rsid w:val="005E6A0B"/>
    <w:rsid w:val="005E6A4B"/>
    <w:rsid w:val="005E6AC6"/>
    <w:rsid w:val="005E6AFA"/>
    <w:rsid w:val="005E6B54"/>
    <w:rsid w:val="005E6C48"/>
    <w:rsid w:val="005E6C4B"/>
    <w:rsid w:val="005E6CE4"/>
    <w:rsid w:val="005E6D5D"/>
    <w:rsid w:val="005E6D69"/>
    <w:rsid w:val="005E6DFB"/>
    <w:rsid w:val="005E6E05"/>
    <w:rsid w:val="005E6E1F"/>
    <w:rsid w:val="005E6E70"/>
    <w:rsid w:val="005E6E8D"/>
    <w:rsid w:val="005E6E9C"/>
    <w:rsid w:val="005E6F22"/>
    <w:rsid w:val="005E6F3A"/>
    <w:rsid w:val="005E6F84"/>
    <w:rsid w:val="005E6F86"/>
    <w:rsid w:val="005E6F9A"/>
    <w:rsid w:val="005E6FB1"/>
    <w:rsid w:val="005E707B"/>
    <w:rsid w:val="005E70B6"/>
    <w:rsid w:val="005E70C3"/>
    <w:rsid w:val="005E718F"/>
    <w:rsid w:val="005E719A"/>
    <w:rsid w:val="005E7291"/>
    <w:rsid w:val="005E734D"/>
    <w:rsid w:val="005E7415"/>
    <w:rsid w:val="005E74AA"/>
    <w:rsid w:val="005E758C"/>
    <w:rsid w:val="005E75E8"/>
    <w:rsid w:val="005E7611"/>
    <w:rsid w:val="005E7661"/>
    <w:rsid w:val="005E7802"/>
    <w:rsid w:val="005E7820"/>
    <w:rsid w:val="005E7882"/>
    <w:rsid w:val="005E78FF"/>
    <w:rsid w:val="005E7901"/>
    <w:rsid w:val="005E793D"/>
    <w:rsid w:val="005E799B"/>
    <w:rsid w:val="005E79AF"/>
    <w:rsid w:val="005E7A08"/>
    <w:rsid w:val="005E7A30"/>
    <w:rsid w:val="005E7A51"/>
    <w:rsid w:val="005E7A6C"/>
    <w:rsid w:val="005E7B02"/>
    <w:rsid w:val="005E7B15"/>
    <w:rsid w:val="005E7BBD"/>
    <w:rsid w:val="005E7C2E"/>
    <w:rsid w:val="005E7D0C"/>
    <w:rsid w:val="005E7D53"/>
    <w:rsid w:val="005E7E63"/>
    <w:rsid w:val="005E7E8E"/>
    <w:rsid w:val="005E7FC4"/>
    <w:rsid w:val="005F0086"/>
    <w:rsid w:val="005F009A"/>
    <w:rsid w:val="005F009C"/>
    <w:rsid w:val="005F0235"/>
    <w:rsid w:val="005F0282"/>
    <w:rsid w:val="005F0322"/>
    <w:rsid w:val="005F03BD"/>
    <w:rsid w:val="005F0404"/>
    <w:rsid w:val="005F051A"/>
    <w:rsid w:val="005F05E2"/>
    <w:rsid w:val="005F05E7"/>
    <w:rsid w:val="005F05FE"/>
    <w:rsid w:val="005F0686"/>
    <w:rsid w:val="005F06B0"/>
    <w:rsid w:val="005F070B"/>
    <w:rsid w:val="005F083F"/>
    <w:rsid w:val="005F08E8"/>
    <w:rsid w:val="005F098F"/>
    <w:rsid w:val="005F09C4"/>
    <w:rsid w:val="005F09CC"/>
    <w:rsid w:val="005F0A2C"/>
    <w:rsid w:val="005F0AD5"/>
    <w:rsid w:val="005F0AD6"/>
    <w:rsid w:val="005F0B0C"/>
    <w:rsid w:val="005F0B11"/>
    <w:rsid w:val="005F0B27"/>
    <w:rsid w:val="005F0B6C"/>
    <w:rsid w:val="005F0B94"/>
    <w:rsid w:val="005F0CBA"/>
    <w:rsid w:val="005F0CD0"/>
    <w:rsid w:val="005F0D95"/>
    <w:rsid w:val="005F0EA0"/>
    <w:rsid w:val="005F0EB2"/>
    <w:rsid w:val="005F0EDA"/>
    <w:rsid w:val="005F0F01"/>
    <w:rsid w:val="005F0F2F"/>
    <w:rsid w:val="005F0F91"/>
    <w:rsid w:val="005F0F9E"/>
    <w:rsid w:val="005F0FE7"/>
    <w:rsid w:val="005F0FF2"/>
    <w:rsid w:val="005F1085"/>
    <w:rsid w:val="005F1104"/>
    <w:rsid w:val="005F112C"/>
    <w:rsid w:val="005F1176"/>
    <w:rsid w:val="005F123B"/>
    <w:rsid w:val="005F1266"/>
    <w:rsid w:val="005F126F"/>
    <w:rsid w:val="005F132B"/>
    <w:rsid w:val="005F134F"/>
    <w:rsid w:val="005F13C8"/>
    <w:rsid w:val="005F1474"/>
    <w:rsid w:val="005F147D"/>
    <w:rsid w:val="005F148A"/>
    <w:rsid w:val="005F1584"/>
    <w:rsid w:val="005F1615"/>
    <w:rsid w:val="005F178F"/>
    <w:rsid w:val="005F1886"/>
    <w:rsid w:val="005F1A25"/>
    <w:rsid w:val="005F1AE0"/>
    <w:rsid w:val="005F1B76"/>
    <w:rsid w:val="005F1B8F"/>
    <w:rsid w:val="005F1BF3"/>
    <w:rsid w:val="005F1C15"/>
    <w:rsid w:val="005F1C5D"/>
    <w:rsid w:val="005F1D71"/>
    <w:rsid w:val="005F1DE9"/>
    <w:rsid w:val="005F1DFD"/>
    <w:rsid w:val="005F1E92"/>
    <w:rsid w:val="005F1EAD"/>
    <w:rsid w:val="005F1EE4"/>
    <w:rsid w:val="005F1EEA"/>
    <w:rsid w:val="005F1EF9"/>
    <w:rsid w:val="005F1EFD"/>
    <w:rsid w:val="005F1F28"/>
    <w:rsid w:val="005F1F6D"/>
    <w:rsid w:val="005F204A"/>
    <w:rsid w:val="005F2053"/>
    <w:rsid w:val="005F2101"/>
    <w:rsid w:val="005F2143"/>
    <w:rsid w:val="005F2259"/>
    <w:rsid w:val="005F22F1"/>
    <w:rsid w:val="005F22F6"/>
    <w:rsid w:val="005F2349"/>
    <w:rsid w:val="005F23CC"/>
    <w:rsid w:val="005F23E3"/>
    <w:rsid w:val="005F245E"/>
    <w:rsid w:val="005F250F"/>
    <w:rsid w:val="005F25EB"/>
    <w:rsid w:val="005F264E"/>
    <w:rsid w:val="005F26EE"/>
    <w:rsid w:val="005F273C"/>
    <w:rsid w:val="005F2770"/>
    <w:rsid w:val="005F2799"/>
    <w:rsid w:val="005F27A5"/>
    <w:rsid w:val="005F27DC"/>
    <w:rsid w:val="005F28C4"/>
    <w:rsid w:val="005F2907"/>
    <w:rsid w:val="005F298F"/>
    <w:rsid w:val="005F2A32"/>
    <w:rsid w:val="005F2AC1"/>
    <w:rsid w:val="005F2B1E"/>
    <w:rsid w:val="005F2B6D"/>
    <w:rsid w:val="005F2C1A"/>
    <w:rsid w:val="005F2D34"/>
    <w:rsid w:val="005F2D63"/>
    <w:rsid w:val="005F2D8F"/>
    <w:rsid w:val="005F2E3B"/>
    <w:rsid w:val="005F2E5B"/>
    <w:rsid w:val="005F2E8A"/>
    <w:rsid w:val="005F2ED1"/>
    <w:rsid w:val="005F2EF1"/>
    <w:rsid w:val="005F2F08"/>
    <w:rsid w:val="005F2F24"/>
    <w:rsid w:val="005F2F49"/>
    <w:rsid w:val="005F301B"/>
    <w:rsid w:val="005F3062"/>
    <w:rsid w:val="005F3076"/>
    <w:rsid w:val="005F3093"/>
    <w:rsid w:val="005F30D7"/>
    <w:rsid w:val="005F316A"/>
    <w:rsid w:val="005F3190"/>
    <w:rsid w:val="005F319F"/>
    <w:rsid w:val="005F31CF"/>
    <w:rsid w:val="005F3263"/>
    <w:rsid w:val="005F32D5"/>
    <w:rsid w:val="005F3306"/>
    <w:rsid w:val="005F33A0"/>
    <w:rsid w:val="005F3401"/>
    <w:rsid w:val="005F3402"/>
    <w:rsid w:val="005F3470"/>
    <w:rsid w:val="005F35C7"/>
    <w:rsid w:val="005F3606"/>
    <w:rsid w:val="005F3607"/>
    <w:rsid w:val="005F3678"/>
    <w:rsid w:val="005F3727"/>
    <w:rsid w:val="005F3774"/>
    <w:rsid w:val="005F37BD"/>
    <w:rsid w:val="005F38A5"/>
    <w:rsid w:val="005F38BF"/>
    <w:rsid w:val="005F38CE"/>
    <w:rsid w:val="005F39DB"/>
    <w:rsid w:val="005F3A9C"/>
    <w:rsid w:val="005F3B53"/>
    <w:rsid w:val="005F3B55"/>
    <w:rsid w:val="005F3B78"/>
    <w:rsid w:val="005F3BCA"/>
    <w:rsid w:val="005F3C4C"/>
    <w:rsid w:val="005F3C53"/>
    <w:rsid w:val="005F3CC2"/>
    <w:rsid w:val="005F3D57"/>
    <w:rsid w:val="005F3E76"/>
    <w:rsid w:val="005F3EBB"/>
    <w:rsid w:val="005F3F03"/>
    <w:rsid w:val="005F3F29"/>
    <w:rsid w:val="005F3F34"/>
    <w:rsid w:val="005F3FB9"/>
    <w:rsid w:val="005F3FCF"/>
    <w:rsid w:val="005F403D"/>
    <w:rsid w:val="005F40D8"/>
    <w:rsid w:val="005F419C"/>
    <w:rsid w:val="005F41A8"/>
    <w:rsid w:val="005F41D7"/>
    <w:rsid w:val="005F423F"/>
    <w:rsid w:val="005F42CE"/>
    <w:rsid w:val="005F42D7"/>
    <w:rsid w:val="005F42DB"/>
    <w:rsid w:val="005F42E5"/>
    <w:rsid w:val="005F42EC"/>
    <w:rsid w:val="005F4331"/>
    <w:rsid w:val="005F451E"/>
    <w:rsid w:val="005F4573"/>
    <w:rsid w:val="005F45C9"/>
    <w:rsid w:val="005F464A"/>
    <w:rsid w:val="005F4652"/>
    <w:rsid w:val="005F46C7"/>
    <w:rsid w:val="005F47A7"/>
    <w:rsid w:val="005F4809"/>
    <w:rsid w:val="005F483B"/>
    <w:rsid w:val="005F4893"/>
    <w:rsid w:val="005F48A4"/>
    <w:rsid w:val="005F48EB"/>
    <w:rsid w:val="005F4940"/>
    <w:rsid w:val="005F4990"/>
    <w:rsid w:val="005F4A9E"/>
    <w:rsid w:val="005F4DAB"/>
    <w:rsid w:val="005F4E4F"/>
    <w:rsid w:val="005F4E7B"/>
    <w:rsid w:val="005F4F2D"/>
    <w:rsid w:val="005F4F4F"/>
    <w:rsid w:val="005F507C"/>
    <w:rsid w:val="005F50D5"/>
    <w:rsid w:val="005F50E7"/>
    <w:rsid w:val="005F5117"/>
    <w:rsid w:val="005F5126"/>
    <w:rsid w:val="005F515C"/>
    <w:rsid w:val="005F5187"/>
    <w:rsid w:val="005F51BA"/>
    <w:rsid w:val="005F51C3"/>
    <w:rsid w:val="005F51D2"/>
    <w:rsid w:val="005F5275"/>
    <w:rsid w:val="005F527C"/>
    <w:rsid w:val="005F5297"/>
    <w:rsid w:val="005F52BB"/>
    <w:rsid w:val="005F52D1"/>
    <w:rsid w:val="005F53C9"/>
    <w:rsid w:val="005F541A"/>
    <w:rsid w:val="005F5420"/>
    <w:rsid w:val="005F5425"/>
    <w:rsid w:val="005F5499"/>
    <w:rsid w:val="005F555D"/>
    <w:rsid w:val="005F556B"/>
    <w:rsid w:val="005F5632"/>
    <w:rsid w:val="005F56FD"/>
    <w:rsid w:val="005F570E"/>
    <w:rsid w:val="005F5718"/>
    <w:rsid w:val="005F575B"/>
    <w:rsid w:val="005F577C"/>
    <w:rsid w:val="005F57A2"/>
    <w:rsid w:val="005F57D1"/>
    <w:rsid w:val="005F57E7"/>
    <w:rsid w:val="005F57FF"/>
    <w:rsid w:val="005F5887"/>
    <w:rsid w:val="005F58A3"/>
    <w:rsid w:val="005F58C9"/>
    <w:rsid w:val="005F58F7"/>
    <w:rsid w:val="005F5962"/>
    <w:rsid w:val="005F5A31"/>
    <w:rsid w:val="005F5A9E"/>
    <w:rsid w:val="005F5AFA"/>
    <w:rsid w:val="005F5B3E"/>
    <w:rsid w:val="005F5B90"/>
    <w:rsid w:val="005F5B9E"/>
    <w:rsid w:val="005F5BF8"/>
    <w:rsid w:val="005F5C3B"/>
    <w:rsid w:val="005F5C7A"/>
    <w:rsid w:val="005F5CEA"/>
    <w:rsid w:val="005F5D63"/>
    <w:rsid w:val="005F5D6D"/>
    <w:rsid w:val="005F5DD8"/>
    <w:rsid w:val="005F5E0F"/>
    <w:rsid w:val="005F5E58"/>
    <w:rsid w:val="005F5F6A"/>
    <w:rsid w:val="005F5FAD"/>
    <w:rsid w:val="005F5FC3"/>
    <w:rsid w:val="005F601B"/>
    <w:rsid w:val="005F6059"/>
    <w:rsid w:val="005F60D7"/>
    <w:rsid w:val="005F60EF"/>
    <w:rsid w:val="005F6170"/>
    <w:rsid w:val="005F61CE"/>
    <w:rsid w:val="005F623F"/>
    <w:rsid w:val="005F62E9"/>
    <w:rsid w:val="005F6313"/>
    <w:rsid w:val="005F6463"/>
    <w:rsid w:val="005F64A7"/>
    <w:rsid w:val="005F64F3"/>
    <w:rsid w:val="005F65FB"/>
    <w:rsid w:val="005F6606"/>
    <w:rsid w:val="005F66A3"/>
    <w:rsid w:val="005F66CF"/>
    <w:rsid w:val="005F66DE"/>
    <w:rsid w:val="005F6844"/>
    <w:rsid w:val="005F6881"/>
    <w:rsid w:val="005F68AC"/>
    <w:rsid w:val="005F68B6"/>
    <w:rsid w:val="005F693B"/>
    <w:rsid w:val="005F6952"/>
    <w:rsid w:val="005F69BD"/>
    <w:rsid w:val="005F6AC6"/>
    <w:rsid w:val="005F6B78"/>
    <w:rsid w:val="005F6BF8"/>
    <w:rsid w:val="005F6CC0"/>
    <w:rsid w:val="005F6DBF"/>
    <w:rsid w:val="005F6E36"/>
    <w:rsid w:val="005F6F12"/>
    <w:rsid w:val="005F6F72"/>
    <w:rsid w:val="005F7057"/>
    <w:rsid w:val="005F7121"/>
    <w:rsid w:val="005F71A1"/>
    <w:rsid w:val="005F71DA"/>
    <w:rsid w:val="005F7210"/>
    <w:rsid w:val="005F72D6"/>
    <w:rsid w:val="005F730F"/>
    <w:rsid w:val="005F7313"/>
    <w:rsid w:val="005F73B9"/>
    <w:rsid w:val="005F7432"/>
    <w:rsid w:val="005F7449"/>
    <w:rsid w:val="005F7458"/>
    <w:rsid w:val="005F7573"/>
    <w:rsid w:val="005F7633"/>
    <w:rsid w:val="005F7673"/>
    <w:rsid w:val="005F76CF"/>
    <w:rsid w:val="005F776A"/>
    <w:rsid w:val="005F7788"/>
    <w:rsid w:val="005F779F"/>
    <w:rsid w:val="005F7820"/>
    <w:rsid w:val="005F7822"/>
    <w:rsid w:val="005F78E7"/>
    <w:rsid w:val="005F7911"/>
    <w:rsid w:val="005F7919"/>
    <w:rsid w:val="005F799C"/>
    <w:rsid w:val="005F79D7"/>
    <w:rsid w:val="005F7B75"/>
    <w:rsid w:val="005F7B7C"/>
    <w:rsid w:val="005F7C3E"/>
    <w:rsid w:val="005F7C9C"/>
    <w:rsid w:val="005F7CD2"/>
    <w:rsid w:val="005F7CF1"/>
    <w:rsid w:val="005F7D02"/>
    <w:rsid w:val="005F7D0B"/>
    <w:rsid w:val="005F7E85"/>
    <w:rsid w:val="005F7EBC"/>
    <w:rsid w:val="005F7EF6"/>
    <w:rsid w:val="005F7FFA"/>
    <w:rsid w:val="005FF127"/>
    <w:rsid w:val="00600059"/>
    <w:rsid w:val="006000B3"/>
    <w:rsid w:val="00600103"/>
    <w:rsid w:val="00600196"/>
    <w:rsid w:val="00600232"/>
    <w:rsid w:val="0060023D"/>
    <w:rsid w:val="00600260"/>
    <w:rsid w:val="00600264"/>
    <w:rsid w:val="00600274"/>
    <w:rsid w:val="006002D7"/>
    <w:rsid w:val="00600340"/>
    <w:rsid w:val="00600357"/>
    <w:rsid w:val="0060038B"/>
    <w:rsid w:val="0060039B"/>
    <w:rsid w:val="006003FC"/>
    <w:rsid w:val="00600440"/>
    <w:rsid w:val="006004C6"/>
    <w:rsid w:val="0060054E"/>
    <w:rsid w:val="0060059E"/>
    <w:rsid w:val="006005A9"/>
    <w:rsid w:val="006005C2"/>
    <w:rsid w:val="0060070F"/>
    <w:rsid w:val="0060079E"/>
    <w:rsid w:val="00600848"/>
    <w:rsid w:val="0060084C"/>
    <w:rsid w:val="00600860"/>
    <w:rsid w:val="00600872"/>
    <w:rsid w:val="00600877"/>
    <w:rsid w:val="0060089E"/>
    <w:rsid w:val="006008BA"/>
    <w:rsid w:val="006008E4"/>
    <w:rsid w:val="00600907"/>
    <w:rsid w:val="0060090B"/>
    <w:rsid w:val="00600968"/>
    <w:rsid w:val="006009DD"/>
    <w:rsid w:val="006009DE"/>
    <w:rsid w:val="006009F7"/>
    <w:rsid w:val="00600A27"/>
    <w:rsid w:val="00600A5B"/>
    <w:rsid w:val="00600A86"/>
    <w:rsid w:val="00600B43"/>
    <w:rsid w:val="00600B4D"/>
    <w:rsid w:val="00600B7A"/>
    <w:rsid w:val="00600BFF"/>
    <w:rsid w:val="00600C83"/>
    <w:rsid w:val="00600CBD"/>
    <w:rsid w:val="00600D7A"/>
    <w:rsid w:val="00600DE9"/>
    <w:rsid w:val="00600E21"/>
    <w:rsid w:val="00600E25"/>
    <w:rsid w:val="00600E95"/>
    <w:rsid w:val="00600F14"/>
    <w:rsid w:val="00600F1D"/>
    <w:rsid w:val="00600F29"/>
    <w:rsid w:val="00600FC8"/>
    <w:rsid w:val="006010EF"/>
    <w:rsid w:val="0060113D"/>
    <w:rsid w:val="00601178"/>
    <w:rsid w:val="006011BB"/>
    <w:rsid w:val="006011BE"/>
    <w:rsid w:val="006011C0"/>
    <w:rsid w:val="0060129E"/>
    <w:rsid w:val="0060129F"/>
    <w:rsid w:val="0060131B"/>
    <w:rsid w:val="0060138D"/>
    <w:rsid w:val="00601395"/>
    <w:rsid w:val="00601433"/>
    <w:rsid w:val="00601439"/>
    <w:rsid w:val="00601463"/>
    <w:rsid w:val="006014D1"/>
    <w:rsid w:val="006014E6"/>
    <w:rsid w:val="0060159B"/>
    <w:rsid w:val="006015BE"/>
    <w:rsid w:val="00601613"/>
    <w:rsid w:val="00601623"/>
    <w:rsid w:val="0060163B"/>
    <w:rsid w:val="0060167B"/>
    <w:rsid w:val="006016AC"/>
    <w:rsid w:val="006016B8"/>
    <w:rsid w:val="006016E3"/>
    <w:rsid w:val="0060176B"/>
    <w:rsid w:val="00601792"/>
    <w:rsid w:val="006017DA"/>
    <w:rsid w:val="0060180B"/>
    <w:rsid w:val="00601817"/>
    <w:rsid w:val="00601838"/>
    <w:rsid w:val="00601846"/>
    <w:rsid w:val="0060185D"/>
    <w:rsid w:val="0060195A"/>
    <w:rsid w:val="00601975"/>
    <w:rsid w:val="0060199C"/>
    <w:rsid w:val="006019C9"/>
    <w:rsid w:val="00601ABC"/>
    <w:rsid w:val="00601AE7"/>
    <w:rsid w:val="00601C0E"/>
    <w:rsid w:val="00601C24"/>
    <w:rsid w:val="00601D1B"/>
    <w:rsid w:val="00601D24"/>
    <w:rsid w:val="00601DA6"/>
    <w:rsid w:val="00601DDD"/>
    <w:rsid w:val="00601E0E"/>
    <w:rsid w:val="00601E24"/>
    <w:rsid w:val="00601E26"/>
    <w:rsid w:val="00601E2E"/>
    <w:rsid w:val="00601ECC"/>
    <w:rsid w:val="00601F4A"/>
    <w:rsid w:val="00601F74"/>
    <w:rsid w:val="00601FBA"/>
    <w:rsid w:val="00601FE8"/>
    <w:rsid w:val="00602051"/>
    <w:rsid w:val="0060205B"/>
    <w:rsid w:val="00602088"/>
    <w:rsid w:val="0060208E"/>
    <w:rsid w:val="006020D6"/>
    <w:rsid w:val="006020DC"/>
    <w:rsid w:val="00602219"/>
    <w:rsid w:val="00602229"/>
    <w:rsid w:val="0060227C"/>
    <w:rsid w:val="0060238D"/>
    <w:rsid w:val="006023BD"/>
    <w:rsid w:val="00602440"/>
    <w:rsid w:val="006024C0"/>
    <w:rsid w:val="00602576"/>
    <w:rsid w:val="006025E6"/>
    <w:rsid w:val="0060264F"/>
    <w:rsid w:val="00602660"/>
    <w:rsid w:val="00602699"/>
    <w:rsid w:val="006027CB"/>
    <w:rsid w:val="00602865"/>
    <w:rsid w:val="0060295C"/>
    <w:rsid w:val="00602A1B"/>
    <w:rsid w:val="00602A3E"/>
    <w:rsid w:val="00602B01"/>
    <w:rsid w:val="00602B99"/>
    <w:rsid w:val="00602BBE"/>
    <w:rsid w:val="00602C3E"/>
    <w:rsid w:val="00602C80"/>
    <w:rsid w:val="00602D44"/>
    <w:rsid w:val="00602E7B"/>
    <w:rsid w:val="00602EE7"/>
    <w:rsid w:val="00603081"/>
    <w:rsid w:val="00603097"/>
    <w:rsid w:val="00603131"/>
    <w:rsid w:val="00603276"/>
    <w:rsid w:val="006032AA"/>
    <w:rsid w:val="006033A0"/>
    <w:rsid w:val="006033B6"/>
    <w:rsid w:val="006033BA"/>
    <w:rsid w:val="0060342E"/>
    <w:rsid w:val="00603563"/>
    <w:rsid w:val="0060358C"/>
    <w:rsid w:val="0060371B"/>
    <w:rsid w:val="0060374F"/>
    <w:rsid w:val="006038E1"/>
    <w:rsid w:val="0060397A"/>
    <w:rsid w:val="00603A83"/>
    <w:rsid w:val="00603B00"/>
    <w:rsid w:val="00603B36"/>
    <w:rsid w:val="00603B49"/>
    <w:rsid w:val="00603BCC"/>
    <w:rsid w:val="00603C6D"/>
    <w:rsid w:val="00603CF2"/>
    <w:rsid w:val="00603D79"/>
    <w:rsid w:val="00603DA7"/>
    <w:rsid w:val="00603DA8"/>
    <w:rsid w:val="00603DD6"/>
    <w:rsid w:val="00603E05"/>
    <w:rsid w:val="00603E9A"/>
    <w:rsid w:val="00603F0E"/>
    <w:rsid w:val="00603FDF"/>
    <w:rsid w:val="0060404C"/>
    <w:rsid w:val="00604095"/>
    <w:rsid w:val="006040BC"/>
    <w:rsid w:val="00604101"/>
    <w:rsid w:val="00604118"/>
    <w:rsid w:val="00604121"/>
    <w:rsid w:val="00604173"/>
    <w:rsid w:val="006042D6"/>
    <w:rsid w:val="0060432E"/>
    <w:rsid w:val="006043E3"/>
    <w:rsid w:val="006044A1"/>
    <w:rsid w:val="006044C7"/>
    <w:rsid w:val="006044D5"/>
    <w:rsid w:val="00604615"/>
    <w:rsid w:val="00604777"/>
    <w:rsid w:val="006047D9"/>
    <w:rsid w:val="00604801"/>
    <w:rsid w:val="0060487D"/>
    <w:rsid w:val="006048C9"/>
    <w:rsid w:val="0060493F"/>
    <w:rsid w:val="00604981"/>
    <w:rsid w:val="0060498E"/>
    <w:rsid w:val="00604A2E"/>
    <w:rsid w:val="00604A31"/>
    <w:rsid w:val="00604AED"/>
    <w:rsid w:val="00604B15"/>
    <w:rsid w:val="00604B29"/>
    <w:rsid w:val="00604B6E"/>
    <w:rsid w:val="00604BE4"/>
    <w:rsid w:val="00604BFE"/>
    <w:rsid w:val="00604C09"/>
    <w:rsid w:val="00604C4A"/>
    <w:rsid w:val="00604C81"/>
    <w:rsid w:val="00604CAB"/>
    <w:rsid w:val="00604D81"/>
    <w:rsid w:val="00604DD9"/>
    <w:rsid w:val="006050F5"/>
    <w:rsid w:val="00605120"/>
    <w:rsid w:val="0060519C"/>
    <w:rsid w:val="00605215"/>
    <w:rsid w:val="00605241"/>
    <w:rsid w:val="0060524B"/>
    <w:rsid w:val="00605281"/>
    <w:rsid w:val="006052FA"/>
    <w:rsid w:val="0060534B"/>
    <w:rsid w:val="00605473"/>
    <w:rsid w:val="0060547B"/>
    <w:rsid w:val="006054DD"/>
    <w:rsid w:val="006055AA"/>
    <w:rsid w:val="0060560F"/>
    <w:rsid w:val="00605668"/>
    <w:rsid w:val="006056DD"/>
    <w:rsid w:val="00605796"/>
    <w:rsid w:val="006057AF"/>
    <w:rsid w:val="006057F8"/>
    <w:rsid w:val="00605850"/>
    <w:rsid w:val="006058CD"/>
    <w:rsid w:val="0060594A"/>
    <w:rsid w:val="0060596E"/>
    <w:rsid w:val="00605A17"/>
    <w:rsid w:val="00605A1E"/>
    <w:rsid w:val="00605A71"/>
    <w:rsid w:val="00605ADC"/>
    <w:rsid w:val="00605AE3"/>
    <w:rsid w:val="00605B32"/>
    <w:rsid w:val="00605BA0"/>
    <w:rsid w:val="00605C28"/>
    <w:rsid w:val="00605C4B"/>
    <w:rsid w:val="00605C5D"/>
    <w:rsid w:val="00605D3F"/>
    <w:rsid w:val="00605E15"/>
    <w:rsid w:val="00605E5E"/>
    <w:rsid w:val="00605EA2"/>
    <w:rsid w:val="00605EFA"/>
    <w:rsid w:val="00605F07"/>
    <w:rsid w:val="00605FF1"/>
    <w:rsid w:val="0060604D"/>
    <w:rsid w:val="0060607B"/>
    <w:rsid w:val="006060BC"/>
    <w:rsid w:val="006060C4"/>
    <w:rsid w:val="00606125"/>
    <w:rsid w:val="0060619C"/>
    <w:rsid w:val="006061CC"/>
    <w:rsid w:val="006062D6"/>
    <w:rsid w:val="006062E8"/>
    <w:rsid w:val="00606307"/>
    <w:rsid w:val="0060636B"/>
    <w:rsid w:val="0060639A"/>
    <w:rsid w:val="006063A3"/>
    <w:rsid w:val="006063E5"/>
    <w:rsid w:val="0060643E"/>
    <w:rsid w:val="00606485"/>
    <w:rsid w:val="006064E7"/>
    <w:rsid w:val="006064EA"/>
    <w:rsid w:val="0060654B"/>
    <w:rsid w:val="00606555"/>
    <w:rsid w:val="0060656E"/>
    <w:rsid w:val="00606581"/>
    <w:rsid w:val="006065A1"/>
    <w:rsid w:val="006065CA"/>
    <w:rsid w:val="006065F3"/>
    <w:rsid w:val="00606617"/>
    <w:rsid w:val="00606633"/>
    <w:rsid w:val="00606661"/>
    <w:rsid w:val="006066B3"/>
    <w:rsid w:val="0060677F"/>
    <w:rsid w:val="006067F2"/>
    <w:rsid w:val="006069B5"/>
    <w:rsid w:val="006069F7"/>
    <w:rsid w:val="00606A23"/>
    <w:rsid w:val="00606A50"/>
    <w:rsid w:val="00606A55"/>
    <w:rsid w:val="00606AA3"/>
    <w:rsid w:val="00606BBC"/>
    <w:rsid w:val="00606C2F"/>
    <w:rsid w:val="00606C43"/>
    <w:rsid w:val="00606C8F"/>
    <w:rsid w:val="006070D0"/>
    <w:rsid w:val="0060718A"/>
    <w:rsid w:val="006071F6"/>
    <w:rsid w:val="00607219"/>
    <w:rsid w:val="0060726B"/>
    <w:rsid w:val="006072E7"/>
    <w:rsid w:val="00607361"/>
    <w:rsid w:val="0060736B"/>
    <w:rsid w:val="00607376"/>
    <w:rsid w:val="006073CC"/>
    <w:rsid w:val="00607445"/>
    <w:rsid w:val="00607476"/>
    <w:rsid w:val="006074D0"/>
    <w:rsid w:val="006074ED"/>
    <w:rsid w:val="00607505"/>
    <w:rsid w:val="00607517"/>
    <w:rsid w:val="0060756C"/>
    <w:rsid w:val="00607578"/>
    <w:rsid w:val="0060764F"/>
    <w:rsid w:val="00607653"/>
    <w:rsid w:val="00607701"/>
    <w:rsid w:val="006077DC"/>
    <w:rsid w:val="00607819"/>
    <w:rsid w:val="006078DA"/>
    <w:rsid w:val="0060794A"/>
    <w:rsid w:val="00607987"/>
    <w:rsid w:val="00607ADD"/>
    <w:rsid w:val="00607B45"/>
    <w:rsid w:val="00607B6D"/>
    <w:rsid w:val="00607B87"/>
    <w:rsid w:val="00607B9D"/>
    <w:rsid w:val="00607BA1"/>
    <w:rsid w:val="00607BD9"/>
    <w:rsid w:val="00607C04"/>
    <w:rsid w:val="00607C2C"/>
    <w:rsid w:val="00607C32"/>
    <w:rsid w:val="00607CFE"/>
    <w:rsid w:val="00607DD6"/>
    <w:rsid w:val="00607EA8"/>
    <w:rsid w:val="00607FAA"/>
    <w:rsid w:val="00607FBC"/>
    <w:rsid w:val="0061002C"/>
    <w:rsid w:val="0061005B"/>
    <w:rsid w:val="006100BD"/>
    <w:rsid w:val="006100C0"/>
    <w:rsid w:val="006100E6"/>
    <w:rsid w:val="006100EB"/>
    <w:rsid w:val="00610191"/>
    <w:rsid w:val="0061024B"/>
    <w:rsid w:val="006102C1"/>
    <w:rsid w:val="00610369"/>
    <w:rsid w:val="006103B2"/>
    <w:rsid w:val="006103B7"/>
    <w:rsid w:val="0061041F"/>
    <w:rsid w:val="0061043F"/>
    <w:rsid w:val="00610475"/>
    <w:rsid w:val="00610485"/>
    <w:rsid w:val="006104D5"/>
    <w:rsid w:val="006104E5"/>
    <w:rsid w:val="00610537"/>
    <w:rsid w:val="0061059B"/>
    <w:rsid w:val="006105E3"/>
    <w:rsid w:val="0061060C"/>
    <w:rsid w:val="006106A3"/>
    <w:rsid w:val="006107B4"/>
    <w:rsid w:val="006107E6"/>
    <w:rsid w:val="006107E8"/>
    <w:rsid w:val="00610870"/>
    <w:rsid w:val="006108EF"/>
    <w:rsid w:val="006109A1"/>
    <w:rsid w:val="00610AA2"/>
    <w:rsid w:val="00610B83"/>
    <w:rsid w:val="00610B9B"/>
    <w:rsid w:val="00610CBA"/>
    <w:rsid w:val="00610D4A"/>
    <w:rsid w:val="00610DEA"/>
    <w:rsid w:val="00610E01"/>
    <w:rsid w:val="00610E8C"/>
    <w:rsid w:val="00610EDE"/>
    <w:rsid w:val="00610F23"/>
    <w:rsid w:val="00610FF4"/>
    <w:rsid w:val="0061109E"/>
    <w:rsid w:val="00611110"/>
    <w:rsid w:val="00611139"/>
    <w:rsid w:val="006111A9"/>
    <w:rsid w:val="006111BB"/>
    <w:rsid w:val="006111EC"/>
    <w:rsid w:val="0061129C"/>
    <w:rsid w:val="006112B9"/>
    <w:rsid w:val="0061136C"/>
    <w:rsid w:val="0061139C"/>
    <w:rsid w:val="0061147E"/>
    <w:rsid w:val="006114BB"/>
    <w:rsid w:val="006114C9"/>
    <w:rsid w:val="006114EF"/>
    <w:rsid w:val="00611597"/>
    <w:rsid w:val="006115E4"/>
    <w:rsid w:val="00611605"/>
    <w:rsid w:val="00611630"/>
    <w:rsid w:val="006117C1"/>
    <w:rsid w:val="00611862"/>
    <w:rsid w:val="00611895"/>
    <w:rsid w:val="00611964"/>
    <w:rsid w:val="006119B6"/>
    <w:rsid w:val="006119F6"/>
    <w:rsid w:val="00611A01"/>
    <w:rsid w:val="00611A48"/>
    <w:rsid w:val="00611A5E"/>
    <w:rsid w:val="00611A86"/>
    <w:rsid w:val="00611B98"/>
    <w:rsid w:val="00611BC6"/>
    <w:rsid w:val="00611BE8"/>
    <w:rsid w:val="00611C22"/>
    <w:rsid w:val="00611C3C"/>
    <w:rsid w:val="00611D13"/>
    <w:rsid w:val="00611D3F"/>
    <w:rsid w:val="00611D65"/>
    <w:rsid w:val="00611F59"/>
    <w:rsid w:val="00611F95"/>
    <w:rsid w:val="00611FC1"/>
    <w:rsid w:val="00611FDC"/>
    <w:rsid w:val="00611FF7"/>
    <w:rsid w:val="0061206E"/>
    <w:rsid w:val="006120D8"/>
    <w:rsid w:val="0061213D"/>
    <w:rsid w:val="0061217D"/>
    <w:rsid w:val="006122D9"/>
    <w:rsid w:val="00612393"/>
    <w:rsid w:val="00612407"/>
    <w:rsid w:val="00612440"/>
    <w:rsid w:val="006124E1"/>
    <w:rsid w:val="00612568"/>
    <w:rsid w:val="006125AF"/>
    <w:rsid w:val="006125BD"/>
    <w:rsid w:val="006125C8"/>
    <w:rsid w:val="006125E2"/>
    <w:rsid w:val="00612610"/>
    <w:rsid w:val="00612614"/>
    <w:rsid w:val="0061266D"/>
    <w:rsid w:val="00612716"/>
    <w:rsid w:val="006127AF"/>
    <w:rsid w:val="00612820"/>
    <w:rsid w:val="0061284A"/>
    <w:rsid w:val="00612872"/>
    <w:rsid w:val="006128A1"/>
    <w:rsid w:val="00612986"/>
    <w:rsid w:val="006129FC"/>
    <w:rsid w:val="00612AC5"/>
    <w:rsid w:val="00612ADC"/>
    <w:rsid w:val="00612AE8"/>
    <w:rsid w:val="00612BEA"/>
    <w:rsid w:val="00612C49"/>
    <w:rsid w:val="00612C62"/>
    <w:rsid w:val="00612CA2"/>
    <w:rsid w:val="00612CCF"/>
    <w:rsid w:val="00612CE0"/>
    <w:rsid w:val="00612D31"/>
    <w:rsid w:val="00612DD5"/>
    <w:rsid w:val="00612DF0"/>
    <w:rsid w:val="00612DF9"/>
    <w:rsid w:val="00612E20"/>
    <w:rsid w:val="00612E35"/>
    <w:rsid w:val="00612EB1"/>
    <w:rsid w:val="00612EC5"/>
    <w:rsid w:val="00612F37"/>
    <w:rsid w:val="00612F9A"/>
    <w:rsid w:val="00612FD6"/>
    <w:rsid w:val="00613008"/>
    <w:rsid w:val="00613134"/>
    <w:rsid w:val="0061313C"/>
    <w:rsid w:val="0061314D"/>
    <w:rsid w:val="00613175"/>
    <w:rsid w:val="00613195"/>
    <w:rsid w:val="006131DF"/>
    <w:rsid w:val="0061325A"/>
    <w:rsid w:val="0061334F"/>
    <w:rsid w:val="006133BD"/>
    <w:rsid w:val="006133FF"/>
    <w:rsid w:val="00613453"/>
    <w:rsid w:val="00613521"/>
    <w:rsid w:val="0061358F"/>
    <w:rsid w:val="006135AB"/>
    <w:rsid w:val="006135EF"/>
    <w:rsid w:val="0061362B"/>
    <w:rsid w:val="0061362E"/>
    <w:rsid w:val="0061368D"/>
    <w:rsid w:val="006136D4"/>
    <w:rsid w:val="00613755"/>
    <w:rsid w:val="006137B7"/>
    <w:rsid w:val="006137D0"/>
    <w:rsid w:val="00613841"/>
    <w:rsid w:val="0061385F"/>
    <w:rsid w:val="00613891"/>
    <w:rsid w:val="006138D7"/>
    <w:rsid w:val="0061397F"/>
    <w:rsid w:val="006139DE"/>
    <w:rsid w:val="00613A99"/>
    <w:rsid w:val="00613ACB"/>
    <w:rsid w:val="00613ADD"/>
    <w:rsid w:val="00613B69"/>
    <w:rsid w:val="00613B80"/>
    <w:rsid w:val="00613BA0"/>
    <w:rsid w:val="00613BB3"/>
    <w:rsid w:val="00613C46"/>
    <w:rsid w:val="00613D20"/>
    <w:rsid w:val="00613D48"/>
    <w:rsid w:val="00613E4A"/>
    <w:rsid w:val="00613E9D"/>
    <w:rsid w:val="00613EA6"/>
    <w:rsid w:val="00613F7E"/>
    <w:rsid w:val="00614002"/>
    <w:rsid w:val="0061401C"/>
    <w:rsid w:val="00614049"/>
    <w:rsid w:val="0061409E"/>
    <w:rsid w:val="006140CA"/>
    <w:rsid w:val="00614198"/>
    <w:rsid w:val="006141CC"/>
    <w:rsid w:val="006141FA"/>
    <w:rsid w:val="00614286"/>
    <w:rsid w:val="006142D9"/>
    <w:rsid w:val="00614314"/>
    <w:rsid w:val="0061431B"/>
    <w:rsid w:val="0061447C"/>
    <w:rsid w:val="00614507"/>
    <w:rsid w:val="0061451E"/>
    <w:rsid w:val="0061457F"/>
    <w:rsid w:val="006145D6"/>
    <w:rsid w:val="00614611"/>
    <w:rsid w:val="00614669"/>
    <w:rsid w:val="00614765"/>
    <w:rsid w:val="0061486A"/>
    <w:rsid w:val="00614884"/>
    <w:rsid w:val="0061488F"/>
    <w:rsid w:val="006148BD"/>
    <w:rsid w:val="006148F5"/>
    <w:rsid w:val="00614954"/>
    <w:rsid w:val="00614960"/>
    <w:rsid w:val="00614983"/>
    <w:rsid w:val="006149D5"/>
    <w:rsid w:val="00614A9C"/>
    <w:rsid w:val="00614ABB"/>
    <w:rsid w:val="00614ABD"/>
    <w:rsid w:val="00614AEA"/>
    <w:rsid w:val="00614BD3"/>
    <w:rsid w:val="00614BDD"/>
    <w:rsid w:val="00614C0D"/>
    <w:rsid w:val="00614C30"/>
    <w:rsid w:val="00614C6C"/>
    <w:rsid w:val="00614C83"/>
    <w:rsid w:val="00614CC8"/>
    <w:rsid w:val="00614CF6"/>
    <w:rsid w:val="00614D25"/>
    <w:rsid w:val="00614D67"/>
    <w:rsid w:val="00614DBA"/>
    <w:rsid w:val="00614DDE"/>
    <w:rsid w:val="00614E3A"/>
    <w:rsid w:val="00614E7F"/>
    <w:rsid w:val="00614EAB"/>
    <w:rsid w:val="00614FA7"/>
    <w:rsid w:val="0061504A"/>
    <w:rsid w:val="00615089"/>
    <w:rsid w:val="00615093"/>
    <w:rsid w:val="00615227"/>
    <w:rsid w:val="00615296"/>
    <w:rsid w:val="006152DF"/>
    <w:rsid w:val="006153C3"/>
    <w:rsid w:val="006153C8"/>
    <w:rsid w:val="006153EA"/>
    <w:rsid w:val="006154B2"/>
    <w:rsid w:val="00615562"/>
    <w:rsid w:val="0061558E"/>
    <w:rsid w:val="006155A9"/>
    <w:rsid w:val="006155B7"/>
    <w:rsid w:val="006155E9"/>
    <w:rsid w:val="00615624"/>
    <w:rsid w:val="00615651"/>
    <w:rsid w:val="006156C0"/>
    <w:rsid w:val="00615711"/>
    <w:rsid w:val="0061571C"/>
    <w:rsid w:val="00615797"/>
    <w:rsid w:val="00615810"/>
    <w:rsid w:val="0061588B"/>
    <w:rsid w:val="006158A6"/>
    <w:rsid w:val="006158AB"/>
    <w:rsid w:val="006158B5"/>
    <w:rsid w:val="006158C5"/>
    <w:rsid w:val="00615A1B"/>
    <w:rsid w:val="00615A1D"/>
    <w:rsid w:val="00615A3A"/>
    <w:rsid w:val="00615B05"/>
    <w:rsid w:val="00615BED"/>
    <w:rsid w:val="00615CCF"/>
    <w:rsid w:val="00615E0B"/>
    <w:rsid w:val="00615E23"/>
    <w:rsid w:val="00615E4E"/>
    <w:rsid w:val="00615E52"/>
    <w:rsid w:val="00615E95"/>
    <w:rsid w:val="00616075"/>
    <w:rsid w:val="00616094"/>
    <w:rsid w:val="006160AE"/>
    <w:rsid w:val="006160C5"/>
    <w:rsid w:val="006160ED"/>
    <w:rsid w:val="00616175"/>
    <w:rsid w:val="006161AB"/>
    <w:rsid w:val="006161CD"/>
    <w:rsid w:val="006161E0"/>
    <w:rsid w:val="00616201"/>
    <w:rsid w:val="00616202"/>
    <w:rsid w:val="00616270"/>
    <w:rsid w:val="006164E7"/>
    <w:rsid w:val="0061653C"/>
    <w:rsid w:val="006165F9"/>
    <w:rsid w:val="00616639"/>
    <w:rsid w:val="0061669D"/>
    <w:rsid w:val="0061670C"/>
    <w:rsid w:val="00616765"/>
    <w:rsid w:val="00616770"/>
    <w:rsid w:val="00616801"/>
    <w:rsid w:val="0061682C"/>
    <w:rsid w:val="006168DE"/>
    <w:rsid w:val="006168E3"/>
    <w:rsid w:val="00616923"/>
    <w:rsid w:val="006169D0"/>
    <w:rsid w:val="006169F5"/>
    <w:rsid w:val="00616BB3"/>
    <w:rsid w:val="00616C6C"/>
    <w:rsid w:val="00616D7B"/>
    <w:rsid w:val="00616D89"/>
    <w:rsid w:val="00616F93"/>
    <w:rsid w:val="00616FCC"/>
    <w:rsid w:val="0061704C"/>
    <w:rsid w:val="00617097"/>
    <w:rsid w:val="006170D6"/>
    <w:rsid w:val="00617184"/>
    <w:rsid w:val="006171BF"/>
    <w:rsid w:val="0061725F"/>
    <w:rsid w:val="0061728C"/>
    <w:rsid w:val="0061728F"/>
    <w:rsid w:val="0061731E"/>
    <w:rsid w:val="00617399"/>
    <w:rsid w:val="0061741D"/>
    <w:rsid w:val="00617431"/>
    <w:rsid w:val="00617458"/>
    <w:rsid w:val="006174BB"/>
    <w:rsid w:val="006174C4"/>
    <w:rsid w:val="00617505"/>
    <w:rsid w:val="006176A3"/>
    <w:rsid w:val="00617760"/>
    <w:rsid w:val="006177AE"/>
    <w:rsid w:val="006178B9"/>
    <w:rsid w:val="006178EE"/>
    <w:rsid w:val="0061791F"/>
    <w:rsid w:val="0061793C"/>
    <w:rsid w:val="00617A28"/>
    <w:rsid w:val="00617A34"/>
    <w:rsid w:val="00617A66"/>
    <w:rsid w:val="00617B04"/>
    <w:rsid w:val="00617B1D"/>
    <w:rsid w:val="00617BD1"/>
    <w:rsid w:val="00617C14"/>
    <w:rsid w:val="00617CAB"/>
    <w:rsid w:val="00617D5B"/>
    <w:rsid w:val="00617DFB"/>
    <w:rsid w:val="00617EE4"/>
    <w:rsid w:val="00617F0C"/>
    <w:rsid w:val="00617FBB"/>
    <w:rsid w:val="00620001"/>
    <w:rsid w:val="0062005B"/>
    <w:rsid w:val="0062005E"/>
    <w:rsid w:val="0062008C"/>
    <w:rsid w:val="006200EA"/>
    <w:rsid w:val="006200F6"/>
    <w:rsid w:val="0062010E"/>
    <w:rsid w:val="006201B7"/>
    <w:rsid w:val="006201E4"/>
    <w:rsid w:val="006201F6"/>
    <w:rsid w:val="006202CC"/>
    <w:rsid w:val="006202F4"/>
    <w:rsid w:val="00620303"/>
    <w:rsid w:val="0062032D"/>
    <w:rsid w:val="0062033E"/>
    <w:rsid w:val="00620363"/>
    <w:rsid w:val="0062039F"/>
    <w:rsid w:val="006203B8"/>
    <w:rsid w:val="00620420"/>
    <w:rsid w:val="006204A4"/>
    <w:rsid w:val="006204C3"/>
    <w:rsid w:val="006204E1"/>
    <w:rsid w:val="0062050D"/>
    <w:rsid w:val="00620561"/>
    <w:rsid w:val="0062064C"/>
    <w:rsid w:val="00620658"/>
    <w:rsid w:val="0062077C"/>
    <w:rsid w:val="006207BF"/>
    <w:rsid w:val="00620817"/>
    <w:rsid w:val="00620976"/>
    <w:rsid w:val="00620A50"/>
    <w:rsid w:val="00620A83"/>
    <w:rsid w:val="00620BDE"/>
    <w:rsid w:val="00620C55"/>
    <w:rsid w:val="00620D05"/>
    <w:rsid w:val="00620D3F"/>
    <w:rsid w:val="00620D52"/>
    <w:rsid w:val="00620DCA"/>
    <w:rsid w:val="00620E69"/>
    <w:rsid w:val="00620E95"/>
    <w:rsid w:val="00620EEF"/>
    <w:rsid w:val="00621025"/>
    <w:rsid w:val="006210A5"/>
    <w:rsid w:val="00621110"/>
    <w:rsid w:val="0062113A"/>
    <w:rsid w:val="00621174"/>
    <w:rsid w:val="00621182"/>
    <w:rsid w:val="006211ED"/>
    <w:rsid w:val="006211F6"/>
    <w:rsid w:val="0062125E"/>
    <w:rsid w:val="0062128D"/>
    <w:rsid w:val="0062129C"/>
    <w:rsid w:val="006212D3"/>
    <w:rsid w:val="00621382"/>
    <w:rsid w:val="00621391"/>
    <w:rsid w:val="0062139F"/>
    <w:rsid w:val="006213F0"/>
    <w:rsid w:val="00621433"/>
    <w:rsid w:val="0062149A"/>
    <w:rsid w:val="006214E4"/>
    <w:rsid w:val="0062151B"/>
    <w:rsid w:val="006215F0"/>
    <w:rsid w:val="006216B7"/>
    <w:rsid w:val="006216FB"/>
    <w:rsid w:val="006216FE"/>
    <w:rsid w:val="0062178F"/>
    <w:rsid w:val="00621813"/>
    <w:rsid w:val="0062187A"/>
    <w:rsid w:val="00621884"/>
    <w:rsid w:val="0062192A"/>
    <w:rsid w:val="0062196D"/>
    <w:rsid w:val="0062199E"/>
    <w:rsid w:val="00621A09"/>
    <w:rsid w:val="00621A29"/>
    <w:rsid w:val="00621A44"/>
    <w:rsid w:val="00621A7F"/>
    <w:rsid w:val="00621A88"/>
    <w:rsid w:val="00621A9D"/>
    <w:rsid w:val="00621B96"/>
    <w:rsid w:val="00621BA1"/>
    <w:rsid w:val="00621BD8"/>
    <w:rsid w:val="00621CC1"/>
    <w:rsid w:val="00621CDA"/>
    <w:rsid w:val="00621CDE"/>
    <w:rsid w:val="00621D34"/>
    <w:rsid w:val="00621D5D"/>
    <w:rsid w:val="00621D83"/>
    <w:rsid w:val="00621E2E"/>
    <w:rsid w:val="00621E3E"/>
    <w:rsid w:val="00621E56"/>
    <w:rsid w:val="00621E5C"/>
    <w:rsid w:val="00621E9C"/>
    <w:rsid w:val="00621EDD"/>
    <w:rsid w:val="00621F1D"/>
    <w:rsid w:val="00621F3D"/>
    <w:rsid w:val="00621FB3"/>
    <w:rsid w:val="006220CE"/>
    <w:rsid w:val="0062218A"/>
    <w:rsid w:val="0062218C"/>
    <w:rsid w:val="006222D6"/>
    <w:rsid w:val="006222F7"/>
    <w:rsid w:val="0062230B"/>
    <w:rsid w:val="0062234B"/>
    <w:rsid w:val="0062236A"/>
    <w:rsid w:val="006223D8"/>
    <w:rsid w:val="00622477"/>
    <w:rsid w:val="00622505"/>
    <w:rsid w:val="00622512"/>
    <w:rsid w:val="00622586"/>
    <w:rsid w:val="0062258D"/>
    <w:rsid w:val="006225E7"/>
    <w:rsid w:val="00622647"/>
    <w:rsid w:val="00622693"/>
    <w:rsid w:val="0062275D"/>
    <w:rsid w:val="00622807"/>
    <w:rsid w:val="00622810"/>
    <w:rsid w:val="006228CA"/>
    <w:rsid w:val="00622931"/>
    <w:rsid w:val="00622936"/>
    <w:rsid w:val="00622998"/>
    <w:rsid w:val="00622999"/>
    <w:rsid w:val="006229CB"/>
    <w:rsid w:val="00622B95"/>
    <w:rsid w:val="00622BAB"/>
    <w:rsid w:val="00622C07"/>
    <w:rsid w:val="00622C8F"/>
    <w:rsid w:val="00622CBE"/>
    <w:rsid w:val="00622DD2"/>
    <w:rsid w:val="00622E21"/>
    <w:rsid w:val="00622E62"/>
    <w:rsid w:val="00622EA0"/>
    <w:rsid w:val="00622F4D"/>
    <w:rsid w:val="00622F51"/>
    <w:rsid w:val="00622F6B"/>
    <w:rsid w:val="00622FCE"/>
    <w:rsid w:val="00623023"/>
    <w:rsid w:val="0062302F"/>
    <w:rsid w:val="0062305F"/>
    <w:rsid w:val="00623078"/>
    <w:rsid w:val="00623103"/>
    <w:rsid w:val="00623111"/>
    <w:rsid w:val="0062315E"/>
    <w:rsid w:val="00623232"/>
    <w:rsid w:val="0062329C"/>
    <w:rsid w:val="0062335B"/>
    <w:rsid w:val="00623375"/>
    <w:rsid w:val="0062337B"/>
    <w:rsid w:val="006233DC"/>
    <w:rsid w:val="00623402"/>
    <w:rsid w:val="0062340A"/>
    <w:rsid w:val="00623427"/>
    <w:rsid w:val="00623448"/>
    <w:rsid w:val="00623518"/>
    <w:rsid w:val="00623565"/>
    <w:rsid w:val="00623570"/>
    <w:rsid w:val="006235E4"/>
    <w:rsid w:val="0062363B"/>
    <w:rsid w:val="006236AA"/>
    <w:rsid w:val="00623752"/>
    <w:rsid w:val="00623789"/>
    <w:rsid w:val="006237A6"/>
    <w:rsid w:val="006237B0"/>
    <w:rsid w:val="00623847"/>
    <w:rsid w:val="0062389C"/>
    <w:rsid w:val="00623942"/>
    <w:rsid w:val="0062397F"/>
    <w:rsid w:val="006239FC"/>
    <w:rsid w:val="00623A37"/>
    <w:rsid w:val="00623A3B"/>
    <w:rsid w:val="00623A3D"/>
    <w:rsid w:val="00623A72"/>
    <w:rsid w:val="00623AB8"/>
    <w:rsid w:val="00623B07"/>
    <w:rsid w:val="00623B96"/>
    <w:rsid w:val="00623BBA"/>
    <w:rsid w:val="00623BD7"/>
    <w:rsid w:val="00623C7B"/>
    <w:rsid w:val="00623CE3"/>
    <w:rsid w:val="00623CFE"/>
    <w:rsid w:val="00623DC9"/>
    <w:rsid w:val="00623DF9"/>
    <w:rsid w:val="00623E1B"/>
    <w:rsid w:val="00623E82"/>
    <w:rsid w:val="00623EBC"/>
    <w:rsid w:val="00623F07"/>
    <w:rsid w:val="00623F2D"/>
    <w:rsid w:val="00623F77"/>
    <w:rsid w:val="00623FC2"/>
    <w:rsid w:val="00623FEC"/>
    <w:rsid w:val="00623FED"/>
    <w:rsid w:val="0062402C"/>
    <w:rsid w:val="00624241"/>
    <w:rsid w:val="0062427D"/>
    <w:rsid w:val="0062437C"/>
    <w:rsid w:val="006243D0"/>
    <w:rsid w:val="006244AD"/>
    <w:rsid w:val="0062456B"/>
    <w:rsid w:val="00624595"/>
    <w:rsid w:val="00624606"/>
    <w:rsid w:val="00624627"/>
    <w:rsid w:val="0062462F"/>
    <w:rsid w:val="006246DD"/>
    <w:rsid w:val="00624744"/>
    <w:rsid w:val="0062475F"/>
    <w:rsid w:val="006247AF"/>
    <w:rsid w:val="006247D4"/>
    <w:rsid w:val="0062485F"/>
    <w:rsid w:val="0062487B"/>
    <w:rsid w:val="0062498E"/>
    <w:rsid w:val="00624A57"/>
    <w:rsid w:val="00624B04"/>
    <w:rsid w:val="00624B8B"/>
    <w:rsid w:val="00624BC5"/>
    <w:rsid w:val="00624BEA"/>
    <w:rsid w:val="00624C32"/>
    <w:rsid w:val="00624C9F"/>
    <w:rsid w:val="00624D1C"/>
    <w:rsid w:val="00624D51"/>
    <w:rsid w:val="00624D52"/>
    <w:rsid w:val="00624DDF"/>
    <w:rsid w:val="00624E83"/>
    <w:rsid w:val="00624EA8"/>
    <w:rsid w:val="00624EE5"/>
    <w:rsid w:val="00624F57"/>
    <w:rsid w:val="00624F8E"/>
    <w:rsid w:val="00625102"/>
    <w:rsid w:val="0062517C"/>
    <w:rsid w:val="006251F6"/>
    <w:rsid w:val="0062527B"/>
    <w:rsid w:val="006252C7"/>
    <w:rsid w:val="006252D5"/>
    <w:rsid w:val="006252E1"/>
    <w:rsid w:val="006252F1"/>
    <w:rsid w:val="006253AF"/>
    <w:rsid w:val="006253C8"/>
    <w:rsid w:val="006253DC"/>
    <w:rsid w:val="006253FE"/>
    <w:rsid w:val="006254E2"/>
    <w:rsid w:val="006254EC"/>
    <w:rsid w:val="00625515"/>
    <w:rsid w:val="00625543"/>
    <w:rsid w:val="00625583"/>
    <w:rsid w:val="00625593"/>
    <w:rsid w:val="006255BE"/>
    <w:rsid w:val="006255DF"/>
    <w:rsid w:val="0062569E"/>
    <w:rsid w:val="0062575F"/>
    <w:rsid w:val="006257D6"/>
    <w:rsid w:val="00625834"/>
    <w:rsid w:val="006258B0"/>
    <w:rsid w:val="00625A04"/>
    <w:rsid w:val="00625A5D"/>
    <w:rsid w:val="00625AA2"/>
    <w:rsid w:val="00625B7B"/>
    <w:rsid w:val="00625C15"/>
    <w:rsid w:val="00625C66"/>
    <w:rsid w:val="00625C80"/>
    <w:rsid w:val="00625D6D"/>
    <w:rsid w:val="00625DDB"/>
    <w:rsid w:val="00625DDC"/>
    <w:rsid w:val="00625DF8"/>
    <w:rsid w:val="00625ED2"/>
    <w:rsid w:val="00625F72"/>
    <w:rsid w:val="006260C9"/>
    <w:rsid w:val="0062610B"/>
    <w:rsid w:val="00626256"/>
    <w:rsid w:val="006262A5"/>
    <w:rsid w:val="006262BA"/>
    <w:rsid w:val="0062639A"/>
    <w:rsid w:val="006263A9"/>
    <w:rsid w:val="006263C6"/>
    <w:rsid w:val="0062641B"/>
    <w:rsid w:val="00626431"/>
    <w:rsid w:val="00626495"/>
    <w:rsid w:val="006264C6"/>
    <w:rsid w:val="006264D2"/>
    <w:rsid w:val="0062651F"/>
    <w:rsid w:val="0062653B"/>
    <w:rsid w:val="0062655F"/>
    <w:rsid w:val="0062656F"/>
    <w:rsid w:val="00626594"/>
    <w:rsid w:val="00626602"/>
    <w:rsid w:val="0062669F"/>
    <w:rsid w:val="006266FB"/>
    <w:rsid w:val="00626710"/>
    <w:rsid w:val="00626716"/>
    <w:rsid w:val="0062677D"/>
    <w:rsid w:val="0062678A"/>
    <w:rsid w:val="00626834"/>
    <w:rsid w:val="006268C9"/>
    <w:rsid w:val="006268D0"/>
    <w:rsid w:val="00626902"/>
    <w:rsid w:val="00626A00"/>
    <w:rsid w:val="00626AD3"/>
    <w:rsid w:val="00626AF1"/>
    <w:rsid w:val="00626B5E"/>
    <w:rsid w:val="00626CE0"/>
    <w:rsid w:val="00626D23"/>
    <w:rsid w:val="00626D44"/>
    <w:rsid w:val="00626E04"/>
    <w:rsid w:val="00626E70"/>
    <w:rsid w:val="00626F2D"/>
    <w:rsid w:val="00626FA0"/>
    <w:rsid w:val="0062717F"/>
    <w:rsid w:val="006271D8"/>
    <w:rsid w:val="00627390"/>
    <w:rsid w:val="006273A5"/>
    <w:rsid w:val="0062743B"/>
    <w:rsid w:val="006274B5"/>
    <w:rsid w:val="006274F3"/>
    <w:rsid w:val="00627567"/>
    <w:rsid w:val="0062760B"/>
    <w:rsid w:val="00627716"/>
    <w:rsid w:val="0062773A"/>
    <w:rsid w:val="00627816"/>
    <w:rsid w:val="0062785E"/>
    <w:rsid w:val="006278A0"/>
    <w:rsid w:val="006278CC"/>
    <w:rsid w:val="00627965"/>
    <w:rsid w:val="0062796D"/>
    <w:rsid w:val="00627A8A"/>
    <w:rsid w:val="00627A96"/>
    <w:rsid w:val="00627A97"/>
    <w:rsid w:val="00627ACF"/>
    <w:rsid w:val="00627B86"/>
    <w:rsid w:val="00627BF2"/>
    <w:rsid w:val="00627C34"/>
    <w:rsid w:val="00627C84"/>
    <w:rsid w:val="00627E88"/>
    <w:rsid w:val="00627EE8"/>
    <w:rsid w:val="00630017"/>
    <w:rsid w:val="00630050"/>
    <w:rsid w:val="00630059"/>
    <w:rsid w:val="00630061"/>
    <w:rsid w:val="006300AC"/>
    <w:rsid w:val="006300E0"/>
    <w:rsid w:val="0063010D"/>
    <w:rsid w:val="00630110"/>
    <w:rsid w:val="00630178"/>
    <w:rsid w:val="006301A7"/>
    <w:rsid w:val="006301B1"/>
    <w:rsid w:val="006301BF"/>
    <w:rsid w:val="006301DF"/>
    <w:rsid w:val="00630226"/>
    <w:rsid w:val="0063029E"/>
    <w:rsid w:val="006302D7"/>
    <w:rsid w:val="0063034B"/>
    <w:rsid w:val="0063035A"/>
    <w:rsid w:val="006303A8"/>
    <w:rsid w:val="0063042B"/>
    <w:rsid w:val="006304B3"/>
    <w:rsid w:val="00630511"/>
    <w:rsid w:val="00630543"/>
    <w:rsid w:val="00630590"/>
    <w:rsid w:val="00630594"/>
    <w:rsid w:val="006305D7"/>
    <w:rsid w:val="00630670"/>
    <w:rsid w:val="00630686"/>
    <w:rsid w:val="006307D1"/>
    <w:rsid w:val="006307D8"/>
    <w:rsid w:val="006307F8"/>
    <w:rsid w:val="00630805"/>
    <w:rsid w:val="0063086E"/>
    <w:rsid w:val="00630957"/>
    <w:rsid w:val="006309F1"/>
    <w:rsid w:val="00630A0D"/>
    <w:rsid w:val="00630A48"/>
    <w:rsid w:val="00630A6D"/>
    <w:rsid w:val="00630BD6"/>
    <w:rsid w:val="00630BEC"/>
    <w:rsid w:val="00630CA0"/>
    <w:rsid w:val="00630CEF"/>
    <w:rsid w:val="00630D19"/>
    <w:rsid w:val="00630E2A"/>
    <w:rsid w:val="00630E7F"/>
    <w:rsid w:val="00630E9B"/>
    <w:rsid w:val="00630F71"/>
    <w:rsid w:val="00630FD2"/>
    <w:rsid w:val="00631019"/>
    <w:rsid w:val="006312A8"/>
    <w:rsid w:val="00631359"/>
    <w:rsid w:val="006313D3"/>
    <w:rsid w:val="006314BC"/>
    <w:rsid w:val="00631526"/>
    <w:rsid w:val="00631529"/>
    <w:rsid w:val="00631563"/>
    <w:rsid w:val="00631592"/>
    <w:rsid w:val="0063162C"/>
    <w:rsid w:val="006317A5"/>
    <w:rsid w:val="00631917"/>
    <w:rsid w:val="0063197D"/>
    <w:rsid w:val="006319A0"/>
    <w:rsid w:val="00631A44"/>
    <w:rsid w:val="00631AEC"/>
    <w:rsid w:val="00631B24"/>
    <w:rsid w:val="00631B86"/>
    <w:rsid w:val="00631BE5"/>
    <w:rsid w:val="00631C12"/>
    <w:rsid w:val="00631C80"/>
    <w:rsid w:val="00631D1E"/>
    <w:rsid w:val="00631D69"/>
    <w:rsid w:val="00631EFD"/>
    <w:rsid w:val="00631F0B"/>
    <w:rsid w:val="00631F8E"/>
    <w:rsid w:val="00631F92"/>
    <w:rsid w:val="00631F95"/>
    <w:rsid w:val="00631F9A"/>
    <w:rsid w:val="00631FCD"/>
    <w:rsid w:val="00632003"/>
    <w:rsid w:val="0063200E"/>
    <w:rsid w:val="0063201D"/>
    <w:rsid w:val="00632098"/>
    <w:rsid w:val="006320D2"/>
    <w:rsid w:val="00632117"/>
    <w:rsid w:val="00632161"/>
    <w:rsid w:val="0063218A"/>
    <w:rsid w:val="0063223C"/>
    <w:rsid w:val="006322AC"/>
    <w:rsid w:val="00632300"/>
    <w:rsid w:val="0063235E"/>
    <w:rsid w:val="006323AA"/>
    <w:rsid w:val="006323DC"/>
    <w:rsid w:val="006323EF"/>
    <w:rsid w:val="0063240A"/>
    <w:rsid w:val="00632412"/>
    <w:rsid w:val="0063243B"/>
    <w:rsid w:val="00632467"/>
    <w:rsid w:val="006324AC"/>
    <w:rsid w:val="006324D7"/>
    <w:rsid w:val="006325FD"/>
    <w:rsid w:val="006326C1"/>
    <w:rsid w:val="0063278F"/>
    <w:rsid w:val="00632834"/>
    <w:rsid w:val="00632910"/>
    <w:rsid w:val="00632A76"/>
    <w:rsid w:val="00632AC5"/>
    <w:rsid w:val="00632B99"/>
    <w:rsid w:val="00632C07"/>
    <w:rsid w:val="00632CCD"/>
    <w:rsid w:val="00632CD5"/>
    <w:rsid w:val="00632D31"/>
    <w:rsid w:val="00632DAF"/>
    <w:rsid w:val="00632E0F"/>
    <w:rsid w:val="00632EA5"/>
    <w:rsid w:val="00632EAC"/>
    <w:rsid w:val="00632EC2"/>
    <w:rsid w:val="00632F81"/>
    <w:rsid w:val="00632F87"/>
    <w:rsid w:val="00632FCE"/>
    <w:rsid w:val="00632FD8"/>
    <w:rsid w:val="00633007"/>
    <w:rsid w:val="00633043"/>
    <w:rsid w:val="00633070"/>
    <w:rsid w:val="00633087"/>
    <w:rsid w:val="006330D4"/>
    <w:rsid w:val="006331A2"/>
    <w:rsid w:val="006331ED"/>
    <w:rsid w:val="00633212"/>
    <w:rsid w:val="0063326C"/>
    <w:rsid w:val="00633270"/>
    <w:rsid w:val="0063330E"/>
    <w:rsid w:val="006333DD"/>
    <w:rsid w:val="006333FA"/>
    <w:rsid w:val="00633440"/>
    <w:rsid w:val="00633462"/>
    <w:rsid w:val="0063351A"/>
    <w:rsid w:val="0063354C"/>
    <w:rsid w:val="006335B7"/>
    <w:rsid w:val="00633621"/>
    <w:rsid w:val="00633667"/>
    <w:rsid w:val="006337DA"/>
    <w:rsid w:val="0063381D"/>
    <w:rsid w:val="0063385C"/>
    <w:rsid w:val="006338A6"/>
    <w:rsid w:val="00633911"/>
    <w:rsid w:val="00633989"/>
    <w:rsid w:val="006339FF"/>
    <w:rsid w:val="00633A5A"/>
    <w:rsid w:val="00633A8E"/>
    <w:rsid w:val="00633ACE"/>
    <w:rsid w:val="00633B5E"/>
    <w:rsid w:val="00633B8D"/>
    <w:rsid w:val="00633BA1"/>
    <w:rsid w:val="00633BB3"/>
    <w:rsid w:val="00633C5D"/>
    <w:rsid w:val="00633C71"/>
    <w:rsid w:val="00633CBE"/>
    <w:rsid w:val="00633D5A"/>
    <w:rsid w:val="00633DC5"/>
    <w:rsid w:val="00633DD7"/>
    <w:rsid w:val="00633E31"/>
    <w:rsid w:val="00633E9A"/>
    <w:rsid w:val="00633EBD"/>
    <w:rsid w:val="00633F94"/>
    <w:rsid w:val="00634007"/>
    <w:rsid w:val="00634016"/>
    <w:rsid w:val="00634100"/>
    <w:rsid w:val="0063411F"/>
    <w:rsid w:val="006341C6"/>
    <w:rsid w:val="0063434E"/>
    <w:rsid w:val="00634353"/>
    <w:rsid w:val="00634386"/>
    <w:rsid w:val="00634482"/>
    <w:rsid w:val="006344F8"/>
    <w:rsid w:val="00634582"/>
    <w:rsid w:val="006345B3"/>
    <w:rsid w:val="0063460A"/>
    <w:rsid w:val="0063466D"/>
    <w:rsid w:val="006346D0"/>
    <w:rsid w:val="0063470C"/>
    <w:rsid w:val="0063472C"/>
    <w:rsid w:val="00634851"/>
    <w:rsid w:val="00634859"/>
    <w:rsid w:val="0063488C"/>
    <w:rsid w:val="00634982"/>
    <w:rsid w:val="00634A39"/>
    <w:rsid w:val="00634AA3"/>
    <w:rsid w:val="00634BCC"/>
    <w:rsid w:val="00634C17"/>
    <w:rsid w:val="00634D69"/>
    <w:rsid w:val="00634DD6"/>
    <w:rsid w:val="00634DD8"/>
    <w:rsid w:val="00634E49"/>
    <w:rsid w:val="00634E5A"/>
    <w:rsid w:val="00634EE2"/>
    <w:rsid w:val="00634F47"/>
    <w:rsid w:val="00634F9C"/>
    <w:rsid w:val="00634FC2"/>
    <w:rsid w:val="006350F3"/>
    <w:rsid w:val="0063513B"/>
    <w:rsid w:val="00635167"/>
    <w:rsid w:val="00635180"/>
    <w:rsid w:val="006351A5"/>
    <w:rsid w:val="006351C2"/>
    <w:rsid w:val="006351DA"/>
    <w:rsid w:val="006351E3"/>
    <w:rsid w:val="006352D0"/>
    <w:rsid w:val="006352E8"/>
    <w:rsid w:val="006353FD"/>
    <w:rsid w:val="00635475"/>
    <w:rsid w:val="006354E8"/>
    <w:rsid w:val="00635596"/>
    <w:rsid w:val="0063560B"/>
    <w:rsid w:val="00635638"/>
    <w:rsid w:val="0063582F"/>
    <w:rsid w:val="0063586A"/>
    <w:rsid w:val="00635883"/>
    <w:rsid w:val="006358D4"/>
    <w:rsid w:val="006358E3"/>
    <w:rsid w:val="00635933"/>
    <w:rsid w:val="0063596A"/>
    <w:rsid w:val="006359EC"/>
    <w:rsid w:val="00635A00"/>
    <w:rsid w:val="00635A84"/>
    <w:rsid w:val="00635ABA"/>
    <w:rsid w:val="00635AC9"/>
    <w:rsid w:val="00635B28"/>
    <w:rsid w:val="00635B46"/>
    <w:rsid w:val="00635C64"/>
    <w:rsid w:val="00635C9D"/>
    <w:rsid w:val="00635E7F"/>
    <w:rsid w:val="00635F3B"/>
    <w:rsid w:val="00635FA3"/>
    <w:rsid w:val="00635FA8"/>
    <w:rsid w:val="00635FFB"/>
    <w:rsid w:val="00635FFE"/>
    <w:rsid w:val="00636055"/>
    <w:rsid w:val="0063606D"/>
    <w:rsid w:val="006360B7"/>
    <w:rsid w:val="006360D8"/>
    <w:rsid w:val="00636134"/>
    <w:rsid w:val="0063616A"/>
    <w:rsid w:val="0063617A"/>
    <w:rsid w:val="00636191"/>
    <w:rsid w:val="006361B8"/>
    <w:rsid w:val="00636246"/>
    <w:rsid w:val="006362DA"/>
    <w:rsid w:val="0063630E"/>
    <w:rsid w:val="0063633B"/>
    <w:rsid w:val="0063634D"/>
    <w:rsid w:val="00636379"/>
    <w:rsid w:val="0063646B"/>
    <w:rsid w:val="006364D0"/>
    <w:rsid w:val="0063652C"/>
    <w:rsid w:val="00636580"/>
    <w:rsid w:val="0063666F"/>
    <w:rsid w:val="00636684"/>
    <w:rsid w:val="00636693"/>
    <w:rsid w:val="006366FA"/>
    <w:rsid w:val="0063671B"/>
    <w:rsid w:val="006367F4"/>
    <w:rsid w:val="00636854"/>
    <w:rsid w:val="0063689A"/>
    <w:rsid w:val="006368C6"/>
    <w:rsid w:val="0063694D"/>
    <w:rsid w:val="006369DB"/>
    <w:rsid w:val="00636B6B"/>
    <w:rsid w:val="00636C11"/>
    <w:rsid w:val="00636C66"/>
    <w:rsid w:val="00636CAC"/>
    <w:rsid w:val="00636CBB"/>
    <w:rsid w:val="00636CDA"/>
    <w:rsid w:val="00636CEF"/>
    <w:rsid w:val="00636D2C"/>
    <w:rsid w:val="00636D8B"/>
    <w:rsid w:val="00636DD2"/>
    <w:rsid w:val="00636DEA"/>
    <w:rsid w:val="00636E20"/>
    <w:rsid w:val="00636FB4"/>
    <w:rsid w:val="00636FE8"/>
    <w:rsid w:val="0063707C"/>
    <w:rsid w:val="006370A1"/>
    <w:rsid w:val="0063711D"/>
    <w:rsid w:val="006371B6"/>
    <w:rsid w:val="0063722E"/>
    <w:rsid w:val="00637230"/>
    <w:rsid w:val="00637260"/>
    <w:rsid w:val="0063727D"/>
    <w:rsid w:val="0063729D"/>
    <w:rsid w:val="006372E0"/>
    <w:rsid w:val="00637482"/>
    <w:rsid w:val="00637493"/>
    <w:rsid w:val="006374E1"/>
    <w:rsid w:val="006375F9"/>
    <w:rsid w:val="00637629"/>
    <w:rsid w:val="00637666"/>
    <w:rsid w:val="006376AC"/>
    <w:rsid w:val="00637730"/>
    <w:rsid w:val="00637886"/>
    <w:rsid w:val="006378B8"/>
    <w:rsid w:val="006379C7"/>
    <w:rsid w:val="006379D0"/>
    <w:rsid w:val="006379E1"/>
    <w:rsid w:val="006379EF"/>
    <w:rsid w:val="00637A11"/>
    <w:rsid w:val="00637A19"/>
    <w:rsid w:val="00637A1F"/>
    <w:rsid w:val="00637A4F"/>
    <w:rsid w:val="00637A5E"/>
    <w:rsid w:val="00637AAB"/>
    <w:rsid w:val="00637B37"/>
    <w:rsid w:val="00637BE0"/>
    <w:rsid w:val="00637BFA"/>
    <w:rsid w:val="00637D3A"/>
    <w:rsid w:val="00637DBA"/>
    <w:rsid w:val="00637F05"/>
    <w:rsid w:val="00637F27"/>
    <w:rsid w:val="00640003"/>
    <w:rsid w:val="00640023"/>
    <w:rsid w:val="00640059"/>
    <w:rsid w:val="00640064"/>
    <w:rsid w:val="00640099"/>
    <w:rsid w:val="006401B3"/>
    <w:rsid w:val="0064022F"/>
    <w:rsid w:val="0064024E"/>
    <w:rsid w:val="00640256"/>
    <w:rsid w:val="006402D6"/>
    <w:rsid w:val="006403A7"/>
    <w:rsid w:val="006403F8"/>
    <w:rsid w:val="006404AC"/>
    <w:rsid w:val="0064058D"/>
    <w:rsid w:val="0064062F"/>
    <w:rsid w:val="006406B9"/>
    <w:rsid w:val="0064070A"/>
    <w:rsid w:val="0064079B"/>
    <w:rsid w:val="00640885"/>
    <w:rsid w:val="0064092D"/>
    <w:rsid w:val="0064095B"/>
    <w:rsid w:val="00640995"/>
    <w:rsid w:val="00640A0B"/>
    <w:rsid w:val="00640A61"/>
    <w:rsid w:val="00640AD3"/>
    <w:rsid w:val="00640BAD"/>
    <w:rsid w:val="00640C35"/>
    <w:rsid w:val="00640C6F"/>
    <w:rsid w:val="00640C9B"/>
    <w:rsid w:val="00640CB6"/>
    <w:rsid w:val="00640D51"/>
    <w:rsid w:val="00640D85"/>
    <w:rsid w:val="00640D93"/>
    <w:rsid w:val="00640DAF"/>
    <w:rsid w:val="00640E14"/>
    <w:rsid w:val="00640EFF"/>
    <w:rsid w:val="00640F24"/>
    <w:rsid w:val="00640F25"/>
    <w:rsid w:val="0064108D"/>
    <w:rsid w:val="006410B6"/>
    <w:rsid w:val="006410FF"/>
    <w:rsid w:val="00641167"/>
    <w:rsid w:val="0064122F"/>
    <w:rsid w:val="00641318"/>
    <w:rsid w:val="00641374"/>
    <w:rsid w:val="006413FB"/>
    <w:rsid w:val="00641403"/>
    <w:rsid w:val="00641434"/>
    <w:rsid w:val="006414BC"/>
    <w:rsid w:val="006414E6"/>
    <w:rsid w:val="00641725"/>
    <w:rsid w:val="0064176A"/>
    <w:rsid w:val="0064182D"/>
    <w:rsid w:val="00641886"/>
    <w:rsid w:val="0064189F"/>
    <w:rsid w:val="00641920"/>
    <w:rsid w:val="0064193E"/>
    <w:rsid w:val="0064194D"/>
    <w:rsid w:val="00641A09"/>
    <w:rsid w:val="00641A69"/>
    <w:rsid w:val="00641A75"/>
    <w:rsid w:val="00641A90"/>
    <w:rsid w:val="00641AE0"/>
    <w:rsid w:val="00641C22"/>
    <w:rsid w:val="00641C23"/>
    <w:rsid w:val="00641C54"/>
    <w:rsid w:val="00641C7B"/>
    <w:rsid w:val="00641CAB"/>
    <w:rsid w:val="00641CAC"/>
    <w:rsid w:val="00641CB7"/>
    <w:rsid w:val="00641CCD"/>
    <w:rsid w:val="00641D23"/>
    <w:rsid w:val="00641D98"/>
    <w:rsid w:val="00641E2E"/>
    <w:rsid w:val="00641E67"/>
    <w:rsid w:val="00641EC1"/>
    <w:rsid w:val="00641EED"/>
    <w:rsid w:val="00641F07"/>
    <w:rsid w:val="00641F0F"/>
    <w:rsid w:val="00641FF6"/>
    <w:rsid w:val="00642024"/>
    <w:rsid w:val="0064204F"/>
    <w:rsid w:val="00642251"/>
    <w:rsid w:val="006422DC"/>
    <w:rsid w:val="00642302"/>
    <w:rsid w:val="00642435"/>
    <w:rsid w:val="0064248B"/>
    <w:rsid w:val="0064253F"/>
    <w:rsid w:val="006425A8"/>
    <w:rsid w:val="006426CD"/>
    <w:rsid w:val="00642713"/>
    <w:rsid w:val="00642733"/>
    <w:rsid w:val="0064275E"/>
    <w:rsid w:val="006427B8"/>
    <w:rsid w:val="0064282A"/>
    <w:rsid w:val="00642879"/>
    <w:rsid w:val="0064287A"/>
    <w:rsid w:val="006428AB"/>
    <w:rsid w:val="00642992"/>
    <w:rsid w:val="006429FC"/>
    <w:rsid w:val="00642A21"/>
    <w:rsid w:val="00642A33"/>
    <w:rsid w:val="00642A5A"/>
    <w:rsid w:val="00642B26"/>
    <w:rsid w:val="00642B5B"/>
    <w:rsid w:val="00642B8C"/>
    <w:rsid w:val="00642BD8"/>
    <w:rsid w:val="00642BF5"/>
    <w:rsid w:val="00642C33"/>
    <w:rsid w:val="00642C52"/>
    <w:rsid w:val="00642C69"/>
    <w:rsid w:val="00642CBD"/>
    <w:rsid w:val="00642D94"/>
    <w:rsid w:val="00642E32"/>
    <w:rsid w:val="00642F86"/>
    <w:rsid w:val="00643037"/>
    <w:rsid w:val="00643081"/>
    <w:rsid w:val="006430A3"/>
    <w:rsid w:val="00643160"/>
    <w:rsid w:val="00643162"/>
    <w:rsid w:val="006431DB"/>
    <w:rsid w:val="006431F2"/>
    <w:rsid w:val="006431F5"/>
    <w:rsid w:val="0064324C"/>
    <w:rsid w:val="0064333B"/>
    <w:rsid w:val="0064334B"/>
    <w:rsid w:val="00643376"/>
    <w:rsid w:val="006435BD"/>
    <w:rsid w:val="00643630"/>
    <w:rsid w:val="00643689"/>
    <w:rsid w:val="00643783"/>
    <w:rsid w:val="006437A4"/>
    <w:rsid w:val="0064386A"/>
    <w:rsid w:val="006438F6"/>
    <w:rsid w:val="00643924"/>
    <w:rsid w:val="0064397D"/>
    <w:rsid w:val="006439C8"/>
    <w:rsid w:val="00643A70"/>
    <w:rsid w:val="00643AEB"/>
    <w:rsid w:val="00643B4F"/>
    <w:rsid w:val="00643BAE"/>
    <w:rsid w:val="00643BE9"/>
    <w:rsid w:val="00643C00"/>
    <w:rsid w:val="00643CB4"/>
    <w:rsid w:val="00643CB7"/>
    <w:rsid w:val="00643D2B"/>
    <w:rsid w:val="00643D40"/>
    <w:rsid w:val="00643DB7"/>
    <w:rsid w:val="00643DFE"/>
    <w:rsid w:val="00643E6C"/>
    <w:rsid w:val="00643E88"/>
    <w:rsid w:val="0064408D"/>
    <w:rsid w:val="006440A5"/>
    <w:rsid w:val="006441F6"/>
    <w:rsid w:val="0064423E"/>
    <w:rsid w:val="0064426E"/>
    <w:rsid w:val="006443E7"/>
    <w:rsid w:val="006443F6"/>
    <w:rsid w:val="006443F8"/>
    <w:rsid w:val="00644400"/>
    <w:rsid w:val="00644490"/>
    <w:rsid w:val="00644519"/>
    <w:rsid w:val="00644542"/>
    <w:rsid w:val="0064456A"/>
    <w:rsid w:val="00644594"/>
    <w:rsid w:val="00644604"/>
    <w:rsid w:val="006446CD"/>
    <w:rsid w:val="00644770"/>
    <w:rsid w:val="00644772"/>
    <w:rsid w:val="006447D9"/>
    <w:rsid w:val="0064497C"/>
    <w:rsid w:val="00644984"/>
    <w:rsid w:val="0064498C"/>
    <w:rsid w:val="006449EC"/>
    <w:rsid w:val="00644A4D"/>
    <w:rsid w:val="00644A5A"/>
    <w:rsid w:val="00644B3D"/>
    <w:rsid w:val="00644B56"/>
    <w:rsid w:val="00644B97"/>
    <w:rsid w:val="00644CD6"/>
    <w:rsid w:val="00644D02"/>
    <w:rsid w:val="00644D0C"/>
    <w:rsid w:val="00644D75"/>
    <w:rsid w:val="00644D9D"/>
    <w:rsid w:val="00644E5A"/>
    <w:rsid w:val="00644E5E"/>
    <w:rsid w:val="00644E86"/>
    <w:rsid w:val="00644EA1"/>
    <w:rsid w:val="00644EDB"/>
    <w:rsid w:val="00644EE8"/>
    <w:rsid w:val="00644F28"/>
    <w:rsid w:val="00644F70"/>
    <w:rsid w:val="00644FFD"/>
    <w:rsid w:val="00645029"/>
    <w:rsid w:val="00645032"/>
    <w:rsid w:val="006450BD"/>
    <w:rsid w:val="006451DE"/>
    <w:rsid w:val="00645278"/>
    <w:rsid w:val="006453B2"/>
    <w:rsid w:val="00645436"/>
    <w:rsid w:val="00645449"/>
    <w:rsid w:val="0064548C"/>
    <w:rsid w:val="00645582"/>
    <w:rsid w:val="00645597"/>
    <w:rsid w:val="00645656"/>
    <w:rsid w:val="0064565E"/>
    <w:rsid w:val="00645675"/>
    <w:rsid w:val="006456A0"/>
    <w:rsid w:val="006456B1"/>
    <w:rsid w:val="006456B2"/>
    <w:rsid w:val="006456C5"/>
    <w:rsid w:val="006457A8"/>
    <w:rsid w:val="00645800"/>
    <w:rsid w:val="00645814"/>
    <w:rsid w:val="0064586B"/>
    <w:rsid w:val="006458E1"/>
    <w:rsid w:val="00645901"/>
    <w:rsid w:val="006459D0"/>
    <w:rsid w:val="006459F9"/>
    <w:rsid w:val="00645A0F"/>
    <w:rsid w:val="00645A43"/>
    <w:rsid w:val="00645AAF"/>
    <w:rsid w:val="00645AE1"/>
    <w:rsid w:val="00645AEF"/>
    <w:rsid w:val="00645B51"/>
    <w:rsid w:val="00645C5C"/>
    <w:rsid w:val="00645C86"/>
    <w:rsid w:val="00645CE5"/>
    <w:rsid w:val="00645DB9"/>
    <w:rsid w:val="00645E9E"/>
    <w:rsid w:val="00645F1B"/>
    <w:rsid w:val="00645F34"/>
    <w:rsid w:val="00645F41"/>
    <w:rsid w:val="00645FCB"/>
    <w:rsid w:val="0064607A"/>
    <w:rsid w:val="006460D4"/>
    <w:rsid w:val="00646117"/>
    <w:rsid w:val="0064615D"/>
    <w:rsid w:val="00646207"/>
    <w:rsid w:val="006462ED"/>
    <w:rsid w:val="0064641E"/>
    <w:rsid w:val="00646564"/>
    <w:rsid w:val="0064659A"/>
    <w:rsid w:val="00646615"/>
    <w:rsid w:val="00646696"/>
    <w:rsid w:val="006466C9"/>
    <w:rsid w:val="006466E2"/>
    <w:rsid w:val="00646766"/>
    <w:rsid w:val="006467C8"/>
    <w:rsid w:val="0064682E"/>
    <w:rsid w:val="00646832"/>
    <w:rsid w:val="00646841"/>
    <w:rsid w:val="0064694F"/>
    <w:rsid w:val="00646A67"/>
    <w:rsid w:val="00646A92"/>
    <w:rsid w:val="00646AF2"/>
    <w:rsid w:val="00646BA5"/>
    <w:rsid w:val="00646BB1"/>
    <w:rsid w:val="00646BE1"/>
    <w:rsid w:val="00646CCA"/>
    <w:rsid w:val="00646DEA"/>
    <w:rsid w:val="00646E6C"/>
    <w:rsid w:val="00646ED3"/>
    <w:rsid w:val="00646FAC"/>
    <w:rsid w:val="00646FB5"/>
    <w:rsid w:val="00646FF1"/>
    <w:rsid w:val="0064704F"/>
    <w:rsid w:val="00647059"/>
    <w:rsid w:val="0064707D"/>
    <w:rsid w:val="006470A6"/>
    <w:rsid w:val="00647131"/>
    <w:rsid w:val="00647134"/>
    <w:rsid w:val="00647274"/>
    <w:rsid w:val="006472D4"/>
    <w:rsid w:val="00647327"/>
    <w:rsid w:val="0064734A"/>
    <w:rsid w:val="00647374"/>
    <w:rsid w:val="006473C6"/>
    <w:rsid w:val="006473CF"/>
    <w:rsid w:val="006474B7"/>
    <w:rsid w:val="006474EC"/>
    <w:rsid w:val="00647561"/>
    <w:rsid w:val="0064761C"/>
    <w:rsid w:val="0064768B"/>
    <w:rsid w:val="006476A9"/>
    <w:rsid w:val="006476B1"/>
    <w:rsid w:val="0064773E"/>
    <w:rsid w:val="006477AF"/>
    <w:rsid w:val="0064780A"/>
    <w:rsid w:val="0064781F"/>
    <w:rsid w:val="006478C7"/>
    <w:rsid w:val="00647968"/>
    <w:rsid w:val="0064796E"/>
    <w:rsid w:val="006479AE"/>
    <w:rsid w:val="00647A14"/>
    <w:rsid w:val="00647AF6"/>
    <w:rsid w:val="00647B39"/>
    <w:rsid w:val="00647BB5"/>
    <w:rsid w:val="00647BDB"/>
    <w:rsid w:val="00647C3B"/>
    <w:rsid w:val="00647CB2"/>
    <w:rsid w:val="00647CB3"/>
    <w:rsid w:val="00647CBD"/>
    <w:rsid w:val="00647D8B"/>
    <w:rsid w:val="00647DE3"/>
    <w:rsid w:val="00647DE5"/>
    <w:rsid w:val="00647E0D"/>
    <w:rsid w:val="00647EAB"/>
    <w:rsid w:val="00647EF6"/>
    <w:rsid w:val="00647F5D"/>
    <w:rsid w:val="00647F65"/>
    <w:rsid w:val="00647F68"/>
    <w:rsid w:val="0065001F"/>
    <w:rsid w:val="00650063"/>
    <w:rsid w:val="0065006C"/>
    <w:rsid w:val="006500D2"/>
    <w:rsid w:val="00650180"/>
    <w:rsid w:val="006501A4"/>
    <w:rsid w:val="006501C5"/>
    <w:rsid w:val="006501F1"/>
    <w:rsid w:val="00650217"/>
    <w:rsid w:val="00650221"/>
    <w:rsid w:val="0065025D"/>
    <w:rsid w:val="0065027E"/>
    <w:rsid w:val="006502ED"/>
    <w:rsid w:val="00650345"/>
    <w:rsid w:val="006503A7"/>
    <w:rsid w:val="006503CD"/>
    <w:rsid w:val="006503DF"/>
    <w:rsid w:val="00650454"/>
    <w:rsid w:val="00650487"/>
    <w:rsid w:val="0065051D"/>
    <w:rsid w:val="00650625"/>
    <w:rsid w:val="006506FF"/>
    <w:rsid w:val="0065078D"/>
    <w:rsid w:val="006507A5"/>
    <w:rsid w:val="006507F9"/>
    <w:rsid w:val="00650875"/>
    <w:rsid w:val="00650959"/>
    <w:rsid w:val="0065098D"/>
    <w:rsid w:val="00650A17"/>
    <w:rsid w:val="00650A3C"/>
    <w:rsid w:val="00650A8F"/>
    <w:rsid w:val="00650AA5"/>
    <w:rsid w:val="00650BA4"/>
    <w:rsid w:val="00650BD0"/>
    <w:rsid w:val="00650C2E"/>
    <w:rsid w:val="00650C5C"/>
    <w:rsid w:val="00650C82"/>
    <w:rsid w:val="00650D56"/>
    <w:rsid w:val="00650DF8"/>
    <w:rsid w:val="00650FB1"/>
    <w:rsid w:val="00651018"/>
    <w:rsid w:val="0065101E"/>
    <w:rsid w:val="0065105B"/>
    <w:rsid w:val="0065108D"/>
    <w:rsid w:val="00651105"/>
    <w:rsid w:val="0065117A"/>
    <w:rsid w:val="006511D9"/>
    <w:rsid w:val="00651298"/>
    <w:rsid w:val="006512A0"/>
    <w:rsid w:val="006512A5"/>
    <w:rsid w:val="006512A9"/>
    <w:rsid w:val="00651397"/>
    <w:rsid w:val="006514CA"/>
    <w:rsid w:val="0065164C"/>
    <w:rsid w:val="0065167C"/>
    <w:rsid w:val="0065168E"/>
    <w:rsid w:val="00651741"/>
    <w:rsid w:val="006517A4"/>
    <w:rsid w:val="0065182A"/>
    <w:rsid w:val="006518F0"/>
    <w:rsid w:val="00651921"/>
    <w:rsid w:val="0065193B"/>
    <w:rsid w:val="0065196F"/>
    <w:rsid w:val="00651AEC"/>
    <w:rsid w:val="00651B9D"/>
    <w:rsid w:val="00651CD9"/>
    <w:rsid w:val="00651D0E"/>
    <w:rsid w:val="00651D70"/>
    <w:rsid w:val="00651DA5"/>
    <w:rsid w:val="00651DB1"/>
    <w:rsid w:val="00651E13"/>
    <w:rsid w:val="00651E65"/>
    <w:rsid w:val="00651EBB"/>
    <w:rsid w:val="00651F03"/>
    <w:rsid w:val="00651F17"/>
    <w:rsid w:val="00651F34"/>
    <w:rsid w:val="00651F69"/>
    <w:rsid w:val="0065204B"/>
    <w:rsid w:val="00652127"/>
    <w:rsid w:val="00652250"/>
    <w:rsid w:val="006523EB"/>
    <w:rsid w:val="006523F0"/>
    <w:rsid w:val="0065243C"/>
    <w:rsid w:val="00652471"/>
    <w:rsid w:val="00652496"/>
    <w:rsid w:val="006524E1"/>
    <w:rsid w:val="006524EC"/>
    <w:rsid w:val="006526B1"/>
    <w:rsid w:val="0065271E"/>
    <w:rsid w:val="006528FE"/>
    <w:rsid w:val="00652994"/>
    <w:rsid w:val="0065299F"/>
    <w:rsid w:val="00652A0B"/>
    <w:rsid w:val="00652A21"/>
    <w:rsid w:val="00652A4A"/>
    <w:rsid w:val="00652B9E"/>
    <w:rsid w:val="00652BAB"/>
    <w:rsid w:val="00652C89"/>
    <w:rsid w:val="00652D22"/>
    <w:rsid w:val="00652F0E"/>
    <w:rsid w:val="00652F6F"/>
    <w:rsid w:val="00653034"/>
    <w:rsid w:val="00653048"/>
    <w:rsid w:val="0065313B"/>
    <w:rsid w:val="00653197"/>
    <w:rsid w:val="006532AA"/>
    <w:rsid w:val="006532F6"/>
    <w:rsid w:val="0065330E"/>
    <w:rsid w:val="00653426"/>
    <w:rsid w:val="0065347C"/>
    <w:rsid w:val="006534E3"/>
    <w:rsid w:val="00653517"/>
    <w:rsid w:val="00653564"/>
    <w:rsid w:val="006535D8"/>
    <w:rsid w:val="006536AE"/>
    <w:rsid w:val="00653762"/>
    <w:rsid w:val="00653842"/>
    <w:rsid w:val="0065392A"/>
    <w:rsid w:val="0065395F"/>
    <w:rsid w:val="0065396E"/>
    <w:rsid w:val="00653986"/>
    <w:rsid w:val="006539A4"/>
    <w:rsid w:val="006539AE"/>
    <w:rsid w:val="006539F3"/>
    <w:rsid w:val="00653A18"/>
    <w:rsid w:val="00653A9F"/>
    <w:rsid w:val="00653AD7"/>
    <w:rsid w:val="00653AE7"/>
    <w:rsid w:val="00653B24"/>
    <w:rsid w:val="00653B2A"/>
    <w:rsid w:val="00653B4C"/>
    <w:rsid w:val="00653B8A"/>
    <w:rsid w:val="00653BDC"/>
    <w:rsid w:val="00653BE0"/>
    <w:rsid w:val="00653CF8"/>
    <w:rsid w:val="00653D54"/>
    <w:rsid w:val="00653D8E"/>
    <w:rsid w:val="00653D98"/>
    <w:rsid w:val="00653DAB"/>
    <w:rsid w:val="00653DC2"/>
    <w:rsid w:val="00653DE3"/>
    <w:rsid w:val="00653E7D"/>
    <w:rsid w:val="00653E94"/>
    <w:rsid w:val="00653EA8"/>
    <w:rsid w:val="0065407E"/>
    <w:rsid w:val="00654095"/>
    <w:rsid w:val="00654101"/>
    <w:rsid w:val="00654193"/>
    <w:rsid w:val="0065439C"/>
    <w:rsid w:val="006543AE"/>
    <w:rsid w:val="00654486"/>
    <w:rsid w:val="006545A9"/>
    <w:rsid w:val="006545F5"/>
    <w:rsid w:val="006545F9"/>
    <w:rsid w:val="00654686"/>
    <w:rsid w:val="0065474E"/>
    <w:rsid w:val="00654752"/>
    <w:rsid w:val="00654810"/>
    <w:rsid w:val="006548C5"/>
    <w:rsid w:val="00654912"/>
    <w:rsid w:val="00654918"/>
    <w:rsid w:val="00654921"/>
    <w:rsid w:val="0065498E"/>
    <w:rsid w:val="006549F0"/>
    <w:rsid w:val="00654A9F"/>
    <w:rsid w:val="00654B1E"/>
    <w:rsid w:val="00654B81"/>
    <w:rsid w:val="00654C52"/>
    <w:rsid w:val="00654C68"/>
    <w:rsid w:val="00654CEC"/>
    <w:rsid w:val="00654D00"/>
    <w:rsid w:val="00654D5C"/>
    <w:rsid w:val="00654E4E"/>
    <w:rsid w:val="00654EAF"/>
    <w:rsid w:val="00654EDF"/>
    <w:rsid w:val="00654EE0"/>
    <w:rsid w:val="00654FBD"/>
    <w:rsid w:val="00654FC7"/>
    <w:rsid w:val="0065502F"/>
    <w:rsid w:val="00655051"/>
    <w:rsid w:val="00655099"/>
    <w:rsid w:val="0065519F"/>
    <w:rsid w:val="006551B1"/>
    <w:rsid w:val="006551F2"/>
    <w:rsid w:val="00655220"/>
    <w:rsid w:val="00655223"/>
    <w:rsid w:val="0065523D"/>
    <w:rsid w:val="00655296"/>
    <w:rsid w:val="006552B2"/>
    <w:rsid w:val="00655368"/>
    <w:rsid w:val="006554C9"/>
    <w:rsid w:val="0065551C"/>
    <w:rsid w:val="00655566"/>
    <w:rsid w:val="006555BF"/>
    <w:rsid w:val="006555EC"/>
    <w:rsid w:val="006556EB"/>
    <w:rsid w:val="006557AF"/>
    <w:rsid w:val="006557C0"/>
    <w:rsid w:val="006557E5"/>
    <w:rsid w:val="0065589B"/>
    <w:rsid w:val="00655920"/>
    <w:rsid w:val="00655A13"/>
    <w:rsid w:val="00655A4F"/>
    <w:rsid w:val="00655AA2"/>
    <w:rsid w:val="00655AB1"/>
    <w:rsid w:val="00655B27"/>
    <w:rsid w:val="00655D77"/>
    <w:rsid w:val="00655EBF"/>
    <w:rsid w:val="00655F0B"/>
    <w:rsid w:val="00655F12"/>
    <w:rsid w:val="00655FB7"/>
    <w:rsid w:val="00656017"/>
    <w:rsid w:val="0065602E"/>
    <w:rsid w:val="00656059"/>
    <w:rsid w:val="0065605F"/>
    <w:rsid w:val="00656096"/>
    <w:rsid w:val="006560A9"/>
    <w:rsid w:val="00656123"/>
    <w:rsid w:val="00656127"/>
    <w:rsid w:val="00656161"/>
    <w:rsid w:val="0065618B"/>
    <w:rsid w:val="006561A0"/>
    <w:rsid w:val="00656235"/>
    <w:rsid w:val="006562CC"/>
    <w:rsid w:val="006562D4"/>
    <w:rsid w:val="006563D1"/>
    <w:rsid w:val="006563DF"/>
    <w:rsid w:val="00656457"/>
    <w:rsid w:val="00656545"/>
    <w:rsid w:val="00656597"/>
    <w:rsid w:val="006565B7"/>
    <w:rsid w:val="006565C1"/>
    <w:rsid w:val="006566A7"/>
    <w:rsid w:val="006566DB"/>
    <w:rsid w:val="0065672B"/>
    <w:rsid w:val="0065673F"/>
    <w:rsid w:val="0065688E"/>
    <w:rsid w:val="00656891"/>
    <w:rsid w:val="006568A9"/>
    <w:rsid w:val="006568AB"/>
    <w:rsid w:val="006568CA"/>
    <w:rsid w:val="00656A4D"/>
    <w:rsid w:val="00656B54"/>
    <w:rsid w:val="00656B91"/>
    <w:rsid w:val="00656BEF"/>
    <w:rsid w:val="00656C2F"/>
    <w:rsid w:val="00656C39"/>
    <w:rsid w:val="00656CE5"/>
    <w:rsid w:val="00656DA3"/>
    <w:rsid w:val="00656DBE"/>
    <w:rsid w:val="00656EB9"/>
    <w:rsid w:val="00656ECD"/>
    <w:rsid w:val="00656EDD"/>
    <w:rsid w:val="00656F1D"/>
    <w:rsid w:val="00656F4C"/>
    <w:rsid w:val="00656F53"/>
    <w:rsid w:val="00656F8E"/>
    <w:rsid w:val="00656FA3"/>
    <w:rsid w:val="00656FE2"/>
    <w:rsid w:val="00657003"/>
    <w:rsid w:val="00657032"/>
    <w:rsid w:val="0065706C"/>
    <w:rsid w:val="006570D8"/>
    <w:rsid w:val="0065716A"/>
    <w:rsid w:val="00657179"/>
    <w:rsid w:val="0065718D"/>
    <w:rsid w:val="00657226"/>
    <w:rsid w:val="00657305"/>
    <w:rsid w:val="006573A1"/>
    <w:rsid w:val="00657481"/>
    <w:rsid w:val="00657494"/>
    <w:rsid w:val="006574F1"/>
    <w:rsid w:val="00657528"/>
    <w:rsid w:val="0065756D"/>
    <w:rsid w:val="0065766D"/>
    <w:rsid w:val="006576B1"/>
    <w:rsid w:val="0065771D"/>
    <w:rsid w:val="006577B4"/>
    <w:rsid w:val="006577C9"/>
    <w:rsid w:val="00657818"/>
    <w:rsid w:val="006578F8"/>
    <w:rsid w:val="00657905"/>
    <w:rsid w:val="00657A28"/>
    <w:rsid w:val="00657AAF"/>
    <w:rsid w:val="00657AD0"/>
    <w:rsid w:val="00657AF6"/>
    <w:rsid w:val="00657B22"/>
    <w:rsid w:val="00657C12"/>
    <w:rsid w:val="00657DE6"/>
    <w:rsid w:val="00657E1B"/>
    <w:rsid w:val="00657E8F"/>
    <w:rsid w:val="00657F4D"/>
    <w:rsid w:val="00657F56"/>
    <w:rsid w:val="00657FB3"/>
    <w:rsid w:val="00657FDE"/>
    <w:rsid w:val="00660054"/>
    <w:rsid w:val="0066005A"/>
    <w:rsid w:val="00660064"/>
    <w:rsid w:val="00660093"/>
    <w:rsid w:val="006600AA"/>
    <w:rsid w:val="006600F8"/>
    <w:rsid w:val="00660148"/>
    <w:rsid w:val="006601AC"/>
    <w:rsid w:val="006602D6"/>
    <w:rsid w:val="006602DD"/>
    <w:rsid w:val="006602F8"/>
    <w:rsid w:val="006602FF"/>
    <w:rsid w:val="0066030B"/>
    <w:rsid w:val="00660311"/>
    <w:rsid w:val="00660373"/>
    <w:rsid w:val="00660388"/>
    <w:rsid w:val="006603D8"/>
    <w:rsid w:val="00660411"/>
    <w:rsid w:val="0066043F"/>
    <w:rsid w:val="00660467"/>
    <w:rsid w:val="006604FE"/>
    <w:rsid w:val="0066057E"/>
    <w:rsid w:val="00660598"/>
    <w:rsid w:val="006605C5"/>
    <w:rsid w:val="00660615"/>
    <w:rsid w:val="0066072D"/>
    <w:rsid w:val="00660833"/>
    <w:rsid w:val="00660842"/>
    <w:rsid w:val="00660869"/>
    <w:rsid w:val="00660A0F"/>
    <w:rsid w:val="00660A29"/>
    <w:rsid w:val="00660A5F"/>
    <w:rsid w:val="00660AE3"/>
    <w:rsid w:val="00660B41"/>
    <w:rsid w:val="00660BBD"/>
    <w:rsid w:val="00660BD3"/>
    <w:rsid w:val="00660BD8"/>
    <w:rsid w:val="00660C02"/>
    <w:rsid w:val="00660C23"/>
    <w:rsid w:val="00660C6F"/>
    <w:rsid w:val="00660CBE"/>
    <w:rsid w:val="00660CC7"/>
    <w:rsid w:val="00660CD9"/>
    <w:rsid w:val="00660CF4"/>
    <w:rsid w:val="00660D94"/>
    <w:rsid w:val="00660DB8"/>
    <w:rsid w:val="00660E48"/>
    <w:rsid w:val="00660F47"/>
    <w:rsid w:val="00660F5E"/>
    <w:rsid w:val="0066103C"/>
    <w:rsid w:val="00661057"/>
    <w:rsid w:val="0066119C"/>
    <w:rsid w:val="0066121A"/>
    <w:rsid w:val="0066123C"/>
    <w:rsid w:val="00661300"/>
    <w:rsid w:val="00661318"/>
    <w:rsid w:val="0066131A"/>
    <w:rsid w:val="0066131F"/>
    <w:rsid w:val="0066132C"/>
    <w:rsid w:val="006613EB"/>
    <w:rsid w:val="00661489"/>
    <w:rsid w:val="006614CF"/>
    <w:rsid w:val="006614EF"/>
    <w:rsid w:val="0066154C"/>
    <w:rsid w:val="00661577"/>
    <w:rsid w:val="006615DE"/>
    <w:rsid w:val="00661606"/>
    <w:rsid w:val="00661659"/>
    <w:rsid w:val="006616C1"/>
    <w:rsid w:val="006616E2"/>
    <w:rsid w:val="006617BE"/>
    <w:rsid w:val="006618A6"/>
    <w:rsid w:val="00661917"/>
    <w:rsid w:val="0066193B"/>
    <w:rsid w:val="00661970"/>
    <w:rsid w:val="00661A0D"/>
    <w:rsid w:val="00661A9B"/>
    <w:rsid w:val="00661ABD"/>
    <w:rsid w:val="00661AE9"/>
    <w:rsid w:val="00661B09"/>
    <w:rsid w:val="00661C09"/>
    <w:rsid w:val="00661C0B"/>
    <w:rsid w:val="00661CC0"/>
    <w:rsid w:val="00661DB5"/>
    <w:rsid w:val="00661EB1"/>
    <w:rsid w:val="00661EB6"/>
    <w:rsid w:val="00661FD3"/>
    <w:rsid w:val="0066208E"/>
    <w:rsid w:val="006620D9"/>
    <w:rsid w:val="00662118"/>
    <w:rsid w:val="00662148"/>
    <w:rsid w:val="0066219A"/>
    <w:rsid w:val="00662250"/>
    <w:rsid w:val="006622F1"/>
    <w:rsid w:val="00662318"/>
    <w:rsid w:val="0066231B"/>
    <w:rsid w:val="0066231F"/>
    <w:rsid w:val="0066238D"/>
    <w:rsid w:val="0066240D"/>
    <w:rsid w:val="00662456"/>
    <w:rsid w:val="0066247A"/>
    <w:rsid w:val="00662487"/>
    <w:rsid w:val="00662551"/>
    <w:rsid w:val="00662581"/>
    <w:rsid w:val="006625C8"/>
    <w:rsid w:val="00662679"/>
    <w:rsid w:val="006626E2"/>
    <w:rsid w:val="00662784"/>
    <w:rsid w:val="0066286D"/>
    <w:rsid w:val="0066288B"/>
    <w:rsid w:val="0066290B"/>
    <w:rsid w:val="0066295F"/>
    <w:rsid w:val="0066296C"/>
    <w:rsid w:val="00662975"/>
    <w:rsid w:val="00662A28"/>
    <w:rsid w:val="00662A9A"/>
    <w:rsid w:val="00662ABF"/>
    <w:rsid w:val="00662B12"/>
    <w:rsid w:val="00662B47"/>
    <w:rsid w:val="00662B4C"/>
    <w:rsid w:val="00662B79"/>
    <w:rsid w:val="00662BD1"/>
    <w:rsid w:val="00662BFB"/>
    <w:rsid w:val="00662C7B"/>
    <w:rsid w:val="00662CA8"/>
    <w:rsid w:val="00662CEA"/>
    <w:rsid w:val="00662DDE"/>
    <w:rsid w:val="00662E26"/>
    <w:rsid w:val="00662E4C"/>
    <w:rsid w:val="00662EA1"/>
    <w:rsid w:val="00662F13"/>
    <w:rsid w:val="00662F27"/>
    <w:rsid w:val="00662F4B"/>
    <w:rsid w:val="00662FB2"/>
    <w:rsid w:val="00662FC9"/>
    <w:rsid w:val="00663082"/>
    <w:rsid w:val="0066309B"/>
    <w:rsid w:val="00663113"/>
    <w:rsid w:val="00663121"/>
    <w:rsid w:val="0066318F"/>
    <w:rsid w:val="006631AB"/>
    <w:rsid w:val="006631F6"/>
    <w:rsid w:val="00663351"/>
    <w:rsid w:val="00663383"/>
    <w:rsid w:val="006634EC"/>
    <w:rsid w:val="006635C1"/>
    <w:rsid w:val="006635D6"/>
    <w:rsid w:val="00663671"/>
    <w:rsid w:val="0066367D"/>
    <w:rsid w:val="00663696"/>
    <w:rsid w:val="0066369E"/>
    <w:rsid w:val="006636E1"/>
    <w:rsid w:val="006636F3"/>
    <w:rsid w:val="006637E1"/>
    <w:rsid w:val="00663908"/>
    <w:rsid w:val="0066390D"/>
    <w:rsid w:val="00663937"/>
    <w:rsid w:val="00663A07"/>
    <w:rsid w:val="00663A87"/>
    <w:rsid w:val="00663B3C"/>
    <w:rsid w:val="00663B85"/>
    <w:rsid w:val="00663BEE"/>
    <w:rsid w:val="00663C05"/>
    <w:rsid w:val="00663C65"/>
    <w:rsid w:val="00663C9B"/>
    <w:rsid w:val="00663E21"/>
    <w:rsid w:val="00663EBF"/>
    <w:rsid w:val="00663EC2"/>
    <w:rsid w:val="00663F3B"/>
    <w:rsid w:val="00663FDA"/>
    <w:rsid w:val="00664009"/>
    <w:rsid w:val="0066404E"/>
    <w:rsid w:val="00664059"/>
    <w:rsid w:val="00664080"/>
    <w:rsid w:val="006640AE"/>
    <w:rsid w:val="006640CB"/>
    <w:rsid w:val="006640CC"/>
    <w:rsid w:val="006640F2"/>
    <w:rsid w:val="00664206"/>
    <w:rsid w:val="0066437F"/>
    <w:rsid w:val="00664432"/>
    <w:rsid w:val="006644B5"/>
    <w:rsid w:val="006644E1"/>
    <w:rsid w:val="006644F5"/>
    <w:rsid w:val="0066457A"/>
    <w:rsid w:val="006645C3"/>
    <w:rsid w:val="006645FC"/>
    <w:rsid w:val="006646C1"/>
    <w:rsid w:val="00664750"/>
    <w:rsid w:val="006647AE"/>
    <w:rsid w:val="006647BF"/>
    <w:rsid w:val="00664805"/>
    <w:rsid w:val="00664839"/>
    <w:rsid w:val="00664893"/>
    <w:rsid w:val="00664975"/>
    <w:rsid w:val="00664A5C"/>
    <w:rsid w:val="00664B13"/>
    <w:rsid w:val="00664B2F"/>
    <w:rsid w:val="00664C4B"/>
    <w:rsid w:val="00664CA3"/>
    <w:rsid w:val="00664E81"/>
    <w:rsid w:val="00664F10"/>
    <w:rsid w:val="00664F17"/>
    <w:rsid w:val="00665082"/>
    <w:rsid w:val="006650A5"/>
    <w:rsid w:val="006650B1"/>
    <w:rsid w:val="0066525B"/>
    <w:rsid w:val="0066529E"/>
    <w:rsid w:val="006652E0"/>
    <w:rsid w:val="006652E6"/>
    <w:rsid w:val="00665374"/>
    <w:rsid w:val="006653A6"/>
    <w:rsid w:val="006653D2"/>
    <w:rsid w:val="00665520"/>
    <w:rsid w:val="0066554C"/>
    <w:rsid w:val="00665561"/>
    <w:rsid w:val="00665590"/>
    <w:rsid w:val="00665599"/>
    <w:rsid w:val="006655B6"/>
    <w:rsid w:val="006655E8"/>
    <w:rsid w:val="00665656"/>
    <w:rsid w:val="0066567E"/>
    <w:rsid w:val="00665682"/>
    <w:rsid w:val="00665749"/>
    <w:rsid w:val="00665770"/>
    <w:rsid w:val="006657AC"/>
    <w:rsid w:val="0066587F"/>
    <w:rsid w:val="00665924"/>
    <w:rsid w:val="00665941"/>
    <w:rsid w:val="0066599A"/>
    <w:rsid w:val="00665B04"/>
    <w:rsid w:val="00665B50"/>
    <w:rsid w:val="00665B65"/>
    <w:rsid w:val="00665B9F"/>
    <w:rsid w:val="00665BB4"/>
    <w:rsid w:val="00665BFC"/>
    <w:rsid w:val="00665C0F"/>
    <w:rsid w:val="00665C1D"/>
    <w:rsid w:val="00665C34"/>
    <w:rsid w:val="00665CD2"/>
    <w:rsid w:val="00665CE3"/>
    <w:rsid w:val="00665D1B"/>
    <w:rsid w:val="00665E09"/>
    <w:rsid w:val="00665F63"/>
    <w:rsid w:val="00665F7D"/>
    <w:rsid w:val="00665F8D"/>
    <w:rsid w:val="00665F91"/>
    <w:rsid w:val="00665FAA"/>
    <w:rsid w:val="00665FC9"/>
    <w:rsid w:val="00666039"/>
    <w:rsid w:val="0066603E"/>
    <w:rsid w:val="0066607B"/>
    <w:rsid w:val="006660D5"/>
    <w:rsid w:val="00666104"/>
    <w:rsid w:val="0066615F"/>
    <w:rsid w:val="00666237"/>
    <w:rsid w:val="006662CB"/>
    <w:rsid w:val="00666360"/>
    <w:rsid w:val="00666371"/>
    <w:rsid w:val="00666392"/>
    <w:rsid w:val="006663E4"/>
    <w:rsid w:val="00666458"/>
    <w:rsid w:val="006664AF"/>
    <w:rsid w:val="00666549"/>
    <w:rsid w:val="006665B6"/>
    <w:rsid w:val="006665F7"/>
    <w:rsid w:val="0066668D"/>
    <w:rsid w:val="006666BB"/>
    <w:rsid w:val="006666DA"/>
    <w:rsid w:val="006666FA"/>
    <w:rsid w:val="00666763"/>
    <w:rsid w:val="006667D3"/>
    <w:rsid w:val="006667E1"/>
    <w:rsid w:val="00666882"/>
    <w:rsid w:val="006668CE"/>
    <w:rsid w:val="00666956"/>
    <w:rsid w:val="00666A56"/>
    <w:rsid w:val="00666AEF"/>
    <w:rsid w:val="00666B39"/>
    <w:rsid w:val="00666CDB"/>
    <w:rsid w:val="00666DBE"/>
    <w:rsid w:val="00666E03"/>
    <w:rsid w:val="00666E86"/>
    <w:rsid w:val="00666ED5"/>
    <w:rsid w:val="00666EED"/>
    <w:rsid w:val="00666F56"/>
    <w:rsid w:val="00666FC2"/>
    <w:rsid w:val="00666FCC"/>
    <w:rsid w:val="00666FFF"/>
    <w:rsid w:val="0066700E"/>
    <w:rsid w:val="00667150"/>
    <w:rsid w:val="00667158"/>
    <w:rsid w:val="00667160"/>
    <w:rsid w:val="006671CE"/>
    <w:rsid w:val="006671D5"/>
    <w:rsid w:val="006671EB"/>
    <w:rsid w:val="0066724E"/>
    <w:rsid w:val="006672BF"/>
    <w:rsid w:val="00667438"/>
    <w:rsid w:val="0066743A"/>
    <w:rsid w:val="006674D1"/>
    <w:rsid w:val="0066758B"/>
    <w:rsid w:val="006675DA"/>
    <w:rsid w:val="00667601"/>
    <w:rsid w:val="006676B2"/>
    <w:rsid w:val="0066777A"/>
    <w:rsid w:val="006677AC"/>
    <w:rsid w:val="006677AE"/>
    <w:rsid w:val="006678A5"/>
    <w:rsid w:val="00667941"/>
    <w:rsid w:val="006679A0"/>
    <w:rsid w:val="00667A42"/>
    <w:rsid w:val="00667A47"/>
    <w:rsid w:val="00667AA0"/>
    <w:rsid w:val="00667AB0"/>
    <w:rsid w:val="00667AF2"/>
    <w:rsid w:val="00667B29"/>
    <w:rsid w:val="00667B75"/>
    <w:rsid w:val="00667C2E"/>
    <w:rsid w:val="00667C6F"/>
    <w:rsid w:val="00667C76"/>
    <w:rsid w:val="00667CD0"/>
    <w:rsid w:val="00667CE9"/>
    <w:rsid w:val="00667D2B"/>
    <w:rsid w:val="00667E54"/>
    <w:rsid w:val="00667F1E"/>
    <w:rsid w:val="00667F34"/>
    <w:rsid w:val="0067002A"/>
    <w:rsid w:val="00670036"/>
    <w:rsid w:val="006700D4"/>
    <w:rsid w:val="0067011A"/>
    <w:rsid w:val="006702BE"/>
    <w:rsid w:val="00670317"/>
    <w:rsid w:val="00670343"/>
    <w:rsid w:val="006703E8"/>
    <w:rsid w:val="006703FD"/>
    <w:rsid w:val="00670426"/>
    <w:rsid w:val="006704EB"/>
    <w:rsid w:val="006704EC"/>
    <w:rsid w:val="006704FF"/>
    <w:rsid w:val="00670520"/>
    <w:rsid w:val="0067053E"/>
    <w:rsid w:val="00670560"/>
    <w:rsid w:val="006705A3"/>
    <w:rsid w:val="006705B5"/>
    <w:rsid w:val="006705C3"/>
    <w:rsid w:val="0067060C"/>
    <w:rsid w:val="00670678"/>
    <w:rsid w:val="006706AF"/>
    <w:rsid w:val="006707A3"/>
    <w:rsid w:val="006707A8"/>
    <w:rsid w:val="006707D9"/>
    <w:rsid w:val="00670818"/>
    <w:rsid w:val="00670820"/>
    <w:rsid w:val="00670934"/>
    <w:rsid w:val="006709C9"/>
    <w:rsid w:val="00670A8C"/>
    <w:rsid w:val="00670B19"/>
    <w:rsid w:val="00670B70"/>
    <w:rsid w:val="00670BAE"/>
    <w:rsid w:val="00670BE9"/>
    <w:rsid w:val="00670BED"/>
    <w:rsid w:val="00670C00"/>
    <w:rsid w:val="00670C12"/>
    <w:rsid w:val="00670C7F"/>
    <w:rsid w:val="00670C80"/>
    <w:rsid w:val="00670D1E"/>
    <w:rsid w:val="00670D7E"/>
    <w:rsid w:val="00670DE6"/>
    <w:rsid w:val="00670E4E"/>
    <w:rsid w:val="00670F2F"/>
    <w:rsid w:val="00670FB5"/>
    <w:rsid w:val="006710F8"/>
    <w:rsid w:val="00671124"/>
    <w:rsid w:val="0067122F"/>
    <w:rsid w:val="006712DD"/>
    <w:rsid w:val="00671322"/>
    <w:rsid w:val="006713C7"/>
    <w:rsid w:val="006714B1"/>
    <w:rsid w:val="006714D9"/>
    <w:rsid w:val="00671547"/>
    <w:rsid w:val="006715DB"/>
    <w:rsid w:val="006715EF"/>
    <w:rsid w:val="006715FC"/>
    <w:rsid w:val="00671728"/>
    <w:rsid w:val="0067176F"/>
    <w:rsid w:val="0067184A"/>
    <w:rsid w:val="00671925"/>
    <w:rsid w:val="0067198B"/>
    <w:rsid w:val="00671A87"/>
    <w:rsid w:val="00671B72"/>
    <w:rsid w:val="00671B8A"/>
    <w:rsid w:val="00671BB3"/>
    <w:rsid w:val="00671C72"/>
    <w:rsid w:val="00671D47"/>
    <w:rsid w:val="00671DEC"/>
    <w:rsid w:val="00671DF6"/>
    <w:rsid w:val="00671E4D"/>
    <w:rsid w:val="00671E78"/>
    <w:rsid w:val="00671EA9"/>
    <w:rsid w:val="00671EE4"/>
    <w:rsid w:val="00671FA9"/>
    <w:rsid w:val="00672085"/>
    <w:rsid w:val="00672145"/>
    <w:rsid w:val="0067226E"/>
    <w:rsid w:val="00672289"/>
    <w:rsid w:val="00672297"/>
    <w:rsid w:val="00672308"/>
    <w:rsid w:val="0067231B"/>
    <w:rsid w:val="00672323"/>
    <w:rsid w:val="00672389"/>
    <w:rsid w:val="0067239B"/>
    <w:rsid w:val="006723CA"/>
    <w:rsid w:val="00672435"/>
    <w:rsid w:val="006724CF"/>
    <w:rsid w:val="00672510"/>
    <w:rsid w:val="0067252F"/>
    <w:rsid w:val="006725BD"/>
    <w:rsid w:val="006725CF"/>
    <w:rsid w:val="00672638"/>
    <w:rsid w:val="006726A3"/>
    <w:rsid w:val="0067270F"/>
    <w:rsid w:val="006727AB"/>
    <w:rsid w:val="006728B3"/>
    <w:rsid w:val="00672933"/>
    <w:rsid w:val="0067296F"/>
    <w:rsid w:val="00672976"/>
    <w:rsid w:val="0067298F"/>
    <w:rsid w:val="006729A2"/>
    <w:rsid w:val="00672A13"/>
    <w:rsid w:val="00672A2B"/>
    <w:rsid w:val="00672AAB"/>
    <w:rsid w:val="00672AD1"/>
    <w:rsid w:val="00672B8E"/>
    <w:rsid w:val="00672BB5"/>
    <w:rsid w:val="00672C7D"/>
    <w:rsid w:val="00672D4E"/>
    <w:rsid w:val="00672DB5"/>
    <w:rsid w:val="00672DE1"/>
    <w:rsid w:val="00672E05"/>
    <w:rsid w:val="00672E26"/>
    <w:rsid w:val="00672EC1"/>
    <w:rsid w:val="00672F0A"/>
    <w:rsid w:val="00672F0B"/>
    <w:rsid w:val="00672F2A"/>
    <w:rsid w:val="00672F8D"/>
    <w:rsid w:val="00672FD2"/>
    <w:rsid w:val="00673014"/>
    <w:rsid w:val="006730D7"/>
    <w:rsid w:val="00673143"/>
    <w:rsid w:val="0067319F"/>
    <w:rsid w:val="006731E1"/>
    <w:rsid w:val="006732C4"/>
    <w:rsid w:val="006732DF"/>
    <w:rsid w:val="0067332E"/>
    <w:rsid w:val="006733CD"/>
    <w:rsid w:val="006733E4"/>
    <w:rsid w:val="00673435"/>
    <w:rsid w:val="00673454"/>
    <w:rsid w:val="0067346A"/>
    <w:rsid w:val="00673477"/>
    <w:rsid w:val="00673564"/>
    <w:rsid w:val="006735C6"/>
    <w:rsid w:val="00673656"/>
    <w:rsid w:val="006736F1"/>
    <w:rsid w:val="0067385C"/>
    <w:rsid w:val="0067387C"/>
    <w:rsid w:val="006738DC"/>
    <w:rsid w:val="00673906"/>
    <w:rsid w:val="00673949"/>
    <w:rsid w:val="006739B3"/>
    <w:rsid w:val="006739E6"/>
    <w:rsid w:val="00673B00"/>
    <w:rsid w:val="00673D43"/>
    <w:rsid w:val="00673E92"/>
    <w:rsid w:val="00673F2D"/>
    <w:rsid w:val="00674078"/>
    <w:rsid w:val="0067408A"/>
    <w:rsid w:val="00674156"/>
    <w:rsid w:val="0067415C"/>
    <w:rsid w:val="00674213"/>
    <w:rsid w:val="0067423C"/>
    <w:rsid w:val="00674273"/>
    <w:rsid w:val="0067431F"/>
    <w:rsid w:val="006743B5"/>
    <w:rsid w:val="006743C6"/>
    <w:rsid w:val="00674442"/>
    <w:rsid w:val="0067445F"/>
    <w:rsid w:val="006744A6"/>
    <w:rsid w:val="00674502"/>
    <w:rsid w:val="00674518"/>
    <w:rsid w:val="0067451B"/>
    <w:rsid w:val="00674523"/>
    <w:rsid w:val="006745EA"/>
    <w:rsid w:val="0067467E"/>
    <w:rsid w:val="00674738"/>
    <w:rsid w:val="00674743"/>
    <w:rsid w:val="0067478B"/>
    <w:rsid w:val="006747C4"/>
    <w:rsid w:val="006747C6"/>
    <w:rsid w:val="00674822"/>
    <w:rsid w:val="006748BB"/>
    <w:rsid w:val="006748DE"/>
    <w:rsid w:val="00674910"/>
    <w:rsid w:val="00674933"/>
    <w:rsid w:val="0067493C"/>
    <w:rsid w:val="0067495E"/>
    <w:rsid w:val="0067497E"/>
    <w:rsid w:val="00674980"/>
    <w:rsid w:val="006749B2"/>
    <w:rsid w:val="006749C3"/>
    <w:rsid w:val="00674A00"/>
    <w:rsid w:val="00674A42"/>
    <w:rsid w:val="00674A72"/>
    <w:rsid w:val="00674B5F"/>
    <w:rsid w:val="00674B87"/>
    <w:rsid w:val="00674BDB"/>
    <w:rsid w:val="00674C4D"/>
    <w:rsid w:val="00674C58"/>
    <w:rsid w:val="00674C77"/>
    <w:rsid w:val="00674C9C"/>
    <w:rsid w:val="00674CC3"/>
    <w:rsid w:val="00674D84"/>
    <w:rsid w:val="00674D8D"/>
    <w:rsid w:val="00674D9D"/>
    <w:rsid w:val="00674DF1"/>
    <w:rsid w:val="00674DFC"/>
    <w:rsid w:val="00674E71"/>
    <w:rsid w:val="00674EEC"/>
    <w:rsid w:val="00674F3F"/>
    <w:rsid w:val="0067513D"/>
    <w:rsid w:val="00675168"/>
    <w:rsid w:val="00675194"/>
    <w:rsid w:val="006751E3"/>
    <w:rsid w:val="00675275"/>
    <w:rsid w:val="006752BC"/>
    <w:rsid w:val="00675312"/>
    <w:rsid w:val="00675373"/>
    <w:rsid w:val="00675392"/>
    <w:rsid w:val="006753E8"/>
    <w:rsid w:val="006753EB"/>
    <w:rsid w:val="00675428"/>
    <w:rsid w:val="00675442"/>
    <w:rsid w:val="00675454"/>
    <w:rsid w:val="00675516"/>
    <w:rsid w:val="00675561"/>
    <w:rsid w:val="00675567"/>
    <w:rsid w:val="00675572"/>
    <w:rsid w:val="0067557D"/>
    <w:rsid w:val="006755F9"/>
    <w:rsid w:val="00675611"/>
    <w:rsid w:val="00675621"/>
    <w:rsid w:val="0067565F"/>
    <w:rsid w:val="0067568B"/>
    <w:rsid w:val="006756A6"/>
    <w:rsid w:val="006756C6"/>
    <w:rsid w:val="00675773"/>
    <w:rsid w:val="00675809"/>
    <w:rsid w:val="00675921"/>
    <w:rsid w:val="00675986"/>
    <w:rsid w:val="006759A2"/>
    <w:rsid w:val="006759D0"/>
    <w:rsid w:val="00675A5C"/>
    <w:rsid w:val="00675ADD"/>
    <w:rsid w:val="00675B77"/>
    <w:rsid w:val="00675BEC"/>
    <w:rsid w:val="00675C16"/>
    <w:rsid w:val="00675C7D"/>
    <w:rsid w:val="00675CA7"/>
    <w:rsid w:val="00675CFF"/>
    <w:rsid w:val="00675D08"/>
    <w:rsid w:val="00675D79"/>
    <w:rsid w:val="00675D86"/>
    <w:rsid w:val="00675D87"/>
    <w:rsid w:val="00675DE7"/>
    <w:rsid w:val="00675DF3"/>
    <w:rsid w:val="00675E3B"/>
    <w:rsid w:val="00675E7B"/>
    <w:rsid w:val="00675F07"/>
    <w:rsid w:val="00675F69"/>
    <w:rsid w:val="00675F6C"/>
    <w:rsid w:val="00675FF2"/>
    <w:rsid w:val="00676014"/>
    <w:rsid w:val="00676039"/>
    <w:rsid w:val="0067606D"/>
    <w:rsid w:val="006760C0"/>
    <w:rsid w:val="006760F0"/>
    <w:rsid w:val="0067622A"/>
    <w:rsid w:val="00676246"/>
    <w:rsid w:val="006762D5"/>
    <w:rsid w:val="00676313"/>
    <w:rsid w:val="00676382"/>
    <w:rsid w:val="00676384"/>
    <w:rsid w:val="00676469"/>
    <w:rsid w:val="00676483"/>
    <w:rsid w:val="00676496"/>
    <w:rsid w:val="006764E2"/>
    <w:rsid w:val="00676592"/>
    <w:rsid w:val="006765AE"/>
    <w:rsid w:val="006765D1"/>
    <w:rsid w:val="00676620"/>
    <w:rsid w:val="0067662F"/>
    <w:rsid w:val="0067672A"/>
    <w:rsid w:val="006767B1"/>
    <w:rsid w:val="00676843"/>
    <w:rsid w:val="0067688C"/>
    <w:rsid w:val="006768D5"/>
    <w:rsid w:val="006768FB"/>
    <w:rsid w:val="0067692A"/>
    <w:rsid w:val="00676933"/>
    <w:rsid w:val="006769E2"/>
    <w:rsid w:val="00676A3E"/>
    <w:rsid w:val="00676AEB"/>
    <w:rsid w:val="00676CDD"/>
    <w:rsid w:val="00676D5F"/>
    <w:rsid w:val="00676D6E"/>
    <w:rsid w:val="00676D9A"/>
    <w:rsid w:val="00676D9E"/>
    <w:rsid w:val="00676DB4"/>
    <w:rsid w:val="00676DD2"/>
    <w:rsid w:val="00676E9F"/>
    <w:rsid w:val="00676EA9"/>
    <w:rsid w:val="00676EB9"/>
    <w:rsid w:val="00676EF4"/>
    <w:rsid w:val="00676F3A"/>
    <w:rsid w:val="00676FA7"/>
    <w:rsid w:val="00676FF6"/>
    <w:rsid w:val="0067720C"/>
    <w:rsid w:val="006772ED"/>
    <w:rsid w:val="00677355"/>
    <w:rsid w:val="00677385"/>
    <w:rsid w:val="006773D1"/>
    <w:rsid w:val="0067742B"/>
    <w:rsid w:val="00677476"/>
    <w:rsid w:val="00677509"/>
    <w:rsid w:val="0067760E"/>
    <w:rsid w:val="00677674"/>
    <w:rsid w:val="006776DF"/>
    <w:rsid w:val="006776F2"/>
    <w:rsid w:val="00677705"/>
    <w:rsid w:val="0067770A"/>
    <w:rsid w:val="006777AD"/>
    <w:rsid w:val="00677853"/>
    <w:rsid w:val="006778B4"/>
    <w:rsid w:val="00677927"/>
    <w:rsid w:val="00677948"/>
    <w:rsid w:val="00677995"/>
    <w:rsid w:val="00677A5A"/>
    <w:rsid w:val="00677AC1"/>
    <w:rsid w:val="00677ACB"/>
    <w:rsid w:val="00677AD2"/>
    <w:rsid w:val="00677B62"/>
    <w:rsid w:val="00677BEC"/>
    <w:rsid w:val="00677CFB"/>
    <w:rsid w:val="00677D2B"/>
    <w:rsid w:val="00677D32"/>
    <w:rsid w:val="00677D93"/>
    <w:rsid w:val="00677EC3"/>
    <w:rsid w:val="00677F3B"/>
    <w:rsid w:val="00677F64"/>
    <w:rsid w:val="00677F92"/>
    <w:rsid w:val="00680036"/>
    <w:rsid w:val="00680069"/>
    <w:rsid w:val="00680095"/>
    <w:rsid w:val="00680117"/>
    <w:rsid w:val="0068018B"/>
    <w:rsid w:val="006801D6"/>
    <w:rsid w:val="0068027B"/>
    <w:rsid w:val="006802B1"/>
    <w:rsid w:val="006802C7"/>
    <w:rsid w:val="006802F3"/>
    <w:rsid w:val="00680310"/>
    <w:rsid w:val="00680349"/>
    <w:rsid w:val="00680356"/>
    <w:rsid w:val="006803D9"/>
    <w:rsid w:val="006803DC"/>
    <w:rsid w:val="006803FE"/>
    <w:rsid w:val="00680454"/>
    <w:rsid w:val="006804F4"/>
    <w:rsid w:val="00680609"/>
    <w:rsid w:val="00680673"/>
    <w:rsid w:val="00680788"/>
    <w:rsid w:val="00680896"/>
    <w:rsid w:val="006808EE"/>
    <w:rsid w:val="006808F0"/>
    <w:rsid w:val="00680918"/>
    <w:rsid w:val="00680977"/>
    <w:rsid w:val="00680988"/>
    <w:rsid w:val="00680A84"/>
    <w:rsid w:val="00680ADE"/>
    <w:rsid w:val="00680B79"/>
    <w:rsid w:val="00680BDA"/>
    <w:rsid w:val="00680C2E"/>
    <w:rsid w:val="00680C96"/>
    <w:rsid w:val="00680D61"/>
    <w:rsid w:val="00680D7E"/>
    <w:rsid w:val="00680EED"/>
    <w:rsid w:val="00680EFF"/>
    <w:rsid w:val="00680F2F"/>
    <w:rsid w:val="00680FF6"/>
    <w:rsid w:val="00681064"/>
    <w:rsid w:val="0068108F"/>
    <w:rsid w:val="006810FE"/>
    <w:rsid w:val="0068111F"/>
    <w:rsid w:val="0068112B"/>
    <w:rsid w:val="00681164"/>
    <w:rsid w:val="0068116A"/>
    <w:rsid w:val="00681200"/>
    <w:rsid w:val="00681201"/>
    <w:rsid w:val="006812B2"/>
    <w:rsid w:val="0068132D"/>
    <w:rsid w:val="00681335"/>
    <w:rsid w:val="0068134A"/>
    <w:rsid w:val="00681351"/>
    <w:rsid w:val="00681360"/>
    <w:rsid w:val="006813AD"/>
    <w:rsid w:val="0068140A"/>
    <w:rsid w:val="00681444"/>
    <w:rsid w:val="0068148E"/>
    <w:rsid w:val="0068156D"/>
    <w:rsid w:val="0068166A"/>
    <w:rsid w:val="0068167C"/>
    <w:rsid w:val="006816A8"/>
    <w:rsid w:val="006816CF"/>
    <w:rsid w:val="006817ED"/>
    <w:rsid w:val="00681869"/>
    <w:rsid w:val="006818F8"/>
    <w:rsid w:val="00681956"/>
    <w:rsid w:val="0068197D"/>
    <w:rsid w:val="00681ADB"/>
    <w:rsid w:val="00681ADD"/>
    <w:rsid w:val="00681C28"/>
    <w:rsid w:val="00681C3B"/>
    <w:rsid w:val="00681D7B"/>
    <w:rsid w:val="00681E66"/>
    <w:rsid w:val="00681EB7"/>
    <w:rsid w:val="00681EBD"/>
    <w:rsid w:val="00681F83"/>
    <w:rsid w:val="00681FC5"/>
    <w:rsid w:val="00681FDF"/>
    <w:rsid w:val="00681FEB"/>
    <w:rsid w:val="00682141"/>
    <w:rsid w:val="00682144"/>
    <w:rsid w:val="006821C0"/>
    <w:rsid w:val="006821E2"/>
    <w:rsid w:val="0068221E"/>
    <w:rsid w:val="0068224B"/>
    <w:rsid w:val="00682269"/>
    <w:rsid w:val="0068226B"/>
    <w:rsid w:val="0068228B"/>
    <w:rsid w:val="00682290"/>
    <w:rsid w:val="00682304"/>
    <w:rsid w:val="00682328"/>
    <w:rsid w:val="0068234C"/>
    <w:rsid w:val="00682412"/>
    <w:rsid w:val="0068250F"/>
    <w:rsid w:val="00682520"/>
    <w:rsid w:val="006825D7"/>
    <w:rsid w:val="00682682"/>
    <w:rsid w:val="006826A1"/>
    <w:rsid w:val="006826AC"/>
    <w:rsid w:val="006826C9"/>
    <w:rsid w:val="006826FE"/>
    <w:rsid w:val="00682737"/>
    <w:rsid w:val="00682758"/>
    <w:rsid w:val="0068277B"/>
    <w:rsid w:val="00682792"/>
    <w:rsid w:val="006829B8"/>
    <w:rsid w:val="006829D1"/>
    <w:rsid w:val="00682A4D"/>
    <w:rsid w:val="00682A84"/>
    <w:rsid w:val="00682AC0"/>
    <w:rsid w:val="00682AC1"/>
    <w:rsid w:val="00682AC7"/>
    <w:rsid w:val="00682B3B"/>
    <w:rsid w:val="00682BA8"/>
    <w:rsid w:val="00682BCD"/>
    <w:rsid w:val="00682BE1"/>
    <w:rsid w:val="00682C3C"/>
    <w:rsid w:val="00682CA4"/>
    <w:rsid w:val="00682CEE"/>
    <w:rsid w:val="00682D3E"/>
    <w:rsid w:val="00682E16"/>
    <w:rsid w:val="00682EF2"/>
    <w:rsid w:val="00682F04"/>
    <w:rsid w:val="00682F63"/>
    <w:rsid w:val="00682FA2"/>
    <w:rsid w:val="00683052"/>
    <w:rsid w:val="00683077"/>
    <w:rsid w:val="006830CA"/>
    <w:rsid w:val="0068312D"/>
    <w:rsid w:val="00683142"/>
    <w:rsid w:val="006831B0"/>
    <w:rsid w:val="006831E9"/>
    <w:rsid w:val="006831EE"/>
    <w:rsid w:val="00683230"/>
    <w:rsid w:val="00683239"/>
    <w:rsid w:val="00683240"/>
    <w:rsid w:val="00683266"/>
    <w:rsid w:val="006832E3"/>
    <w:rsid w:val="00683313"/>
    <w:rsid w:val="006833F3"/>
    <w:rsid w:val="0068348B"/>
    <w:rsid w:val="006834C4"/>
    <w:rsid w:val="006834C8"/>
    <w:rsid w:val="006834F2"/>
    <w:rsid w:val="006835B4"/>
    <w:rsid w:val="0068360C"/>
    <w:rsid w:val="00683621"/>
    <w:rsid w:val="00683640"/>
    <w:rsid w:val="00683645"/>
    <w:rsid w:val="0068368E"/>
    <w:rsid w:val="006836D5"/>
    <w:rsid w:val="006836E5"/>
    <w:rsid w:val="00683818"/>
    <w:rsid w:val="006838D4"/>
    <w:rsid w:val="00683986"/>
    <w:rsid w:val="006839D2"/>
    <w:rsid w:val="00683AF1"/>
    <w:rsid w:val="00683B38"/>
    <w:rsid w:val="00683C82"/>
    <w:rsid w:val="00683C9E"/>
    <w:rsid w:val="00683D6F"/>
    <w:rsid w:val="00683D72"/>
    <w:rsid w:val="00683E16"/>
    <w:rsid w:val="00683E1B"/>
    <w:rsid w:val="00683E9A"/>
    <w:rsid w:val="00683EA4"/>
    <w:rsid w:val="00683EAE"/>
    <w:rsid w:val="00683EF2"/>
    <w:rsid w:val="00683F0C"/>
    <w:rsid w:val="00683F32"/>
    <w:rsid w:val="00683F98"/>
    <w:rsid w:val="00683FD1"/>
    <w:rsid w:val="00684021"/>
    <w:rsid w:val="0068402F"/>
    <w:rsid w:val="00684049"/>
    <w:rsid w:val="00684083"/>
    <w:rsid w:val="0068409E"/>
    <w:rsid w:val="006840C1"/>
    <w:rsid w:val="0068412C"/>
    <w:rsid w:val="006841A3"/>
    <w:rsid w:val="0068420C"/>
    <w:rsid w:val="00684240"/>
    <w:rsid w:val="006842AF"/>
    <w:rsid w:val="006842D3"/>
    <w:rsid w:val="00684328"/>
    <w:rsid w:val="0068432F"/>
    <w:rsid w:val="00684444"/>
    <w:rsid w:val="00684524"/>
    <w:rsid w:val="00684528"/>
    <w:rsid w:val="006845AE"/>
    <w:rsid w:val="0068464E"/>
    <w:rsid w:val="00684765"/>
    <w:rsid w:val="00684768"/>
    <w:rsid w:val="006847A0"/>
    <w:rsid w:val="006847E8"/>
    <w:rsid w:val="00684811"/>
    <w:rsid w:val="006848A6"/>
    <w:rsid w:val="006848CD"/>
    <w:rsid w:val="00684925"/>
    <w:rsid w:val="00684940"/>
    <w:rsid w:val="00684998"/>
    <w:rsid w:val="00684A43"/>
    <w:rsid w:val="00684A7A"/>
    <w:rsid w:val="00684B3B"/>
    <w:rsid w:val="00684C0D"/>
    <w:rsid w:val="00684C5B"/>
    <w:rsid w:val="00684C68"/>
    <w:rsid w:val="00684C88"/>
    <w:rsid w:val="00684CAB"/>
    <w:rsid w:val="00684D0B"/>
    <w:rsid w:val="00684E0C"/>
    <w:rsid w:val="00684E18"/>
    <w:rsid w:val="00684E51"/>
    <w:rsid w:val="00684ECF"/>
    <w:rsid w:val="00684FD7"/>
    <w:rsid w:val="0068509C"/>
    <w:rsid w:val="006850B5"/>
    <w:rsid w:val="0068515F"/>
    <w:rsid w:val="0068517B"/>
    <w:rsid w:val="0068523A"/>
    <w:rsid w:val="0068528B"/>
    <w:rsid w:val="00685328"/>
    <w:rsid w:val="00685382"/>
    <w:rsid w:val="006853B4"/>
    <w:rsid w:val="006853E6"/>
    <w:rsid w:val="0068540B"/>
    <w:rsid w:val="006854D4"/>
    <w:rsid w:val="006854FB"/>
    <w:rsid w:val="0068553E"/>
    <w:rsid w:val="006856A3"/>
    <w:rsid w:val="006856D2"/>
    <w:rsid w:val="006857B8"/>
    <w:rsid w:val="00685875"/>
    <w:rsid w:val="0068588F"/>
    <w:rsid w:val="006858F8"/>
    <w:rsid w:val="00685978"/>
    <w:rsid w:val="0068598A"/>
    <w:rsid w:val="00685ACD"/>
    <w:rsid w:val="00685C26"/>
    <w:rsid w:val="00685C40"/>
    <w:rsid w:val="00685C6C"/>
    <w:rsid w:val="00685CB4"/>
    <w:rsid w:val="00685CB7"/>
    <w:rsid w:val="00685DF2"/>
    <w:rsid w:val="00685EE9"/>
    <w:rsid w:val="00685FBC"/>
    <w:rsid w:val="0068600E"/>
    <w:rsid w:val="006860B4"/>
    <w:rsid w:val="006860E3"/>
    <w:rsid w:val="00686107"/>
    <w:rsid w:val="0068610B"/>
    <w:rsid w:val="00686236"/>
    <w:rsid w:val="00686248"/>
    <w:rsid w:val="0068627F"/>
    <w:rsid w:val="006862FA"/>
    <w:rsid w:val="0068630F"/>
    <w:rsid w:val="0068631B"/>
    <w:rsid w:val="00686342"/>
    <w:rsid w:val="0068640E"/>
    <w:rsid w:val="00686439"/>
    <w:rsid w:val="006864F4"/>
    <w:rsid w:val="00686504"/>
    <w:rsid w:val="00686517"/>
    <w:rsid w:val="00686543"/>
    <w:rsid w:val="006865A7"/>
    <w:rsid w:val="006865F1"/>
    <w:rsid w:val="006866EC"/>
    <w:rsid w:val="00686756"/>
    <w:rsid w:val="00686801"/>
    <w:rsid w:val="0068681C"/>
    <w:rsid w:val="006868BD"/>
    <w:rsid w:val="006869D5"/>
    <w:rsid w:val="00686A3A"/>
    <w:rsid w:val="00686A4D"/>
    <w:rsid w:val="00686AF8"/>
    <w:rsid w:val="00686B59"/>
    <w:rsid w:val="00686B8E"/>
    <w:rsid w:val="00686C47"/>
    <w:rsid w:val="00686C91"/>
    <w:rsid w:val="00686CC4"/>
    <w:rsid w:val="00686D0C"/>
    <w:rsid w:val="00686ED3"/>
    <w:rsid w:val="00686F2C"/>
    <w:rsid w:val="00686FAB"/>
    <w:rsid w:val="00686FD5"/>
    <w:rsid w:val="00686FF9"/>
    <w:rsid w:val="0068702D"/>
    <w:rsid w:val="00687125"/>
    <w:rsid w:val="0068712C"/>
    <w:rsid w:val="00687291"/>
    <w:rsid w:val="006872B3"/>
    <w:rsid w:val="006872ED"/>
    <w:rsid w:val="00687351"/>
    <w:rsid w:val="006873D9"/>
    <w:rsid w:val="00687423"/>
    <w:rsid w:val="006874B1"/>
    <w:rsid w:val="00687543"/>
    <w:rsid w:val="00687549"/>
    <w:rsid w:val="006875B1"/>
    <w:rsid w:val="006875B4"/>
    <w:rsid w:val="0068768F"/>
    <w:rsid w:val="006876CF"/>
    <w:rsid w:val="00687708"/>
    <w:rsid w:val="0068771A"/>
    <w:rsid w:val="0068777F"/>
    <w:rsid w:val="0068781C"/>
    <w:rsid w:val="006878D3"/>
    <w:rsid w:val="0068797E"/>
    <w:rsid w:val="006879FA"/>
    <w:rsid w:val="006879FD"/>
    <w:rsid w:val="00687A29"/>
    <w:rsid w:val="00687A82"/>
    <w:rsid w:val="00687A8E"/>
    <w:rsid w:val="00687AFE"/>
    <w:rsid w:val="00687B21"/>
    <w:rsid w:val="00687B6B"/>
    <w:rsid w:val="00687B78"/>
    <w:rsid w:val="00687BD8"/>
    <w:rsid w:val="00687C31"/>
    <w:rsid w:val="00687C6C"/>
    <w:rsid w:val="00687CA5"/>
    <w:rsid w:val="00687CC8"/>
    <w:rsid w:val="00687D3B"/>
    <w:rsid w:val="00687D69"/>
    <w:rsid w:val="00687D7F"/>
    <w:rsid w:val="00687D89"/>
    <w:rsid w:val="00687E14"/>
    <w:rsid w:val="00687E19"/>
    <w:rsid w:val="00687E5A"/>
    <w:rsid w:val="00687E8A"/>
    <w:rsid w:val="00687F0F"/>
    <w:rsid w:val="00687F91"/>
    <w:rsid w:val="00687FDC"/>
    <w:rsid w:val="00687FEB"/>
    <w:rsid w:val="00687FF3"/>
    <w:rsid w:val="00690062"/>
    <w:rsid w:val="00690090"/>
    <w:rsid w:val="006900C6"/>
    <w:rsid w:val="0069018C"/>
    <w:rsid w:val="006901E9"/>
    <w:rsid w:val="0069024F"/>
    <w:rsid w:val="00690266"/>
    <w:rsid w:val="00690281"/>
    <w:rsid w:val="006902D2"/>
    <w:rsid w:val="006902F6"/>
    <w:rsid w:val="00690305"/>
    <w:rsid w:val="00690354"/>
    <w:rsid w:val="00690356"/>
    <w:rsid w:val="00690386"/>
    <w:rsid w:val="0069039B"/>
    <w:rsid w:val="0069039C"/>
    <w:rsid w:val="0069044E"/>
    <w:rsid w:val="00690474"/>
    <w:rsid w:val="00690518"/>
    <w:rsid w:val="00690541"/>
    <w:rsid w:val="0069058A"/>
    <w:rsid w:val="0069061B"/>
    <w:rsid w:val="00690633"/>
    <w:rsid w:val="00690636"/>
    <w:rsid w:val="00690643"/>
    <w:rsid w:val="00690690"/>
    <w:rsid w:val="006906C5"/>
    <w:rsid w:val="00690734"/>
    <w:rsid w:val="00690785"/>
    <w:rsid w:val="0069079E"/>
    <w:rsid w:val="00690955"/>
    <w:rsid w:val="00690984"/>
    <w:rsid w:val="0069099D"/>
    <w:rsid w:val="006909E9"/>
    <w:rsid w:val="00690A3C"/>
    <w:rsid w:val="00690AAF"/>
    <w:rsid w:val="00690ADB"/>
    <w:rsid w:val="00690B04"/>
    <w:rsid w:val="00690C94"/>
    <w:rsid w:val="00690CAF"/>
    <w:rsid w:val="00690D07"/>
    <w:rsid w:val="00690D6E"/>
    <w:rsid w:val="00690DA3"/>
    <w:rsid w:val="00690DB4"/>
    <w:rsid w:val="00690E94"/>
    <w:rsid w:val="00690EB6"/>
    <w:rsid w:val="0069102B"/>
    <w:rsid w:val="00691145"/>
    <w:rsid w:val="0069123A"/>
    <w:rsid w:val="006912D2"/>
    <w:rsid w:val="0069139D"/>
    <w:rsid w:val="006913BB"/>
    <w:rsid w:val="006913BC"/>
    <w:rsid w:val="00691477"/>
    <w:rsid w:val="006914B7"/>
    <w:rsid w:val="006914CD"/>
    <w:rsid w:val="006917DE"/>
    <w:rsid w:val="006917ED"/>
    <w:rsid w:val="00691843"/>
    <w:rsid w:val="0069186A"/>
    <w:rsid w:val="0069186F"/>
    <w:rsid w:val="006918FE"/>
    <w:rsid w:val="00691926"/>
    <w:rsid w:val="0069196C"/>
    <w:rsid w:val="00691995"/>
    <w:rsid w:val="00691999"/>
    <w:rsid w:val="00691A6B"/>
    <w:rsid w:val="00691AEC"/>
    <w:rsid w:val="00691BE2"/>
    <w:rsid w:val="00691C55"/>
    <w:rsid w:val="00691C5C"/>
    <w:rsid w:val="00691C99"/>
    <w:rsid w:val="00691CD4"/>
    <w:rsid w:val="00691D26"/>
    <w:rsid w:val="00691D2C"/>
    <w:rsid w:val="00691D3A"/>
    <w:rsid w:val="00691D4B"/>
    <w:rsid w:val="00691D68"/>
    <w:rsid w:val="00691DB1"/>
    <w:rsid w:val="00691DB9"/>
    <w:rsid w:val="00691DD6"/>
    <w:rsid w:val="00691E5B"/>
    <w:rsid w:val="00691EA3"/>
    <w:rsid w:val="00691EB4"/>
    <w:rsid w:val="00691F30"/>
    <w:rsid w:val="00691F63"/>
    <w:rsid w:val="00691F76"/>
    <w:rsid w:val="00691FB4"/>
    <w:rsid w:val="00692028"/>
    <w:rsid w:val="0069204A"/>
    <w:rsid w:val="0069208D"/>
    <w:rsid w:val="00692200"/>
    <w:rsid w:val="00692223"/>
    <w:rsid w:val="0069227D"/>
    <w:rsid w:val="006922A1"/>
    <w:rsid w:val="006923C1"/>
    <w:rsid w:val="00692437"/>
    <w:rsid w:val="0069258D"/>
    <w:rsid w:val="0069267E"/>
    <w:rsid w:val="006926E2"/>
    <w:rsid w:val="00692710"/>
    <w:rsid w:val="00692781"/>
    <w:rsid w:val="0069286B"/>
    <w:rsid w:val="006928B9"/>
    <w:rsid w:val="00692945"/>
    <w:rsid w:val="00692954"/>
    <w:rsid w:val="0069299C"/>
    <w:rsid w:val="006929CA"/>
    <w:rsid w:val="006929E7"/>
    <w:rsid w:val="00692A35"/>
    <w:rsid w:val="00692AB6"/>
    <w:rsid w:val="00692AD6"/>
    <w:rsid w:val="00692AEA"/>
    <w:rsid w:val="00692BF4"/>
    <w:rsid w:val="00692C6F"/>
    <w:rsid w:val="00692C8A"/>
    <w:rsid w:val="00692D42"/>
    <w:rsid w:val="00692E4D"/>
    <w:rsid w:val="00692E5D"/>
    <w:rsid w:val="00692EEC"/>
    <w:rsid w:val="00692F53"/>
    <w:rsid w:val="0069302D"/>
    <w:rsid w:val="006930A8"/>
    <w:rsid w:val="006930C3"/>
    <w:rsid w:val="00693101"/>
    <w:rsid w:val="006931A6"/>
    <w:rsid w:val="006931E0"/>
    <w:rsid w:val="006932C4"/>
    <w:rsid w:val="00693469"/>
    <w:rsid w:val="006934F1"/>
    <w:rsid w:val="0069356C"/>
    <w:rsid w:val="0069359C"/>
    <w:rsid w:val="006935C4"/>
    <w:rsid w:val="0069364C"/>
    <w:rsid w:val="0069374A"/>
    <w:rsid w:val="006937CF"/>
    <w:rsid w:val="006937DB"/>
    <w:rsid w:val="00693818"/>
    <w:rsid w:val="00693866"/>
    <w:rsid w:val="0069387B"/>
    <w:rsid w:val="006938BA"/>
    <w:rsid w:val="006939D4"/>
    <w:rsid w:val="00693A83"/>
    <w:rsid w:val="00693AF7"/>
    <w:rsid w:val="00693B69"/>
    <w:rsid w:val="00693C0D"/>
    <w:rsid w:val="00693C1E"/>
    <w:rsid w:val="00693CC3"/>
    <w:rsid w:val="00693D64"/>
    <w:rsid w:val="00693D75"/>
    <w:rsid w:val="00693D82"/>
    <w:rsid w:val="00693DE2"/>
    <w:rsid w:val="00693DF8"/>
    <w:rsid w:val="00693E05"/>
    <w:rsid w:val="00693E41"/>
    <w:rsid w:val="00693E9B"/>
    <w:rsid w:val="00693F33"/>
    <w:rsid w:val="00693F36"/>
    <w:rsid w:val="00694005"/>
    <w:rsid w:val="00694008"/>
    <w:rsid w:val="00694011"/>
    <w:rsid w:val="00694049"/>
    <w:rsid w:val="006940C5"/>
    <w:rsid w:val="006941F3"/>
    <w:rsid w:val="0069441C"/>
    <w:rsid w:val="0069446D"/>
    <w:rsid w:val="006944B3"/>
    <w:rsid w:val="006945DE"/>
    <w:rsid w:val="00694745"/>
    <w:rsid w:val="0069474F"/>
    <w:rsid w:val="00694764"/>
    <w:rsid w:val="00694772"/>
    <w:rsid w:val="0069478F"/>
    <w:rsid w:val="006947FE"/>
    <w:rsid w:val="00694801"/>
    <w:rsid w:val="00694852"/>
    <w:rsid w:val="006948E3"/>
    <w:rsid w:val="0069492F"/>
    <w:rsid w:val="006949A8"/>
    <w:rsid w:val="006949FF"/>
    <w:rsid w:val="00694A00"/>
    <w:rsid w:val="00694A02"/>
    <w:rsid w:val="00694A16"/>
    <w:rsid w:val="00694A41"/>
    <w:rsid w:val="00694A5F"/>
    <w:rsid w:val="00694AA7"/>
    <w:rsid w:val="00694ABD"/>
    <w:rsid w:val="00694AFA"/>
    <w:rsid w:val="00694BC2"/>
    <w:rsid w:val="00694C63"/>
    <w:rsid w:val="00694C69"/>
    <w:rsid w:val="00694C93"/>
    <w:rsid w:val="00694CC6"/>
    <w:rsid w:val="00694D10"/>
    <w:rsid w:val="00694D87"/>
    <w:rsid w:val="00694DC7"/>
    <w:rsid w:val="00694F2D"/>
    <w:rsid w:val="00694F90"/>
    <w:rsid w:val="00694FA9"/>
    <w:rsid w:val="00695016"/>
    <w:rsid w:val="00695099"/>
    <w:rsid w:val="0069512F"/>
    <w:rsid w:val="0069513E"/>
    <w:rsid w:val="0069516B"/>
    <w:rsid w:val="0069518B"/>
    <w:rsid w:val="006953B2"/>
    <w:rsid w:val="006953C7"/>
    <w:rsid w:val="006953E9"/>
    <w:rsid w:val="006954B0"/>
    <w:rsid w:val="00695553"/>
    <w:rsid w:val="006955D9"/>
    <w:rsid w:val="0069561C"/>
    <w:rsid w:val="00695747"/>
    <w:rsid w:val="00695854"/>
    <w:rsid w:val="00695860"/>
    <w:rsid w:val="006958F2"/>
    <w:rsid w:val="0069592F"/>
    <w:rsid w:val="00695950"/>
    <w:rsid w:val="006959C0"/>
    <w:rsid w:val="00695A19"/>
    <w:rsid w:val="00695B0E"/>
    <w:rsid w:val="00695B2D"/>
    <w:rsid w:val="00695B32"/>
    <w:rsid w:val="00695B63"/>
    <w:rsid w:val="00695CAB"/>
    <w:rsid w:val="00695CC3"/>
    <w:rsid w:val="00695D66"/>
    <w:rsid w:val="00695D95"/>
    <w:rsid w:val="00695E62"/>
    <w:rsid w:val="00695F1D"/>
    <w:rsid w:val="00695F2F"/>
    <w:rsid w:val="00695FCB"/>
    <w:rsid w:val="0069602D"/>
    <w:rsid w:val="00696041"/>
    <w:rsid w:val="00696094"/>
    <w:rsid w:val="0069613A"/>
    <w:rsid w:val="0069618A"/>
    <w:rsid w:val="006961AB"/>
    <w:rsid w:val="006961CD"/>
    <w:rsid w:val="00696271"/>
    <w:rsid w:val="00696351"/>
    <w:rsid w:val="00696386"/>
    <w:rsid w:val="0069638A"/>
    <w:rsid w:val="006963B5"/>
    <w:rsid w:val="006963D5"/>
    <w:rsid w:val="006963EB"/>
    <w:rsid w:val="0069642C"/>
    <w:rsid w:val="00696434"/>
    <w:rsid w:val="00696472"/>
    <w:rsid w:val="006964DE"/>
    <w:rsid w:val="0069651B"/>
    <w:rsid w:val="006965A2"/>
    <w:rsid w:val="0069664B"/>
    <w:rsid w:val="00696680"/>
    <w:rsid w:val="00696712"/>
    <w:rsid w:val="00696762"/>
    <w:rsid w:val="00696876"/>
    <w:rsid w:val="0069687B"/>
    <w:rsid w:val="00696892"/>
    <w:rsid w:val="006968B9"/>
    <w:rsid w:val="006968E9"/>
    <w:rsid w:val="006968F4"/>
    <w:rsid w:val="00696974"/>
    <w:rsid w:val="00696A14"/>
    <w:rsid w:val="00696A2C"/>
    <w:rsid w:val="00696B8D"/>
    <w:rsid w:val="00696BA0"/>
    <w:rsid w:val="00696BD5"/>
    <w:rsid w:val="00696CAD"/>
    <w:rsid w:val="00696CD5"/>
    <w:rsid w:val="00696D27"/>
    <w:rsid w:val="00696E56"/>
    <w:rsid w:val="00696EC2"/>
    <w:rsid w:val="00696EEB"/>
    <w:rsid w:val="00696F90"/>
    <w:rsid w:val="00696F95"/>
    <w:rsid w:val="00696FD5"/>
    <w:rsid w:val="00696FFF"/>
    <w:rsid w:val="00697090"/>
    <w:rsid w:val="00697111"/>
    <w:rsid w:val="0069713D"/>
    <w:rsid w:val="00697211"/>
    <w:rsid w:val="00697243"/>
    <w:rsid w:val="0069735F"/>
    <w:rsid w:val="006975D0"/>
    <w:rsid w:val="006975E7"/>
    <w:rsid w:val="0069768B"/>
    <w:rsid w:val="006976AD"/>
    <w:rsid w:val="006976E6"/>
    <w:rsid w:val="00697708"/>
    <w:rsid w:val="00697728"/>
    <w:rsid w:val="00697735"/>
    <w:rsid w:val="00697768"/>
    <w:rsid w:val="00697771"/>
    <w:rsid w:val="006977C0"/>
    <w:rsid w:val="006977F0"/>
    <w:rsid w:val="0069781A"/>
    <w:rsid w:val="0069783B"/>
    <w:rsid w:val="006978A9"/>
    <w:rsid w:val="00697973"/>
    <w:rsid w:val="00697A23"/>
    <w:rsid w:val="00697AA2"/>
    <w:rsid w:val="00697B52"/>
    <w:rsid w:val="00697B82"/>
    <w:rsid w:val="00697BA7"/>
    <w:rsid w:val="00697C00"/>
    <w:rsid w:val="00697CCC"/>
    <w:rsid w:val="00697D26"/>
    <w:rsid w:val="00697D5B"/>
    <w:rsid w:val="00697D84"/>
    <w:rsid w:val="00697F34"/>
    <w:rsid w:val="00697F9E"/>
    <w:rsid w:val="00697FE7"/>
    <w:rsid w:val="006A000E"/>
    <w:rsid w:val="006A0056"/>
    <w:rsid w:val="006A00D7"/>
    <w:rsid w:val="006A01ED"/>
    <w:rsid w:val="006A0279"/>
    <w:rsid w:val="006A02C6"/>
    <w:rsid w:val="006A02C8"/>
    <w:rsid w:val="006A02CF"/>
    <w:rsid w:val="006A03C8"/>
    <w:rsid w:val="006A03CB"/>
    <w:rsid w:val="006A03D3"/>
    <w:rsid w:val="006A0406"/>
    <w:rsid w:val="006A0483"/>
    <w:rsid w:val="006A04F4"/>
    <w:rsid w:val="006A0524"/>
    <w:rsid w:val="006A0539"/>
    <w:rsid w:val="006A0594"/>
    <w:rsid w:val="006A0607"/>
    <w:rsid w:val="006A0608"/>
    <w:rsid w:val="006A0658"/>
    <w:rsid w:val="006A0680"/>
    <w:rsid w:val="006A0783"/>
    <w:rsid w:val="006A0870"/>
    <w:rsid w:val="006A08C5"/>
    <w:rsid w:val="006A08DE"/>
    <w:rsid w:val="006A0963"/>
    <w:rsid w:val="006A0971"/>
    <w:rsid w:val="006A09B2"/>
    <w:rsid w:val="006A0AD1"/>
    <w:rsid w:val="006A0AF2"/>
    <w:rsid w:val="006A0B06"/>
    <w:rsid w:val="006A0B0C"/>
    <w:rsid w:val="006A0C2F"/>
    <w:rsid w:val="006A0C53"/>
    <w:rsid w:val="006A0C6F"/>
    <w:rsid w:val="006A0DC3"/>
    <w:rsid w:val="006A0EEE"/>
    <w:rsid w:val="006A0F0C"/>
    <w:rsid w:val="006A0F38"/>
    <w:rsid w:val="006A0FC8"/>
    <w:rsid w:val="006A10D7"/>
    <w:rsid w:val="006A10ED"/>
    <w:rsid w:val="006A111D"/>
    <w:rsid w:val="006A11DB"/>
    <w:rsid w:val="006A1291"/>
    <w:rsid w:val="006A1349"/>
    <w:rsid w:val="006A136C"/>
    <w:rsid w:val="006A1380"/>
    <w:rsid w:val="006A1421"/>
    <w:rsid w:val="006A1451"/>
    <w:rsid w:val="006A14C4"/>
    <w:rsid w:val="006A14D2"/>
    <w:rsid w:val="006A1520"/>
    <w:rsid w:val="006A1534"/>
    <w:rsid w:val="006A1588"/>
    <w:rsid w:val="006A159A"/>
    <w:rsid w:val="006A1603"/>
    <w:rsid w:val="006A1608"/>
    <w:rsid w:val="006A1676"/>
    <w:rsid w:val="006A16A5"/>
    <w:rsid w:val="006A16B7"/>
    <w:rsid w:val="006A16C0"/>
    <w:rsid w:val="006A1796"/>
    <w:rsid w:val="006A17E1"/>
    <w:rsid w:val="006A1804"/>
    <w:rsid w:val="006A1819"/>
    <w:rsid w:val="006A187D"/>
    <w:rsid w:val="006A18C5"/>
    <w:rsid w:val="006A1927"/>
    <w:rsid w:val="006A1A06"/>
    <w:rsid w:val="006A1A71"/>
    <w:rsid w:val="006A1B09"/>
    <w:rsid w:val="006A1B99"/>
    <w:rsid w:val="006A1C52"/>
    <w:rsid w:val="006A1D17"/>
    <w:rsid w:val="006A1D75"/>
    <w:rsid w:val="006A1DD9"/>
    <w:rsid w:val="006A1EC3"/>
    <w:rsid w:val="006A1F74"/>
    <w:rsid w:val="006A1FB8"/>
    <w:rsid w:val="006A1FC0"/>
    <w:rsid w:val="006A212F"/>
    <w:rsid w:val="006A215E"/>
    <w:rsid w:val="006A2182"/>
    <w:rsid w:val="006A21BF"/>
    <w:rsid w:val="006A21C7"/>
    <w:rsid w:val="006A227A"/>
    <w:rsid w:val="006A238A"/>
    <w:rsid w:val="006A23BD"/>
    <w:rsid w:val="006A2409"/>
    <w:rsid w:val="006A245E"/>
    <w:rsid w:val="006A248D"/>
    <w:rsid w:val="006A249C"/>
    <w:rsid w:val="006A24AB"/>
    <w:rsid w:val="006A2515"/>
    <w:rsid w:val="006A268A"/>
    <w:rsid w:val="006A27CE"/>
    <w:rsid w:val="006A27CF"/>
    <w:rsid w:val="006A27F6"/>
    <w:rsid w:val="006A28CF"/>
    <w:rsid w:val="006A290A"/>
    <w:rsid w:val="006A2935"/>
    <w:rsid w:val="006A298A"/>
    <w:rsid w:val="006A2B0A"/>
    <w:rsid w:val="006A2B0D"/>
    <w:rsid w:val="006A2B5E"/>
    <w:rsid w:val="006A2B77"/>
    <w:rsid w:val="006A2BDB"/>
    <w:rsid w:val="006A2CBA"/>
    <w:rsid w:val="006A2CCB"/>
    <w:rsid w:val="006A2CD0"/>
    <w:rsid w:val="006A2CF1"/>
    <w:rsid w:val="006A2D97"/>
    <w:rsid w:val="006A2DCA"/>
    <w:rsid w:val="006A2DE2"/>
    <w:rsid w:val="006A2DE6"/>
    <w:rsid w:val="006A2DF9"/>
    <w:rsid w:val="006A2FAE"/>
    <w:rsid w:val="006A2FC0"/>
    <w:rsid w:val="006A2FEE"/>
    <w:rsid w:val="006A3022"/>
    <w:rsid w:val="006A3052"/>
    <w:rsid w:val="006A3067"/>
    <w:rsid w:val="006A3079"/>
    <w:rsid w:val="006A30F5"/>
    <w:rsid w:val="006A3140"/>
    <w:rsid w:val="006A31BE"/>
    <w:rsid w:val="006A3265"/>
    <w:rsid w:val="006A3379"/>
    <w:rsid w:val="006A33A9"/>
    <w:rsid w:val="006A343D"/>
    <w:rsid w:val="006A348B"/>
    <w:rsid w:val="006A34AC"/>
    <w:rsid w:val="006A367C"/>
    <w:rsid w:val="006A36CD"/>
    <w:rsid w:val="006A37AB"/>
    <w:rsid w:val="006A3852"/>
    <w:rsid w:val="006A385E"/>
    <w:rsid w:val="006A3868"/>
    <w:rsid w:val="006A386D"/>
    <w:rsid w:val="006A38CB"/>
    <w:rsid w:val="006A3957"/>
    <w:rsid w:val="006A3963"/>
    <w:rsid w:val="006A396E"/>
    <w:rsid w:val="006A3ABD"/>
    <w:rsid w:val="006A3C5B"/>
    <w:rsid w:val="006A3C94"/>
    <w:rsid w:val="006A3CA1"/>
    <w:rsid w:val="006A3D0C"/>
    <w:rsid w:val="006A3DC9"/>
    <w:rsid w:val="006A3E21"/>
    <w:rsid w:val="006A3E6C"/>
    <w:rsid w:val="006A3E94"/>
    <w:rsid w:val="006A3F5B"/>
    <w:rsid w:val="006A4233"/>
    <w:rsid w:val="006A439D"/>
    <w:rsid w:val="006A445A"/>
    <w:rsid w:val="006A448E"/>
    <w:rsid w:val="006A449E"/>
    <w:rsid w:val="006A451A"/>
    <w:rsid w:val="006A458E"/>
    <w:rsid w:val="006A46B2"/>
    <w:rsid w:val="006A48EB"/>
    <w:rsid w:val="006A496B"/>
    <w:rsid w:val="006A497D"/>
    <w:rsid w:val="006A4A52"/>
    <w:rsid w:val="006A4AA7"/>
    <w:rsid w:val="006A4AF0"/>
    <w:rsid w:val="006A4B89"/>
    <w:rsid w:val="006A4C1E"/>
    <w:rsid w:val="006A4C74"/>
    <w:rsid w:val="006A4CB6"/>
    <w:rsid w:val="006A4CEF"/>
    <w:rsid w:val="006A4D3E"/>
    <w:rsid w:val="006A4DD2"/>
    <w:rsid w:val="006A4F91"/>
    <w:rsid w:val="006A4FAC"/>
    <w:rsid w:val="006A4FC0"/>
    <w:rsid w:val="006A4FCC"/>
    <w:rsid w:val="006A5052"/>
    <w:rsid w:val="006A508A"/>
    <w:rsid w:val="006A5148"/>
    <w:rsid w:val="006A5195"/>
    <w:rsid w:val="006A52D3"/>
    <w:rsid w:val="006A5300"/>
    <w:rsid w:val="006A5394"/>
    <w:rsid w:val="006A53CF"/>
    <w:rsid w:val="006A5407"/>
    <w:rsid w:val="006A5408"/>
    <w:rsid w:val="006A541F"/>
    <w:rsid w:val="006A542B"/>
    <w:rsid w:val="006A54A7"/>
    <w:rsid w:val="006A55B1"/>
    <w:rsid w:val="006A5614"/>
    <w:rsid w:val="006A5630"/>
    <w:rsid w:val="006A566F"/>
    <w:rsid w:val="006A5800"/>
    <w:rsid w:val="006A58E4"/>
    <w:rsid w:val="006A58F3"/>
    <w:rsid w:val="006A5910"/>
    <w:rsid w:val="006A594B"/>
    <w:rsid w:val="006A59E0"/>
    <w:rsid w:val="006A5C29"/>
    <w:rsid w:val="006A5C53"/>
    <w:rsid w:val="006A5CC3"/>
    <w:rsid w:val="006A5D12"/>
    <w:rsid w:val="006A5DB7"/>
    <w:rsid w:val="006A5DD7"/>
    <w:rsid w:val="006A5E67"/>
    <w:rsid w:val="006A5FA2"/>
    <w:rsid w:val="006A5FB4"/>
    <w:rsid w:val="006A6022"/>
    <w:rsid w:val="006A602F"/>
    <w:rsid w:val="006A6033"/>
    <w:rsid w:val="006A606C"/>
    <w:rsid w:val="006A60B4"/>
    <w:rsid w:val="006A60FC"/>
    <w:rsid w:val="006A6226"/>
    <w:rsid w:val="006A626D"/>
    <w:rsid w:val="006A62CB"/>
    <w:rsid w:val="006A62CE"/>
    <w:rsid w:val="006A6396"/>
    <w:rsid w:val="006A63F4"/>
    <w:rsid w:val="006A642C"/>
    <w:rsid w:val="006A644B"/>
    <w:rsid w:val="006A6459"/>
    <w:rsid w:val="006A647E"/>
    <w:rsid w:val="006A6513"/>
    <w:rsid w:val="006A6570"/>
    <w:rsid w:val="006A668A"/>
    <w:rsid w:val="006A66BF"/>
    <w:rsid w:val="006A67F9"/>
    <w:rsid w:val="006A681F"/>
    <w:rsid w:val="006A68A4"/>
    <w:rsid w:val="006A6929"/>
    <w:rsid w:val="006A6A88"/>
    <w:rsid w:val="006A6A8A"/>
    <w:rsid w:val="006A6C22"/>
    <w:rsid w:val="006A6D6F"/>
    <w:rsid w:val="006A6EB7"/>
    <w:rsid w:val="006A6F1C"/>
    <w:rsid w:val="006A6FC0"/>
    <w:rsid w:val="006A7004"/>
    <w:rsid w:val="006A7035"/>
    <w:rsid w:val="006A703A"/>
    <w:rsid w:val="006A7152"/>
    <w:rsid w:val="006A723B"/>
    <w:rsid w:val="006A7345"/>
    <w:rsid w:val="006A7368"/>
    <w:rsid w:val="006A7425"/>
    <w:rsid w:val="006A7457"/>
    <w:rsid w:val="006A7492"/>
    <w:rsid w:val="006A74A5"/>
    <w:rsid w:val="006A74E4"/>
    <w:rsid w:val="006A75AE"/>
    <w:rsid w:val="006A75FD"/>
    <w:rsid w:val="006A7606"/>
    <w:rsid w:val="006A763B"/>
    <w:rsid w:val="006A7648"/>
    <w:rsid w:val="006A76A3"/>
    <w:rsid w:val="006A76E7"/>
    <w:rsid w:val="006A7795"/>
    <w:rsid w:val="006A77B5"/>
    <w:rsid w:val="006A787F"/>
    <w:rsid w:val="006A78F6"/>
    <w:rsid w:val="006A7902"/>
    <w:rsid w:val="006A79D3"/>
    <w:rsid w:val="006A7A41"/>
    <w:rsid w:val="006A7A53"/>
    <w:rsid w:val="006A7AA1"/>
    <w:rsid w:val="006A7ABB"/>
    <w:rsid w:val="006A7AC0"/>
    <w:rsid w:val="006A7AD6"/>
    <w:rsid w:val="006A7B02"/>
    <w:rsid w:val="006A7C83"/>
    <w:rsid w:val="006A7CDF"/>
    <w:rsid w:val="006A7D01"/>
    <w:rsid w:val="006A7D1A"/>
    <w:rsid w:val="006A7D96"/>
    <w:rsid w:val="006A7DBE"/>
    <w:rsid w:val="006A7DC1"/>
    <w:rsid w:val="006A7DF4"/>
    <w:rsid w:val="006A7E0E"/>
    <w:rsid w:val="006A7FA1"/>
    <w:rsid w:val="006A7FBC"/>
    <w:rsid w:val="006B018A"/>
    <w:rsid w:val="006B01A7"/>
    <w:rsid w:val="006B02A5"/>
    <w:rsid w:val="006B0341"/>
    <w:rsid w:val="006B035E"/>
    <w:rsid w:val="006B03F1"/>
    <w:rsid w:val="006B03FC"/>
    <w:rsid w:val="006B0468"/>
    <w:rsid w:val="006B0557"/>
    <w:rsid w:val="006B0591"/>
    <w:rsid w:val="006B0594"/>
    <w:rsid w:val="006B067F"/>
    <w:rsid w:val="006B06EF"/>
    <w:rsid w:val="006B0707"/>
    <w:rsid w:val="006B078A"/>
    <w:rsid w:val="006B07DC"/>
    <w:rsid w:val="006B08A1"/>
    <w:rsid w:val="006B09A3"/>
    <w:rsid w:val="006B09AF"/>
    <w:rsid w:val="006B0A37"/>
    <w:rsid w:val="006B0B83"/>
    <w:rsid w:val="006B0D8E"/>
    <w:rsid w:val="006B0DB3"/>
    <w:rsid w:val="006B0E04"/>
    <w:rsid w:val="006B0E10"/>
    <w:rsid w:val="006B0FFB"/>
    <w:rsid w:val="006B108F"/>
    <w:rsid w:val="006B1099"/>
    <w:rsid w:val="006B11A2"/>
    <w:rsid w:val="006B1262"/>
    <w:rsid w:val="006B1296"/>
    <w:rsid w:val="006B1383"/>
    <w:rsid w:val="006B1399"/>
    <w:rsid w:val="006B1430"/>
    <w:rsid w:val="006B148A"/>
    <w:rsid w:val="006B153D"/>
    <w:rsid w:val="006B1566"/>
    <w:rsid w:val="006B1570"/>
    <w:rsid w:val="006B15C0"/>
    <w:rsid w:val="006B1634"/>
    <w:rsid w:val="006B1652"/>
    <w:rsid w:val="006B167A"/>
    <w:rsid w:val="006B16BD"/>
    <w:rsid w:val="006B170E"/>
    <w:rsid w:val="006B174C"/>
    <w:rsid w:val="006B1792"/>
    <w:rsid w:val="006B183C"/>
    <w:rsid w:val="006B18A3"/>
    <w:rsid w:val="006B18D9"/>
    <w:rsid w:val="006B1928"/>
    <w:rsid w:val="006B193F"/>
    <w:rsid w:val="006B1A17"/>
    <w:rsid w:val="006B1B5D"/>
    <w:rsid w:val="006B1B74"/>
    <w:rsid w:val="006B1B85"/>
    <w:rsid w:val="006B1CA9"/>
    <w:rsid w:val="006B1CF4"/>
    <w:rsid w:val="006B1CF5"/>
    <w:rsid w:val="006B1D07"/>
    <w:rsid w:val="006B1D76"/>
    <w:rsid w:val="006B1D82"/>
    <w:rsid w:val="006B1DF1"/>
    <w:rsid w:val="006B1ECD"/>
    <w:rsid w:val="006B1F19"/>
    <w:rsid w:val="006B1F67"/>
    <w:rsid w:val="006B1FA1"/>
    <w:rsid w:val="006B1FCE"/>
    <w:rsid w:val="006B1FD2"/>
    <w:rsid w:val="006B1FD4"/>
    <w:rsid w:val="006B20EB"/>
    <w:rsid w:val="006B20EC"/>
    <w:rsid w:val="006B21A3"/>
    <w:rsid w:val="006B2200"/>
    <w:rsid w:val="006B2300"/>
    <w:rsid w:val="006B230F"/>
    <w:rsid w:val="006B2492"/>
    <w:rsid w:val="006B2596"/>
    <w:rsid w:val="006B25AC"/>
    <w:rsid w:val="006B25B0"/>
    <w:rsid w:val="006B25CB"/>
    <w:rsid w:val="006B2670"/>
    <w:rsid w:val="006B26A2"/>
    <w:rsid w:val="006B278E"/>
    <w:rsid w:val="006B28A1"/>
    <w:rsid w:val="006B28D3"/>
    <w:rsid w:val="006B2906"/>
    <w:rsid w:val="006B2928"/>
    <w:rsid w:val="006B2942"/>
    <w:rsid w:val="006B2954"/>
    <w:rsid w:val="006B29C3"/>
    <w:rsid w:val="006B2A49"/>
    <w:rsid w:val="006B2B39"/>
    <w:rsid w:val="006B2B60"/>
    <w:rsid w:val="006B2BDB"/>
    <w:rsid w:val="006B2D37"/>
    <w:rsid w:val="006B2D73"/>
    <w:rsid w:val="006B2F21"/>
    <w:rsid w:val="006B2FD7"/>
    <w:rsid w:val="006B3024"/>
    <w:rsid w:val="006B30B3"/>
    <w:rsid w:val="006B30EA"/>
    <w:rsid w:val="006B311A"/>
    <w:rsid w:val="006B3127"/>
    <w:rsid w:val="006B316E"/>
    <w:rsid w:val="006B32A0"/>
    <w:rsid w:val="006B3387"/>
    <w:rsid w:val="006B33F1"/>
    <w:rsid w:val="006B342A"/>
    <w:rsid w:val="006B3484"/>
    <w:rsid w:val="006B3514"/>
    <w:rsid w:val="006B3560"/>
    <w:rsid w:val="006B36D9"/>
    <w:rsid w:val="006B3708"/>
    <w:rsid w:val="006B372D"/>
    <w:rsid w:val="006B3764"/>
    <w:rsid w:val="006B378D"/>
    <w:rsid w:val="006B3794"/>
    <w:rsid w:val="006B387B"/>
    <w:rsid w:val="006B3886"/>
    <w:rsid w:val="006B39AF"/>
    <w:rsid w:val="006B3A0D"/>
    <w:rsid w:val="006B3A5E"/>
    <w:rsid w:val="006B3B26"/>
    <w:rsid w:val="006B3CF9"/>
    <w:rsid w:val="006B3D0B"/>
    <w:rsid w:val="006B3D0E"/>
    <w:rsid w:val="006B3DB8"/>
    <w:rsid w:val="006B3DDC"/>
    <w:rsid w:val="006B3E4C"/>
    <w:rsid w:val="006B3E52"/>
    <w:rsid w:val="006B3E5B"/>
    <w:rsid w:val="006B3EF3"/>
    <w:rsid w:val="006B3F04"/>
    <w:rsid w:val="006B3F1D"/>
    <w:rsid w:val="006B3F26"/>
    <w:rsid w:val="006B3FE4"/>
    <w:rsid w:val="006B402C"/>
    <w:rsid w:val="006B4060"/>
    <w:rsid w:val="006B41C2"/>
    <w:rsid w:val="006B41FE"/>
    <w:rsid w:val="006B4287"/>
    <w:rsid w:val="006B4339"/>
    <w:rsid w:val="006B4350"/>
    <w:rsid w:val="006B4372"/>
    <w:rsid w:val="006B43E4"/>
    <w:rsid w:val="006B4408"/>
    <w:rsid w:val="006B441C"/>
    <w:rsid w:val="006B4550"/>
    <w:rsid w:val="006B45F0"/>
    <w:rsid w:val="006B463D"/>
    <w:rsid w:val="006B4750"/>
    <w:rsid w:val="006B47DA"/>
    <w:rsid w:val="006B47E9"/>
    <w:rsid w:val="006B47F3"/>
    <w:rsid w:val="006B4825"/>
    <w:rsid w:val="006B4826"/>
    <w:rsid w:val="006B48E3"/>
    <w:rsid w:val="006B4940"/>
    <w:rsid w:val="006B4998"/>
    <w:rsid w:val="006B49A7"/>
    <w:rsid w:val="006B4A14"/>
    <w:rsid w:val="006B4AF9"/>
    <w:rsid w:val="006B4B32"/>
    <w:rsid w:val="006B4B3B"/>
    <w:rsid w:val="006B4BB0"/>
    <w:rsid w:val="006B4BB8"/>
    <w:rsid w:val="006B4BC4"/>
    <w:rsid w:val="006B4BF7"/>
    <w:rsid w:val="006B4C0E"/>
    <w:rsid w:val="006B4C6C"/>
    <w:rsid w:val="006B4CF2"/>
    <w:rsid w:val="006B4D67"/>
    <w:rsid w:val="006B4D9F"/>
    <w:rsid w:val="006B4DEA"/>
    <w:rsid w:val="006B4E14"/>
    <w:rsid w:val="006B4E19"/>
    <w:rsid w:val="006B4EDB"/>
    <w:rsid w:val="006B4EE2"/>
    <w:rsid w:val="006B4F97"/>
    <w:rsid w:val="006B4F9C"/>
    <w:rsid w:val="006B5002"/>
    <w:rsid w:val="006B5060"/>
    <w:rsid w:val="006B5160"/>
    <w:rsid w:val="006B51C4"/>
    <w:rsid w:val="006B520B"/>
    <w:rsid w:val="006B521B"/>
    <w:rsid w:val="006B5369"/>
    <w:rsid w:val="006B539D"/>
    <w:rsid w:val="006B53A4"/>
    <w:rsid w:val="006B53E7"/>
    <w:rsid w:val="006B53F9"/>
    <w:rsid w:val="006B550E"/>
    <w:rsid w:val="006B553B"/>
    <w:rsid w:val="006B553C"/>
    <w:rsid w:val="006B554F"/>
    <w:rsid w:val="006B5676"/>
    <w:rsid w:val="006B570B"/>
    <w:rsid w:val="006B5744"/>
    <w:rsid w:val="006B57A4"/>
    <w:rsid w:val="006B5841"/>
    <w:rsid w:val="006B58F7"/>
    <w:rsid w:val="006B5920"/>
    <w:rsid w:val="006B59AD"/>
    <w:rsid w:val="006B5A85"/>
    <w:rsid w:val="006B5B20"/>
    <w:rsid w:val="006B5B45"/>
    <w:rsid w:val="006B5B8B"/>
    <w:rsid w:val="006B5BDF"/>
    <w:rsid w:val="006B5CA0"/>
    <w:rsid w:val="006B5D58"/>
    <w:rsid w:val="006B5D7B"/>
    <w:rsid w:val="006B5DEE"/>
    <w:rsid w:val="006B5E74"/>
    <w:rsid w:val="006B5F07"/>
    <w:rsid w:val="006B5FB3"/>
    <w:rsid w:val="006B602D"/>
    <w:rsid w:val="006B60A4"/>
    <w:rsid w:val="006B60F2"/>
    <w:rsid w:val="006B623F"/>
    <w:rsid w:val="006B62B1"/>
    <w:rsid w:val="006B62C7"/>
    <w:rsid w:val="006B62E2"/>
    <w:rsid w:val="006B63A0"/>
    <w:rsid w:val="006B63EF"/>
    <w:rsid w:val="006B63F9"/>
    <w:rsid w:val="006B64ED"/>
    <w:rsid w:val="006B6541"/>
    <w:rsid w:val="006B6608"/>
    <w:rsid w:val="006B6626"/>
    <w:rsid w:val="006B66B4"/>
    <w:rsid w:val="006B6794"/>
    <w:rsid w:val="006B67A2"/>
    <w:rsid w:val="006B684C"/>
    <w:rsid w:val="006B684D"/>
    <w:rsid w:val="006B692C"/>
    <w:rsid w:val="006B6977"/>
    <w:rsid w:val="006B6AE5"/>
    <w:rsid w:val="006B6B28"/>
    <w:rsid w:val="006B6C57"/>
    <w:rsid w:val="006B6CED"/>
    <w:rsid w:val="006B6D25"/>
    <w:rsid w:val="006B6E22"/>
    <w:rsid w:val="006B6EE0"/>
    <w:rsid w:val="006B6F35"/>
    <w:rsid w:val="006B6F3F"/>
    <w:rsid w:val="006B702E"/>
    <w:rsid w:val="006B708F"/>
    <w:rsid w:val="006B70F4"/>
    <w:rsid w:val="006B7109"/>
    <w:rsid w:val="006B7153"/>
    <w:rsid w:val="006B7177"/>
    <w:rsid w:val="006B71AB"/>
    <w:rsid w:val="006B72EA"/>
    <w:rsid w:val="006B731E"/>
    <w:rsid w:val="006B741A"/>
    <w:rsid w:val="006B743E"/>
    <w:rsid w:val="006B7462"/>
    <w:rsid w:val="006B747C"/>
    <w:rsid w:val="006B74C4"/>
    <w:rsid w:val="006B7589"/>
    <w:rsid w:val="006B760A"/>
    <w:rsid w:val="006B765D"/>
    <w:rsid w:val="006B766F"/>
    <w:rsid w:val="006B767F"/>
    <w:rsid w:val="006B7691"/>
    <w:rsid w:val="006B76CB"/>
    <w:rsid w:val="006B7805"/>
    <w:rsid w:val="006B7870"/>
    <w:rsid w:val="006B79F9"/>
    <w:rsid w:val="006B7A9F"/>
    <w:rsid w:val="006B7B25"/>
    <w:rsid w:val="006B7B4D"/>
    <w:rsid w:val="006B7BE4"/>
    <w:rsid w:val="006B7C08"/>
    <w:rsid w:val="006B7C53"/>
    <w:rsid w:val="006B7D99"/>
    <w:rsid w:val="006B7EAF"/>
    <w:rsid w:val="006B7F2D"/>
    <w:rsid w:val="006B7FC8"/>
    <w:rsid w:val="006C0138"/>
    <w:rsid w:val="006C0197"/>
    <w:rsid w:val="006C0204"/>
    <w:rsid w:val="006C0289"/>
    <w:rsid w:val="006C0348"/>
    <w:rsid w:val="006C03C0"/>
    <w:rsid w:val="006C0482"/>
    <w:rsid w:val="006C04CE"/>
    <w:rsid w:val="006C04E2"/>
    <w:rsid w:val="006C0502"/>
    <w:rsid w:val="006C0510"/>
    <w:rsid w:val="006C058B"/>
    <w:rsid w:val="006C05BC"/>
    <w:rsid w:val="006C060C"/>
    <w:rsid w:val="006C0625"/>
    <w:rsid w:val="006C0666"/>
    <w:rsid w:val="006C06B5"/>
    <w:rsid w:val="006C0734"/>
    <w:rsid w:val="006C0770"/>
    <w:rsid w:val="006C0776"/>
    <w:rsid w:val="006C077B"/>
    <w:rsid w:val="006C0785"/>
    <w:rsid w:val="006C07BD"/>
    <w:rsid w:val="006C07EC"/>
    <w:rsid w:val="006C07F1"/>
    <w:rsid w:val="006C07F9"/>
    <w:rsid w:val="006C0836"/>
    <w:rsid w:val="006C088F"/>
    <w:rsid w:val="006C089F"/>
    <w:rsid w:val="006C0916"/>
    <w:rsid w:val="006C097D"/>
    <w:rsid w:val="006C099F"/>
    <w:rsid w:val="006C0A14"/>
    <w:rsid w:val="006C0B56"/>
    <w:rsid w:val="006C0B84"/>
    <w:rsid w:val="006C0C7E"/>
    <w:rsid w:val="006C0D03"/>
    <w:rsid w:val="006C0D0F"/>
    <w:rsid w:val="006C0D97"/>
    <w:rsid w:val="006C0DB3"/>
    <w:rsid w:val="006C0E37"/>
    <w:rsid w:val="006C0E53"/>
    <w:rsid w:val="006C0EAA"/>
    <w:rsid w:val="006C0F13"/>
    <w:rsid w:val="006C0F5B"/>
    <w:rsid w:val="006C1027"/>
    <w:rsid w:val="006C103B"/>
    <w:rsid w:val="006C1046"/>
    <w:rsid w:val="006C118F"/>
    <w:rsid w:val="006C11E5"/>
    <w:rsid w:val="006C132F"/>
    <w:rsid w:val="006C1367"/>
    <w:rsid w:val="006C1373"/>
    <w:rsid w:val="006C13F3"/>
    <w:rsid w:val="006C143C"/>
    <w:rsid w:val="006C14BE"/>
    <w:rsid w:val="006C14D1"/>
    <w:rsid w:val="006C1542"/>
    <w:rsid w:val="006C1565"/>
    <w:rsid w:val="006C156F"/>
    <w:rsid w:val="006C159C"/>
    <w:rsid w:val="006C16B0"/>
    <w:rsid w:val="006C16B8"/>
    <w:rsid w:val="006C177F"/>
    <w:rsid w:val="006C17E2"/>
    <w:rsid w:val="006C1993"/>
    <w:rsid w:val="006C19D7"/>
    <w:rsid w:val="006C1A2A"/>
    <w:rsid w:val="006C1A66"/>
    <w:rsid w:val="006C1AE3"/>
    <w:rsid w:val="006C1B2A"/>
    <w:rsid w:val="006C1BC1"/>
    <w:rsid w:val="006C1C4D"/>
    <w:rsid w:val="006C1C82"/>
    <w:rsid w:val="006C1C9B"/>
    <w:rsid w:val="006C1DB6"/>
    <w:rsid w:val="006C1DC8"/>
    <w:rsid w:val="006C1E2E"/>
    <w:rsid w:val="006C1E56"/>
    <w:rsid w:val="006C1F5B"/>
    <w:rsid w:val="006C200F"/>
    <w:rsid w:val="006C2073"/>
    <w:rsid w:val="006C214C"/>
    <w:rsid w:val="006C219B"/>
    <w:rsid w:val="006C21E5"/>
    <w:rsid w:val="006C2285"/>
    <w:rsid w:val="006C230D"/>
    <w:rsid w:val="006C23E4"/>
    <w:rsid w:val="006C24BE"/>
    <w:rsid w:val="006C2526"/>
    <w:rsid w:val="006C2536"/>
    <w:rsid w:val="006C25AE"/>
    <w:rsid w:val="006C27F3"/>
    <w:rsid w:val="006C2810"/>
    <w:rsid w:val="006C28A4"/>
    <w:rsid w:val="006C29A7"/>
    <w:rsid w:val="006C29C7"/>
    <w:rsid w:val="006C2A19"/>
    <w:rsid w:val="006C2AA6"/>
    <w:rsid w:val="006C2AC2"/>
    <w:rsid w:val="006C2B03"/>
    <w:rsid w:val="006C2B41"/>
    <w:rsid w:val="006C2B5C"/>
    <w:rsid w:val="006C2B70"/>
    <w:rsid w:val="006C2BCE"/>
    <w:rsid w:val="006C2C72"/>
    <w:rsid w:val="006C2CF2"/>
    <w:rsid w:val="006C2D24"/>
    <w:rsid w:val="006C2D8C"/>
    <w:rsid w:val="006C2DD3"/>
    <w:rsid w:val="006C2E33"/>
    <w:rsid w:val="006C2E4F"/>
    <w:rsid w:val="006C2E85"/>
    <w:rsid w:val="006C2F96"/>
    <w:rsid w:val="006C2FBF"/>
    <w:rsid w:val="006C2FD4"/>
    <w:rsid w:val="006C3076"/>
    <w:rsid w:val="006C30A7"/>
    <w:rsid w:val="006C314C"/>
    <w:rsid w:val="006C3295"/>
    <w:rsid w:val="006C32AA"/>
    <w:rsid w:val="006C32CC"/>
    <w:rsid w:val="006C32E5"/>
    <w:rsid w:val="006C33A8"/>
    <w:rsid w:val="006C341F"/>
    <w:rsid w:val="006C34FE"/>
    <w:rsid w:val="006C3544"/>
    <w:rsid w:val="006C35BD"/>
    <w:rsid w:val="006C3647"/>
    <w:rsid w:val="006C36FF"/>
    <w:rsid w:val="006C37D0"/>
    <w:rsid w:val="006C37F3"/>
    <w:rsid w:val="006C380E"/>
    <w:rsid w:val="006C385C"/>
    <w:rsid w:val="006C3899"/>
    <w:rsid w:val="006C389F"/>
    <w:rsid w:val="006C38A0"/>
    <w:rsid w:val="006C3924"/>
    <w:rsid w:val="006C39D7"/>
    <w:rsid w:val="006C3AE9"/>
    <w:rsid w:val="006C3B04"/>
    <w:rsid w:val="006C3BC3"/>
    <w:rsid w:val="006C3C34"/>
    <w:rsid w:val="006C3DBE"/>
    <w:rsid w:val="006C3DC5"/>
    <w:rsid w:val="006C3EAF"/>
    <w:rsid w:val="006C3ECF"/>
    <w:rsid w:val="006C3EE8"/>
    <w:rsid w:val="006C3F25"/>
    <w:rsid w:val="006C3F32"/>
    <w:rsid w:val="006C4007"/>
    <w:rsid w:val="006C4012"/>
    <w:rsid w:val="006C4041"/>
    <w:rsid w:val="006C410B"/>
    <w:rsid w:val="006C419A"/>
    <w:rsid w:val="006C4204"/>
    <w:rsid w:val="006C4217"/>
    <w:rsid w:val="006C4266"/>
    <w:rsid w:val="006C42F7"/>
    <w:rsid w:val="006C4349"/>
    <w:rsid w:val="006C440A"/>
    <w:rsid w:val="006C440F"/>
    <w:rsid w:val="006C4449"/>
    <w:rsid w:val="006C4466"/>
    <w:rsid w:val="006C44B7"/>
    <w:rsid w:val="006C44EC"/>
    <w:rsid w:val="006C4501"/>
    <w:rsid w:val="006C450C"/>
    <w:rsid w:val="006C4513"/>
    <w:rsid w:val="006C45DD"/>
    <w:rsid w:val="006C4648"/>
    <w:rsid w:val="006C4662"/>
    <w:rsid w:val="006C4710"/>
    <w:rsid w:val="006C47C6"/>
    <w:rsid w:val="006C47EC"/>
    <w:rsid w:val="006C48BF"/>
    <w:rsid w:val="006C48E6"/>
    <w:rsid w:val="006C494B"/>
    <w:rsid w:val="006C4994"/>
    <w:rsid w:val="006C49A5"/>
    <w:rsid w:val="006C49B8"/>
    <w:rsid w:val="006C49C9"/>
    <w:rsid w:val="006C4AB5"/>
    <w:rsid w:val="006C4AB9"/>
    <w:rsid w:val="006C4AC0"/>
    <w:rsid w:val="006C4AC4"/>
    <w:rsid w:val="006C4B4D"/>
    <w:rsid w:val="006C4BD4"/>
    <w:rsid w:val="006C4E19"/>
    <w:rsid w:val="006C4E2D"/>
    <w:rsid w:val="006C4E4D"/>
    <w:rsid w:val="006C4E57"/>
    <w:rsid w:val="006C4F01"/>
    <w:rsid w:val="006C4F44"/>
    <w:rsid w:val="006C4F8D"/>
    <w:rsid w:val="006C4FA7"/>
    <w:rsid w:val="006C4FB2"/>
    <w:rsid w:val="006C4FBE"/>
    <w:rsid w:val="006C4FD9"/>
    <w:rsid w:val="006C4FDE"/>
    <w:rsid w:val="006C5012"/>
    <w:rsid w:val="006C502C"/>
    <w:rsid w:val="006C50E9"/>
    <w:rsid w:val="006C513E"/>
    <w:rsid w:val="006C5190"/>
    <w:rsid w:val="006C5247"/>
    <w:rsid w:val="006C5301"/>
    <w:rsid w:val="006C5311"/>
    <w:rsid w:val="006C5385"/>
    <w:rsid w:val="006C53EB"/>
    <w:rsid w:val="006C5411"/>
    <w:rsid w:val="006C552E"/>
    <w:rsid w:val="006C5554"/>
    <w:rsid w:val="006C5664"/>
    <w:rsid w:val="006C5704"/>
    <w:rsid w:val="006C570D"/>
    <w:rsid w:val="006C5793"/>
    <w:rsid w:val="006C57BD"/>
    <w:rsid w:val="006C57E4"/>
    <w:rsid w:val="006C5857"/>
    <w:rsid w:val="006C599B"/>
    <w:rsid w:val="006C5A20"/>
    <w:rsid w:val="006C5A96"/>
    <w:rsid w:val="006C5A98"/>
    <w:rsid w:val="006C5AA3"/>
    <w:rsid w:val="006C5AE7"/>
    <w:rsid w:val="006C5BFE"/>
    <w:rsid w:val="006C5C71"/>
    <w:rsid w:val="006C5C86"/>
    <w:rsid w:val="006C5CBE"/>
    <w:rsid w:val="006C5D0A"/>
    <w:rsid w:val="006C5D2F"/>
    <w:rsid w:val="006C5D85"/>
    <w:rsid w:val="006C5D90"/>
    <w:rsid w:val="006C5F08"/>
    <w:rsid w:val="006C6054"/>
    <w:rsid w:val="006C6119"/>
    <w:rsid w:val="006C612E"/>
    <w:rsid w:val="006C6148"/>
    <w:rsid w:val="006C6200"/>
    <w:rsid w:val="006C6204"/>
    <w:rsid w:val="006C627C"/>
    <w:rsid w:val="006C63F2"/>
    <w:rsid w:val="006C6416"/>
    <w:rsid w:val="006C6418"/>
    <w:rsid w:val="006C643A"/>
    <w:rsid w:val="006C643C"/>
    <w:rsid w:val="006C6457"/>
    <w:rsid w:val="006C6463"/>
    <w:rsid w:val="006C64DD"/>
    <w:rsid w:val="006C652F"/>
    <w:rsid w:val="006C6613"/>
    <w:rsid w:val="006C6651"/>
    <w:rsid w:val="006C6660"/>
    <w:rsid w:val="006C6665"/>
    <w:rsid w:val="006C66BC"/>
    <w:rsid w:val="006C66D2"/>
    <w:rsid w:val="006C6722"/>
    <w:rsid w:val="006C6738"/>
    <w:rsid w:val="006C67A4"/>
    <w:rsid w:val="006C67D9"/>
    <w:rsid w:val="006C6857"/>
    <w:rsid w:val="006C68B8"/>
    <w:rsid w:val="006C68E5"/>
    <w:rsid w:val="006C68F6"/>
    <w:rsid w:val="006C692F"/>
    <w:rsid w:val="006C6944"/>
    <w:rsid w:val="006C69FA"/>
    <w:rsid w:val="006C6A6B"/>
    <w:rsid w:val="006C6AAA"/>
    <w:rsid w:val="006C6AF1"/>
    <w:rsid w:val="006C6B71"/>
    <w:rsid w:val="006C6C2C"/>
    <w:rsid w:val="006C6C50"/>
    <w:rsid w:val="006C6C8D"/>
    <w:rsid w:val="006C6D32"/>
    <w:rsid w:val="006C6DE3"/>
    <w:rsid w:val="006C6DFF"/>
    <w:rsid w:val="006C6F8B"/>
    <w:rsid w:val="006C6FBA"/>
    <w:rsid w:val="006C6FDB"/>
    <w:rsid w:val="006C6FE4"/>
    <w:rsid w:val="006C7008"/>
    <w:rsid w:val="006C7057"/>
    <w:rsid w:val="006C7171"/>
    <w:rsid w:val="006C71A1"/>
    <w:rsid w:val="006C7261"/>
    <w:rsid w:val="006C7282"/>
    <w:rsid w:val="006C730F"/>
    <w:rsid w:val="006C73A3"/>
    <w:rsid w:val="006C7527"/>
    <w:rsid w:val="006C7529"/>
    <w:rsid w:val="006C7530"/>
    <w:rsid w:val="006C7562"/>
    <w:rsid w:val="006C757D"/>
    <w:rsid w:val="006C7601"/>
    <w:rsid w:val="006C7669"/>
    <w:rsid w:val="006C76E5"/>
    <w:rsid w:val="006C76F4"/>
    <w:rsid w:val="006C7734"/>
    <w:rsid w:val="006C773F"/>
    <w:rsid w:val="006C778B"/>
    <w:rsid w:val="006C78AA"/>
    <w:rsid w:val="006C78C0"/>
    <w:rsid w:val="006C791B"/>
    <w:rsid w:val="006C7A3F"/>
    <w:rsid w:val="006C7A66"/>
    <w:rsid w:val="006C7AB9"/>
    <w:rsid w:val="006C7AEE"/>
    <w:rsid w:val="006C7AF5"/>
    <w:rsid w:val="006C7B1E"/>
    <w:rsid w:val="006C7B84"/>
    <w:rsid w:val="006C7C52"/>
    <w:rsid w:val="006C7CB1"/>
    <w:rsid w:val="006C7D74"/>
    <w:rsid w:val="006C7DAD"/>
    <w:rsid w:val="006C7E23"/>
    <w:rsid w:val="006C7E6A"/>
    <w:rsid w:val="006C7ECD"/>
    <w:rsid w:val="006C7F41"/>
    <w:rsid w:val="006C7FA8"/>
    <w:rsid w:val="006D0055"/>
    <w:rsid w:val="006D00B8"/>
    <w:rsid w:val="006D01A5"/>
    <w:rsid w:val="006D01C5"/>
    <w:rsid w:val="006D025D"/>
    <w:rsid w:val="006D0261"/>
    <w:rsid w:val="006D0290"/>
    <w:rsid w:val="006D02CF"/>
    <w:rsid w:val="006D0327"/>
    <w:rsid w:val="006D0362"/>
    <w:rsid w:val="006D0374"/>
    <w:rsid w:val="006D0378"/>
    <w:rsid w:val="006D0481"/>
    <w:rsid w:val="006D05B3"/>
    <w:rsid w:val="006D05C8"/>
    <w:rsid w:val="006D05C9"/>
    <w:rsid w:val="006D05E7"/>
    <w:rsid w:val="006D06F0"/>
    <w:rsid w:val="006D0712"/>
    <w:rsid w:val="006D0730"/>
    <w:rsid w:val="006D073C"/>
    <w:rsid w:val="006D0820"/>
    <w:rsid w:val="006D083E"/>
    <w:rsid w:val="006D0881"/>
    <w:rsid w:val="006D088F"/>
    <w:rsid w:val="006D0904"/>
    <w:rsid w:val="006D0925"/>
    <w:rsid w:val="006D0942"/>
    <w:rsid w:val="006D09D3"/>
    <w:rsid w:val="006D0A15"/>
    <w:rsid w:val="006D0A86"/>
    <w:rsid w:val="006D0A9E"/>
    <w:rsid w:val="006D0BE3"/>
    <w:rsid w:val="006D0BF2"/>
    <w:rsid w:val="006D0C59"/>
    <w:rsid w:val="006D0C7E"/>
    <w:rsid w:val="006D0CCD"/>
    <w:rsid w:val="006D0D64"/>
    <w:rsid w:val="006D0E34"/>
    <w:rsid w:val="006D0EB7"/>
    <w:rsid w:val="006D0EF1"/>
    <w:rsid w:val="006D0F7A"/>
    <w:rsid w:val="006D0F8C"/>
    <w:rsid w:val="006D0F90"/>
    <w:rsid w:val="006D0F9A"/>
    <w:rsid w:val="006D0FBB"/>
    <w:rsid w:val="006D0FE7"/>
    <w:rsid w:val="006D1022"/>
    <w:rsid w:val="006D10B4"/>
    <w:rsid w:val="006D1192"/>
    <w:rsid w:val="006D11E3"/>
    <w:rsid w:val="006D126A"/>
    <w:rsid w:val="006D12BC"/>
    <w:rsid w:val="006D139A"/>
    <w:rsid w:val="006D13C9"/>
    <w:rsid w:val="006D1461"/>
    <w:rsid w:val="006D1495"/>
    <w:rsid w:val="006D14A6"/>
    <w:rsid w:val="006D14B1"/>
    <w:rsid w:val="006D14F8"/>
    <w:rsid w:val="006D1506"/>
    <w:rsid w:val="006D15C1"/>
    <w:rsid w:val="006D1623"/>
    <w:rsid w:val="006D1663"/>
    <w:rsid w:val="006D1682"/>
    <w:rsid w:val="006D16B4"/>
    <w:rsid w:val="006D16E0"/>
    <w:rsid w:val="006D175C"/>
    <w:rsid w:val="006D1787"/>
    <w:rsid w:val="006D1827"/>
    <w:rsid w:val="006D188C"/>
    <w:rsid w:val="006D1896"/>
    <w:rsid w:val="006D18B6"/>
    <w:rsid w:val="006D1930"/>
    <w:rsid w:val="006D1963"/>
    <w:rsid w:val="006D198B"/>
    <w:rsid w:val="006D1A14"/>
    <w:rsid w:val="006D1B74"/>
    <w:rsid w:val="006D1D22"/>
    <w:rsid w:val="006D1DE3"/>
    <w:rsid w:val="006D1E08"/>
    <w:rsid w:val="006D1EAF"/>
    <w:rsid w:val="006D1EB0"/>
    <w:rsid w:val="006D1EC7"/>
    <w:rsid w:val="006D1EFA"/>
    <w:rsid w:val="006D1F18"/>
    <w:rsid w:val="006D1F3D"/>
    <w:rsid w:val="006D1FEB"/>
    <w:rsid w:val="006D2003"/>
    <w:rsid w:val="006D209D"/>
    <w:rsid w:val="006D2144"/>
    <w:rsid w:val="006D21A1"/>
    <w:rsid w:val="006D223B"/>
    <w:rsid w:val="006D2306"/>
    <w:rsid w:val="006D230C"/>
    <w:rsid w:val="006D2348"/>
    <w:rsid w:val="006D23C9"/>
    <w:rsid w:val="006D23F5"/>
    <w:rsid w:val="006D244D"/>
    <w:rsid w:val="006D2486"/>
    <w:rsid w:val="006D248A"/>
    <w:rsid w:val="006D2518"/>
    <w:rsid w:val="006D2526"/>
    <w:rsid w:val="006D25DE"/>
    <w:rsid w:val="006D262F"/>
    <w:rsid w:val="006D2648"/>
    <w:rsid w:val="006D2730"/>
    <w:rsid w:val="006D275F"/>
    <w:rsid w:val="006D278F"/>
    <w:rsid w:val="006D27C6"/>
    <w:rsid w:val="006D28AA"/>
    <w:rsid w:val="006D28AC"/>
    <w:rsid w:val="006D2925"/>
    <w:rsid w:val="006D2948"/>
    <w:rsid w:val="006D2A06"/>
    <w:rsid w:val="006D2A7F"/>
    <w:rsid w:val="006D2AAE"/>
    <w:rsid w:val="006D2AB8"/>
    <w:rsid w:val="006D2BC7"/>
    <w:rsid w:val="006D2C12"/>
    <w:rsid w:val="006D2C3A"/>
    <w:rsid w:val="006D2C47"/>
    <w:rsid w:val="006D2D1A"/>
    <w:rsid w:val="006D2D81"/>
    <w:rsid w:val="006D2D95"/>
    <w:rsid w:val="006D2DD7"/>
    <w:rsid w:val="006D2DDF"/>
    <w:rsid w:val="006D2DE5"/>
    <w:rsid w:val="006D2E57"/>
    <w:rsid w:val="006D2E65"/>
    <w:rsid w:val="006D2F42"/>
    <w:rsid w:val="006D2FA3"/>
    <w:rsid w:val="006D2FAA"/>
    <w:rsid w:val="006D3007"/>
    <w:rsid w:val="006D3044"/>
    <w:rsid w:val="006D3055"/>
    <w:rsid w:val="006D3082"/>
    <w:rsid w:val="006D30AF"/>
    <w:rsid w:val="006D30C7"/>
    <w:rsid w:val="006D30F4"/>
    <w:rsid w:val="006D3133"/>
    <w:rsid w:val="006D3157"/>
    <w:rsid w:val="006D3191"/>
    <w:rsid w:val="006D328B"/>
    <w:rsid w:val="006D328F"/>
    <w:rsid w:val="006D32FD"/>
    <w:rsid w:val="006D3320"/>
    <w:rsid w:val="006D338F"/>
    <w:rsid w:val="006D33D9"/>
    <w:rsid w:val="006D3457"/>
    <w:rsid w:val="006D34B7"/>
    <w:rsid w:val="006D34FD"/>
    <w:rsid w:val="006D3570"/>
    <w:rsid w:val="006D35E2"/>
    <w:rsid w:val="006D361C"/>
    <w:rsid w:val="006D3638"/>
    <w:rsid w:val="006D36CA"/>
    <w:rsid w:val="006D36E9"/>
    <w:rsid w:val="006D3704"/>
    <w:rsid w:val="006D379B"/>
    <w:rsid w:val="006D37A7"/>
    <w:rsid w:val="006D37AB"/>
    <w:rsid w:val="006D385A"/>
    <w:rsid w:val="006D38ED"/>
    <w:rsid w:val="006D38FD"/>
    <w:rsid w:val="006D392B"/>
    <w:rsid w:val="006D3937"/>
    <w:rsid w:val="006D39CA"/>
    <w:rsid w:val="006D3A39"/>
    <w:rsid w:val="006D3A90"/>
    <w:rsid w:val="006D3ADB"/>
    <w:rsid w:val="006D3B71"/>
    <w:rsid w:val="006D3B87"/>
    <w:rsid w:val="006D3BBF"/>
    <w:rsid w:val="006D3C78"/>
    <w:rsid w:val="006D3C8B"/>
    <w:rsid w:val="006D3CAE"/>
    <w:rsid w:val="006D3D64"/>
    <w:rsid w:val="006D3E49"/>
    <w:rsid w:val="006D3F64"/>
    <w:rsid w:val="006D3FC5"/>
    <w:rsid w:val="006D402E"/>
    <w:rsid w:val="006D4035"/>
    <w:rsid w:val="006D404A"/>
    <w:rsid w:val="006D40AA"/>
    <w:rsid w:val="006D40CC"/>
    <w:rsid w:val="006D410A"/>
    <w:rsid w:val="006D4183"/>
    <w:rsid w:val="006D41B2"/>
    <w:rsid w:val="006D41C4"/>
    <w:rsid w:val="006D4237"/>
    <w:rsid w:val="006D4382"/>
    <w:rsid w:val="006D43BC"/>
    <w:rsid w:val="006D43CA"/>
    <w:rsid w:val="006D4404"/>
    <w:rsid w:val="006D459A"/>
    <w:rsid w:val="006D45B5"/>
    <w:rsid w:val="006D462B"/>
    <w:rsid w:val="006D465F"/>
    <w:rsid w:val="006D46E8"/>
    <w:rsid w:val="006D46FC"/>
    <w:rsid w:val="006D46FD"/>
    <w:rsid w:val="006D4706"/>
    <w:rsid w:val="006D4712"/>
    <w:rsid w:val="006D47D4"/>
    <w:rsid w:val="006D4830"/>
    <w:rsid w:val="006D4857"/>
    <w:rsid w:val="006D4882"/>
    <w:rsid w:val="006D48FC"/>
    <w:rsid w:val="006D4930"/>
    <w:rsid w:val="006D49B6"/>
    <w:rsid w:val="006D49DB"/>
    <w:rsid w:val="006D4A5F"/>
    <w:rsid w:val="006D4AC4"/>
    <w:rsid w:val="006D4B58"/>
    <w:rsid w:val="006D4B78"/>
    <w:rsid w:val="006D4BF3"/>
    <w:rsid w:val="006D4C1B"/>
    <w:rsid w:val="006D4C1C"/>
    <w:rsid w:val="006D4D07"/>
    <w:rsid w:val="006D4D1C"/>
    <w:rsid w:val="006D4D84"/>
    <w:rsid w:val="006D4EEF"/>
    <w:rsid w:val="006D4F8A"/>
    <w:rsid w:val="006D5051"/>
    <w:rsid w:val="006D5078"/>
    <w:rsid w:val="006D50AE"/>
    <w:rsid w:val="006D50BA"/>
    <w:rsid w:val="006D5263"/>
    <w:rsid w:val="006D5294"/>
    <w:rsid w:val="006D538F"/>
    <w:rsid w:val="006D5400"/>
    <w:rsid w:val="006D5428"/>
    <w:rsid w:val="006D556D"/>
    <w:rsid w:val="006D55EA"/>
    <w:rsid w:val="006D564C"/>
    <w:rsid w:val="006D5653"/>
    <w:rsid w:val="006D565A"/>
    <w:rsid w:val="006D5661"/>
    <w:rsid w:val="006D568F"/>
    <w:rsid w:val="006D574A"/>
    <w:rsid w:val="006D57A6"/>
    <w:rsid w:val="006D57D1"/>
    <w:rsid w:val="006D5813"/>
    <w:rsid w:val="006D58D1"/>
    <w:rsid w:val="006D58E3"/>
    <w:rsid w:val="006D58F5"/>
    <w:rsid w:val="006D59EF"/>
    <w:rsid w:val="006D5B14"/>
    <w:rsid w:val="006D5B21"/>
    <w:rsid w:val="006D5B6D"/>
    <w:rsid w:val="006D5BA4"/>
    <w:rsid w:val="006D5BCF"/>
    <w:rsid w:val="006D5C41"/>
    <w:rsid w:val="006D5CA0"/>
    <w:rsid w:val="006D5CD8"/>
    <w:rsid w:val="006D5D30"/>
    <w:rsid w:val="006D5E42"/>
    <w:rsid w:val="006D5E86"/>
    <w:rsid w:val="006D5E9E"/>
    <w:rsid w:val="006D5EAF"/>
    <w:rsid w:val="006D5EDE"/>
    <w:rsid w:val="006D5F3F"/>
    <w:rsid w:val="006D60FD"/>
    <w:rsid w:val="006D6106"/>
    <w:rsid w:val="006D6107"/>
    <w:rsid w:val="006D6168"/>
    <w:rsid w:val="006D6197"/>
    <w:rsid w:val="006D61A6"/>
    <w:rsid w:val="006D6286"/>
    <w:rsid w:val="006D63A6"/>
    <w:rsid w:val="006D63E3"/>
    <w:rsid w:val="006D6565"/>
    <w:rsid w:val="006D6593"/>
    <w:rsid w:val="006D65A8"/>
    <w:rsid w:val="006D65BC"/>
    <w:rsid w:val="006D65C6"/>
    <w:rsid w:val="006D6730"/>
    <w:rsid w:val="006D6750"/>
    <w:rsid w:val="006D679B"/>
    <w:rsid w:val="006D67AF"/>
    <w:rsid w:val="006D67CE"/>
    <w:rsid w:val="006D685F"/>
    <w:rsid w:val="006D6909"/>
    <w:rsid w:val="006D696F"/>
    <w:rsid w:val="006D6B09"/>
    <w:rsid w:val="006D6BDC"/>
    <w:rsid w:val="006D6C13"/>
    <w:rsid w:val="006D6C30"/>
    <w:rsid w:val="006D6C57"/>
    <w:rsid w:val="006D6C60"/>
    <w:rsid w:val="006D6CAD"/>
    <w:rsid w:val="006D6CB0"/>
    <w:rsid w:val="006D6D3C"/>
    <w:rsid w:val="006D6E17"/>
    <w:rsid w:val="006D6E1A"/>
    <w:rsid w:val="006D6EA4"/>
    <w:rsid w:val="006D6F32"/>
    <w:rsid w:val="006D7022"/>
    <w:rsid w:val="006D70B0"/>
    <w:rsid w:val="006D7141"/>
    <w:rsid w:val="006D7173"/>
    <w:rsid w:val="006D71E3"/>
    <w:rsid w:val="006D72B5"/>
    <w:rsid w:val="006D72EE"/>
    <w:rsid w:val="006D72F6"/>
    <w:rsid w:val="006D7322"/>
    <w:rsid w:val="006D7358"/>
    <w:rsid w:val="006D73C4"/>
    <w:rsid w:val="006D7467"/>
    <w:rsid w:val="006D7484"/>
    <w:rsid w:val="006D74CF"/>
    <w:rsid w:val="006D74FA"/>
    <w:rsid w:val="006D7528"/>
    <w:rsid w:val="006D7531"/>
    <w:rsid w:val="006D75A8"/>
    <w:rsid w:val="006D75BE"/>
    <w:rsid w:val="006D75F2"/>
    <w:rsid w:val="006D764E"/>
    <w:rsid w:val="006D76FE"/>
    <w:rsid w:val="006D7712"/>
    <w:rsid w:val="006D777D"/>
    <w:rsid w:val="006D77E3"/>
    <w:rsid w:val="006D7819"/>
    <w:rsid w:val="006D78AD"/>
    <w:rsid w:val="006D796E"/>
    <w:rsid w:val="006D79D9"/>
    <w:rsid w:val="006D7A3A"/>
    <w:rsid w:val="006D7AEA"/>
    <w:rsid w:val="006D7B78"/>
    <w:rsid w:val="006D7B81"/>
    <w:rsid w:val="006D7B82"/>
    <w:rsid w:val="006D7B84"/>
    <w:rsid w:val="006D7BB5"/>
    <w:rsid w:val="006D7C80"/>
    <w:rsid w:val="006D7CF3"/>
    <w:rsid w:val="006D7D2A"/>
    <w:rsid w:val="006D7D63"/>
    <w:rsid w:val="006D7DAD"/>
    <w:rsid w:val="006D7F10"/>
    <w:rsid w:val="006D7F1B"/>
    <w:rsid w:val="006D7F2A"/>
    <w:rsid w:val="006D7F8E"/>
    <w:rsid w:val="006D7FA6"/>
    <w:rsid w:val="006E00A7"/>
    <w:rsid w:val="006E013E"/>
    <w:rsid w:val="006E0164"/>
    <w:rsid w:val="006E0167"/>
    <w:rsid w:val="006E01FD"/>
    <w:rsid w:val="006E0240"/>
    <w:rsid w:val="006E0252"/>
    <w:rsid w:val="006E0320"/>
    <w:rsid w:val="006E03D8"/>
    <w:rsid w:val="006E03F9"/>
    <w:rsid w:val="006E0415"/>
    <w:rsid w:val="006E04A5"/>
    <w:rsid w:val="006E04B5"/>
    <w:rsid w:val="006E04D8"/>
    <w:rsid w:val="006E052C"/>
    <w:rsid w:val="006E05DF"/>
    <w:rsid w:val="006E0690"/>
    <w:rsid w:val="006E06DB"/>
    <w:rsid w:val="006E06FB"/>
    <w:rsid w:val="006E072E"/>
    <w:rsid w:val="006E073F"/>
    <w:rsid w:val="006E0786"/>
    <w:rsid w:val="006E07DE"/>
    <w:rsid w:val="006E0937"/>
    <w:rsid w:val="006E094F"/>
    <w:rsid w:val="006E09DC"/>
    <w:rsid w:val="006E0A3C"/>
    <w:rsid w:val="006E0A3F"/>
    <w:rsid w:val="006E0AA0"/>
    <w:rsid w:val="006E0AC7"/>
    <w:rsid w:val="006E0B0F"/>
    <w:rsid w:val="006E0B43"/>
    <w:rsid w:val="006E0C53"/>
    <w:rsid w:val="006E0D14"/>
    <w:rsid w:val="006E0D55"/>
    <w:rsid w:val="006E0DF5"/>
    <w:rsid w:val="006E0E1D"/>
    <w:rsid w:val="006E0E44"/>
    <w:rsid w:val="006E0E79"/>
    <w:rsid w:val="006E0E99"/>
    <w:rsid w:val="006E0F18"/>
    <w:rsid w:val="006E0F51"/>
    <w:rsid w:val="006E0FB0"/>
    <w:rsid w:val="006E0FFA"/>
    <w:rsid w:val="006E1078"/>
    <w:rsid w:val="006E111A"/>
    <w:rsid w:val="006E1179"/>
    <w:rsid w:val="006E1193"/>
    <w:rsid w:val="006E121A"/>
    <w:rsid w:val="006E129B"/>
    <w:rsid w:val="006E13D8"/>
    <w:rsid w:val="006E1463"/>
    <w:rsid w:val="006E1476"/>
    <w:rsid w:val="006E1504"/>
    <w:rsid w:val="006E1529"/>
    <w:rsid w:val="006E159A"/>
    <w:rsid w:val="006E1684"/>
    <w:rsid w:val="006E16BC"/>
    <w:rsid w:val="006E1718"/>
    <w:rsid w:val="006E1766"/>
    <w:rsid w:val="006E1800"/>
    <w:rsid w:val="006E1803"/>
    <w:rsid w:val="006E1868"/>
    <w:rsid w:val="006E18BC"/>
    <w:rsid w:val="006E18E3"/>
    <w:rsid w:val="006E18F9"/>
    <w:rsid w:val="006E1903"/>
    <w:rsid w:val="006E1A96"/>
    <w:rsid w:val="006E1AC3"/>
    <w:rsid w:val="006E1B20"/>
    <w:rsid w:val="006E1B29"/>
    <w:rsid w:val="006E1B92"/>
    <w:rsid w:val="006E1CDC"/>
    <w:rsid w:val="006E1CE4"/>
    <w:rsid w:val="006E1D98"/>
    <w:rsid w:val="006E1E25"/>
    <w:rsid w:val="006E1EA6"/>
    <w:rsid w:val="006E1EA9"/>
    <w:rsid w:val="006E1ED1"/>
    <w:rsid w:val="006E1F3F"/>
    <w:rsid w:val="006E1FA1"/>
    <w:rsid w:val="006E1FE2"/>
    <w:rsid w:val="006E2021"/>
    <w:rsid w:val="006E207D"/>
    <w:rsid w:val="006E2082"/>
    <w:rsid w:val="006E2125"/>
    <w:rsid w:val="006E2184"/>
    <w:rsid w:val="006E2256"/>
    <w:rsid w:val="006E2314"/>
    <w:rsid w:val="006E234F"/>
    <w:rsid w:val="006E2376"/>
    <w:rsid w:val="006E238B"/>
    <w:rsid w:val="006E238D"/>
    <w:rsid w:val="006E2485"/>
    <w:rsid w:val="006E24A9"/>
    <w:rsid w:val="006E24E2"/>
    <w:rsid w:val="006E24EA"/>
    <w:rsid w:val="006E252D"/>
    <w:rsid w:val="006E2555"/>
    <w:rsid w:val="006E2558"/>
    <w:rsid w:val="006E260E"/>
    <w:rsid w:val="006E2772"/>
    <w:rsid w:val="006E278C"/>
    <w:rsid w:val="006E286F"/>
    <w:rsid w:val="006E28E1"/>
    <w:rsid w:val="006E291E"/>
    <w:rsid w:val="006E2974"/>
    <w:rsid w:val="006E29B8"/>
    <w:rsid w:val="006E2A93"/>
    <w:rsid w:val="006E2AC8"/>
    <w:rsid w:val="006E2B52"/>
    <w:rsid w:val="006E2B6B"/>
    <w:rsid w:val="006E2C25"/>
    <w:rsid w:val="006E2CBA"/>
    <w:rsid w:val="006E2CC8"/>
    <w:rsid w:val="006E2CCF"/>
    <w:rsid w:val="006E2D59"/>
    <w:rsid w:val="006E2D78"/>
    <w:rsid w:val="006E2DC2"/>
    <w:rsid w:val="006E2E14"/>
    <w:rsid w:val="006E2E40"/>
    <w:rsid w:val="006E2FFC"/>
    <w:rsid w:val="006E30D5"/>
    <w:rsid w:val="006E30E5"/>
    <w:rsid w:val="006E315C"/>
    <w:rsid w:val="006E31E2"/>
    <w:rsid w:val="006E3249"/>
    <w:rsid w:val="006E335E"/>
    <w:rsid w:val="006E3433"/>
    <w:rsid w:val="006E349A"/>
    <w:rsid w:val="006E35C1"/>
    <w:rsid w:val="006E35F0"/>
    <w:rsid w:val="006E3678"/>
    <w:rsid w:val="006E36C9"/>
    <w:rsid w:val="006E36CD"/>
    <w:rsid w:val="006E36E6"/>
    <w:rsid w:val="006E3782"/>
    <w:rsid w:val="006E37C7"/>
    <w:rsid w:val="006E387E"/>
    <w:rsid w:val="006E3939"/>
    <w:rsid w:val="006E3A4E"/>
    <w:rsid w:val="006E3A6E"/>
    <w:rsid w:val="006E3B4D"/>
    <w:rsid w:val="006E3B80"/>
    <w:rsid w:val="006E3B98"/>
    <w:rsid w:val="006E3BCD"/>
    <w:rsid w:val="006E3BD1"/>
    <w:rsid w:val="006E3BE0"/>
    <w:rsid w:val="006E3C0C"/>
    <w:rsid w:val="006E3D6E"/>
    <w:rsid w:val="006E3DCE"/>
    <w:rsid w:val="006E3DDA"/>
    <w:rsid w:val="006E3DEE"/>
    <w:rsid w:val="006E3E00"/>
    <w:rsid w:val="006E3E0C"/>
    <w:rsid w:val="006E3E4B"/>
    <w:rsid w:val="006E3EB3"/>
    <w:rsid w:val="006E3EC0"/>
    <w:rsid w:val="006E3F0F"/>
    <w:rsid w:val="006E3FD9"/>
    <w:rsid w:val="006E4068"/>
    <w:rsid w:val="006E4084"/>
    <w:rsid w:val="006E4116"/>
    <w:rsid w:val="006E413D"/>
    <w:rsid w:val="006E4171"/>
    <w:rsid w:val="006E4180"/>
    <w:rsid w:val="006E41C8"/>
    <w:rsid w:val="006E41F1"/>
    <w:rsid w:val="006E4209"/>
    <w:rsid w:val="006E421A"/>
    <w:rsid w:val="006E4260"/>
    <w:rsid w:val="006E439B"/>
    <w:rsid w:val="006E4544"/>
    <w:rsid w:val="006E457E"/>
    <w:rsid w:val="006E4586"/>
    <w:rsid w:val="006E45D2"/>
    <w:rsid w:val="006E467F"/>
    <w:rsid w:val="006E473B"/>
    <w:rsid w:val="006E4891"/>
    <w:rsid w:val="006E4937"/>
    <w:rsid w:val="006E495F"/>
    <w:rsid w:val="006E4983"/>
    <w:rsid w:val="006E4AAB"/>
    <w:rsid w:val="006E4B3C"/>
    <w:rsid w:val="006E4B92"/>
    <w:rsid w:val="006E4BDF"/>
    <w:rsid w:val="006E4C40"/>
    <w:rsid w:val="006E4C7A"/>
    <w:rsid w:val="006E4C8C"/>
    <w:rsid w:val="006E4CFE"/>
    <w:rsid w:val="006E4D3F"/>
    <w:rsid w:val="006E4DA8"/>
    <w:rsid w:val="006E4E05"/>
    <w:rsid w:val="006E4E39"/>
    <w:rsid w:val="006E4F23"/>
    <w:rsid w:val="006E4F36"/>
    <w:rsid w:val="006E4F6D"/>
    <w:rsid w:val="006E4F9E"/>
    <w:rsid w:val="006E504E"/>
    <w:rsid w:val="006E5052"/>
    <w:rsid w:val="006E5149"/>
    <w:rsid w:val="006E51B3"/>
    <w:rsid w:val="006E5256"/>
    <w:rsid w:val="006E5307"/>
    <w:rsid w:val="006E53CC"/>
    <w:rsid w:val="006E5430"/>
    <w:rsid w:val="006E5431"/>
    <w:rsid w:val="006E5481"/>
    <w:rsid w:val="006E54B5"/>
    <w:rsid w:val="006E5533"/>
    <w:rsid w:val="006E5590"/>
    <w:rsid w:val="006E559F"/>
    <w:rsid w:val="006E566E"/>
    <w:rsid w:val="006E572E"/>
    <w:rsid w:val="006E5763"/>
    <w:rsid w:val="006E57C8"/>
    <w:rsid w:val="006E5863"/>
    <w:rsid w:val="006E59C1"/>
    <w:rsid w:val="006E5A19"/>
    <w:rsid w:val="006E5A6C"/>
    <w:rsid w:val="006E5A88"/>
    <w:rsid w:val="006E5ABC"/>
    <w:rsid w:val="006E5B37"/>
    <w:rsid w:val="006E5B97"/>
    <w:rsid w:val="006E5BA9"/>
    <w:rsid w:val="006E5D2B"/>
    <w:rsid w:val="006E5D99"/>
    <w:rsid w:val="006E5E37"/>
    <w:rsid w:val="006E5E6B"/>
    <w:rsid w:val="006E5E7D"/>
    <w:rsid w:val="006E5F2F"/>
    <w:rsid w:val="006E5F36"/>
    <w:rsid w:val="006E5F55"/>
    <w:rsid w:val="006E5FD7"/>
    <w:rsid w:val="006E6032"/>
    <w:rsid w:val="006E6093"/>
    <w:rsid w:val="006E6234"/>
    <w:rsid w:val="006E6289"/>
    <w:rsid w:val="006E6311"/>
    <w:rsid w:val="006E635D"/>
    <w:rsid w:val="006E63AA"/>
    <w:rsid w:val="006E63D1"/>
    <w:rsid w:val="006E6469"/>
    <w:rsid w:val="006E65CD"/>
    <w:rsid w:val="006E65FA"/>
    <w:rsid w:val="006E6650"/>
    <w:rsid w:val="006E674A"/>
    <w:rsid w:val="006E6760"/>
    <w:rsid w:val="006E679D"/>
    <w:rsid w:val="006E67A8"/>
    <w:rsid w:val="006E67F4"/>
    <w:rsid w:val="006E6871"/>
    <w:rsid w:val="006E6A1D"/>
    <w:rsid w:val="006E6A47"/>
    <w:rsid w:val="006E6A5F"/>
    <w:rsid w:val="006E6AA5"/>
    <w:rsid w:val="006E6AE1"/>
    <w:rsid w:val="006E6AFD"/>
    <w:rsid w:val="006E6B02"/>
    <w:rsid w:val="006E6B24"/>
    <w:rsid w:val="006E6B96"/>
    <w:rsid w:val="006E6BB7"/>
    <w:rsid w:val="006E6C29"/>
    <w:rsid w:val="006E6E27"/>
    <w:rsid w:val="006E6E64"/>
    <w:rsid w:val="006E6F6A"/>
    <w:rsid w:val="006E6F88"/>
    <w:rsid w:val="006E6FB3"/>
    <w:rsid w:val="006E7015"/>
    <w:rsid w:val="006E70F5"/>
    <w:rsid w:val="006E7130"/>
    <w:rsid w:val="006E714F"/>
    <w:rsid w:val="006E7194"/>
    <w:rsid w:val="006E71A8"/>
    <w:rsid w:val="006E736E"/>
    <w:rsid w:val="006E7407"/>
    <w:rsid w:val="006E741F"/>
    <w:rsid w:val="006E7421"/>
    <w:rsid w:val="006E7469"/>
    <w:rsid w:val="006E74C6"/>
    <w:rsid w:val="006E74F6"/>
    <w:rsid w:val="006E7556"/>
    <w:rsid w:val="006E7563"/>
    <w:rsid w:val="006E75E3"/>
    <w:rsid w:val="006E75E7"/>
    <w:rsid w:val="006E762E"/>
    <w:rsid w:val="006E7640"/>
    <w:rsid w:val="006E7653"/>
    <w:rsid w:val="006E7665"/>
    <w:rsid w:val="006E76A0"/>
    <w:rsid w:val="006E76DF"/>
    <w:rsid w:val="006E772A"/>
    <w:rsid w:val="006E7745"/>
    <w:rsid w:val="006E77A5"/>
    <w:rsid w:val="006E7874"/>
    <w:rsid w:val="006E7876"/>
    <w:rsid w:val="006E78F6"/>
    <w:rsid w:val="006E79E4"/>
    <w:rsid w:val="006E7A53"/>
    <w:rsid w:val="006E7B44"/>
    <w:rsid w:val="006E7B46"/>
    <w:rsid w:val="006E7B5D"/>
    <w:rsid w:val="006E7B62"/>
    <w:rsid w:val="006E7BC4"/>
    <w:rsid w:val="006E7C0D"/>
    <w:rsid w:val="006E7C3B"/>
    <w:rsid w:val="006E7CBD"/>
    <w:rsid w:val="006E7D36"/>
    <w:rsid w:val="006E7D3D"/>
    <w:rsid w:val="006E7D76"/>
    <w:rsid w:val="006E7DA7"/>
    <w:rsid w:val="006E7E4E"/>
    <w:rsid w:val="006E7FC1"/>
    <w:rsid w:val="006F0052"/>
    <w:rsid w:val="006F0058"/>
    <w:rsid w:val="006F0064"/>
    <w:rsid w:val="006F0079"/>
    <w:rsid w:val="006F00AC"/>
    <w:rsid w:val="006F0177"/>
    <w:rsid w:val="006F01C8"/>
    <w:rsid w:val="006F01E9"/>
    <w:rsid w:val="006F0238"/>
    <w:rsid w:val="006F027F"/>
    <w:rsid w:val="006F0322"/>
    <w:rsid w:val="006F03DD"/>
    <w:rsid w:val="006F0423"/>
    <w:rsid w:val="006F04D0"/>
    <w:rsid w:val="006F051B"/>
    <w:rsid w:val="006F0529"/>
    <w:rsid w:val="006F05D7"/>
    <w:rsid w:val="006F0684"/>
    <w:rsid w:val="006F06A2"/>
    <w:rsid w:val="006F07F0"/>
    <w:rsid w:val="006F08D5"/>
    <w:rsid w:val="006F0918"/>
    <w:rsid w:val="006F095C"/>
    <w:rsid w:val="006F0963"/>
    <w:rsid w:val="006F0A61"/>
    <w:rsid w:val="006F0ACA"/>
    <w:rsid w:val="006F0ACE"/>
    <w:rsid w:val="006F0AEE"/>
    <w:rsid w:val="006F0B2D"/>
    <w:rsid w:val="006F0B4E"/>
    <w:rsid w:val="006F0BA1"/>
    <w:rsid w:val="006F0BF9"/>
    <w:rsid w:val="006F0C83"/>
    <w:rsid w:val="006F0C85"/>
    <w:rsid w:val="006F0DF2"/>
    <w:rsid w:val="006F0E12"/>
    <w:rsid w:val="006F0F63"/>
    <w:rsid w:val="006F10FE"/>
    <w:rsid w:val="006F11CD"/>
    <w:rsid w:val="006F11E1"/>
    <w:rsid w:val="006F1301"/>
    <w:rsid w:val="006F138E"/>
    <w:rsid w:val="006F139A"/>
    <w:rsid w:val="006F13AA"/>
    <w:rsid w:val="006F1485"/>
    <w:rsid w:val="006F150A"/>
    <w:rsid w:val="006F1567"/>
    <w:rsid w:val="006F1589"/>
    <w:rsid w:val="006F15F5"/>
    <w:rsid w:val="006F1608"/>
    <w:rsid w:val="006F1672"/>
    <w:rsid w:val="006F1700"/>
    <w:rsid w:val="006F1718"/>
    <w:rsid w:val="006F1783"/>
    <w:rsid w:val="006F18B2"/>
    <w:rsid w:val="006F18BF"/>
    <w:rsid w:val="006F18EB"/>
    <w:rsid w:val="006F1923"/>
    <w:rsid w:val="006F1938"/>
    <w:rsid w:val="006F19D7"/>
    <w:rsid w:val="006F1A0D"/>
    <w:rsid w:val="006F1AB6"/>
    <w:rsid w:val="006F1AE2"/>
    <w:rsid w:val="006F1B0F"/>
    <w:rsid w:val="006F1B8A"/>
    <w:rsid w:val="006F1BAB"/>
    <w:rsid w:val="006F1BC9"/>
    <w:rsid w:val="006F1C19"/>
    <w:rsid w:val="006F1C34"/>
    <w:rsid w:val="006F1C64"/>
    <w:rsid w:val="006F1C6E"/>
    <w:rsid w:val="006F1CB3"/>
    <w:rsid w:val="006F1CF6"/>
    <w:rsid w:val="006F1D23"/>
    <w:rsid w:val="006F1DF6"/>
    <w:rsid w:val="006F1EFB"/>
    <w:rsid w:val="006F1F0A"/>
    <w:rsid w:val="006F1F52"/>
    <w:rsid w:val="006F1F65"/>
    <w:rsid w:val="006F1F70"/>
    <w:rsid w:val="006F1F89"/>
    <w:rsid w:val="006F1F8E"/>
    <w:rsid w:val="006F2091"/>
    <w:rsid w:val="006F20A9"/>
    <w:rsid w:val="006F20D2"/>
    <w:rsid w:val="006F2106"/>
    <w:rsid w:val="006F21C5"/>
    <w:rsid w:val="006F2250"/>
    <w:rsid w:val="006F2265"/>
    <w:rsid w:val="006F2290"/>
    <w:rsid w:val="006F22C7"/>
    <w:rsid w:val="006F231D"/>
    <w:rsid w:val="006F23B0"/>
    <w:rsid w:val="006F2410"/>
    <w:rsid w:val="006F2431"/>
    <w:rsid w:val="006F24C3"/>
    <w:rsid w:val="006F2502"/>
    <w:rsid w:val="006F25C5"/>
    <w:rsid w:val="006F25F0"/>
    <w:rsid w:val="006F261C"/>
    <w:rsid w:val="006F2633"/>
    <w:rsid w:val="006F266F"/>
    <w:rsid w:val="006F26D3"/>
    <w:rsid w:val="006F26D5"/>
    <w:rsid w:val="006F275A"/>
    <w:rsid w:val="006F27F2"/>
    <w:rsid w:val="006F2832"/>
    <w:rsid w:val="006F2887"/>
    <w:rsid w:val="006F288F"/>
    <w:rsid w:val="006F28C6"/>
    <w:rsid w:val="006F28EB"/>
    <w:rsid w:val="006F29E5"/>
    <w:rsid w:val="006F2A02"/>
    <w:rsid w:val="006F2B4A"/>
    <w:rsid w:val="006F2C00"/>
    <w:rsid w:val="006F2D39"/>
    <w:rsid w:val="006F2D4F"/>
    <w:rsid w:val="006F2D87"/>
    <w:rsid w:val="006F2E26"/>
    <w:rsid w:val="006F2E32"/>
    <w:rsid w:val="006F2E40"/>
    <w:rsid w:val="006F2EE5"/>
    <w:rsid w:val="006F2EFE"/>
    <w:rsid w:val="006F2F4E"/>
    <w:rsid w:val="006F2FD4"/>
    <w:rsid w:val="006F2FF3"/>
    <w:rsid w:val="006F300B"/>
    <w:rsid w:val="006F3058"/>
    <w:rsid w:val="006F30C7"/>
    <w:rsid w:val="006F3101"/>
    <w:rsid w:val="006F3142"/>
    <w:rsid w:val="006F3195"/>
    <w:rsid w:val="006F31A1"/>
    <w:rsid w:val="006F3250"/>
    <w:rsid w:val="006F32B0"/>
    <w:rsid w:val="006F336C"/>
    <w:rsid w:val="006F3384"/>
    <w:rsid w:val="006F33BD"/>
    <w:rsid w:val="006F3408"/>
    <w:rsid w:val="006F347D"/>
    <w:rsid w:val="006F3496"/>
    <w:rsid w:val="006F34BD"/>
    <w:rsid w:val="006F3578"/>
    <w:rsid w:val="006F359F"/>
    <w:rsid w:val="006F3628"/>
    <w:rsid w:val="006F3683"/>
    <w:rsid w:val="006F36A3"/>
    <w:rsid w:val="006F3700"/>
    <w:rsid w:val="006F379C"/>
    <w:rsid w:val="006F38AA"/>
    <w:rsid w:val="006F38D4"/>
    <w:rsid w:val="006F38E1"/>
    <w:rsid w:val="006F39EA"/>
    <w:rsid w:val="006F3A02"/>
    <w:rsid w:val="006F3A4E"/>
    <w:rsid w:val="006F3A69"/>
    <w:rsid w:val="006F3A90"/>
    <w:rsid w:val="006F3B15"/>
    <w:rsid w:val="006F3BD9"/>
    <w:rsid w:val="006F3BE4"/>
    <w:rsid w:val="006F3C3C"/>
    <w:rsid w:val="006F3D0C"/>
    <w:rsid w:val="006F3E47"/>
    <w:rsid w:val="006F3E99"/>
    <w:rsid w:val="006F3EC9"/>
    <w:rsid w:val="006F3EDF"/>
    <w:rsid w:val="006F3F8D"/>
    <w:rsid w:val="006F404A"/>
    <w:rsid w:val="006F4083"/>
    <w:rsid w:val="006F4096"/>
    <w:rsid w:val="006F40AE"/>
    <w:rsid w:val="006F40F0"/>
    <w:rsid w:val="006F4162"/>
    <w:rsid w:val="006F4166"/>
    <w:rsid w:val="006F41C1"/>
    <w:rsid w:val="006F41CD"/>
    <w:rsid w:val="006F41D6"/>
    <w:rsid w:val="006F4297"/>
    <w:rsid w:val="006F42B9"/>
    <w:rsid w:val="006F42C4"/>
    <w:rsid w:val="006F4325"/>
    <w:rsid w:val="006F432C"/>
    <w:rsid w:val="006F4349"/>
    <w:rsid w:val="006F435B"/>
    <w:rsid w:val="006F43DA"/>
    <w:rsid w:val="006F440D"/>
    <w:rsid w:val="006F44BA"/>
    <w:rsid w:val="006F44E6"/>
    <w:rsid w:val="006F450D"/>
    <w:rsid w:val="006F4588"/>
    <w:rsid w:val="006F4605"/>
    <w:rsid w:val="006F4621"/>
    <w:rsid w:val="006F467A"/>
    <w:rsid w:val="006F46D1"/>
    <w:rsid w:val="006F473C"/>
    <w:rsid w:val="006F475A"/>
    <w:rsid w:val="006F4767"/>
    <w:rsid w:val="006F478C"/>
    <w:rsid w:val="006F48DE"/>
    <w:rsid w:val="006F4911"/>
    <w:rsid w:val="006F499F"/>
    <w:rsid w:val="006F4A21"/>
    <w:rsid w:val="006F4B89"/>
    <w:rsid w:val="006F4C00"/>
    <w:rsid w:val="006F4C34"/>
    <w:rsid w:val="006F4DA3"/>
    <w:rsid w:val="006F4DE9"/>
    <w:rsid w:val="006F4DFF"/>
    <w:rsid w:val="006F4E3C"/>
    <w:rsid w:val="006F4E6A"/>
    <w:rsid w:val="006F4E7F"/>
    <w:rsid w:val="006F4EDD"/>
    <w:rsid w:val="006F4F28"/>
    <w:rsid w:val="006F4F5A"/>
    <w:rsid w:val="006F4FD5"/>
    <w:rsid w:val="006F502D"/>
    <w:rsid w:val="006F5036"/>
    <w:rsid w:val="006F50CD"/>
    <w:rsid w:val="006F511A"/>
    <w:rsid w:val="006F5194"/>
    <w:rsid w:val="006F5231"/>
    <w:rsid w:val="006F538F"/>
    <w:rsid w:val="006F5393"/>
    <w:rsid w:val="006F53DD"/>
    <w:rsid w:val="006F5499"/>
    <w:rsid w:val="006F54C3"/>
    <w:rsid w:val="006F54C6"/>
    <w:rsid w:val="006F54DE"/>
    <w:rsid w:val="006F5512"/>
    <w:rsid w:val="006F55DE"/>
    <w:rsid w:val="006F55FC"/>
    <w:rsid w:val="006F560C"/>
    <w:rsid w:val="006F563A"/>
    <w:rsid w:val="006F573C"/>
    <w:rsid w:val="006F5742"/>
    <w:rsid w:val="006F57CC"/>
    <w:rsid w:val="006F5843"/>
    <w:rsid w:val="006F58B0"/>
    <w:rsid w:val="006F58D0"/>
    <w:rsid w:val="006F59CB"/>
    <w:rsid w:val="006F5A6C"/>
    <w:rsid w:val="006F5AEF"/>
    <w:rsid w:val="006F5BCC"/>
    <w:rsid w:val="006F5BDF"/>
    <w:rsid w:val="006F5C30"/>
    <w:rsid w:val="006F5C3E"/>
    <w:rsid w:val="006F5C51"/>
    <w:rsid w:val="006F5C6B"/>
    <w:rsid w:val="006F5D1B"/>
    <w:rsid w:val="006F5DD2"/>
    <w:rsid w:val="006F5E0F"/>
    <w:rsid w:val="006F5E3F"/>
    <w:rsid w:val="006F5E52"/>
    <w:rsid w:val="006F5E68"/>
    <w:rsid w:val="006F5E78"/>
    <w:rsid w:val="006F5E89"/>
    <w:rsid w:val="006F5F0C"/>
    <w:rsid w:val="006F5FE3"/>
    <w:rsid w:val="006F6082"/>
    <w:rsid w:val="006F60A7"/>
    <w:rsid w:val="006F60D1"/>
    <w:rsid w:val="006F6217"/>
    <w:rsid w:val="006F62BC"/>
    <w:rsid w:val="006F6368"/>
    <w:rsid w:val="006F6455"/>
    <w:rsid w:val="006F64F7"/>
    <w:rsid w:val="006F6504"/>
    <w:rsid w:val="006F659D"/>
    <w:rsid w:val="006F65CC"/>
    <w:rsid w:val="006F6602"/>
    <w:rsid w:val="006F6650"/>
    <w:rsid w:val="006F6866"/>
    <w:rsid w:val="006F6A26"/>
    <w:rsid w:val="006F6A47"/>
    <w:rsid w:val="006F6A54"/>
    <w:rsid w:val="006F6A98"/>
    <w:rsid w:val="006F6B77"/>
    <w:rsid w:val="006F6B96"/>
    <w:rsid w:val="006F6C43"/>
    <w:rsid w:val="006F6CB0"/>
    <w:rsid w:val="006F6CE3"/>
    <w:rsid w:val="006F6D09"/>
    <w:rsid w:val="006F6D59"/>
    <w:rsid w:val="006F6DA8"/>
    <w:rsid w:val="006F6E60"/>
    <w:rsid w:val="006F6EA2"/>
    <w:rsid w:val="006F7039"/>
    <w:rsid w:val="006F7049"/>
    <w:rsid w:val="006F70AC"/>
    <w:rsid w:val="006F70E4"/>
    <w:rsid w:val="006F714A"/>
    <w:rsid w:val="006F716C"/>
    <w:rsid w:val="006F7182"/>
    <w:rsid w:val="006F7198"/>
    <w:rsid w:val="006F719B"/>
    <w:rsid w:val="006F71FE"/>
    <w:rsid w:val="006F721C"/>
    <w:rsid w:val="006F72EB"/>
    <w:rsid w:val="006F73A1"/>
    <w:rsid w:val="006F73D5"/>
    <w:rsid w:val="006F73E9"/>
    <w:rsid w:val="006F7533"/>
    <w:rsid w:val="006F753E"/>
    <w:rsid w:val="006F759D"/>
    <w:rsid w:val="006F75ED"/>
    <w:rsid w:val="006F75EF"/>
    <w:rsid w:val="006F7674"/>
    <w:rsid w:val="006F76B0"/>
    <w:rsid w:val="006F7709"/>
    <w:rsid w:val="006F7715"/>
    <w:rsid w:val="006F77DF"/>
    <w:rsid w:val="006F782D"/>
    <w:rsid w:val="006F78A1"/>
    <w:rsid w:val="006F78C9"/>
    <w:rsid w:val="006F78D4"/>
    <w:rsid w:val="006F7924"/>
    <w:rsid w:val="006F7996"/>
    <w:rsid w:val="006F7A34"/>
    <w:rsid w:val="006F7A54"/>
    <w:rsid w:val="006F7B4E"/>
    <w:rsid w:val="006F7BA3"/>
    <w:rsid w:val="006F7BF6"/>
    <w:rsid w:val="006F7C86"/>
    <w:rsid w:val="006F7CBB"/>
    <w:rsid w:val="006F7CF4"/>
    <w:rsid w:val="006F7D70"/>
    <w:rsid w:val="006F7DBC"/>
    <w:rsid w:val="006F7E53"/>
    <w:rsid w:val="006F7E7D"/>
    <w:rsid w:val="006F7EA6"/>
    <w:rsid w:val="006F7EB4"/>
    <w:rsid w:val="006F7F2C"/>
    <w:rsid w:val="006F7F69"/>
    <w:rsid w:val="006F7F9E"/>
    <w:rsid w:val="006F7FA5"/>
    <w:rsid w:val="006F7FF7"/>
    <w:rsid w:val="00700039"/>
    <w:rsid w:val="0070014D"/>
    <w:rsid w:val="00700198"/>
    <w:rsid w:val="007001C2"/>
    <w:rsid w:val="00700326"/>
    <w:rsid w:val="00700444"/>
    <w:rsid w:val="007004D3"/>
    <w:rsid w:val="00700588"/>
    <w:rsid w:val="0070058E"/>
    <w:rsid w:val="0070058F"/>
    <w:rsid w:val="007005CF"/>
    <w:rsid w:val="00700669"/>
    <w:rsid w:val="007006BA"/>
    <w:rsid w:val="007006EE"/>
    <w:rsid w:val="0070071A"/>
    <w:rsid w:val="0070078F"/>
    <w:rsid w:val="007007CE"/>
    <w:rsid w:val="00700838"/>
    <w:rsid w:val="00700973"/>
    <w:rsid w:val="0070097B"/>
    <w:rsid w:val="007009C6"/>
    <w:rsid w:val="007009ED"/>
    <w:rsid w:val="00700A06"/>
    <w:rsid w:val="00700A29"/>
    <w:rsid w:val="00700A56"/>
    <w:rsid w:val="00700ABE"/>
    <w:rsid w:val="00700BB1"/>
    <w:rsid w:val="00700C35"/>
    <w:rsid w:val="00700D0F"/>
    <w:rsid w:val="00700D57"/>
    <w:rsid w:val="00700D81"/>
    <w:rsid w:val="00700E13"/>
    <w:rsid w:val="00700E30"/>
    <w:rsid w:val="00700E8C"/>
    <w:rsid w:val="00700E8D"/>
    <w:rsid w:val="00700EE0"/>
    <w:rsid w:val="00700F3D"/>
    <w:rsid w:val="00701018"/>
    <w:rsid w:val="0070105C"/>
    <w:rsid w:val="007010F9"/>
    <w:rsid w:val="00701190"/>
    <w:rsid w:val="007012D3"/>
    <w:rsid w:val="007012F4"/>
    <w:rsid w:val="00701329"/>
    <w:rsid w:val="007013ED"/>
    <w:rsid w:val="007013FD"/>
    <w:rsid w:val="00701409"/>
    <w:rsid w:val="00701461"/>
    <w:rsid w:val="007014A0"/>
    <w:rsid w:val="0070151B"/>
    <w:rsid w:val="00701561"/>
    <w:rsid w:val="00701647"/>
    <w:rsid w:val="00701856"/>
    <w:rsid w:val="00701903"/>
    <w:rsid w:val="00701915"/>
    <w:rsid w:val="00701997"/>
    <w:rsid w:val="007019DB"/>
    <w:rsid w:val="00701A63"/>
    <w:rsid w:val="00701AE4"/>
    <w:rsid w:val="00701B01"/>
    <w:rsid w:val="00701B3E"/>
    <w:rsid w:val="00701B4E"/>
    <w:rsid w:val="00701C3B"/>
    <w:rsid w:val="00701C8A"/>
    <w:rsid w:val="00701D6D"/>
    <w:rsid w:val="00701E7E"/>
    <w:rsid w:val="00701E8C"/>
    <w:rsid w:val="00701E96"/>
    <w:rsid w:val="00701EB7"/>
    <w:rsid w:val="00701FC6"/>
    <w:rsid w:val="00701FD4"/>
    <w:rsid w:val="00702078"/>
    <w:rsid w:val="007020CE"/>
    <w:rsid w:val="00702168"/>
    <w:rsid w:val="0070218F"/>
    <w:rsid w:val="007021D8"/>
    <w:rsid w:val="00702208"/>
    <w:rsid w:val="00702297"/>
    <w:rsid w:val="00702305"/>
    <w:rsid w:val="00702311"/>
    <w:rsid w:val="00702399"/>
    <w:rsid w:val="0070241D"/>
    <w:rsid w:val="00702450"/>
    <w:rsid w:val="00702451"/>
    <w:rsid w:val="00702466"/>
    <w:rsid w:val="007024E3"/>
    <w:rsid w:val="007024F8"/>
    <w:rsid w:val="0070252E"/>
    <w:rsid w:val="00702562"/>
    <w:rsid w:val="007025B6"/>
    <w:rsid w:val="007025D8"/>
    <w:rsid w:val="007025FF"/>
    <w:rsid w:val="00702638"/>
    <w:rsid w:val="007026C6"/>
    <w:rsid w:val="007026EA"/>
    <w:rsid w:val="00702702"/>
    <w:rsid w:val="007027BD"/>
    <w:rsid w:val="00702894"/>
    <w:rsid w:val="0070289F"/>
    <w:rsid w:val="007029A5"/>
    <w:rsid w:val="00702A4C"/>
    <w:rsid w:val="00702A50"/>
    <w:rsid w:val="00702A5B"/>
    <w:rsid w:val="00702A9B"/>
    <w:rsid w:val="00702B1D"/>
    <w:rsid w:val="00702B54"/>
    <w:rsid w:val="00702B77"/>
    <w:rsid w:val="00702BB2"/>
    <w:rsid w:val="00702C2F"/>
    <w:rsid w:val="00702C3D"/>
    <w:rsid w:val="00702CA0"/>
    <w:rsid w:val="00702D37"/>
    <w:rsid w:val="00702D68"/>
    <w:rsid w:val="00702EA9"/>
    <w:rsid w:val="00702FAA"/>
    <w:rsid w:val="00702FCC"/>
    <w:rsid w:val="00703010"/>
    <w:rsid w:val="00703097"/>
    <w:rsid w:val="00703212"/>
    <w:rsid w:val="00703213"/>
    <w:rsid w:val="00703251"/>
    <w:rsid w:val="00703268"/>
    <w:rsid w:val="00703376"/>
    <w:rsid w:val="00703399"/>
    <w:rsid w:val="007033A6"/>
    <w:rsid w:val="007033AF"/>
    <w:rsid w:val="007033D8"/>
    <w:rsid w:val="007033F3"/>
    <w:rsid w:val="0070346A"/>
    <w:rsid w:val="0070358B"/>
    <w:rsid w:val="007035ED"/>
    <w:rsid w:val="0070361B"/>
    <w:rsid w:val="007036BD"/>
    <w:rsid w:val="007036E7"/>
    <w:rsid w:val="0070374E"/>
    <w:rsid w:val="007037A8"/>
    <w:rsid w:val="007037DA"/>
    <w:rsid w:val="00703955"/>
    <w:rsid w:val="0070396A"/>
    <w:rsid w:val="00703975"/>
    <w:rsid w:val="007039A9"/>
    <w:rsid w:val="007039B0"/>
    <w:rsid w:val="007039FC"/>
    <w:rsid w:val="00703A0E"/>
    <w:rsid w:val="00703A13"/>
    <w:rsid w:val="00703A8D"/>
    <w:rsid w:val="00703BCE"/>
    <w:rsid w:val="00703BE5"/>
    <w:rsid w:val="00703C12"/>
    <w:rsid w:val="00703C65"/>
    <w:rsid w:val="00703C67"/>
    <w:rsid w:val="00703D33"/>
    <w:rsid w:val="00703D6A"/>
    <w:rsid w:val="00703D8B"/>
    <w:rsid w:val="00703E60"/>
    <w:rsid w:val="00703ECA"/>
    <w:rsid w:val="00703FC0"/>
    <w:rsid w:val="0070404C"/>
    <w:rsid w:val="0070409C"/>
    <w:rsid w:val="007040E3"/>
    <w:rsid w:val="00704148"/>
    <w:rsid w:val="0070414B"/>
    <w:rsid w:val="00704157"/>
    <w:rsid w:val="00704269"/>
    <w:rsid w:val="0070429E"/>
    <w:rsid w:val="007042BD"/>
    <w:rsid w:val="00704363"/>
    <w:rsid w:val="00704421"/>
    <w:rsid w:val="007044F2"/>
    <w:rsid w:val="007044F8"/>
    <w:rsid w:val="0070468F"/>
    <w:rsid w:val="007046D4"/>
    <w:rsid w:val="007046DE"/>
    <w:rsid w:val="00704736"/>
    <w:rsid w:val="00704749"/>
    <w:rsid w:val="0070474A"/>
    <w:rsid w:val="0070478D"/>
    <w:rsid w:val="007047B4"/>
    <w:rsid w:val="007047CD"/>
    <w:rsid w:val="007047D9"/>
    <w:rsid w:val="00704855"/>
    <w:rsid w:val="0070485A"/>
    <w:rsid w:val="00704874"/>
    <w:rsid w:val="007048D1"/>
    <w:rsid w:val="00704A1A"/>
    <w:rsid w:val="00704A4B"/>
    <w:rsid w:val="00704B3E"/>
    <w:rsid w:val="00704BAB"/>
    <w:rsid w:val="00704BB8"/>
    <w:rsid w:val="00704C04"/>
    <w:rsid w:val="00704C63"/>
    <w:rsid w:val="00704CB0"/>
    <w:rsid w:val="00704CE8"/>
    <w:rsid w:val="00704D4A"/>
    <w:rsid w:val="00704D8A"/>
    <w:rsid w:val="00704E8A"/>
    <w:rsid w:val="00704F0D"/>
    <w:rsid w:val="00704F24"/>
    <w:rsid w:val="00704F2D"/>
    <w:rsid w:val="00704F8F"/>
    <w:rsid w:val="00704FEE"/>
    <w:rsid w:val="007051DE"/>
    <w:rsid w:val="0070520E"/>
    <w:rsid w:val="0070521F"/>
    <w:rsid w:val="007052AC"/>
    <w:rsid w:val="007052B0"/>
    <w:rsid w:val="007052F7"/>
    <w:rsid w:val="00705405"/>
    <w:rsid w:val="00705417"/>
    <w:rsid w:val="00705493"/>
    <w:rsid w:val="0070559B"/>
    <w:rsid w:val="007055D1"/>
    <w:rsid w:val="0070566C"/>
    <w:rsid w:val="007056D2"/>
    <w:rsid w:val="0070580F"/>
    <w:rsid w:val="007058B2"/>
    <w:rsid w:val="00705908"/>
    <w:rsid w:val="007059E4"/>
    <w:rsid w:val="007059F9"/>
    <w:rsid w:val="00705A38"/>
    <w:rsid w:val="00705A96"/>
    <w:rsid w:val="00705A9D"/>
    <w:rsid w:val="00705B4C"/>
    <w:rsid w:val="00705B56"/>
    <w:rsid w:val="00705BBE"/>
    <w:rsid w:val="00705BE0"/>
    <w:rsid w:val="00705BF7"/>
    <w:rsid w:val="00705C24"/>
    <w:rsid w:val="00705C78"/>
    <w:rsid w:val="00705D2C"/>
    <w:rsid w:val="00705D3A"/>
    <w:rsid w:val="00705DDC"/>
    <w:rsid w:val="00705E42"/>
    <w:rsid w:val="00705E8D"/>
    <w:rsid w:val="00705ED3"/>
    <w:rsid w:val="00705F88"/>
    <w:rsid w:val="00705FA7"/>
    <w:rsid w:val="00705FB8"/>
    <w:rsid w:val="00706004"/>
    <w:rsid w:val="0070602F"/>
    <w:rsid w:val="007060D0"/>
    <w:rsid w:val="007060E0"/>
    <w:rsid w:val="00706191"/>
    <w:rsid w:val="00706229"/>
    <w:rsid w:val="0070623B"/>
    <w:rsid w:val="00706273"/>
    <w:rsid w:val="0070631B"/>
    <w:rsid w:val="0070633B"/>
    <w:rsid w:val="00706350"/>
    <w:rsid w:val="007063A4"/>
    <w:rsid w:val="007063A7"/>
    <w:rsid w:val="00706406"/>
    <w:rsid w:val="0070647C"/>
    <w:rsid w:val="0070649E"/>
    <w:rsid w:val="007064BB"/>
    <w:rsid w:val="007064EF"/>
    <w:rsid w:val="00706529"/>
    <w:rsid w:val="0070652B"/>
    <w:rsid w:val="0070653C"/>
    <w:rsid w:val="0070657F"/>
    <w:rsid w:val="00706615"/>
    <w:rsid w:val="00706638"/>
    <w:rsid w:val="007066B1"/>
    <w:rsid w:val="007066BF"/>
    <w:rsid w:val="007066C3"/>
    <w:rsid w:val="00706703"/>
    <w:rsid w:val="0070677E"/>
    <w:rsid w:val="007067FC"/>
    <w:rsid w:val="0070682E"/>
    <w:rsid w:val="0070687A"/>
    <w:rsid w:val="00706890"/>
    <w:rsid w:val="007068C1"/>
    <w:rsid w:val="0070694F"/>
    <w:rsid w:val="00706959"/>
    <w:rsid w:val="00706AAA"/>
    <w:rsid w:val="00706B6C"/>
    <w:rsid w:val="00706C11"/>
    <w:rsid w:val="00706C72"/>
    <w:rsid w:val="00706CD1"/>
    <w:rsid w:val="00706F83"/>
    <w:rsid w:val="00706FF8"/>
    <w:rsid w:val="00707213"/>
    <w:rsid w:val="0070721A"/>
    <w:rsid w:val="00707240"/>
    <w:rsid w:val="007073AF"/>
    <w:rsid w:val="00707482"/>
    <w:rsid w:val="007074B8"/>
    <w:rsid w:val="0070757A"/>
    <w:rsid w:val="007075E8"/>
    <w:rsid w:val="007075FE"/>
    <w:rsid w:val="00707688"/>
    <w:rsid w:val="007076AA"/>
    <w:rsid w:val="007076D1"/>
    <w:rsid w:val="00707744"/>
    <w:rsid w:val="0070775A"/>
    <w:rsid w:val="007077E6"/>
    <w:rsid w:val="007077F8"/>
    <w:rsid w:val="00707924"/>
    <w:rsid w:val="00707989"/>
    <w:rsid w:val="007079B0"/>
    <w:rsid w:val="00707A77"/>
    <w:rsid w:val="00707B4C"/>
    <w:rsid w:val="00707BA4"/>
    <w:rsid w:val="00707BB2"/>
    <w:rsid w:val="00707BF3"/>
    <w:rsid w:val="00707BF7"/>
    <w:rsid w:val="00707C12"/>
    <w:rsid w:val="00707C97"/>
    <w:rsid w:val="00707D2F"/>
    <w:rsid w:val="00707E74"/>
    <w:rsid w:val="00707E97"/>
    <w:rsid w:val="00707EE7"/>
    <w:rsid w:val="00707F19"/>
    <w:rsid w:val="00707F2B"/>
    <w:rsid w:val="00707F2E"/>
    <w:rsid w:val="00707F3D"/>
    <w:rsid w:val="00707F5A"/>
    <w:rsid w:val="00707FBE"/>
    <w:rsid w:val="00710022"/>
    <w:rsid w:val="00710050"/>
    <w:rsid w:val="007100B9"/>
    <w:rsid w:val="007100E8"/>
    <w:rsid w:val="00710103"/>
    <w:rsid w:val="00710126"/>
    <w:rsid w:val="00710136"/>
    <w:rsid w:val="00710153"/>
    <w:rsid w:val="0071015F"/>
    <w:rsid w:val="00710161"/>
    <w:rsid w:val="00710317"/>
    <w:rsid w:val="00710364"/>
    <w:rsid w:val="00710458"/>
    <w:rsid w:val="007104B9"/>
    <w:rsid w:val="007105BF"/>
    <w:rsid w:val="0071061C"/>
    <w:rsid w:val="00710699"/>
    <w:rsid w:val="007106B0"/>
    <w:rsid w:val="00710758"/>
    <w:rsid w:val="0071077A"/>
    <w:rsid w:val="0071087C"/>
    <w:rsid w:val="00710887"/>
    <w:rsid w:val="007108CE"/>
    <w:rsid w:val="0071096F"/>
    <w:rsid w:val="007109FE"/>
    <w:rsid w:val="00710B16"/>
    <w:rsid w:val="00710B19"/>
    <w:rsid w:val="00710B23"/>
    <w:rsid w:val="00710B55"/>
    <w:rsid w:val="00710B5F"/>
    <w:rsid w:val="00710B9A"/>
    <w:rsid w:val="00710C01"/>
    <w:rsid w:val="00710C07"/>
    <w:rsid w:val="00710C54"/>
    <w:rsid w:val="00710C5C"/>
    <w:rsid w:val="00710CF5"/>
    <w:rsid w:val="00710D29"/>
    <w:rsid w:val="00710EB0"/>
    <w:rsid w:val="00710F39"/>
    <w:rsid w:val="00710F6A"/>
    <w:rsid w:val="00710F9F"/>
    <w:rsid w:val="00710FBE"/>
    <w:rsid w:val="00710FFB"/>
    <w:rsid w:val="00711030"/>
    <w:rsid w:val="0071108C"/>
    <w:rsid w:val="007110A5"/>
    <w:rsid w:val="00711154"/>
    <w:rsid w:val="007111A7"/>
    <w:rsid w:val="00711215"/>
    <w:rsid w:val="00711243"/>
    <w:rsid w:val="0071129D"/>
    <w:rsid w:val="007112D3"/>
    <w:rsid w:val="007112EB"/>
    <w:rsid w:val="0071130B"/>
    <w:rsid w:val="00711346"/>
    <w:rsid w:val="00711369"/>
    <w:rsid w:val="007113F9"/>
    <w:rsid w:val="0071141C"/>
    <w:rsid w:val="00711533"/>
    <w:rsid w:val="00711543"/>
    <w:rsid w:val="00711603"/>
    <w:rsid w:val="00711623"/>
    <w:rsid w:val="007116EB"/>
    <w:rsid w:val="0071173D"/>
    <w:rsid w:val="00711740"/>
    <w:rsid w:val="00711782"/>
    <w:rsid w:val="00711783"/>
    <w:rsid w:val="007118BA"/>
    <w:rsid w:val="0071193E"/>
    <w:rsid w:val="00711A4F"/>
    <w:rsid w:val="00711A55"/>
    <w:rsid w:val="00711A64"/>
    <w:rsid w:val="00711A7F"/>
    <w:rsid w:val="00711A89"/>
    <w:rsid w:val="00711A8F"/>
    <w:rsid w:val="00711C57"/>
    <w:rsid w:val="00711C6E"/>
    <w:rsid w:val="00711C82"/>
    <w:rsid w:val="00711C94"/>
    <w:rsid w:val="00711CA0"/>
    <w:rsid w:val="00711CFA"/>
    <w:rsid w:val="00711D86"/>
    <w:rsid w:val="00711DA3"/>
    <w:rsid w:val="00711DFD"/>
    <w:rsid w:val="00711E16"/>
    <w:rsid w:val="00711E58"/>
    <w:rsid w:val="00711EE9"/>
    <w:rsid w:val="00711FE9"/>
    <w:rsid w:val="00711FFC"/>
    <w:rsid w:val="00712033"/>
    <w:rsid w:val="0071209B"/>
    <w:rsid w:val="007120D6"/>
    <w:rsid w:val="007120E7"/>
    <w:rsid w:val="0071220C"/>
    <w:rsid w:val="0071225B"/>
    <w:rsid w:val="00712264"/>
    <w:rsid w:val="007122DE"/>
    <w:rsid w:val="007123EF"/>
    <w:rsid w:val="0071241C"/>
    <w:rsid w:val="0071244F"/>
    <w:rsid w:val="00712500"/>
    <w:rsid w:val="0071258E"/>
    <w:rsid w:val="00712658"/>
    <w:rsid w:val="00712663"/>
    <w:rsid w:val="007127B6"/>
    <w:rsid w:val="007127BD"/>
    <w:rsid w:val="007127D0"/>
    <w:rsid w:val="00712875"/>
    <w:rsid w:val="007128EA"/>
    <w:rsid w:val="007129CA"/>
    <w:rsid w:val="007129D2"/>
    <w:rsid w:val="007129DE"/>
    <w:rsid w:val="00712A62"/>
    <w:rsid w:val="00712B7D"/>
    <w:rsid w:val="00712B8D"/>
    <w:rsid w:val="00712E20"/>
    <w:rsid w:val="00712E5F"/>
    <w:rsid w:val="00712E91"/>
    <w:rsid w:val="00712EA2"/>
    <w:rsid w:val="00712EAC"/>
    <w:rsid w:val="00712ECC"/>
    <w:rsid w:val="00712EDA"/>
    <w:rsid w:val="00712F74"/>
    <w:rsid w:val="0071309D"/>
    <w:rsid w:val="007130AC"/>
    <w:rsid w:val="007130D6"/>
    <w:rsid w:val="0071312C"/>
    <w:rsid w:val="00713179"/>
    <w:rsid w:val="00713191"/>
    <w:rsid w:val="007131E3"/>
    <w:rsid w:val="00713256"/>
    <w:rsid w:val="0071328B"/>
    <w:rsid w:val="00713300"/>
    <w:rsid w:val="00713337"/>
    <w:rsid w:val="007133F3"/>
    <w:rsid w:val="007133FA"/>
    <w:rsid w:val="0071344E"/>
    <w:rsid w:val="007134A1"/>
    <w:rsid w:val="00713559"/>
    <w:rsid w:val="00713561"/>
    <w:rsid w:val="0071358A"/>
    <w:rsid w:val="0071361B"/>
    <w:rsid w:val="0071365B"/>
    <w:rsid w:val="007136D3"/>
    <w:rsid w:val="0071375E"/>
    <w:rsid w:val="0071380C"/>
    <w:rsid w:val="00713852"/>
    <w:rsid w:val="00713871"/>
    <w:rsid w:val="00713998"/>
    <w:rsid w:val="007139E8"/>
    <w:rsid w:val="00713A40"/>
    <w:rsid w:val="00713A63"/>
    <w:rsid w:val="00713A80"/>
    <w:rsid w:val="00713A98"/>
    <w:rsid w:val="00713ACF"/>
    <w:rsid w:val="00713AEF"/>
    <w:rsid w:val="00713B3E"/>
    <w:rsid w:val="00713B59"/>
    <w:rsid w:val="00713B98"/>
    <w:rsid w:val="00713BCF"/>
    <w:rsid w:val="00713BDC"/>
    <w:rsid w:val="00713C7E"/>
    <w:rsid w:val="00713C8E"/>
    <w:rsid w:val="00713CB9"/>
    <w:rsid w:val="00713D26"/>
    <w:rsid w:val="00713D4A"/>
    <w:rsid w:val="00713D68"/>
    <w:rsid w:val="00713D86"/>
    <w:rsid w:val="00713DAA"/>
    <w:rsid w:val="00713E1C"/>
    <w:rsid w:val="00713E4A"/>
    <w:rsid w:val="00713EB0"/>
    <w:rsid w:val="00713EC7"/>
    <w:rsid w:val="00713EE1"/>
    <w:rsid w:val="00713F0D"/>
    <w:rsid w:val="00713FF3"/>
    <w:rsid w:val="00713FF5"/>
    <w:rsid w:val="00714025"/>
    <w:rsid w:val="00714054"/>
    <w:rsid w:val="00714075"/>
    <w:rsid w:val="00714240"/>
    <w:rsid w:val="00714261"/>
    <w:rsid w:val="007142BB"/>
    <w:rsid w:val="007142D2"/>
    <w:rsid w:val="00714302"/>
    <w:rsid w:val="007143B4"/>
    <w:rsid w:val="007143C5"/>
    <w:rsid w:val="007143D4"/>
    <w:rsid w:val="0071441D"/>
    <w:rsid w:val="0071449C"/>
    <w:rsid w:val="00714530"/>
    <w:rsid w:val="00714558"/>
    <w:rsid w:val="007145C0"/>
    <w:rsid w:val="007145DB"/>
    <w:rsid w:val="007145F0"/>
    <w:rsid w:val="007146C0"/>
    <w:rsid w:val="00714795"/>
    <w:rsid w:val="007148BB"/>
    <w:rsid w:val="007148CC"/>
    <w:rsid w:val="007148EA"/>
    <w:rsid w:val="00714AA3"/>
    <w:rsid w:val="00714B62"/>
    <w:rsid w:val="00714BB7"/>
    <w:rsid w:val="00714BDA"/>
    <w:rsid w:val="00714C23"/>
    <w:rsid w:val="00714C67"/>
    <w:rsid w:val="00714D85"/>
    <w:rsid w:val="00714E66"/>
    <w:rsid w:val="00714E69"/>
    <w:rsid w:val="00714EAF"/>
    <w:rsid w:val="00714F05"/>
    <w:rsid w:val="00714F3C"/>
    <w:rsid w:val="00714F55"/>
    <w:rsid w:val="00714F69"/>
    <w:rsid w:val="00714FBD"/>
    <w:rsid w:val="0071500C"/>
    <w:rsid w:val="00715024"/>
    <w:rsid w:val="00715088"/>
    <w:rsid w:val="007150C3"/>
    <w:rsid w:val="007150F6"/>
    <w:rsid w:val="007151D1"/>
    <w:rsid w:val="007151E5"/>
    <w:rsid w:val="007151E9"/>
    <w:rsid w:val="00715224"/>
    <w:rsid w:val="0071522D"/>
    <w:rsid w:val="0071525D"/>
    <w:rsid w:val="00715276"/>
    <w:rsid w:val="00715289"/>
    <w:rsid w:val="007152C7"/>
    <w:rsid w:val="00715311"/>
    <w:rsid w:val="00715397"/>
    <w:rsid w:val="007153A6"/>
    <w:rsid w:val="007153F5"/>
    <w:rsid w:val="00715401"/>
    <w:rsid w:val="00715446"/>
    <w:rsid w:val="007154C3"/>
    <w:rsid w:val="007154E2"/>
    <w:rsid w:val="007154FF"/>
    <w:rsid w:val="00715505"/>
    <w:rsid w:val="0071551D"/>
    <w:rsid w:val="0071557D"/>
    <w:rsid w:val="007155B3"/>
    <w:rsid w:val="007155DD"/>
    <w:rsid w:val="00715659"/>
    <w:rsid w:val="0071581F"/>
    <w:rsid w:val="00715859"/>
    <w:rsid w:val="00715881"/>
    <w:rsid w:val="007158A4"/>
    <w:rsid w:val="007159FC"/>
    <w:rsid w:val="00715A2D"/>
    <w:rsid w:val="00715ADE"/>
    <w:rsid w:val="00715BFF"/>
    <w:rsid w:val="00715C22"/>
    <w:rsid w:val="00715CD3"/>
    <w:rsid w:val="00715E31"/>
    <w:rsid w:val="00715E41"/>
    <w:rsid w:val="00715E98"/>
    <w:rsid w:val="00715E9B"/>
    <w:rsid w:val="00715EB3"/>
    <w:rsid w:val="00715EB6"/>
    <w:rsid w:val="00715F68"/>
    <w:rsid w:val="00715FCB"/>
    <w:rsid w:val="0071601E"/>
    <w:rsid w:val="0071607B"/>
    <w:rsid w:val="007160D0"/>
    <w:rsid w:val="007160E3"/>
    <w:rsid w:val="0071610D"/>
    <w:rsid w:val="00716134"/>
    <w:rsid w:val="0071619E"/>
    <w:rsid w:val="00716371"/>
    <w:rsid w:val="0071639D"/>
    <w:rsid w:val="00716424"/>
    <w:rsid w:val="00716524"/>
    <w:rsid w:val="00716556"/>
    <w:rsid w:val="00716590"/>
    <w:rsid w:val="00716654"/>
    <w:rsid w:val="00716660"/>
    <w:rsid w:val="0071669C"/>
    <w:rsid w:val="00716702"/>
    <w:rsid w:val="00716709"/>
    <w:rsid w:val="007167A6"/>
    <w:rsid w:val="00716866"/>
    <w:rsid w:val="0071688B"/>
    <w:rsid w:val="00716970"/>
    <w:rsid w:val="00716B34"/>
    <w:rsid w:val="00716BE1"/>
    <w:rsid w:val="00716C20"/>
    <w:rsid w:val="00716C3E"/>
    <w:rsid w:val="00716C8B"/>
    <w:rsid w:val="00716D9A"/>
    <w:rsid w:val="00716E13"/>
    <w:rsid w:val="00716E6D"/>
    <w:rsid w:val="00716F34"/>
    <w:rsid w:val="00717013"/>
    <w:rsid w:val="0071704C"/>
    <w:rsid w:val="007170D4"/>
    <w:rsid w:val="00717139"/>
    <w:rsid w:val="007171F4"/>
    <w:rsid w:val="00717292"/>
    <w:rsid w:val="007172B9"/>
    <w:rsid w:val="00717380"/>
    <w:rsid w:val="007173DE"/>
    <w:rsid w:val="0071744B"/>
    <w:rsid w:val="007174F6"/>
    <w:rsid w:val="007175A8"/>
    <w:rsid w:val="00717603"/>
    <w:rsid w:val="0071768C"/>
    <w:rsid w:val="00717699"/>
    <w:rsid w:val="00717703"/>
    <w:rsid w:val="0071774E"/>
    <w:rsid w:val="0071777B"/>
    <w:rsid w:val="0071780A"/>
    <w:rsid w:val="00717877"/>
    <w:rsid w:val="007178A9"/>
    <w:rsid w:val="007178B1"/>
    <w:rsid w:val="007178D1"/>
    <w:rsid w:val="0071792C"/>
    <w:rsid w:val="007179F7"/>
    <w:rsid w:val="00717A4A"/>
    <w:rsid w:val="00717ADD"/>
    <w:rsid w:val="00717B47"/>
    <w:rsid w:val="00717B56"/>
    <w:rsid w:val="00717B66"/>
    <w:rsid w:val="00717B9E"/>
    <w:rsid w:val="00717C2B"/>
    <w:rsid w:val="00717D45"/>
    <w:rsid w:val="00717DEF"/>
    <w:rsid w:val="00717DF5"/>
    <w:rsid w:val="00717DFB"/>
    <w:rsid w:val="00717E2D"/>
    <w:rsid w:val="00717E39"/>
    <w:rsid w:val="00717E92"/>
    <w:rsid w:val="00717EA8"/>
    <w:rsid w:val="00717F44"/>
    <w:rsid w:val="00717F46"/>
    <w:rsid w:val="00717F98"/>
    <w:rsid w:val="0072001B"/>
    <w:rsid w:val="007200BD"/>
    <w:rsid w:val="00720189"/>
    <w:rsid w:val="007202A1"/>
    <w:rsid w:val="007203B3"/>
    <w:rsid w:val="007203C7"/>
    <w:rsid w:val="0072045C"/>
    <w:rsid w:val="0072046A"/>
    <w:rsid w:val="00720613"/>
    <w:rsid w:val="00720626"/>
    <w:rsid w:val="00720681"/>
    <w:rsid w:val="00720726"/>
    <w:rsid w:val="0072076F"/>
    <w:rsid w:val="00720798"/>
    <w:rsid w:val="00720815"/>
    <w:rsid w:val="00720914"/>
    <w:rsid w:val="0072093B"/>
    <w:rsid w:val="00720943"/>
    <w:rsid w:val="00720946"/>
    <w:rsid w:val="007209BE"/>
    <w:rsid w:val="007209FD"/>
    <w:rsid w:val="00720A8C"/>
    <w:rsid w:val="00720A90"/>
    <w:rsid w:val="00720C03"/>
    <w:rsid w:val="00720CD3"/>
    <w:rsid w:val="00720EB3"/>
    <w:rsid w:val="00720EE4"/>
    <w:rsid w:val="00720EE6"/>
    <w:rsid w:val="00720F62"/>
    <w:rsid w:val="00720FF8"/>
    <w:rsid w:val="0072111A"/>
    <w:rsid w:val="00721126"/>
    <w:rsid w:val="0072114B"/>
    <w:rsid w:val="00721186"/>
    <w:rsid w:val="007211A4"/>
    <w:rsid w:val="007211E0"/>
    <w:rsid w:val="007211EA"/>
    <w:rsid w:val="007212DB"/>
    <w:rsid w:val="007212FE"/>
    <w:rsid w:val="0072131A"/>
    <w:rsid w:val="0072148E"/>
    <w:rsid w:val="00721499"/>
    <w:rsid w:val="007214EB"/>
    <w:rsid w:val="00721523"/>
    <w:rsid w:val="0072152A"/>
    <w:rsid w:val="0072153A"/>
    <w:rsid w:val="0072155D"/>
    <w:rsid w:val="007215CE"/>
    <w:rsid w:val="00721622"/>
    <w:rsid w:val="007216A8"/>
    <w:rsid w:val="00721762"/>
    <w:rsid w:val="00721777"/>
    <w:rsid w:val="0072184D"/>
    <w:rsid w:val="007219A3"/>
    <w:rsid w:val="00721A64"/>
    <w:rsid w:val="00721B27"/>
    <w:rsid w:val="00721B29"/>
    <w:rsid w:val="00721B59"/>
    <w:rsid w:val="00721BAA"/>
    <w:rsid w:val="00721BB6"/>
    <w:rsid w:val="00721BE0"/>
    <w:rsid w:val="00721CD1"/>
    <w:rsid w:val="00721CE4"/>
    <w:rsid w:val="00721D3E"/>
    <w:rsid w:val="00721D4F"/>
    <w:rsid w:val="00721DBB"/>
    <w:rsid w:val="00721DF7"/>
    <w:rsid w:val="00721E59"/>
    <w:rsid w:val="00721E7B"/>
    <w:rsid w:val="00721EF0"/>
    <w:rsid w:val="00721F52"/>
    <w:rsid w:val="00721F8F"/>
    <w:rsid w:val="00721F98"/>
    <w:rsid w:val="00721FBB"/>
    <w:rsid w:val="00722046"/>
    <w:rsid w:val="007220C0"/>
    <w:rsid w:val="00722194"/>
    <w:rsid w:val="007221A2"/>
    <w:rsid w:val="007221BE"/>
    <w:rsid w:val="007221E3"/>
    <w:rsid w:val="007221F5"/>
    <w:rsid w:val="00722280"/>
    <w:rsid w:val="00722286"/>
    <w:rsid w:val="007222B4"/>
    <w:rsid w:val="007222EF"/>
    <w:rsid w:val="0072233C"/>
    <w:rsid w:val="00722388"/>
    <w:rsid w:val="0072239C"/>
    <w:rsid w:val="007223B0"/>
    <w:rsid w:val="0072241D"/>
    <w:rsid w:val="00722439"/>
    <w:rsid w:val="00722443"/>
    <w:rsid w:val="00722445"/>
    <w:rsid w:val="0072244A"/>
    <w:rsid w:val="00722497"/>
    <w:rsid w:val="007224A6"/>
    <w:rsid w:val="007224B7"/>
    <w:rsid w:val="00722512"/>
    <w:rsid w:val="00722515"/>
    <w:rsid w:val="0072252D"/>
    <w:rsid w:val="00722546"/>
    <w:rsid w:val="007225E2"/>
    <w:rsid w:val="0072264D"/>
    <w:rsid w:val="0072277C"/>
    <w:rsid w:val="00722783"/>
    <w:rsid w:val="00722878"/>
    <w:rsid w:val="007228F1"/>
    <w:rsid w:val="00722907"/>
    <w:rsid w:val="0072299D"/>
    <w:rsid w:val="00722A23"/>
    <w:rsid w:val="00722A47"/>
    <w:rsid w:val="00722A5F"/>
    <w:rsid w:val="00722AB5"/>
    <w:rsid w:val="00722B18"/>
    <w:rsid w:val="00722B24"/>
    <w:rsid w:val="00722B26"/>
    <w:rsid w:val="00722BF2"/>
    <w:rsid w:val="00722C74"/>
    <w:rsid w:val="00722CB3"/>
    <w:rsid w:val="00722CCE"/>
    <w:rsid w:val="00722D56"/>
    <w:rsid w:val="00722D7D"/>
    <w:rsid w:val="00722DC1"/>
    <w:rsid w:val="00722EC6"/>
    <w:rsid w:val="00722F1D"/>
    <w:rsid w:val="00722FDD"/>
    <w:rsid w:val="00723092"/>
    <w:rsid w:val="007230EC"/>
    <w:rsid w:val="007231C8"/>
    <w:rsid w:val="007231FB"/>
    <w:rsid w:val="00723253"/>
    <w:rsid w:val="00723270"/>
    <w:rsid w:val="00723291"/>
    <w:rsid w:val="0072332B"/>
    <w:rsid w:val="0072333A"/>
    <w:rsid w:val="00723341"/>
    <w:rsid w:val="0072335E"/>
    <w:rsid w:val="00723452"/>
    <w:rsid w:val="0072347E"/>
    <w:rsid w:val="0072348F"/>
    <w:rsid w:val="00723597"/>
    <w:rsid w:val="007235FA"/>
    <w:rsid w:val="00723694"/>
    <w:rsid w:val="007237AC"/>
    <w:rsid w:val="0072384B"/>
    <w:rsid w:val="0072386C"/>
    <w:rsid w:val="0072388B"/>
    <w:rsid w:val="007238A2"/>
    <w:rsid w:val="007238F7"/>
    <w:rsid w:val="007239A6"/>
    <w:rsid w:val="007239BF"/>
    <w:rsid w:val="00723AFD"/>
    <w:rsid w:val="00723B1C"/>
    <w:rsid w:val="00723CDF"/>
    <w:rsid w:val="00723CE3"/>
    <w:rsid w:val="00723D0A"/>
    <w:rsid w:val="00723D50"/>
    <w:rsid w:val="00723D82"/>
    <w:rsid w:val="00723DA8"/>
    <w:rsid w:val="00723DAD"/>
    <w:rsid w:val="00723E23"/>
    <w:rsid w:val="00723E8A"/>
    <w:rsid w:val="00723EEF"/>
    <w:rsid w:val="00723F6B"/>
    <w:rsid w:val="00723F9D"/>
    <w:rsid w:val="00723FA6"/>
    <w:rsid w:val="00723FE8"/>
    <w:rsid w:val="007240D8"/>
    <w:rsid w:val="00724185"/>
    <w:rsid w:val="0072418F"/>
    <w:rsid w:val="007241A6"/>
    <w:rsid w:val="007241C7"/>
    <w:rsid w:val="007241E9"/>
    <w:rsid w:val="007242B7"/>
    <w:rsid w:val="007242F9"/>
    <w:rsid w:val="00724319"/>
    <w:rsid w:val="0072431C"/>
    <w:rsid w:val="00724338"/>
    <w:rsid w:val="0072438F"/>
    <w:rsid w:val="007244C4"/>
    <w:rsid w:val="00724552"/>
    <w:rsid w:val="0072461A"/>
    <w:rsid w:val="00724630"/>
    <w:rsid w:val="007246E5"/>
    <w:rsid w:val="007247EE"/>
    <w:rsid w:val="00724809"/>
    <w:rsid w:val="0072482E"/>
    <w:rsid w:val="007248C9"/>
    <w:rsid w:val="007248F6"/>
    <w:rsid w:val="007249DC"/>
    <w:rsid w:val="00724AD4"/>
    <w:rsid w:val="00724B1F"/>
    <w:rsid w:val="00724BBD"/>
    <w:rsid w:val="00724BED"/>
    <w:rsid w:val="00724C95"/>
    <w:rsid w:val="00724DD2"/>
    <w:rsid w:val="00724DEF"/>
    <w:rsid w:val="00724E60"/>
    <w:rsid w:val="00724EDB"/>
    <w:rsid w:val="00724F07"/>
    <w:rsid w:val="00724F16"/>
    <w:rsid w:val="00724F7D"/>
    <w:rsid w:val="0072514D"/>
    <w:rsid w:val="00725167"/>
    <w:rsid w:val="0072517E"/>
    <w:rsid w:val="007251D2"/>
    <w:rsid w:val="007251D4"/>
    <w:rsid w:val="0072520A"/>
    <w:rsid w:val="0072522E"/>
    <w:rsid w:val="00725260"/>
    <w:rsid w:val="00725356"/>
    <w:rsid w:val="00725428"/>
    <w:rsid w:val="00725497"/>
    <w:rsid w:val="007254FA"/>
    <w:rsid w:val="00725703"/>
    <w:rsid w:val="007257B6"/>
    <w:rsid w:val="007257D6"/>
    <w:rsid w:val="007257DB"/>
    <w:rsid w:val="00725911"/>
    <w:rsid w:val="00725947"/>
    <w:rsid w:val="007259AC"/>
    <w:rsid w:val="00725AC3"/>
    <w:rsid w:val="00725B15"/>
    <w:rsid w:val="00725C0B"/>
    <w:rsid w:val="00725C11"/>
    <w:rsid w:val="00725C51"/>
    <w:rsid w:val="00725D11"/>
    <w:rsid w:val="00725EB3"/>
    <w:rsid w:val="00725F5B"/>
    <w:rsid w:val="00726040"/>
    <w:rsid w:val="0072608C"/>
    <w:rsid w:val="007260CE"/>
    <w:rsid w:val="0072616D"/>
    <w:rsid w:val="00726180"/>
    <w:rsid w:val="00726197"/>
    <w:rsid w:val="007261BD"/>
    <w:rsid w:val="007261DB"/>
    <w:rsid w:val="00726273"/>
    <w:rsid w:val="007262AF"/>
    <w:rsid w:val="007262C6"/>
    <w:rsid w:val="007265CC"/>
    <w:rsid w:val="0072663F"/>
    <w:rsid w:val="0072668C"/>
    <w:rsid w:val="0072668F"/>
    <w:rsid w:val="007266CF"/>
    <w:rsid w:val="00726764"/>
    <w:rsid w:val="00726774"/>
    <w:rsid w:val="007267C4"/>
    <w:rsid w:val="00726812"/>
    <w:rsid w:val="00726B7D"/>
    <w:rsid w:val="00726BBD"/>
    <w:rsid w:val="00726BE7"/>
    <w:rsid w:val="00726C2D"/>
    <w:rsid w:val="00726C3E"/>
    <w:rsid w:val="00726C7A"/>
    <w:rsid w:val="00726CB7"/>
    <w:rsid w:val="00726CDB"/>
    <w:rsid w:val="00726D14"/>
    <w:rsid w:val="00726E1F"/>
    <w:rsid w:val="00726E9D"/>
    <w:rsid w:val="00726EE9"/>
    <w:rsid w:val="00726F5A"/>
    <w:rsid w:val="00726F99"/>
    <w:rsid w:val="00726FA2"/>
    <w:rsid w:val="00727058"/>
    <w:rsid w:val="007270C6"/>
    <w:rsid w:val="00727124"/>
    <w:rsid w:val="007271D5"/>
    <w:rsid w:val="007272B6"/>
    <w:rsid w:val="00727348"/>
    <w:rsid w:val="007274D1"/>
    <w:rsid w:val="007274F4"/>
    <w:rsid w:val="00727532"/>
    <w:rsid w:val="00727558"/>
    <w:rsid w:val="007275F8"/>
    <w:rsid w:val="00727648"/>
    <w:rsid w:val="007276D5"/>
    <w:rsid w:val="00727783"/>
    <w:rsid w:val="00727786"/>
    <w:rsid w:val="007277FD"/>
    <w:rsid w:val="00727860"/>
    <w:rsid w:val="0072791C"/>
    <w:rsid w:val="0072797F"/>
    <w:rsid w:val="007279BC"/>
    <w:rsid w:val="007279F2"/>
    <w:rsid w:val="007279FC"/>
    <w:rsid w:val="00727A58"/>
    <w:rsid w:val="00727A84"/>
    <w:rsid w:val="00727ABB"/>
    <w:rsid w:val="00727AF8"/>
    <w:rsid w:val="00727B0F"/>
    <w:rsid w:val="00727C15"/>
    <w:rsid w:val="00727CC3"/>
    <w:rsid w:val="00727D46"/>
    <w:rsid w:val="00727D91"/>
    <w:rsid w:val="00727DBF"/>
    <w:rsid w:val="00727DE7"/>
    <w:rsid w:val="00727ED9"/>
    <w:rsid w:val="00727F1F"/>
    <w:rsid w:val="00727F4C"/>
    <w:rsid w:val="00727FFD"/>
    <w:rsid w:val="0073003D"/>
    <w:rsid w:val="007300BC"/>
    <w:rsid w:val="007301D7"/>
    <w:rsid w:val="00730275"/>
    <w:rsid w:val="007303BF"/>
    <w:rsid w:val="007304B2"/>
    <w:rsid w:val="007304EA"/>
    <w:rsid w:val="007305EE"/>
    <w:rsid w:val="0073061A"/>
    <w:rsid w:val="00730628"/>
    <w:rsid w:val="007306A3"/>
    <w:rsid w:val="007306D0"/>
    <w:rsid w:val="007306E9"/>
    <w:rsid w:val="0073074B"/>
    <w:rsid w:val="00730792"/>
    <w:rsid w:val="007307DE"/>
    <w:rsid w:val="0073080B"/>
    <w:rsid w:val="00730828"/>
    <w:rsid w:val="0073088A"/>
    <w:rsid w:val="007308DA"/>
    <w:rsid w:val="0073093B"/>
    <w:rsid w:val="0073095A"/>
    <w:rsid w:val="0073099F"/>
    <w:rsid w:val="007309BB"/>
    <w:rsid w:val="00730A92"/>
    <w:rsid w:val="00730AD0"/>
    <w:rsid w:val="00730B43"/>
    <w:rsid w:val="00730C6C"/>
    <w:rsid w:val="00730CCF"/>
    <w:rsid w:val="00730D70"/>
    <w:rsid w:val="00730F20"/>
    <w:rsid w:val="00730F89"/>
    <w:rsid w:val="00730FB7"/>
    <w:rsid w:val="00730FE3"/>
    <w:rsid w:val="00731021"/>
    <w:rsid w:val="00731056"/>
    <w:rsid w:val="00731065"/>
    <w:rsid w:val="0073107A"/>
    <w:rsid w:val="007310F3"/>
    <w:rsid w:val="0073114D"/>
    <w:rsid w:val="00731323"/>
    <w:rsid w:val="00731391"/>
    <w:rsid w:val="00731429"/>
    <w:rsid w:val="007315AC"/>
    <w:rsid w:val="0073165E"/>
    <w:rsid w:val="0073175E"/>
    <w:rsid w:val="00731781"/>
    <w:rsid w:val="007318A9"/>
    <w:rsid w:val="007318F3"/>
    <w:rsid w:val="00731901"/>
    <w:rsid w:val="00731911"/>
    <w:rsid w:val="007319F7"/>
    <w:rsid w:val="00731B2B"/>
    <w:rsid w:val="00731B59"/>
    <w:rsid w:val="00731BB7"/>
    <w:rsid w:val="00731C3C"/>
    <w:rsid w:val="00731C8A"/>
    <w:rsid w:val="00731CA3"/>
    <w:rsid w:val="00731D05"/>
    <w:rsid w:val="00731D5E"/>
    <w:rsid w:val="00731D7A"/>
    <w:rsid w:val="00731DDF"/>
    <w:rsid w:val="00731E14"/>
    <w:rsid w:val="00731EC7"/>
    <w:rsid w:val="00731EF0"/>
    <w:rsid w:val="00731EFF"/>
    <w:rsid w:val="00731F65"/>
    <w:rsid w:val="00731F88"/>
    <w:rsid w:val="00731F9F"/>
    <w:rsid w:val="00731FBB"/>
    <w:rsid w:val="00731FBE"/>
    <w:rsid w:val="00731FC7"/>
    <w:rsid w:val="00731FF1"/>
    <w:rsid w:val="00732096"/>
    <w:rsid w:val="00732111"/>
    <w:rsid w:val="00732152"/>
    <w:rsid w:val="00732158"/>
    <w:rsid w:val="007321EC"/>
    <w:rsid w:val="00732259"/>
    <w:rsid w:val="007322F6"/>
    <w:rsid w:val="00732354"/>
    <w:rsid w:val="0073241E"/>
    <w:rsid w:val="0073249E"/>
    <w:rsid w:val="0073257E"/>
    <w:rsid w:val="00732587"/>
    <w:rsid w:val="00732595"/>
    <w:rsid w:val="007325EF"/>
    <w:rsid w:val="0073279D"/>
    <w:rsid w:val="00732855"/>
    <w:rsid w:val="007328DC"/>
    <w:rsid w:val="0073297E"/>
    <w:rsid w:val="007329A3"/>
    <w:rsid w:val="007329C1"/>
    <w:rsid w:val="00732A92"/>
    <w:rsid w:val="00732B99"/>
    <w:rsid w:val="00732BCE"/>
    <w:rsid w:val="00732BEB"/>
    <w:rsid w:val="00732CD1"/>
    <w:rsid w:val="00732D99"/>
    <w:rsid w:val="00732DB5"/>
    <w:rsid w:val="00732DE0"/>
    <w:rsid w:val="00732EBD"/>
    <w:rsid w:val="00732F16"/>
    <w:rsid w:val="00732F63"/>
    <w:rsid w:val="00733036"/>
    <w:rsid w:val="00733208"/>
    <w:rsid w:val="007332A2"/>
    <w:rsid w:val="0073339F"/>
    <w:rsid w:val="007333A7"/>
    <w:rsid w:val="007333B3"/>
    <w:rsid w:val="00733533"/>
    <w:rsid w:val="00733562"/>
    <w:rsid w:val="007335D0"/>
    <w:rsid w:val="0073363D"/>
    <w:rsid w:val="0073363F"/>
    <w:rsid w:val="00733699"/>
    <w:rsid w:val="00733746"/>
    <w:rsid w:val="007337E0"/>
    <w:rsid w:val="007337F9"/>
    <w:rsid w:val="0073384B"/>
    <w:rsid w:val="00733984"/>
    <w:rsid w:val="00733AB0"/>
    <w:rsid w:val="00733BEE"/>
    <w:rsid w:val="00733C26"/>
    <w:rsid w:val="00733C8E"/>
    <w:rsid w:val="00733CB7"/>
    <w:rsid w:val="00733CC6"/>
    <w:rsid w:val="00733CEE"/>
    <w:rsid w:val="00733D75"/>
    <w:rsid w:val="00733DBA"/>
    <w:rsid w:val="00733DC2"/>
    <w:rsid w:val="00733E34"/>
    <w:rsid w:val="00733E85"/>
    <w:rsid w:val="00733F3D"/>
    <w:rsid w:val="00733F8A"/>
    <w:rsid w:val="00733FAE"/>
    <w:rsid w:val="007340B8"/>
    <w:rsid w:val="0073410B"/>
    <w:rsid w:val="00734144"/>
    <w:rsid w:val="00734339"/>
    <w:rsid w:val="00734396"/>
    <w:rsid w:val="007343A7"/>
    <w:rsid w:val="007343CC"/>
    <w:rsid w:val="007343F7"/>
    <w:rsid w:val="0073444F"/>
    <w:rsid w:val="007344AF"/>
    <w:rsid w:val="0073451D"/>
    <w:rsid w:val="00734590"/>
    <w:rsid w:val="007345E1"/>
    <w:rsid w:val="00734640"/>
    <w:rsid w:val="00734697"/>
    <w:rsid w:val="007346CD"/>
    <w:rsid w:val="007346DE"/>
    <w:rsid w:val="007348F9"/>
    <w:rsid w:val="0073496E"/>
    <w:rsid w:val="00734979"/>
    <w:rsid w:val="00734A1D"/>
    <w:rsid w:val="00734D34"/>
    <w:rsid w:val="00734D3C"/>
    <w:rsid w:val="00734D94"/>
    <w:rsid w:val="00734DA8"/>
    <w:rsid w:val="00734DF5"/>
    <w:rsid w:val="00734E29"/>
    <w:rsid w:val="00734E4B"/>
    <w:rsid w:val="00734E73"/>
    <w:rsid w:val="00734EC4"/>
    <w:rsid w:val="00734F83"/>
    <w:rsid w:val="00734FA5"/>
    <w:rsid w:val="00735129"/>
    <w:rsid w:val="00735188"/>
    <w:rsid w:val="0073529D"/>
    <w:rsid w:val="00735320"/>
    <w:rsid w:val="007354A7"/>
    <w:rsid w:val="007355EC"/>
    <w:rsid w:val="0073566E"/>
    <w:rsid w:val="00735765"/>
    <w:rsid w:val="00735770"/>
    <w:rsid w:val="007357AA"/>
    <w:rsid w:val="007357F0"/>
    <w:rsid w:val="007357F7"/>
    <w:rsid w:val="00735A27"/>
    <w:rsid w:val="00735A7D"/>
    <w:rsid w:val="00735AC3"/>
    <w:rsid w:val="00735AED"/>
    <w:rsid w:val="00735B15"/>
    <w:rsid w:val="00735B48"/>
    <w:rsid w:val="00735C89"/>
    <w:rsid w:val="00735F67"/>
    <w:rsid w:val="0073606C"/>
    <w:rsid w:val="00736116"/>
    <w:rsid w:val="0073613B"/>
    <w:rsid w:val="00736177"/>
    <w:rsid w:val="007361DC"/>
    <w:rsid w:val="00736211"/>
    <w:rsid w:val="0073624F"/>
    <w:rsid w:val="00736271"/>
    <w:rsid w:val="007362F1"/>
    <w:rsid w:val="00736340"/>
    <w:rsid w:val="00736420"/>
    <w:rsid w:val="00736469"/>
    <w:rsid w:val="007364B6"/>
    <w:rsid w:val="00736545"/>
    <w:rsid w:val="007365D1"/>
    <w:rsid w:val="007365F3"/>
    <w:rsid w:val="007366D2"/>
    <w:rsid w:val="00736704"/>
    <w:rsid w:val="00736766"/>
    <w:rsid w:val="007367A4"/>
    <w:rsid w:val="007367E1"/>
    <w:rsid w:val="0073681F"/>
    <w:rsid w:val="00736839"/>
    <w:rsid w:val="0073686D"/>
    <w:rsid w:val="00736A01"/>
    <w:rsid w:val="00736A9E"/>
    <w:rsid w:val="00736B5D"/>
    <w:rsid w:val="00736BC7"/>
    <w:rsid w:val="00736C05"/>
    <w:rsid w:val="00736C0C"/>
    <w:rsid w:val="00736C58"/>
    <w:rsid w:val="00736C73"/>
    <w:rsid w:val="00736C85"/>
    <w:rsid w:val="00736CFF"/>
    <w:rsid w:val="00736D32"/>
    <w:rsid w:val="00736E0B"/>
    <w:rsid w:val="00736E19"/>
    <w:rsid w:val="00736E7D"/>
    <w:rsid w:val="00736EB8"/>
    <w:rsid w:val="00736EF4"/>
    <w:rsid w:val="00736F59"/>
    <w:rsid w:val="00736F93"/>
    <w:rsid w:val="00737005"/>
    <w:rsid w:val="007371BC"/>
    <w:rsid w:val="007371EB"/>
    <w:rsid w:val="007372C8"/>
    <w:rsid w:val="007372ED"/>
    <w:rsid w:val="0073735F"/>
    <w:rsid w:val="00737397"/>
    <w:rsid w:val="007373A5"/>
    <w:rsid w:val="007373B8"/>
    <w:rsid w:val="007373FE"/>
    <w:rsid w:val="00737442"/>
    <w:rsid w:val="0073747A"/>
    <w:rsid w:val="007374CD"/>
    <w:rsid w:val="007374FF"/>
    <w:rsid w:val="0073758D"/>
    <w:rsid w:val="00737806"/>
    <w:rsid w:val="007378F9"/>
    <w:rsid w:val="00737909"/>
    <w:rsid w:val="007379D8"/>
    <w:rsid w:val="007379DC"/>
    <w:rsid w:val="00737A2E"/>
    <w:rsid w:val="00737B37"/>
    <w:rsid w:val="00737B4C"/>
    <w:rsid w:val="00737B88"/>
    <w:rsid w:val="00737BC4"/>
    <w:rsid w:val="00737CE8"/>
    <w:rsid w:val="00737CFE"/>
    <w:rsid w:val="00737DC8"/>
    <w:rsid w:val="00737DF9"/>
    <w:rsid w:val="00737E1C"/>
    <w:rsid w:val="00737E6B"/>
    <w:rsid w:val="00737F9A"/>
    <w:rsid w:val="00737FC5"/>
    <w:rsid w:val="00740066"/>
    <w:rsid w:val="0074008F"/>
    <w:rsid w:val="007400D5"/>
    <w:rsid w:val="00740115"/>
    <w:rsid w:val="0074011D"/>
    <w:rsid w:val="0074015C"/>
    <w:rsid w:val="0074016C"/>
    <w:rsid w:val="00740175"/>
    <w:rsid w:val="007401C7"/>
    <w:rsid w:val="007401FC"/>
    <w:rsid w:val="007402CF"/>
    <w:rsid w:val="007402F3"/>
    <w:rsid w:val="007403BE"/>
    <w:rsid w:val="007403EC"/>
    <w:rsid w:val="00740404"/>
    <w:rsid w:val="00740407"/>
    <w:rsid w:val="0074045A"/>
    <w:rsid w:val="00740483"/>
    <w:rsid w:val="007404BA"/>
    <w:rsid w:val="00740608"/>
    <w:rsid w:val="00740642"/>
    <w:rsid w:val="00740651"/>
    <w:rsid w:val="0074068E"/>
    <w:rsid w:val="00740778"/>
    <w:rsid w:val="00740792"/>
    <w:rsid w:val="00740893"/>
    <w:rsid w:val="007408B7"/>
    <w:rsid w:val="007408FC"/>
    <w:rsid w:val="00740916"/>
    <w:rsid w:val="007409B3"/>
    <w:rsid w:val="007409EA"/>
    <w:rsid w:val="00740B3F"/>
    <w:rsid w:val="00740C5D"/>
    <w:rsid w:val="00740C70"/>
    <w:rsid w:val="00740C9F"/>
    <w:rsid w:val="00740CC6"/>
    <w:rsid w:val="00740CFA"/>
    <w:rsid w:val="00740D79"/>
    <w:rsid w:val="00740D8F"/>
    <w:rsid w:val="00740D9B"/>
    <w:rsid w:val="00740DA4"/>
    <w:rsid w:val="00740DAC"/>
    <w:rsid w:val="00740E4B"/>
    <w:rsid w:val="00740EB0"/>
    <w:rsid w:val="00740FAE"/>
    <w:rsid w:val="00741013"/>
    <w:rsid w:val="00741054"/>
    <w:rsid w:val="00741065"/>
    <w:rsid w:val="0074109C"/>
    <w:rsid w:val="0074119C"/>
    <w:rsid w:val="007411C1"/>
    <w:rsid w:val="007411CD"/>
    <w:rsid w:val="00741209"/>
    <w:rsid w:val="007412F7"/>
    <w:rsid w:val="007413CF"/>
    <w:rsid w:val="0074141B"/>
    <w:rsid w:val="00741423"/>
    <w:rsid w:val="00741426"/>
    <w:rsid w:val="0074150B"/>
    <w:rsid w:val="00741523"/>
    <w:rsid w:val="00741524"/>
    <w:rsid w:val="00741526"/>
    <w:rsid w:val="00741628"/>
    <w:rsid w:val="0074167B"/>
    <w:rsid w:val="007416EF"/>
    <w:rsid w:val="007416F3"/>
    <w:rsid w:val="0074178F"/>
    <w:rsid w:val="00741883"/>
    <w:rsid w:val="00741899"/>
    <w:rsid w:val="007418EF"/>
    <w:rsid w:val="00741928"/>
    <w:rsid w:val="007419C7"/>
    <w:rsid w:val="007419E2"/>
    <w:rsid w:val="00741A4E"/>
    <w:rsid w:val="00741A80"/>
    <w:rsid w:val="00741B1B"/>
    <w:rsid w:val="00741B49"/>
    <w:rsid w:val="00741BAA"/>
    <w:rsid w:val="00741C3C"/>
    <w:rsid w:val="00741C4D"/>
    <w:rsid w:val="00741C8C"/>
    <w:rsid w:val="00741D0A"/>
    <w:rsid w:val="00741D24"/>
    <w:rsid w:val="00741DA6"/>
    <w:rsid w:val="00741E05"/>
    <w:rsid w:val="00741E0D"/>
    <w:rsid w:val="00741E38"/>
    <w:rsid w:val="00741E88"/>
    <w:rsid w:val="00741F74"/>
    <w:rsid w:val="00741FC1"/>
    <w:rsid w:val="00741FEB"/>
    <w:rsid w:val="007420D9"/>
    <w:rsid w:val="007420EC"/>
    <w:rsid w:val="0074218A"/>
    <w:rsid w:val="00742234"/>
    <w:rsid w:val="00742325"/>
    <w:rsid w:val="007423D5"/>
    <w:rsid w:val="00742469"/>
    <w:rsid w:val="00742483"/>
    <w:rsid w:val="00742538"/>
    <w:rsid w:val="007425E8"/>
    <w:rsid w:val="00742628"/>
    <w:rsid w:val="0074262B"/>
    <w:rsid w:val="00742686"/>
    <w:rsid w:val="00742690"/>
    <w:rsid w:val="007426CE"/>
    <w:rsid w:val="00742749"/>
    <w:rsid w:val="007427C8"/>
    <w:rsid w:val="007427D8"/>
    <w:rsid w:val="007427EC"/>
    <w:rsid w:val="00742808"/>
    <w:rsid w:val="00742923"/>
    <w:rsid w:val="00742989"/>
    <w:rsid w:val="00742A45"/>
    <w:rsid w:val="00742A88"/>
    <w:rsid w:val="00742AA2"/>
    <w:rsid w:val="00742AD1"/>
    <w:rsid w:val="00742AF1"/>
    <w:rsid w:val="00742B67"/>
    <w:rsid w:val="00742B7D"/>
    <w:rsid w:val="00742B7E"/>
    <w:rsid w:val="00742D54"/>
    <w:rsid w:val="00742D5A"/>
    <w:rsid w:val="00742E59"/>
    <w:rsid w:val="00742E6C"/>
    <w:rsid w:val="00742F7E"/>
    <w:rsid w:val="00742FB8"/>
    <w:rsid w:val="00743170"/>
    <w:rsid w:val="007431F7"/>
    <w:rsid w:val="00743382"/>
    <w:rsid w:val="007433D0"/>
    <w:rsid w:val="0074340D"/>
    <w:rsid w:val="00743550"/>
    <w:rsid w:val="00743553"/>
    <w:rsid w:val="007435A5"/>
    <w:rsid w:val="007435BB"/>
    <w:rsid w:val="007435BE"/>
    <w:rsid w:val="00743677"/>
    <w:rsid w:val="007437BF"/>
    <w:rsid w:val="00743811"/>
    <w:rsid w:val="00743863"/>
    <w:rsid w:val="00743957"/>
    <w:rsid w:val="007439A9"/>
    <w:rsid w:val="007439B3"/>
    <w:rsid w:val="00743A66"/>
    <w:rsid w:val="00743AA6"/>
    <w:rsid w:val="00743BC5"/>
    <w:rsid w:val="00743BD7"/>
    <w:rsid w:val="00743C14"/>
    <w:rsid w:val="00743C34"/>
    <w:rsid w:val="00743C8B"/>
    <w:rsid w:val="00743CFB"/>
    <w:rsid w:val="00743DCA"/>
    <w:rsid w:val="00743EF9"/>
    <w:rsid w:val="00743F1C"/>
    <w:rsid w:val="0074404A"/>
    <w:rsid w:val="007440D6"/>
    <w:rsid w:val="0074413F"/>
    <w:rsid w:val="007441A7"/>
    <w:rsid w:val="007443A9"/>
    <w:rsid w:val="00744575"/>
    <w:rsid w:val="00744585"/>
    <w:rsid w:val="0074463A"/>
    <w:rsid w:val="007446A1"/>
    <w:rsid w:val="007446C9"/>
    <w:rsid w:val="0074473D"/>
    <w:rsid w:val="0074474B"/>
    <w:rsid w:val="00744795"/>
    <w:rsid w:val="007447AB"/>
    <w:rsid w:val="007447BF"/>
    <w:rsid w:val="0074482B"/>
    <w:rsid w:val="00744891"/>
    <w:rsid w:val="007448C6"/>
    <w:rsid w:val="0074499C"/>
    <w:rsid w:val="007449B0"/>
    <w:rsid w:val="00744AED"/>
    <w:rsid w:val="00744B3A"/>
    <w:rsid w:val="00744B90"/>
    <w:rsid w:val="00744C6F"/>
    <w:rsid w:val="00744C97"/>
    <w:rsid w:val="00744D11"/>
    <w:rsid w:val="00744E1D"/>
    <w:rsid w:val="00744F82"/>
    <w:rsid w:val="00745073"/>
    <w:rsid w:val="00745147"/>
    <w:rsid w:val="00745149"/>
    <w:rsid w:val="00745180"/>
    <w:rsid w:val="007451A6"/>
    <w:rsid w:val="007451E9"/>
    <w:rsid w:val="0074526E"/>
    <w:rsid w:val="007453C2"/>
    <w:rsid w:val="007453EE"/>
    <w:rsid w:val="007454B6"/>
    <w:rsid w:val="00745503"/>
    <w:rsid w:val="00745642"/>
    <w:rsid w:val="0074567C"/>
    <w:rsid w:val="007456B9"/>
    <w:rsid w:val="007456DF"/>
    <w:rsid w:val="00745769"/>
    <w:rsid w:val="007457FC"/>
    <w:rsid w:val="00745806"/>
    <w:rsid w:val="007458AD"/>
    <w:rsid w:val="007458B0"/>
    <w:rsid w:val="007459DF"/>
    <w:rsid w:val="00745A62"/>
    <w:rsid w:val="00745B11"/>
    <w:rsid w:val="00745BAD"/>
    <w:rsid w:val="00745BB4"/>
    <w:rsid w:val="00745C23"/>
    <w:rsid w:val="00745C25"/>
    <w:rsid w:val="00745D50"/>
    <w:rsid w:val="00745DE4"/>
    <w:rsid w:val="00745DF7"/>
    <w:rsid w:val="00745E4F"/>
    <w:rsid w:val="00745EB7"/>
    <w:rsid w:val="00745F73"/>
    <w:rsid w:val="00745FE6"/>
    <w:rsid w:val="00746028"/>
    <w:rsid w:val="00746083"/>
    <w:rsid w:val="00746089"/>
    <w:rsid w:val="00746090"/>
    <w:rsid w:val="0074610C"/>
    <w:rsid w:val="00746133"/>
    <w:rsid w:val="00746211"/>
    <w:rsid w:val="00746234"/>
    <w:rsid w:val="007462D4"/>
    <w:rsid w:val="00746388"/>
    <w:rsid w:val="007463FE"/>
    <w:rsid w:val="00746474"/>
    <w:rsid w:val="007464F8"/>
    <w:rsid w:val="00746637"/>
    <w:rsid w:val="00746690"/>
    <w:rsid w:val="0074669F"/>
    <w:rsid w:val="007466DC"/>
    <w:rsid w:val="00746721"/>
    <w:rsid w:val="00746731"/>
    <w:rsid w:val="00746746"/>
    <w:rsid w:val="0074680D"/>
    <w:rsid w:val="007468AA"/>
    <w:rsid w:val="007468CE"/>
    <w:rsid w:val="0074699F"/>
    <w:rsid w:val="007469A2"/>
    <w:rsid w:val="007469C1"/>
    <w:rsid w:val="00746A26"/>
    <w:rsid w:val="00746A6A"/>
    <w:rsid w:val="00746B69"/>
    <w:rsid w:val="00746BE2"/>
    <w:rsid w:val="00746BF6"/>
    <w:rsid w:val="00746C75"/>
    <w:rsid w:val="00746C7B"/>
    <w:rsid w:val="00746C7D"/>
    <w:rsid w:val="00746C8F"/>
    <w:rsid w:val="00746C9C"/>
    <w:rsid w:val="00746D47"/>
    <w:rsid w:val="00746D6B"/>
    <w:rsid w:val="00746D78"/>
    <w:rsid w:val="00746DAA"/>
    <w:rsid w:val="00746DFC"/>
    <w:rsid w:val="00746E2C"/>
    <w:rsid w:val="00746EB7"/>
    <w:rsid w:val="00746EF1"/>
    <w:rsid w:val="00746F2C"/>
    <w:rsid w:val="00746F85"/>
    <w:rsid w:val="00746FBB"/>
    <w:rsid w:val="007470E2"/>
    <w:rsid w:val="00747103"/>
    <w:rsid w:val="00747276"/>
    <w:rsid w:val="00747277"/>
    <w:rsid w:val="00747299"/>
    <w:rsid w:val="0074730D"/>
    <w:rsid w:val="007473F0"/>
    <w:rsid w:val="00747503"/>
    <w:rsid w:val="0074754C"/>
    <w:rsid w:val="00747567"/>
    <w:rsid w:val="007475C4"/>
    <w:rsid w:val="007475D1"/>
    <w:rsid w:val="007476EB"/>
    <w:rsid w:val="00747717"/>
    <w:rsid w:val="007477CE"/>
    <w:rsid w:val="007477D1"/>
    <w:rsid w:val="00747801"/>
    <w:rsid w:val="0074782F"/>
    <w:rsid w:val="00747871"/>
    <w:rsid w:val="00747891"/>
    <w:rsid w:val="00747AA2"/>
    <w:rsid w:val="00747ADF"/>
    <w:rsid w:val="00747AF2"/>
    <w:rsid w:val="00747B1A"/>
    <w:rsid w:val="00747B40"/>
    <w:rsid w:val="00747C55"/>
    <w:rsid w:val="00747C62"/>
    <w:rsid w:val="00747CA2"/>
    <w:rsid w:val="00747CE2"/>
    <w:rsid w:val="00747D13"/>
    <w:rsid w:val="00747E38"/>
    <w:rsid w:val="00747E7B"/>
    <w:rsid w:val="00747EAC"/>
    <w:rsid w:val="00747EF1"/>
    <w:rsid w:val="00747EF6"/>
    <w:rsid w:val="00747F4E"/>
    <w:rsid w:val="00747FC9"/>
    <w:rsid w:val="0075002B"/>
    <w:rsid w:val="007500C4"/>
    <w:rsid w:val="00750169"/>
    <w:rsid w:val="00750173"/>
    <w:rsid w:val="0075017C"/>
    <w:rsid w:val="007501E4"/>
    <w:rsid w:val="0075031A"/>
    <w:rsid w:val="00750381"/>
    <w:rsid w:val="007503B6"/>
    <w:rsid w:val="007504E8"/>
    <w:rsid w:val="00750570"/>
    <w:rsid w:val="00750579"/>
    <w:rsid w:val="007505CA"/>
    <w:rsid w:val="00750616"/>
    <w:rsid w:val="0075062C"/>
    <w:rsid w:val="00750647"/>
    <w:rsid w:val="007506B2"/>
    <w:rsid w:val="0075072C"/>
    <w:rsid w:val="00750741"/>
    <w:rsid w:val="007507F6"/>
    <w:rsid w:val="007508D3"/>
    <w:rsid w:val="0075093A"/>
    <w:rsid w:val="007509F9"/>
    <w:rsid w:val="00750A2A"/>
    <w:rsid w:val="00750AA1"/>
    <w:rsid w:val="00750ABE"/>
    <w:rsid w:val="00750B5F"/>
    <w:rsid w:val="00750B6D"/>
    <w:rsid w:val="00750BE4"/>
    <w:rsid w:val="00750C7B"/>
    <w:rsid w:val="00750CC5"/>
    <w:rsid w:val="00750CFF"/>
    <w:rsid w:val="00750D87"/>
    <w:rsid w:val="00750D98"/>
    <w:rsid w:val="00750DB5"/>
    <w:rsid w:val="00750E60"/>
    <w:rsid w:val="00750E6B"/>
    <w:rsid w:val="00750E75"/>
    <w:rsid w:val="00750E78"/>
    <w:rsid w:val="00750E84"/>
    <w:rsid w:val="00750EEC"/>
    <w:rsid w:val="00750F57"/>
    <w:rsid w:val="00750FC5"/>
    <w:rsid w:val="00751075"/>
    <w:rsid w:val="00751079"/>
    <w:rsid w:val="00751084"/>
    <w:rsid w:val="007510AE"/>
    <w:rsid w:val="007510B5"/>
    <w:rsid w:val="007510C3"/>
    <w:rsid w:val="00751195"/>
    <w:rsid w:val="00751211"/>
    <w:rsid w:val="00751236"/>
    <w:rsid w:val="007512DA"/>
    <w:rsid w:val="00751309"/>
    <w:rsid w:val="0075130B"/>
    <w:rsid w:val="00751332"/>
    <w:rsid w:val="00751335"/>
    <w:rsid w:val="00751369"/>
    <w:rsid w:val="007513AE"/>
    <w:rsid w:val="007513DA"/>
    <w:rsid w:val="0075146A"/>
    <w:rsid w:val="00751474"/>
    <w:rsid w:val="007514F9"/>
    <w:rsid w:val="00751521"/>
    <w:rsid w:val="00751564"/>
    <w:rsid w:val="0075157F"/>
    <w:rsid w:val="00751602"/>
    <w:rsid w:val="00751636"/>
    <w:rsid w:val="00751662"/>
    <w:rsid w:val="007516E1"/>
    <w:rsid w:val="00751702"/>
    <w:rsid w:val="00751703"/>
    <w:rsid w:val="007517F0"/>
    <w:rsid w:val="007517FE"/>
    <w:rsid w:val="00751935"/>
    <w:rsid w:val="0075195C"/>
    <w:rsid w:val="007519C1"/>
    <w:rsid w:val="00751A2B"/>
    <w:rsid w:val="00751A69"/>
    <w:rsid w:val="00751A6C"/>
    <w:rsid w:val="00751B31"/>
    <w:rsid w:val="00751B5B"/>
    <w:rsid w:val="00751B75"/>
    <w:rsid w:val="00751BA5"/>
    <w:rsid w:val="00751C11"/>
    <w:rsid w:val="00751CD5"/>
    <w:rsid w:val="00751D5D"/>
    <w:rsid w:val="00751D7D"/>
    <w:rsid w:val="00751DA4"/>
    <w:rsid w:val="00751FF1"/>
    <w:rsid w:val="0075207C"/>
    <w:rsid w:val="0075208C"/>
    <w:rsid w:val="007520A3"/>
    <w:rsid w:val="007520AD"/>
    <w:rsid w:val="007520DF"/>
    <w:rsid w:val="00752117"/>
    <w:rsid w:val="0075223A"/>
    <w:rsid w:val="00752295"/>
    <w:rsid w:val="007522FF"/>
    <w:rsid w:val="00752392"/>
    <w:rsid w:val="007523FD"/>
    <w:rsid w:val="00752439"/>
    <w:rsid w:val="007524BA"/>
    <w:rsid w:val="007524CA"/>
    <w:rsid w:val="007524EC"/>
    <w:rsid w:val="00752514"/>
    <w:rsid w:val="0075259D"/>
    <w:rsid w:val="00752649"/>
    <w:rsid w:val="0075268F"/>
    <w:rsid w:val="007526BA"/>
    <w:rsid w:val="00752726"/>
    <w:rsid w:val="00752786"/>
    <w:rsid w:val="007527A7"/>
    <w:rsid w:val="007528B1"/>
    <w:rsid w:val="00752931"/>
    <w:rsid w:val="00752984"/>
    <w:rsid w:val="007529D3"/>
    <w:rsid w:val="00752A06"/>
    <w:rsid w:val="00752B37"/>
    <w:rsid w:val="00752B3E"/>
    <w:rsid w:val="00752B61"/>
    <w:rsid w:val="00752B85"/>
    <w:rsid w:val="00752B8F"/>
    <w:rsid w:val="00752BD5"/>
    <w:rsid w:val="00752C18"/>
    <w:rsid w:val="00752C50"/>
    <w:rsid w:val="00752C7F"/>
    <w:rsid w:val="00752CC4"/>
    <w:rsid w:val="00752D3D"/>
    <w:rsid w:val="00752D63"/>
    <w:rsid w:val="00752E21"/>
    <w:rsid w:val="00752E23"/>
    <w:rsid w:val="00752E64"/>
    <w:rsid w:val="00752EE0"/>
    <w:rsid w:val="00752F0E"/>
    <w:rsid w:val="00752FAF"/>
    <w:rsid w:val="0075309D"/>
    <w:rsid w:val="007530C4"/>
    <w:rsid w:val="007530CF"/>
    <w:rsid w:val="007530E4"/>
    <w:rsid w:val="0075312B"/>
    <w:rsid w:val="00753250"/>
    <w:rsid w:val="00753254"/>
    <w:rsid w:val="00753281"/>
    <w:rsid w:val="00753288"/>
    <w:rsid w:val="007532C8"/>
    <w:rsid w:val="007532DE"/>
    <w:rsid w:val="0075332F"/>
    <w:rsid w:val="00753454"/>
    <w:rsid w:val="007534E4"/>
    <w:rsid w:val="0075357F"/>
    <w:rsid w:val="007535E1"/>
    <w:rsid w:val="007536BD"/>
    <w:rsid w:val="00753820"/>
    <w:rsid w:val="0075388D"/>
    <w:rsid w:val="00753949"/>
    <w:rsid w:val="0075396D"/>
    <w:rsid w:val="007539EE"/>
    <w:rsid w:val="00753A0D"/>
    <w:rsid w:val="00753A11"/>
    <w:rsid w:val="00753A2D"/>
    <w:rsid w:val="00753A37"/>
    <w:rsid w:val="00753A55"/>
    <w:rsid w:val="00753AE8"/>
    <w:rsid w:val="00753AF7"/>
    <w:rsid w:val="00753B56"/>
    <w:rsid w:val="00753BA6"/>
    <w:rsid w:val="00753BA9"/>
    <w:rsid w:val="00753CD1"/>
    <w:rsid w:val="00753ED4"/>
    <w:rsid w:val="00753FF7"/>
    <w:rsid w:val="0075402A"/>
    <w:rsid w:val="00754040"/>
    <w:rsid w:val="00754084"/>
    <w:rsid w:val="007540E8"/>
    <w:rsid w:val="00754119"/>
    <w:rsid w:val="0075419B"/>
    <w:rsid w:val="00754325"/>
    <w:rsid w:val="00754384"/>
    <w:rsid w:val="00754398"/>
    <w:rsid w:val="007543BA"/>
    <w:rsid w:val="007543CB"/>
    <w:rsid w:val="007545D2"/>
    <w:rsid w:val="007545EE"/>
    <w:rsid w:val="00754602"/>
    <w:rsid w:val="0075462F"/>
    <w:rsid w:val="00754693"/>
    <w:rsid w:val="00754819"/>
    <w:rsid w:val="00754832"/>
    <w:rsid w:val="00754936"/>
    <w:rsid w:val="0075493A"/>
    <w:rsid w:val="007549F1"/>
    <w:rsid w:val="00754A7A"/>
    <w:rsid w:val="00754AAC"/>
    <w:rsid w:val="00754AE8"/>
    <w:rsid w:val="00754B68"/>
    <w:rsid w:val="00754E08"/>
    <w:rsid w:val="00754FF1"/>
    <w:rsid w:val="0075502D"/>
    <w:rsid w:val="00755071"/>
    <w:rsid w:val="00755086"/>
    <w:rsid w:val="00755220"/>
    <w:rsid w:val="00755244"/>
    <w:rsid w:val="007552E4"/>
    <w:rsid w:val="00755303"/>
    <w:rsid w:val="00755356"/>
    <w:rsid w:val="0075538B"/>
    <w:rsid w:val="0075538C"/>
    <w:rsid w:val="00755395"/>
    <w:rsid w:val="007553C5"/>
    <w:rsid w:val="007554C8"/>
    <w:rsid w:val="00755502"/>
    <w:rsid w:val="007555CF"/>
    <w:rsid w:val="007555F9"/>
    <w:rsid w:val="007556FF"/>
    <w:rsid w:val="00755755"/>
    <w:rsid w:val="0075575B"/>
    <w:rsid w:val="007557A7"/>
    <w:rsid w:val="007557BF"/>
    <w:rsid w:val="0075581D"/>
    <w:rsid w:val="0075586B"/>
    <w:rsid w:val="0075588E"/>
    <w:rsid w:val="007558C8"/>
    <w:rsid w:val="007558CA"/>
    <w:rsid w:val="00755938"/>
    <w:rsid w:val="00755940"/>
    <w:rsid w:val="0075597F"/>
    <w:rsid w:val="00755A96"/>
    <w:rsid w:val="00755AF5"/>
    <w:rsid w:val="00755CAC"/>
    <w:rsid w:val="00755E74"/>
    <w:rsid w:val="00755F31"/>
    <w:rsid w:val="00755F7F"/>
    <w:rsid w:val="00756034"/>
    <w:rsid w:val="00756062"/>
    <w:rsid w:val="007560EF"/>
    <w:rsid w:val="00756125"/>
    <w:rsid w:val="00756138"/>
    <w:rsid w:val="0075613F"/>
    <w:rsid w:val="0075616B"/>
    <w:rsid w:val="0075619C"/>
    <w:rsid w:val="007561D7"/>
    <w:rsid w:val="007561DD"/>
    <w:rsid w:val="0075634F"/>
    <w:rsid w:val="0075637B"/>
    <w:rsid w:val="00756497"/>
    <w:rsid w:val="007565F6"/>
    <w:rsid w:val="00756616"/>
    <w:rsid w:val="00756624"/>
    <w:rsid w:val="0075662D"/>
    <w:rsid w:val="007566A1"/>
    <w:rsid w:val="007566DD"/>
    <w:rsid w:val="00756746"/>
    <w:rsid w:val="00756788"/>
    <w:rsid w:val="007567C6"/>
    <w:rsid w:val="00756845"/>
    <w:rsid w:val="00756862"/>
    <w:rsid w:val="00756A65"/>
    <w:rsid w:val="00756AA4"/>
    <w:rsid w:val="00756BAF"/>
    <w:rsid w:val="00756C48"/>
    <w:rsid w:val="00756D28"/>
    <w:rsid w:val="00756D86"/>
    <w:rsid w:val="00756D8E"/>
    <w:rsid w:val="00756DAF"/>
    <w:rsid w:val="00756DF5"/>
    <w:rsid w:val="00756F2C"/>
    <w:rsid w:val="00756FD1"/>
    <w:rsid w:val="00756FFA"/>
    <w:rsid w:val="007570B1"/>
    <w:rsid w:val="007570B5"/>
    <w:rsid w:val="007570EC"/>
    <w:rsid w:val="0075716C"/>
    <w:rsid w:val="0075719F"/>
    <w:rsid w:val="007571C6"/>
    <w:rsid w:val="007571F5"/>
    <w:rsid w:val="00757202"/>
    <w:rsid w:val="0075728E"/>
    <w:rsid w:val="007572CB"/>
    <w:rsid w:val="007573CB"/>
    <w:rsid w:val="007573D6"/>
    <w:rsid w:val="007573DA"/>
    <w:rsid w:val="007573EC"/>
    <w:rsid w:val="00757457"/>
    <w:rsid w:val="00757519"/>
    <w:rsid w:val="00757538"/>
    <w:rsid w:val="007575A0"/>
    <w:rsid w:val="007575B2"/>
    <w:rsid w:val="00757654"/>
    <w:rsid w:val="0075765F"/>
    <w:rsid w:val="007576E5"/>
    <w:rsid w:val="0075772B"/>
    <w:rsid w:val="00757730"/>
    <w:rsid w:val="00757790"/>
    <w:rsid w:val="007577A7"/>
    <w:rsid w:val="007577AE"/>
    <w:rsid w:val="007577E2"/>
    <w:rsid w:val="00757853"/>
    <w:rsid w:val="00757949"/>
    <w:rsid w:val="00757976"/>
    <w:rsid w:val="007579AD"/>
    <w:rsid w:val="00757BC5"/>
    <w:rsid w:val="00757C62"/>
    <w:rsid w:val="00757C8C"/>
    <w:rsid w:val="00757CBD"/>
    <w:rsid w:val="00757FBB"/>
    <w:rsid w:val="007601FF"/>
    <w:rsid w:val="0076020D"/>
    <w:rsid w:val="00760271"/>
    <w:rsid w:val="007602AF"/>
    <w:rsid w:val="00760322"/>
    <w:rsid w:val="00760339"/>
    <w:rsid w:val="00760342"/>
    <w:rsid w:val="00760391"/>
    <w:rsid w:val="007603D5"/>
    <w:rsid w:val="00760422"/>
    <w:rsid w:val="00760487"/>
    <w:rsid w:val="007604AA"/>
    <w:rsid w:val="007604BE"/>
    <w:rsid w:val="00760513"/>
    <w:rsid w:val="00760530"/>
    <w:rsid w:val="0076058D"/>
    <w:rsid w:val="007605B4"/>
    <w:rsid w:val="007606E8"/>
    <w:rsid w:val="0076070E"/>
    <w:rsid w:val="00760970"/>
    <w:rsid w:val="0076099B"/>
    <w:rsid w:val="007609C1"/>
    <w:rsid w:val="007609CA"/>
    <w:rsid w:val="00760A17"/>
    <w:rsid w:val="00760ACE"/>
    <w:rsid w:val="00760AFD"/>
    <w:rsid w:val="00760B65"/>
    <w:rsid w:val="00760CFE"/>
    <w:rsid w:val="00760D20"/>
    <w:rsid w:val="00760D24"/>
    <w:rsid w:val="00760DBB"/>
    <w:rsid w:val="00760E41"/>
    <w:rsid w:val="0076106C"/>
    <w:rsid w:val="007610C2"/>
    <w:rsid w:val="00761142"/>
    <w:rsid w:val="00761170"/>
    <w:rsid w:val="0076132B"/>
    <w:rsid w:val="00761384"/>
    <w:rsid w:val="00761459"/>
    <w:rsid w:val="0076148C"/>
    <w:rsid w:val="007614A3"/>
    <w:rsid w:val="007614E5"/>
    <w:rsid w:val="00761525"/>
    <w:rsid w:val="00761594"/>
    <w:rsid w:val="00761607"/>
    <w:rsid w:val="0076166A"/>
    <w:rsid w:val="0076169E"/>
    <w:rsid w:val="0076170D"/>
    <w:rsid w:val="00761739"/>
    <w:rsid w:val="00761765"/>
    <w:rsid w:val="00761787"/>
    <w:rsid w:val="00761792"/>
    <w:rsid w:val="00761856"/>
    <w:rsid w:val="0076188C"/>
    <w:rsid w:val="007618E8"/>
    <w:rsid w:val="00761A66"/>
    <w:rsid w:val="00761C17"/>
    <w:rsid w:val="00761DB6"/>
    <w:rsid w:val="00761DE0"/>
    <w:rsid w:val="00761E48"/>
    <w:rsid w:val="00761E6D"/>
    <w:rsid w:val="00761EC0"/>
    <w:rsid w:val="00761F0F"/>
    <w:rsid w:val="00761FA4"/>
    <w:rsid w:val="00761FBA"/>
    <w:rsid w:val="00762112"/>
    <w:rsid w:val="0076212B"/>
    <w:rsid w:val="00762254"/>
    <w:rsid w:val="0076235C"/>
    <w:rsid w:val="007623AF"/>
    <w:rsid w:val="007623E4"/>
    <w:rsid w:val="00762464"/>
    <w:rsid w:val="007624E0"/>
    <w:rsid w:val="00762528"/>
    <w:rsid w:val="007625CE"/>
    <w:rsid w:val="00762672"/>
    <w:rsid w:val="00762674"/>
    <w:rsid w:val="00762707"/>
    <w:rsid w:val="007627CD"/>
    <w:rsid w:val="007627E9"/>
    <w:rsid w:val="00762878"/>
    <w:rsid w:val="00762889"/>
    <w:rsid w:val="007628CB"/>
    <w:rsid w:val="007628D4"/>
    <w:rsid w:val="00762910"/>
    <w:rsid w:val="0076291F"/>
    <w:rsid w:val="00762947"/>
    <w:rsid w:val="00762973"/>
    <w:rsid w:val="0076297A"/>
    <w:rsid w:val="007629E1"/>
    <w:rsid w:val="00762A83"/>
    <w:rsid w:val="00762A8D"/>
    <w:rsid w:val="00762AB3"/>
    <w:rsid w:val="00762BF1"/>
    <w:rsid w:val="00762D65"/>
    <w:rsid w:val="00762EF7"/>
    <w:rsid w:val="00762F30"/>
    <w:rsid w:val="00762FCF"/>
    <w:rsid w:val="00763010"/>
    <w:rsid w:val="00763060"/>
    <w:rsid w:val="00763068"/>
    <w:rsid w:val="007630B8"/>
    <w:rsid w:val="00763111"/>
    <w:rsid w:val="00763131"/>
    <w:rsid w:val="0076319C"/>
    <w:rsid w:val="007631EA"/>
    <w:rsid w:val="007631F0"/>
    <w:rsid w:val="00763200"/>
    <w:rsid w:val="00763269"/>
    <w:rsid w:val="007632DB"/>
    <w:rsid w:val="007632ED"/>
    <w:rsid w:val="00763344"/>
    <w:rsid w:val="0076336E"/>
    <w:rsid w:val="007633C6"/>
    <w:rsid w:val="007634B1"/>
    <w:rsid w:val="007634B3"/>
    <w:rsid w:val="00763536"/>
    <w:rsid w:val="0076359A"/>
    <w:rsid w:val="007635BA"/>
    <w:rsid w:val="007635C6"/>
    <w:rsid w:val="00763689"/>
    <w:rsid w:val="00763718"/>
    <w:rsid w:val="007637C1"/>
    <w:rsid w:val="007637C8"/>
    <w:rsid w:val="0076386D"/>
    <w:rsid w:val="007638BD"/>
    <w:rsid w:val="007638FD"/>
    <w:rsid w:val="00763976"/>
    <w:rsid w:val="00763992"/>
    <w:rsid w:val="007639A8"/>
    <w:rsid w:val="00763A3E"/>
    <w:rsid w:val="00763A77"/>
    <w:rsid w:val="00763A9B"/>
    <w:rsid w:val="00763AA9"/>
    <w:rsid w:val="00763B12"/>
    <w:rsid w:val="00763B8E"/>
    <w:rsid w:val="00763C5A"/>
    <w:rsid w:val="00763C85"/>
    <w:rsid w:val="00763D13"/>
    <w:rsid w:val="00763DC5"/>
    <w:rsid w:val="00763E11"/>
    <w:rsid w:val="00763F12"/>
    <w:rsid w:val="00763F3D"/>
    <w:rsid w:val="00764087"/>
    <w:rsid w:val="0076416C"/>
    <w:rsid w:val="007641D8"/>
    <w:rsid w:val="007642AE"/>
    <w:rsid w:val="00764313"/>
    <w:rsid w:val="00764431"/>
    <w:rsid w:val="00764442"/>
    <w:rsid w:val="00764486"/>
    <w:rsid w:val="007644AB"/>
    <w:rsid w:val="00764595"/>
    <w:rsid w:val="0076466E"/>
    <w:rsid w:val="007646E1"/>
    <w:rsid w:val="0076472C"/>
    <w:rsid w:val="0076476D"/>
    <w:rsid w:val="007647C0"/>
    <w:rsid w:val="007647DE"/>
    <w:rsid w:val="00764860"/>
    <w:rsid w:val="007648A0"/>
    <w:rsid w:val="007648A1"/>
    <w:rsid w:val="00764A57"/>
    <w:rsid w:val="00764A60"/>
    <w:rsid w:val="00764A89"/>
    <w:rsid w:val="00764B37"/>
    <w:rsid w:val="00764B7A"/>
    <w:rsid w:val="00764C6A"/>
    <w:rsid w:val="00764D4F"/>
    <w:rsid w:val="00764E2B"/>
    <w:rsid w:val="00764E36"/>
    <w:rsid w:val="00764E8C"/>
    <w:rsid w:val="00764EF3"/>
    <w:rsid w:val="00764F01"/>
    <w:rsid w:val="00764FBC"/>
    <w:rsid w:val="00765115"/>
    <w:rsid w:val="00765201"/>
    <w:rsid w:val="00765202"/>
    <w:rsid w:val="0076526A"/>
    <w:rsid w:val="007652BB"/>
    <w:rsid w:val="00765559"/>
    <w:rsid w:val="00765570"/>
    <w:rsid w:val="00765619"/>
    <w:rsid w:val="0076564F"/>
    <w:rsid w:val="00765658"/>
    <w:rsid w:val="007656BD"/>
    <w:rsid w:val="007656E6"/>
    <w:rsid w:val="0076579E"/>
    <w:rsid w:val="007657BB"/>
    <w:rsid w:val="00765860"/>
    <w:rsid w:val="007658B6"/>
    <w:rsid w:val="00765987"/>
    <w:rsid w:val="00765A10"/>
    <w:rsid w:val="00765B46"/>
    <w:rsid w:val="00765BAE"/>
    <w:rsid w:val="00765CCE"/>
    <w:rsid w:val="00765D32"/>
    <w:rsid w:val="00765D67"/>
    <w:rsid w:val="00765D68"/>
    <w:rsid w:val="00765E1A"/>
    <w:rsid w:val="00765E21"/>
    <w:rsid w:val="00765F4E"/>
    <w:rsid w:val="00766073"/>
    <w:rsid w:val="007660A9"/>
    <w:rsid w:val="0076611A"/>
    <w:rsid w:val="00766136"/>
    <w:rsid w:val="00766223"/>
    <w:rsid w:val="00766234"/>
    <w:rsid w:val="007662A2"/>
    <w:rsid w:val="007662AF"/>
    <w:rsid w:val="007662CA"/>
    <w:rsid w:val="0076631A"/>
    <w:rsid w:val="007663C3"/>
    <w:rsid w:val="007663E7"/>
    <w:rsid w:val="007663FB"/>
    <w:rsid w:val="00766437"/>
    <w:rsid w:val="00766438"/>
    <w:rsid w:val="007665FB"/>
    <w:rsid w:val="0076660E"/>
    <w:rsid w:val="00766630"/>
    <w:rsid w:val="007666AE"/>
    <w:rsid w:val="007666BE"/>
    <w:rsid w:val="007666E4"/>
    <w:rsid w:val="0076677A"/>
    <w:rsid w:val="00766837"/>
    <w:rsid w:val="007668B2"/>
    <w:rsid w:val="00766989"/>
    <w:rsid w:val="00766999"/>
    <w:rsid w:val="00766A72"/>
    <w:rsid w:val="00766AB9"/>
    <w:rsid w:val="00766B2C"/>
    <w:rsid w:val="00766B95"/>
    <w:rsid w:val="00766C31"/>
    <w:rsid w:val="00766C6C"/>
    <w:rsid w:val="00766DB3"/>
    <w:rsid w:val="00766E43"/>
    <w:rsid w:val="00766EAD"/>
    <w:rsid w:val="00766EC2"/>
    <w:rsid w:val="00766F65"/>
    <w:rsid w:val="00766F8C"/>
    <w:rsid w:val="00767035"/>
    <w:rsid w:val="007670C0"/>
    <w:rsid w:val="007670DC"/>
    <w:rsid w:val="0076714B"/>
    <w:rsid w:val="0076717D"/>
    <w:rsid w:val="007671D0"/>
    <w:rsid w:val="00767259"/>
    <w:rsid w:val="0076733C"/>
    <w:rsid w:val="007673A8"/>
    <w:rsid w:val="007673BC"/>
    <w:rsid w:val="00767430"/>
    <w:rsid w:val="00767477"/>
    <w:rsid w:val="0076749C"/>
    <w:rsid w:val="007674A4"/>
    <w:rsid w:val="007674A8"/>
    <w:rsid w:val="007674FA"/>
    <w:rsid w:val="00767611"/>
    <w:rsid w:val="00767618"/>
    <w:rsid w:val="0076761F"/>
    <w:rsid w:val="00767717"/>
    <w:rsid w:val="00767747"/>
    <w:rsid w:val="007677B8"/>
    <w:rsid w:val="007678B7"/>
    <w:rsid w:val="007678D0"/>
    <w:rsid w:val="00767911"/>
    <w:rsid w:val="007679C3"/>
    <w:rsid w:val="007679E1"/>
    <w:rsid w:val="00767A17"/>
    <w:rsid w:val="00767A1F"/>
    <w:rsid w:val="00767A68"/>
    <w:rsid w:val="00767ADB"/>
    <w:rsid w:val="00767B2D"/>
    <w:rsid w:val="00767BB0"/>
    <w:rsid w:val="00767BB7"/>
    <w:rsid w:val="00767C6A"/>
    <w:rsid w:val="00767C92"/>
    <w:rsid w:val="00767D17"/>
    <w:rsid w:val="00767D3F"/>
    <w:rsid w:val="00767DD2"/>
    <w:rsid w:val="00767E39"/>
    <w:rsid w:val="00767E77"/>
    <w:rsid w:val="00767E87"/>
    <w:rsid w:val="00767EC1"/>
    <w:rsid w:val="00767EE1"/>
    <w:rsid w:val="00767EF2"/>
    <w:rsid w:val="00770007"/>
    <w:rsid w:val="00770079"/>
    <w:rsid w:val="007700CE"/>
    <w:rsid w:val="00770231"/>
    <w:rsid w:val="00770331"/>
    <w:rsid w:val="00770357"/>
    <w:rsid w:val="007704B1"/>
    <w:rsid w:val="007704B3"/>
    <w:rsid w:val="0077058A"/>
    <w:rsid w:val="00770683"/>
    <w:rsid w:val="007706C2"/>
    <w:rsid w:val="007706EF"/>
    <w:rsid w:val="00770725"/>
    <w:rsid w:val="0077073D"/>
    <w:rsid w:val="0077086A"/>
    <w:rsid w:val="0077095C"/>
    <w:rsid w:val="00770AE0"/>
    <w:rsid w:val="00770B0C"/>
    <w:rsid w:val="00770BB8"/>
    <w:rsid w:val="00770C5F"/>
    <w:rsid w:val="00770D10"/>
    <w:rsid w:val="00770D3B"/>
    <w:rsid w:val="00770D42"/>
    <w:rsid w:val="00770EA2"/>
    <w:rsid w:val="00770FA7"/>
    <w:rsid w:val="007710DC"/>
    <w:rsid w:val="0077115E"/>
    <w:rsid w:val="0077118B"/>
    <w:rsid w:val="007711D3"/>
    <w:rsid w:val="007711FF"/>
    <w:rsid w:val="00771205"/>
    <w:rsid w:val="00771286"/>
    <w:rsid w:val="007712AB"/>
    <w:rsid w:val="007712C4"/>
    <w:rsid w:val="0077147B"/>
    <w:rsid w:val="007714AA"/>
    <w:rsid w:val="007714E5"/>
    <w:rsid w:val="00771576"/>
    <w:rsid w:val="00771631"/>
    <w:rsid w:val="00771666"/>
    <w:rsid w:val="007716FF"/>
    <w:rsid w:val="00771734"/>
    <w:rsid w:val="00771758"/>
    <w:rsid w:val="00771779"/>
    <w:rsid w:val="007718B5"/>
    <w:rsid w:val="00771939"/>
    <w:rsid w:val="007719B9"/>
    <w:rsid w:val="00771A8B"/>
    <w:rsid w:val="00771AF0"/>
    <w:rsid w:val="00771AF6"/>
    <w:rsid w:val="00771B39"/>
    <w:rsid w:val="00771B4A"/>
    <w:rsid w:val="00771B58"/>
    <w:rsid w:val="00771B88"/>
    <w:rsid w:val="00771B8D"/>
    <w:rsid w:val="00771BE7"/>
    <w:rsid w:val="00771CA2"/>
    <w:rsid w:val="00771D09"/>
    <w:rsid w:val="00771DE2"/>
    <w:rsid w:val="00771E26"/>
    <w:rsid w:val="00771E76"/>
    <w:rsid w:val="00771E91"/>
    <w:rsid w:val="00771ED6"/>
    <w:rsid w:val="00771F09"/>
    <w:rsid w:val="00771F29"/>
    <w:rsid w:val="00771F57"/>
    <w:rsid w:val="00771FAD"/>
    <w:rsid w:val="00772023"/>
    <w:rsid w:val="00772073"/>
    <w:rsid w:val="00772097"/>
    <w:rsid w:val="0077211D"/>
    <w:rsid w:val="00772124"/>
    <w:rsid w:val="00772144"/>
    <w:rsid w:val="00772160"/>
    <w:rsid w:val="00772347"/>
    <w:rsid w:val="00772457"/>
    <w:rsid w:val="00772490"/>
    <w:rsid w:val="007724A5"/>
    <w:rsid w:val="007724C0"/>
    <w:rsid w:val="00772539"/>
    <w:rsid w:val="00772623"/>
    <w:rsid w:val="0077264B"/>
    <w:rsid w:val="00772668"/>
    <w:rsid w:val="0077272C"/>
    <w:rsid w:val="00772744"/>
    <w:rsid w:val="00772784"/>
    <w:rsid w:val="00772861"/>
    <w:rsid w:val="007728A3"/>
    <w:rsid w:val="007729B6"/>
    <w:rsid w:val="007729FE"/>
    <w:rsid w:val="00772A1F"/>
    <w:rsid w:val="00772A40"/>
    <w:rsid w:val="00772A41"/>
    <w:rsid w:val="00772ACF"/>
    <w:rsid w:val="00772B26"/>
    <w:rsid w:val="00772B2E"/>
    <w:rsid w:val="00772B3A"/>
    <w:rsid w:val="00772BB0"/>
    <w:rsid w:val="00772BF1"/>
    <w:rsid w:val="00772C34"/>
    <w:rsid w:val="00772C8D"/>
    <w:rsid w:val="00772C93"/>
    <w:rsid w:val="00772CFD"/>
    <w:rsid w:val="00772D47"/>
    <w:rsid w:val="00772F2E"/>
    <w:rsid w:val="00772FAB"/>
    <w:rsid w:val="00772FC2"/>
    <w:rsid w:val="00773030"/>
    <w:rsid w:val="00773041"/>
    <w:rsid w:val="00773099"/>
    <w:rsid w:val="007730FF"/>
    <w:rsid w:val="007731FC"/>
    <w:rsid w:val="0077321E"/>
    <w:rsid w:val="00773230"/>
    <w:rsid w:val="007732AA"/>
    <w:rsid w:val="00773389"/>
    <w:rsid w:val="007733FE"/>
    <w:rsid w:val="00773413"/>
    <w:rsid w:val="0077342D"/>
    <w:rsid w:val="00773476"/>
    <w:rsid w:val="007734A2"/>
    <w:rsid w:val="00773509"/>
    <w:rsid w:val="00773527"/>
    <w:rsid w:val="0077355C"/>
    <w:rsid w:val="0077356F"/>
    <w:rsid w:val="00773594"/>
    <w:rsid w:val="0077359B"/>
    <w:rsid w:val="007735AE"/>
    <w:rsid w:val="007735B9"/>
    <w:rsid w:val="007736B6"/>
    <w:rsid w:val="0077371A"/>
    <w:rsid w:val="0077371F"/>
    <w:rsid w:val="0077374F"/>
    <w:rsid w:val="00773750"/>
    <w:rsid w:val="00773766"/>
    <w:rsid w:val="00773795"/>
    <w:rsid w:val="007737DB"/>
    <w:rsid w:val="0077382A"/>
    <w:rsid w:val="00773846"/>
    <w:rsid w:val="007738FB"/>
    <w:rsid w:val="0077390F"/>
    <w:rsid w:val="0077398F"/>
    <w:rsid w:val="007739A4"/>
    <w:rsid w:val="00773A46"/>
    <w:rsid w:val="00773BD0"/>
    <w:rsid w:val="00773C08"/>
    <w:rsid w:val="00773C19"/>
    <w:rsid w:val="00773D09"/>
    <w:rsid w:val="00773D80"/>
    <w:rsid w:val="00773DB9"/>
    <w:rsid w:val="00773DC5"/>
    <w:rsid w:val="00773DF3"/>
    <w:rsid w:val="00773E1A"/>
    <w:rsid w:val="00773E6F"/>
    <w:rsid w:val="00773ECB"/>
    <w:rsid w:val="00773F75"/>
    <w:rsid w:val="00774004"/>
    <w:rsid w:val="00774085"/>
    <w:rsid w:val="00774207"/>
    <w:rsid w:val="00774279"/>
    <w:rsid w:val="00774289"/>
    <w:rsid w:val="007742C8"/>
    <w:rsid w:val="00774339"/>
    <w:rsid w:val="007743F2"/>
    <w:rsid w:val="00774403"/>
    <w:rsid w:val="00774422"/>
    <w:rsid w:val="0077446F"/>
    <w:rsid w:val="00774496"/>
    <w:rsid w:val="00774581"/>
    <w:rsid w:val="0077461B"/>
    <w:rsid w:val="00774703"/>
    <w:rsid w:val="00774789"/>
    <w:rsid w:val="007747CE"/>
    <w:rsid w:val="00774821"/>
    <w:rsid w:val="0077487F"/>
    <w:rsid w:val="007748D0"/>
    <w:rsid w:val="00774A88"/>
    <w:rsid w:val="00774ADF"/>
    <w:rsid w:val="00774AF9"/>
    <w:rsid w:val="00774C99"/>
    <w:rsid w:val="00774CD0"/>
    <w:rsid w:val="00774CDB"/>
    <w:rsid w:val="00774E0A"/>
    <w:rsid w:val="00774E9B"/>
    <w:rsid w:val="00774EC1"/>
    <w:rsid w:val="00774F2F"/>
    <w:rsid w:val="00774F51"/>
    <w:rsid w:val="007750E1"/>
    <w:rsid w:val="0077518B"/>
    <w:rsid w:val="007751B2"/>
    <w:rsid w:val="007752E9"/>
    <w:rsid w:val="0077531B"/>
    <w:rsid w:val="007753B4"/>
    <w:rsid w:val="00775430"/>
    <w:rsid w:val="00775533"/>
    <w:rsid w:val="00775694"/>
    <w:rsid w:val="00775721"/>
    <w:rsid w:val="0077572A"/>
    <w:rsid w:val="007757F7"/>
    <w:rsid w:val="007757FD"/>
    <w:rsid w:val="00775808"/>
    <w:rsid w:val="0077581F"/>
    <w:rsid w:val="00775841"/>
    <w:rsid w:val="00775888"/>
    <w:rsid w:val="007758D6"/>
    <w:rsid w:val="0077593E"/>
    <w:rsid w:val="00775947"/>
    <w:rsid w:val="0077595C"/>
    <w:rsid w:val="0077598F"/>
    <w:rsid w:val="00775990"/>
    <w:rsid w:val="007759BC"/>
    <w:rsid w:val="00775A00"/>
    <w:rsid w:val="00775A43"/>
    <w:rsid w:val="00775ADE"/>
    <w:rsid w:val="00775B4E"/>
    <w:rsid w:val="00775BA4"/>
    <w:rsid w:val="00775BBA"/>
    <w:rsid w:val="00775C07"/>
    <w:rsid w:val="00775D27"/>
    <w:rsid w:val="00775D42"/>
    <w:rsid w:val="00775E0E"/>
    <w:rsid w:val="00775E17"/>
    <w:rsid w:val="00775E80"/>
    <w:rsid w:val="00775F05"/>
    <w:rsid w:val="00775F07"/>
    <w:rsid w:val="00775FFA"/>
    <w:rsid w:val="00776143"/>
    <w:rsid w:val="00776152"/>
    <w:rsid w:val="00776156"/>
    <w:rsid w:val="007761A3"/>
    <w:rsid w:val="00776203"/>
    <w:rsid w:val="00776208"/>
    <w:rsid w:val="00776226"/>
    <w:rsid w:val="007762B9"/>
    <w:rsid w:val="007762BD"/>
    <w:rsid w:val="0077632D"/>
    <w:rsid w:val="0077638D"/>
    <w:rsid w:val="00776395"/>
    <w:rsid w:val="00776417"/>
    <w:rsid w:val="007764BC"/>
    <w:rsid w:val="00776522"/>
    <w:rsid w:val="0077656E"/>
    <w:rsid w:val="00776572"/>
    <w:rsid w:val="007765DB"/>
    <w:rsid w:val="007765FA"/>
    <w:rsid w:val="0077666F"/>
    <w:rsid w:val="0077669C"/>
    <w:rsid w:val="007766DF"/>
    <w:rsid w:val="007767BB"/>
    <w:rsid w:val="007767CA"/>
    <w:rsid w:val="007767DD"/>
    <w:rsid w:val="007767EF"/>
    <w:rsid w:val="00776872"/>
    <w:rsid w:val="0077695B"/>
    <w:rsid w:val="00776986"/>
    <w:rsid w:val="0077699B"/>
    <w:rsid w:val="007769BB"/>
    <w:rsid w:val="00776A4A"/>
    <w:rsid w:val="00776AD2"/>
    <w:rsid w:val="00776B2C"/>
    <w:rsid w:val="00776B6F"/>
    <w:rsid w:val="00776BD0"/>
    <w:rsid w:val="00776C14"/>
    <w:rsid w:val="00776D89"/>
    <w:rsid w:val="00776DB2"/>
    <w:rsid w:val="00776DE9"/>
    <w:rsid w:val="00776E80"/>
    <w:rsid w:val="00776EFC"/>
    <w:rsid w:val="00776F47"/>
    <w:rsid w:val="00776FF8"/>
    <w:rsid w:val="00777019"/>
    <w:rsid w:val="00777065"/>
    <w:rsid w:val="007771AE"/>
    <w:rsid w:val="0077720A"/>
    <w:rsid w:val="00777326"/>
    <w:rsid w:val="00777394"/>
    <w:rsid w:val="00777407"/>
    <w:rsid w:val="00777408"/>
    <w:rsid w:val="00777499"/>
    <w:rsid w:val="00777506"/>
    <w:rsid w:val="00777528"/>
    <w:rsid w:val="0077756E"/>
    <w:rsid w:val="00777599"/>
    <w:rsid w:val="007775A4"/>
    <w:rsid w:val="00777614"/>
    <w:rsid w:val="00777620"/>
    <w:rsid w:val="007777C7"/>
    <w:rsid w:val="00777810"/>
    <w:rsid w:val="007779A1"/>
    <w:rsid w:val="00777AD4"/>
    <w:rsid w:val="00777B21"/>
    <w:rsid w:val="00777CC6"/>
    <w:rsid w:val="00777CE3"/>
    <w:rsid w:val="00777D2C"/>
    <w:rsid w:val="00777DCF"/>
    <w:rsid w:val="00777E52"/>
    <w:rsid w:val="00777E7F"/>
    <w:rsid w:val="00777E89"/>
    <w:rsid w:val="00777F8E"/>
    <w:rsid w:val="00777FE8"/>
    <w:rsid w:val="00777FF5"/>
    <w:rsid w:val="0078000A"/>
    <w:rsid w:val="00780058"/>
    <w:rsid w:val="00780072"/>
    <w:rsid w:val="007800A2"/>
    <w:rsid w:val="007800EF"/>
    <w:rsid w:val="0078016F"/>
    <w:rsid w:val="007801AC"/>
    <w:rsid w:val="0078029C"/>
    <w:rsid w:val="007802E3"/>
    <w:rsid w:val="0078030E"/>
    <w:rsid w:val="007803F9"/>
    <w:rsid w:val="00780403"/>
    <w:rsid w:val="00780510"/>
    <w:rsid w:val="00780521"/>
    <w:rsid w:val="007805D9"/>
    <w:rsid w:val="007805EA"/>
    <w:rsid w:val="007805F0"/>
    <w:rsid w:val="007806AB"/>
    <w:rsid w:val="007806E0"/>
    <w:rsid w:val="00780710"/>
    <w:rsid w:val="0078076F"/>
    <w:rsid w:val="0078086A"/>
    <w:rsid w:val="007808E7"/>
    <w:rsid w:val="00780933"/>
    <w:rsid w:val="00780939"/>
    <w:rsid w:val="00780A2B"/>
    <w:rsid w:val="00780B09"/>
    <w:rsid w:val="00780BE8"/>
    <w:rsid w:val="00780C1A"/>
    <w:rsid w:val="00780C66"/>
    <w:rsid w:val="00780C83"/>
    <w:rsid w:val="00780DEB"/>
    <w:rsid w:val="00780E00"/>
    <w:rsid w:val="00780E4E"/>
    <w:rsid w:val="00780EB6"/>
    <w:rsid w:val="00780F85"/>
    <w:rsid w:val="0078105A"/>
    <w:rsid w:val="00781143"/>
    <w:rsid w:val="007811AD"/>
    <w:rsid w:val="0078120E"/>
    <w:rsid w:val="00781240"/>
    <w:rsid w:val="0078128A"/>
    <w:rsid w:val="007812F9"/>
    <w:rsid w:val="00781333"/>
    <w:rsid w:val="00781348"/>
    <w:rsid w:val="0078144B"/>
    <w:rsid w:val="0078154F"/>
    <w:rsid w:val="007815A1"/>
    <w:rsid w:val="00781615"/>
    <w:rsid w:val="0078161C"/>
    <w:rsid w:val="00781786"/>
    <w:rsid w:val="007817B9"/>
    <w:rsid w:val="007817EC"/>
    <w:rsid w:val="00781822"/>
    <w:rsid w:val="0078182E"/>
    <w:rsid w:val="007818DB"/>
    <w:rsid w:val="00781920"/>
    <w:rsid w:val="00781963"/>
    <w:rsid w:val="00781A17"/>
    <w:rsid w:val="00781A58"/>
    <w:rsid w:val="00781AA1"/>
    <w:rsid w:val="00781BCB"/>
    <w:rsid w:val="00781C70"/>
    <w:rsid w:val="00781CA6"/>
    <w:rsid w:val="00781CDC"/>
    <w:rsid w:val="00781CDF"/>
    <w:rsid w:val="00781CE1"/>
    <w:rsid w:val="00781DBF"/>
    <w:rsid w:val="00781E9A"/>
    <w:rsid w:val="00781F31"/>
    <w:rsid w:val="00781F64"/>
    <w:rsid w:val="00781F83"/>
    <w:rsid w:val="00781F9B"/>
    <w:rsid w:val="00781FE5"/>
    <w:rsid w:val="007820B7"/>
    <w:rsid w:val="00782299"/>
    <w:rsid w:val="00782320"/>
    <w:rsid w:val="00782387"/>
    <w:rsid w:val="00782410"/>
    <w:rsid w:val="0078241D"/>
    <w:rsid w:val="00782445"/>
    <w:rsid w:val="0078247E"/>
    <w:rsid w:val="007824F0"/>
    <w:rsid w:val="00782583"/>
    <w:rsid w:val="0078265E"/>
    <w:rsid w:val="00782680"/>
    <w:rsid w:val="007826E8"/>
    <w:rsid w:val="007826F6"/>
    <w:rsid w:val="007827E5"/>
    <w:rsid w:val="0078285B"/>
    <w:rsid w:val="00782963"/>
    <w:rsid w:val="0078298F"/>
    <w:rsid w:val="00782A1D"/>
    <w:rsid w:val="00782A8C"/>
    <w:rsid w:val="00782AAE"/>
    <w:rsid w:val="00782B4E"/>
    <w:rsid w:val="00782B73"/>
    <w:rsid w:val="00782B82"/>
    <w:rsid w:val="00782C09"/>
    <w:rsid w:val="00782C3E"/>
    <w:rsid w:val="00782CC7"/>
    <w:rsid w:val="00782D33"/>
    <w:rsid w:val="00782D6F"/>
    <w:rsid w:val="00782DE6"/>
    <w:rsid w:val="00782EBC"/>
    <w:rsid w:val="00782EF5"/>
    <w:rsid w:val="00782F53"/>
    <w:rsid w:val="00782F67"/>
    <w:rsid w:val="0078304D"/>
    <w:rsid w:val="00783112"/>
    <w:rsid w:val="0078319D"/>
    <w:rsid w:val="007831B5"/>
    <w:rsid w:val="007831D5"/>
    <w:rsid w:val="0078321C"/>
    <w:rsid w:val="007832D2"/>
    <w:rsid w:val="00783304"/>
    <w:rsid w:val="007835F9"/>
    <w:rsid w:val="00783661"/>
    <w:rsid w:val="00783666"/>
    <w:rsid w:val="0078366A"/>
    <w:rsid w:val="007836AA"/>
    <w:rsid w:val="007836EA"/>
    <w:rsid w:val="0078380B"/>
    <w:rsid w:val="00783861"/>
    <w:rsid w:val="00783862"/>
    <w:rsid w:val="0078388C"/>
    <w:rsid w:val="007838A0"/>
    <w:rsid w:val="007838CD"/>
    <w:rsid w:val="0078393B"/>
    <w:rsid w:val="00783979"/>
    <w:rsid w:val="00783982"/>
    <w:rsid w:val="00783A58"/>
    <w:rsid w:val="00783A79"/>
    <w:rsid w:val="00783AED"/>
    <w:rsid w:val="00783AEE"/>
    <w:rsid w:val="00783B2C"/>
    <w:rsid w:val="00783B4F"/>
    <w:rsid w:val="00783BB8"/>
    <w:rsid w:val="00783BD9"/>
    <w:rsid w:val="00783BEC"/>
    <w:rsid w:val="00783C1B"/>
    <w:rsid w:val="00783C87"/>
    <w:rsid w:val="00783CB7"/>
    <w:rsid w:val="00783D14"/>
    <w:rsid w:val="00783DB7"/>
    <w:rsid w:val="00783DCE"/>
    <w:rsid w:val="00783E12"/>
    <w:rsid w:val="00783EB1"/>
    <w:rsid w:val="00783EBE"/>
    <w:rsid w:val="00783FC3"/>
    <w:rsid w:val="00783FE0"/>
    <w:rsid w:val="00784039"/>
    <w:rsid w:val="007840CD"/>
    <w:rsid w:val="0078416E"/>
    <w:rsid w:val="00784177"/>
    <w:rsid w:val="007842E5"/>
    <w:rsid w:val="007842EC"/>
    <w:rsid w:val="00784331"/>
    <w:rsid w:val="00784342"/>
    <w:rsid w:val="00784344"/>
    <w:rsid w:val="007844CB"/>
    <w:rsid w:val="00784525"/>
    <w:rsid w:val="007845E5"/>
    <w:rsid w:val="007846D9"/>
    <w:rsid w:val="0078470E"/>
    <w:rsid w:val="0078473D"/>
    <w:rsid w:val="0078484D"/>
    <w:rsid w:val="007848B4"/>
    <w:rsid w:val="0078498B"/>
    <w:rsid w:val="007849DB"/>
    <w:rsid w:val="00784B96"/>
    <w:rsid w:val="00784C72"/>
    <w:rsid w:val="00784C9C"/>
    <w:rsid w:val="00784D16"/>
    <w:rsid w:val="00784D52"/>
    <w:rsid w:val="00784E70"/>
    <w:rsid w:val="00784E7F"/>
    <w:rsid w:val="00784EA8"/>
    <w:rsid w:val="007850DB"/>
    <w:rsid w:val="0078511F"/>
    <w:rsid w:val="007851B0"/>
    <w:rsid w:val="0078521E"/>
    <w:rsid w:val="0078524D"/>
    <w:rsid w:val="0078526B"/>
    <w:rsid w:val="007852A7"/>
    <w:rsid w:val="0078531D"/>
    <w:rsid w:val="007853B9"/>
    <w:rsid w:val="00785459"/>
    <w:rsid w:val="00785586"/>
    <w:rsid w:val="00785656"/>
    <w:rsid w:val="00785956"/>
    <w:rsid w:val="0078595A"/>
    <w:rsid w:val="0078595B"/>
    <w:rsid w:val="0078596E"/>
    <w:rsid w:val="00785A91"/>
    <w:rsid w:val="00785C25"/>
    <w:rsid w:val="00785D5C"/>
    <w:rsid w:val="00785EEF"/>
    <w:rsid w:val="00785F5F"/>
    <w:rsid w:val="00785F86"/>
    <w:rsid w:val="00786076"/>
    <w:rsid w:val="0078613D"/>
    <w:rsid w:val="007861B4"/>
    <w:rsid w:val="0078621D"/>
    <w:rsid w:val="00786224"/>
    <w:rsid w:val="0078622D"/>
    <w:rsid w:val="0078629D"/>
    <w:rsid w:val="0078637B"/>
    <w:rsid w:val="0078637D"/>
    <w:rsid w:val="007863B1"/>
    <w:rsid w:val="007864C0"/>
    <w:rsid w:val="00786516"/>
    <w:rsid w:val="00786543"/>
    <w:rsid w:val="0078656B"/>
    <w:rsid w:val="00786585"/>
    <w:rsid w:val="007866B3"/>
    <w:rsid w:val="007866B7"/>
    <w:rsid w:val="007866FE"/>
    <w:rsid w:val="00786731"/>
    <w:rsid w:val="00786737"/>
    <w:rsid w:val="00786781"/>
    <w:rsid w:val="007867D0"/>
    <w:rsid w:val="0078686C"/>
    <w:rsid w:val="0078691D"/>
    <w:rsid w:val="00786954"/>
    <w:rsid w:val="007869E4"/>
    <w:rsid w:val="00786A58"/>
    <w:rsid w:val="00786B17"/>
    <w:rsid w:val="00786BB9"/>
    <w:rsid w:val="00786C7A"/>
    <w:rsid w:val="00786CBB"/>
    <w:rsid w:val="00786D04"/>
    <w:rsid w:val="00786D2D"/>
    <w:rsid w:val="00786D4D"/>
    <w:rsid w:val="00786D58"/>
    <w:rsid w:val="00786D6C"/>
    <w:rsid w:val="00786E40"/>
    <w:rsid w:val="00786F39"/>
    <w:rsid w:val="00786F55"/>
    <w:rsid w:val="00786FF8"/>
    <w:rsid w:val="0078701A"/>
    <w:rsid w:val="0078706D"/>
    <w:rsid w:val="007870F5"/>
    <w:rsid w:val="007871C9"/>
    <w:rsid w:val="00787223"/>
    <w:rsid w:val="00787490"/>
    <w:rsid w:val="00787498"/>
    <w:rsid w:val="007874F8"/>
    <w:rsid w:val="007875DF"/>
    <w:rsid w:val="007875E2"/>
    <w:rsid w:val="00787604"/>
    <w:rsid w:val="0078773A"/>
    <w:rsid w:val="00787745"/>
    <w:rsid w:val="007877BE"/>
    <w:rsid w:val="007877CF"/>
    <w:rsid w:val="00787813"/>
    <w:rsid w:val="0078784C"/>
    <w:rsid w:val="00787856"/>
    <w:rsid w:val="0078786C"/>
    <w:rsid w:val="0078794F"/>
    <w:rsid w:val="00787965"/>
    <w:rsid w:val="007879D3"/>
    <w:rsid w:val="007879F2"/>
    <w:rsid w:val="007879F4"/>
    <w:rsid w:val="00787A34"/>
    <w:rsid w:val="00787A56"/>
    <w:rsid w:val="00787A6A"/>
    <w:rsid w:val="00787A75"/>
    <w:rsid w:val="00787AA2"/>
    <w:rsid w:val="00787BFF"/>
    <w:rsid w:val="00787C15"/>
    <w:rsid w:val="00787CEB"/>
    <w:rsid w:val="00787D16"/>
    <w:rsid w:val="00787D94"/>
    <w:rsid w:val="00787E02"/>
    <w:rsid w:val="00787E4B"/>
    <w:rsid w:val="00787E99"/>
    <w:rsid w:val="00787FE8"/>
    <w:rsid w:val="0078A411"/>
    <w:rsid w:val="00790010"/>
    <w:rsid w:val="00790103"/>
    <w:rsid w:val="00790114"/>
    <w:rsid w:val="0079020E"/>
    <w:rsid w:val="00790261"/>
    <w:rsid w:val="00790313"/>
    <w:rsid w:val="00790322"/>
    <w:rsid w:val="00790365"/>
    <w:rsid w:val="0079037D"/>
    <w:rsid w:val="0079037F"/>
    <w:rsid w:val="0079038A"/>
    <w:rsid w:val="00790511"/>
    <w:rsid w:val="0079055A"/>
    <w:rsid w:val="00790589"/>
    <w:rsid w:val="00790707"/>
    <w:rsid w:val="00790716"/>
    <w:rsid w:val="0079076C"/>
    <w:rsid w:val="007907B6"/>
    <w:rsid w:val="00790875"/>
    <w:rsid w:val="0079087A"/>
    <w:rsid w:val="007908AB"/>
    <w:rsid w:val="007908AF"/>
    <w:rsid w:val="007908DF"/>
    <w:rsid w:val="0079094C"/>
    <w:rsid w:val="007909AA"/>
    <w:rsid w:val="007909D9"/>
    <w:rsid w:val="00790A44"/>
    <w:rsid w:val="00790B57"/>
    <w:rsid w:val="00790B67"/>
    <w:rsid w:val="00790B89"/>
    <w:rsid w:val="00790BD7"/>
    <w:rsid w:val="00790C1A"/>
    <w:rsid w:val="00790C9A"/>
    <w:rsid w:val="00790D0F"/>
    <w:rsid w:val="00790D45"/>
    <w:rsid w:val="00790D4B"/>
    <w:rsid w:val="00790D8F"/>
    <w:rsid w:val="00790E43"/>
    <w:rsid w:val="00790F1E"/>
    <w:rsid w:val="00791083"/>
    <w:rsid w:val="007910C5"/>
    <w:rsid w:val="00791102"/>
    <w:rsid w:val="00791173"/>
    <w:rsid w:val="00791269"/>
    <w:rsid w:val="0079128E"/>
    <w:rsid w:val="007912EF"/>
    <w:rsid w:val="00791325"/>
    <w:rsid w:val="007913A0"/>
    <w:rsid w:val="007913D7"/>
    <w:rsid w:val="007913DE"/>
    <w:rsid w:val="0079143D"/>
    <w:rsid w:val="007914C9"/>
    <w:rsid w:val="007914E5"/>
    <w:rsid w:val="00791594"/>
    <w:rsid w:val="007915A8"/>
    <w:rsid w:val="007915C1"/>
    <w:rsid w:val="00791619"/>
    <w:rsid w:val="00791736"/>
    <w:rsid w:val="00791834"/>
    <w:rsid w:val="00791894"/>
    <w:rsid w:val="00791A99"/>
    <w:rsid w:val="00791AFF"/>
    <w:rsid w:val="00791BDB"/>
    <w:rsid w:val="00791C00"/>
    <w:rsid w:val="00791C70"/>
    <w:rsid w:val="00791CD2"/>
    <w:rsid w:val="00791EC6"/>
    <w:rsid w:val="00791F99"/>
    <w:rsid w:val="0079202C"/>
    <w:rsid w:val="00792076"/>
    <w:rsid w:val="00792094"/>
    <w:rsid w:val="00792102"/>
    <w:rsid w:val="00792168"/>
    <w:rsid w:val="00792186"/>
    <w:rsid w:val="00792301"/>
    <w:rsid w:val="00792380"/>
    <w:rsid w:val="0079245B"/>
    <w:rsid w:val="00792488"/>
    <w:rsid w:val="007924B9"/>
    <w:rsid w:val="007924D3"/>
    <w:rsid w:val="00792567"/>
    <w:rsid w:val="007925F4"/>
    <w:rsid w:val="007927AD"/>
    <w:rsid w:val="007928C0"/>
    <w:rsid w:val="007928D4"/>
    <w:rsid w:val="007928E2"/>
    <w:rsid w:val="00792902"/>
    <w:rsid w:val="00792962"/>
    <w:rsid w:val="0079296D"/>
    <w:rsid w:val="007929C1"/>
    <w:rsid w:val="007929E9"/>
    <w:rsid w:val="00792A02"/>
    <w:rsid w:val="00792A40"/>
    <w:rsid w:val="00792B52"/>
    <w:rsid w:val="00792B6A"/>
    <w:rsid w:val="00792BB1"/>
    <w:rsid w:val="00792C4E"/>
    <w:rsid w:val="00792CAD"/>
    <w:rsid w:val="00792CB5"/>
    <w:rsid w:val="00792CC0"/>
    <w:rsid w:val="00792D35"/>
    <w:rsid w:val="00792D9E"/>
    <w:rsid w:val="00792DCC"/>
    <w:rsid w:val="00792EA5"/>
    <w:rsid w:val="00792EAC"/>
    <w:rsid w:val="00792FED"/>
    <w:rsid w:val="00792FFF"/>
    <w:rsid w:val="007930F1"/>
    <w:rsid w:val="0079314E"/>
    <w:rsid w:val="0079318D"/>
    <w:rsid w:val="0079318F"/>
    <w:rsid w:val="00793236"/>
    <w:rsid w:val="00793252"/>
    <w:rsid w:val="007932D2"/>
    <w:rsid w:val="00793351"/>
    <w:rsid w:val="0079335D"/>
    <w:rsid w:val="007933B9"/>
    <w:rsid w:val="007933E1"/>
    <w:rsid w:val="00793403"/>
    <w:rsid w:val="0079349D"/>
    <w:rsid w:val="0079358D"/>
    <w:rsid w:val="007935CD"/>
    <w:rsid w:val="00793601"/>
    <w:rsid w:val="007936B0"/>
    <w:rsid w:val="007936C4"/>
    <w:rsid w:val="0079371C"/>
    <w:rsid w:val="00793783"/>
    <w:rsid w:val="0079382B"/>
    <w:rsid w:val="007938CC"/>
    <w:rsid w:val="007938FE"/>
    <w:rsid w:val="00793981"/>
    <w:rsid w:val="007939A2"/>
    <w:rsid w:val="007939ED"/>
    <w:rsid w:val="00793A47"/>
    <w:rsid w:val="00793A60"/>
    <w:rsid w:val="00793BD3"/>
    <w:rsid w:val="00793BEF"/>
    <w:rsid w:val="00793C63"/>
    <w:rsid w:val="00793D34"/>
    <w:rsid w:val="00793D46"/>
    <w:rsid w:val="00793DCE"/>
    <w:rsid w:val="00793DF1"/>
    <w:rsid w:val="00793E67"/>
    <w:rsid w:val="00793F6A"/>
    <w:rsid w:val="00793FC2"/>
    <w:rsid w:val="00793FCA"/>
    <w:rsid w:val="00793FF7"/>
    <w:rsid w:val="00794006"/>
    <w:rsid w:val="00794077"/>
    <w:rsid w:val="0079407B"/>
    <w:rsid w:val="007940A8"/>
    <w:rsid w:val="00794109"/>
    <w:rsid w:val="00794152"/>
    <w:rsid w:val="007941DD"/>
    <w:rsid w:val="007941E6"/>
    <w:rsid w:val="00794355"/>
    <w:rsid w:val="00794374"/>
    <w:rsid w:val="007943E6"/>
    <w:rsid w:val="00794411"/>
    <w:rsid w:val="00794455"/>
    <w:rsid w:val="007944A9"/>
    <w:rsid w:val="007944E8"/>
    <w:rsid w:val="0079452E"/>
    <w:rsid w:val="007945B8"/>
    <w:rsid w:val="007945BF"/>
    <w:rsid w:val="007945D6"/>
    <w:rsid w:val="007945D8"/>
    <w:rsid w:val="0079464F"/>
    <w:rsid w:val="0079467B"/>
    <w:rsid w:val="007946D5"/>
    <w:rsid w:val="007946ED"/>
    <w:rsid w:val="0079474D"/>
    <w:rsid w:val="0079477B"/>
    <w:rsid w:val="007948EF"/>
    <w:rsid w:val="0079490C"/>
    <w:rsid w:val="00794957"/>
    <w:rsid w:val="007949A9"/>
    <w:rsid w:val="007949B8"/>
    <w:rsid w:val="00794A30"/>
    <w:rsid w:val="00794B35"/>
    <w:rsid w:val="00794C20"/>
    <w:rsid w:val="00794C4D"/>
    <w:rsid w:val="00794C90"/>
    <w:rsid w:val="00794D2C"/>
    <w:rsid w:val="00794E05"/>
    <w:rsid w:val="00794E15"/>
    <w:rsid w:val="00794E3E"/>
    <w:rsid w:val="00794F56"/>
    <w:rsid w:val="00795049"/>
    <w:rsid w:val="0079510F"/>
    <w:rsid w:val="007951DC"/>
    <w:rsid w:val="007951F0"/>
    <w:rsid w:val="00795276"/>
    <w:rsid w:val="007952DD"/>
    <w:rsid w:val="00795315"/>
    <w:rsid w:val="007953B6"/>
    <w:rsid w:val="0079545D"/>
    <w:rsid w:val="00795485"/>
    <w:rsid w:val="00795523"/>
    <w:rsid w:val="007955BC"/>
    <w:rsid w:val="007955DB"/>
    <w:rsid w:val="007955FB"/>
    <w:rsid w:val="00795626"/>
    <w:rsid w:val="00795686"/>
    <w:rsid w:val="00795826"/>
    <w:rsid w:val="00795859"/>
    <w:rsid w:val="00795862"/>
    <w:rsid w:val="00795911"/>
    <w:rsid w:val="00795939"/>
    <w:rsid w:val="0079594F"/>
    <w:rsid w:val="00795A2F"/>
    <w:rsid w:val="00795A4D"/>
    <w:rsid w:val="00795A83"/>
    <w:rsid w:val="00795AF7"/>
    <w:rsid w:val="00795B1B"/>
    <w:rsid w:val="00795B2E"/>
    <w:rsid w:val="00795C33"/>
    <w:rsid w:val="00795D75"/>
    <w:rsid w:val="00795DA2"/>
    <w:rsid w:val="00795E36"/>
    <w:rsid w:val="00795E3F"/>
    <w:rsid w:val="00795EB1"/>
    <w:rsid w:val="00795F17"/>
    <w:rsid w:val="00795F22"/>
    <w:rsid w:val="00795FB1"/>
    <w:rsid w:val="00795FF1"/>
    <w:rsid w:val="0079602F"/>
    <w:rsid w:val="00796093"/>
    <w:rsid w:val="00796095"/>
    <w:rsid w:val="0079615F"/>
    <w:rsid w:val="007961A4"/>
    <w:rsid w:val="00796230"/>
    <w:rsid w:val="00796274"/>
    <w:rsid w:val="0079629C"/>
    <w:rsid w:val="007963F0"/>
    <w:rsid w:val="0079642B"/>
    <w:rsid w:val="00796456"/>
    <w:rsid w:val="0079648E"/>
    <w:rsid w:val="007964A1"/>
    <w:rsid w:val="007964F5"/>
    <w:rsid w:val="00796519"/>
    <w:rsid w:val="00796531"/>
    <w:rsid w:val="007965B4"/>
    <w:rsid w:val="00796650"/>
    <w:rsid w:val="00796694"/>
    <w:rsid w:val="007966B9"/>
    <w:rsid w:val="007966E7"/>
    <w:rsid w:val="00796781"/>
    <w:rsid w:val="00796881"/>
    <w:rsid w:val="007968A0"/>
    <w:rsid w:val="007968A8"/>
    <w:rsid w:val="00796942"/>
    <w:rsid w:val="0079694F"/>
    <w:rsid w:val="00796B52"/>
    <w:rsid w:val="00796BE5"/>
    <w:rsid w:val="00796D36"/>
    <w:rsid w:val="00796D47"/>
    <w:rsid w:val="00796D56"/>
    <w:rsid w:val="00796DE5"/>
    <w:rsid w:val="00796DFB"/>
    <w:rsid w:val="00796E88"/>
    <w:rsid w:val="00796ED5"/>
    <w:rsid w:val="00796F4D"/>
    <w:rsid w:val="00796F59"/>
    <w:rsid w:val="00797141"/>
    <w:rsid w:val="0079716E"/>
    <w:rsid w:val="00797173"/>
    <w:rsid w:val="0079724F"/>
    <w:rsid w:val="007972B0"/>
    <w:rsid w:val="007972D1"/>
    <w:rsid w:val="00797320"/>
    <w:rsid w:val="00797364"/>
    <w:rsid w:val="00797423"/>
    <w:rsid w:val="0079751F"/>
    <w:rsid w:val="0079752C"/>
    <w:rsid w:val="007975B3"/>
    <w:rsid w:val="0079761E"/>
    <w:rsid w:val="00797668"/>
    <w:rsid w:val="007976AE"/>
    <w:rsid w:val="0079775B"/>
    <w:rsid w:val="007977D7"/>
    <w:rsid w:val="007977F8"/>
    <w:rsid w:val="0079780C"/>
    <w:rsid w:val="0079782F"/>
    <w:rsid w:val="00797846"/>
    <w:rsid w:val="007978B9"/>
    <w:rsid w:val="007978C4"/>
    <w:rsid w:val="007978C7"/>
    <w:rsid w:val="007978F1"/>
    <w:rsid w:val="007978FB"/>
    <w:rsid w:val="00797952"/>
    <w:rsid w:val="00797957"/>
    <w:rsid w:val="007979AD"/>
    <w:rsid w:val="007979E5"/>
    <w:rsid w:val="00797A78"/>
    <w:rsid w:val="00797AF0"/>
    <w:rsid w:val="00797B4A"/>
    <w:rsid w:val="00797B59"/>
    <w:rsid w:val="00797C52"/>
    <w:rsid w:val="00797CC1"/>
    <w:rsid w:val="00797D3B"/>
    <w:rsid w:val="00797DB8"/>
    <w:rsid w:val="00797E7E"/>
    <w:rsid w:val="007A0014"/>
    <w:rsid w:val="007A0032"/>
    <w:rsid w:val="007A0121"/>
    <w:rsid w:val="007A015F"/>
    <w:rsid w:val="007A01EE"/>
    <w:rsid w:val="007A0221"/>
    <w:rsid w:val="007A026F"/>
    <w:rsid w:val="007A0348"/>
    <w:rsid w:val="007A042E"/>
    <w:rsid w:val="007A04C1"/>
    <w:rsid w:val="007A04E2"/>
    <w:rsid w:val="007A0575"/>
    <w:rsid w:val="007A0617"/>
    <w:rsid w:val="007A0626"/>
    <w:rsid w:val="007A0765"/>
    <w:rsid w:val="007A078A"/>
    <w:rsid w:val="007A07EF"/>
    <w:rsid w:val="007A080B"/>
    <w:rsid w:val="007A0879"/>
    <w:rsid w:val="007A0970"/>
    <w:rsid w:val="007A09D2"/>
    <w:rsid w:val="007A09F3"/>
    <w:rsid w:val="007A0A69"/>
    <w:rsid w:val="007A0A87"/>
    <w:rsid w:val="007A0B35"/>
    <w:rsid w:val="007A0B77"/>
    <w:rsid w:val="007A0CB9"/>
    <w:rsid w:val="007A0D27"/>
    <w:rsid w:val="007A0D97"/>
    <w:rsid w:val="007A0DF8"/>
    <w:rsid w:val="007A0E17"/>
    <w:rsid w:val="007A0E71"/>
    <w:rsid w:val="007A0F60"/>
    <w:rsid w:val="007A0F8E"/>
    <w:rsid w:val="007A0FC0"/>
    <w:rsid w:val="007A0FC6"/>
    <w:rsid w:val="007A1062"/>
    <w:rsid w:val="007A109C"/>
    <w:rsid w:val="007A10A9"/>
    <w:rsid w:val="007A10C9"/>
    <w:rsid w:val="007A113D"/>
    <w:rsid w:val="007A11BE"/>
    <w:rsid w:val="007A121A"/>
    <w:rsid w:val="007A1264"/>
    <w:rsid w:val="007A12AB"/>
    <w:rsid w:val="007A13B7"/>
    <w:rsid w:val="007A140E"/>
    <w:rsid w:val="007A1489"/>
    <w:rsid w:val="007A148A"/>
    <w:rsid w:val="007A152F"/>
    <w:rsid w:val="007A154B"/>
    <w:rsid w:val="007A1581"/>
    <w:rsid w:val="007A168E"/>
    <w:rsid w:val="007A16C7"/>
    <w:rsid w:val="007A17B1"/>
    <w:rsid w:val="007A17E3"/>
    <w:rsid w:val="007A1823"/>
    <w:rsid w:val="007A1833"/>
    <w:rsid w:val="007A1908"/>
    <w:rsid w:val="007A1971"/>
    <w:rsid w:val="007A1A07"/>
    <w:rsid w:val="007A1AB3"/>
    <w:rsid w:val="007A1AC5"/>
    <w:rsid w:val="007A1B2A"/>
    <w:rsid w:val="007A1C44"/>
    <w:rsid w:val="007A1C8F"/>
    <w:rsid w:val="007A1CC3"/>
    <w:rsid w:val="007A1CD1"/>
    <w:rsid w:val="007A1D4D"/>
    <w:rsid w:val="007A1E1E"/>
    <w:rsid w:val="007A1E23"/>
    <w:rsid w:val="007A1E27"/>
    <w:rsid w:val="007A1EA3"/>
    <w:rsid w:val="007A1EA6"/>
    <w:rsid w:val="007A1ED7"/>
    <w:rsid w:val="007A1F00"/>
    <w:rsid w:val="007A1F76"/>
    <w:rsid w:val="007A1FE8"/>
    <w:rsid w:val="007A2014"/>
    <w:rsid w:val="007A2018"/>
    <w:rsid w:val="007A20B5"/>
    <w:rsid w:val="007A211C"/>
    <w:rsid w:val="007A215D"/>
    <w:rsid w:val="007A21CE"/>
    <w:rsid w:val="007A222F"/>
    <w:rsid w:val="007A22C6"/>
    <w:rsid w:val="007A2662"/>
    <w:rsid w:val="007A2732"/>
    <w:rsid w:val="007A27D9"/>
    <w:rsid w:val="007A27FE"/>
    <w:rsid w:val="007A283B"/>
    <w:rsid w:val="007A28A5"/>
    <w:rsid w:val="007A2996"/>
    <w:rsid w:val="007A2A04"/>
    <w:rsid w:val="007A2B85"/>
    <w:rsid w:val="007A2BEA"/>
    <w:rsid w:val="007A2C34"/>
    <w:rsid w:val="007A2C3D"/>
    <w:rsid w:val="007A2C4B"/>
    <w:rsid w:val="007A2C57"/>
    <w:rsid w:val="007A2C65"/>
    <w:rsid w:val="007A2CA5"/>
    <w:rsid w:val="007A2D50"/>
    <w:rsid w:val="007A2D65"/>
    <w:rsid w:val="007A2D82"/>
    <w:rsid w:val="007A2E68"/>
    <w:rsid w:val="007A2E7F"/>
    <w:rsid w:val="007A2ECC"/>
    <w:rsid w:val="007A2EDA"/>
    <w:rsid w:val="007A3060"/>
    <w:rsid w:val="007A307C"/>
    <w:rsid w:val="007A3147"/>
    <w:rsid w:val="007A31D6"/>
    <w:rsid w:val="007A31FB"/>
    <w:rsid w:val="007A3238"/>
    <w:rsid w:val="007A332E"/>
    <w:rsid w:val="007A3336"/>
    <w:rsid w:val="007A333F"/>
    <w:rsid w:val="007A3346"/>
    <w:rsid w:val="007A3347"/>
    <w:rsid w:val="007A336E"/>
    <w:rsid w:val="007A3397"/>
    <w:rsid w:val="007A3468"/>
    <w:rsid w:val="007A3492"/>
    <w:rsid w:val="007A34DC"/>
    <w:rsid w:val="007A3545"/>
    <w:rsid w:val="007A355D"/>
    <w:rsid w:val="007A363A"/>
    <w:rsid w:val="007A36C0"/>
    <w:rsid w:val="007A3716"/>
    <w:rsid w:val="007A373A"/>
    <w:rsid w:val="007A3775"/>
    <w:rsid w:val="007A37A7"/>
    <w:rsid w:val="007A3831"/>
    <w:rsid w:val="007A386E"/>
    <w:rsid w:val="007A3890"/>
    <w:rsid w:val="007A3A4D"/>
    <w:rsid w:val="007A3A50"/>
    <w:rsid w:val="007A3B29"/>
    <w:rsid w:val="007A3B88"/>
    <w:rsid w:val="007A3C52"/>
    <w:rsid w:val="007A3D3A"/>
    <w:rsid w:val="007A3D86"/>
    <w:rsid w:val="007A3D8F"/>
    <w:rsid w:val="007A3DC2"/>
    <w:rsid w:val="007A3E0E"/>
    <w:rsid w:val="007A3F0D"/>
    <w:rsid w:val="007A4012"/>
    <w:rsid w:val="007A405A"/>
    <w:rsid w:val="007A4148"/>
    <w:rsid w:val="007A4182"/>
    <w:rsid w:val="007A41FA"/>
    <w:rsid w:val="007A4276"/>
    <w:rsid w:val="007A42D3"/>
    <w:rsid w:val="007A42ED"/>
    <w:rsid w:val="007A4314"/>
    <w:rsid w:val="007A4536"/>
    <w:rsid w:val="007A4548"/>
    <w:rsid w:val="007A462F"/>
    <w:rsid w:val="007A4652"/>
    <w:rsid w:val="007A4658"/>
    <w:rsid w:val="007A466F"/>
    <w:rsid w:val="007A46E4"/>
    <w:rsid w:val="007A476E"/>
    <w:rsid w:val="007A47C8"/>
    <w:rsid w:val="007A4877"/>
    <w:rsid w:val="007A4ADF"/>
    <w:rsid w:val="007A4B46"/>
    <w:rsid w:val="007A4BC1"/>
    <w:rsid w:val="007A4BE8"/>
    <w:rsid w:val="007A4C1B"/>
    <w:rsid w:val="007A4C3C"/>
    <w:rsid w:val="007A4CE1"/>
    <w:rsid w:val="007A4E0E"/>
    <w:rsid w:val="007A4E18"/>
    <w:rsid w:val="007A4E8D"/>
    <w:rsid w:val="007A5016"/>
    <w:rsid w:val="007A519E"/>
    <w:rsid w:val="007A51B1"/>
    <w:rsid w:val="007A51C6"/>
    <w:rsid w:val="007A51C8"/>
    <w:rsid w:val="007A529D"/>
    <w:rsid w:val="007A52E6"/>
    <w:rsid w:val="007A5343"/>
    <w:rsid w:val="007A5361"/>
    <w:rsid w:val="007A53B2"/>
    <w:rsid w:val="007A53D6"/>
    <w:rsid w:val="007A5405"/>
    <w:rsid w:val="007A5460"/>
    <w:rsid w:val="007A54AA"/>
    <w:rsid w:val="007A54E6"/>
    <w:rsid w:val="007A556E"/>
    <w:rsid w:val="007A55C7"/>
    <w:rsid w:val="007A55D6"/>
    <w:rsid w:val="007A5606"/>
    <w:rsid w:val="007A560D"/>
    <w:rsid w:val="007A5674"/>
    <w:rsid w:val="007A567F"/>
    <w:rsid w:val="007A5711"/>
    <w:rsid w:val="007A5758"/>
    <w:rsid w:val="007A5800"/>
    <w:rsid w:val="007A583A"/>
    <w:rsid w:val="007A5843"/>
    <w:rsid w:val="007A5852"/>
    <w:rsid w:val="007A58D1"/>
    <w:rsid w:val="007A58EA"/>
    <w:rsid w:val="007A58F7"/>
    <w:rsid w:val="007A5951"/>
    <w:rsid w:val="007A5A39"/>
    <w:rsid w:val="007A5AED"/>
    <w:rsid w:val="007A5B71"/>
    <w:rsid w:val="007A5BAD"/>
    <w:rsid w:val="007A5C0E"/>
    <w:rsid w:val="007A5C65"/>
    <w:rsid w:val="007A5D0B"/>
    <w:rsid w:val="007A5D58"/>
    <w:rsid w:val="007A5DAA"/>
    <w:rsid w:val="007A5E0E"/>
    <w:rsid w:val="007A5E10"/>
    <w:rsid w:val="007A5E52"/>
    <w:rsid w:val="007A5EA3"/>
    <w:rsid w:val="007A5EE4"/>
    <w:rsid w:val="007A5F61"/>
    <w:rsid w:val="007A6052"/>
    <w:rsid w:val="007A607B"/>
    <w:rsid w:val="007A607E"/>
    <w:rsid w:val="007A60AF"/>
    <w:rsid w:val="007A6306"/>
    <w:rsid w:val="007A6320"/>
    <w:rsid w:val="007A6395"/>
    <w:rsid w:val="007A6422"/>
    <w:rsid w:val="007A642C"/>
    <w:rsid w:val="007A6457"/>
    <w:rsid w:val="007A653C"/>
    <w:rsid w:val="007A6583"/>
    <w:rsid w:val="007A6821"/>
    <w:rsid w:val="007A684D"/>
    <w:rsid w:val="007A6877"/>
    <w:rsid w:val="007A6882"/>
    <w:rsid w:val="007A695A"/>
    <w:rsid w:val="007A6966"/>
    <w:rsid w:val="007A6971"/>
    <w:rsid w:val="007A6A46"/>
    <w:rsid w:val="007A6A70"/>
    <w:rsid w:val="007A6B0F"/>
    <w:rsid w:val="007A6C35"/>
    <w:rsid w:val="007A6C37"/>
    <w:rsid w:val="007A6C83"/>
    <w:rsid w:val="007A6CA9"/>
    <w:rsid w:val="007A6CCF"/>
    <w:rsid w:val="007A6D06"/>
    <w:rsid w:val="007A6D17"/>
    <w:rsid w:val="007A6E0D"/>
    <w:rsid w:val="007A6E16"/>
    <w:rsid w:val="007A6E9E"/>
    <w:rsid w:val="007A6F10"/>
    <w:rsid w:val="007A6F8C"/>
    <w:rsid w:val="007A6FD5"/>
    <w:rsid w:val="007A705F"/>
    <w:rsid w:val="007A7091"/>
    <w:rsid w:val="007A70F8"/>
    <w:rsid w:val="007A721A"/>
    <w:rsid w:val="007A723B"/>
    <w:rsid w:val="007A724D"/>
    <w:rsid w:val="007A729E"/>
    <w:rsid w:val="007A736C"/>
    <w:rsid w:val="007A73C9"/>
    <w:rsid w:val="007A73EB"/>
    <w:rsid w:val="007A7413"/>
    <w:rsid w:val="007A7476"/>
    <w:rsid w:val="007A74DA"/>
    <w:rsid w:val="007A7654"/>
    <w:rsid w:val="007A769C"/>
    <w:rsid w:val="007A7718"/>
    <w:rsid w:val="007A7724"/>
    <w:rsid w:val="007A7795"/>
    <w:rsid w:val="007A7831"/>
    <w:rsid w:val="007A783C"/>
    <w:rsid w:val="007A78AD"/>
    <w:rsid w:val="007A78C8"/>
    <w:rsid w:val="007A7994"/>
    <w:rsid w:val="007A7997"/>
    <w:rsid w:val="007A79AB"/>
    <w:rsid w:val="007A7A1D"/>
    <w:rsid w:val="007A7A2E"/>
    <w:rsid w:val="007A7A49"/>
    <w:rsid w:val="007A7A69"/>
    <w:rsid w:val="007A7AD9"/>
    <w:rsid w:val="007A7ADC"/>
    <w:rsid w:val="007A7AE0"/>
    <w:rsid w:val="007A7AE5"/>
    <w:rsid w:val="007A7B33"/>
    <w:rsid w:val="007A7B38"/>
    <w:rsid w:val="007A7B85"/>
    <w:rsid w:val="007A7B9C"/>
    <w:rsid w:val="007A7CBF"/>
    <w:rsid w:val="007A7DAB"/>
    <w:rsid w:val="007A7E2A"/>
    <w:rsid w:val="007A7EA0"/>
    <w:rsid w:val="007A7EEC"/>
    <w:rsid w:val="007A7F5B"/>
    <w:rsid w:val="007A7FC2"/>
    <w:rsid w:val="007B007C"/>
    <w:rsid w:val="007B00E0"/>
    <w:rsid w:val="007B00FC"/>
    <w:rsid w:val="007B0128"/>
    <w:rsid w:val="007B017E"/>
    <w:rsid w:val="007B01B4"/>
    <w:rsid w:val="007B020F"/>
    <w:rsid w:val="007B0267"/>
    <w:rsid w:val="007B02CB"/>
    <w:rsid w:val="007B0306"/>
    <w:rsid w:val="007B0332"/>
    <w:rsid w:val="007B0364"/>
    <w:rsid w:val="007B0408"/>
    <w:rsid w:val="007B04AD"/>
    <w:rsid w:val="007B0595"/>
    <w:rsid w:val="007B0599"/>
    <w:rsid w:val="007B05CE"/>
    <w:rsid w:val="007B0653"/>
    <w:rsid w:val="007B066B"/>
    <w:rsid w:val="007B0716"/>
    <w:rsid w:val="007B07C4"/>
    <w:rsid w:val="007B086F"/>
    <w:rsid w:val="007B08A1"/>
    <w:rsid w:val="007B08CA"/>
    <w:rsid w:val="007B093D"/>
    <w:rsid w:val="007B0965"/>
    <w:rsid w:val="007B097A"/>
    <w:rsid w:val="007B0A03"/>
    <w:rsid w:val="007B0A7D"/>
    <w:rsid w:val="007B0A8A"/>
    <w:rsid w:val="007B0AF2"/>
    <w:rsid w:val="007B0B59"/>
    <w:rsid w:val="007B0B72"/>
    <w:rsid w:val="007B0B83"/>
    <w:rsid w:val="007B0C52"/>
    <w:rsid w:val="007B0CE6"/>
    <w:rsid w:val="007B0D3C"/>
    <w:rsid w:val="007B0D74"/>
    <w:rsid w:val="007B0D89"/>
    <w:rsid w:val="007B0F6D"/>
    <w:rsid w:val="007B1085"/>
    <w:rsid w:val="007B10A3"/>
    <w:rsid w:val="007B115E"/>
    <w:rsid w:val="007B1187"/>
    <w:rsid w:val="007B11B8"/>
    <w:rsid w:val="007B11DE"/>
    <w:rsid w:val="007B11DF"/>
    <w:rsid w:val="007B11E8"/>
    <w:rsid w:val="007B11EC"/>
    <w:rsid w:val="007B1208"/>
    <w:rsid w:val="007B12DB"/>
    <w:rsid w:val="007B12E1"/>
    <w:rsid w:val="007B1305"/>
    <w:rsid w:val="007B134E"/>
    <w:rsid w:val="007B1377"/>
    <w:rsid w:val="007B1398"/>
    <w:rsid w:val="007B13AD"/>
    <w:rsid w:val="007B1494"/>
    <w:rsid w:val="007B153B"/>
    <w:rsid w:val="007B15C7"/>
    <w:rsid w:val="007B1656"/>
    <w:rsid w:val="007B1664"/>
    <w:rsid w:val="007B168A"/>
    <w:rsid w:val="007B169D"/>
    <w:rsid w:val="007B16D1"/>
    <w:rsid w:val="007B1809"/>
    <w:rsid w:val="007B1985"/>
    <w:rsid w:val="007B19FF"/>
    <w:rsid w:val="007B1A86"/>
    <w:rsid w:val="007B1B0B"/>
    <w:rsid w:val="007B1B10"/>
    <w:rsid w:val="007B1C1D"/>
    <w:rsid w:val="007B1C22"/>
    <w:rsid w:val="007B1C4B"/>
    <w:rsid w:val="007B1C82"/>
    <w:rsid w:val="007B1CC0"/>
    <w:rsid w:val="007B1D4F"/>
    <w:rsid w:val="007B1E17"/>
    <w:rsid w:val="007B1E5E"/>
    <w:rsid w:val="007B1EE1"/>
    <w:rsid w:val="007B1F04"/>
    <w:rsid w:val="007B1F09"/>
    <w:rsid w:val="007B1F21"/>
    <w:rsid w:val="007B1F56"/>
    <w:rsid w:val="007B2064"/>
    <w:rsid w:val="007B20A0"/>
    <w:rsid w:val="007B20EF"/>
    <w:rsid w:val="007B2124"/>
    <w:rsid w:val="007B2180"/>
    <w:rsid w:val="007B2196"/>
    <w:rsid w:val="007B245C"/>
    <w:rsid w:val="007B2472"/>
    <w:rsid w:val="007B2550"/>
    <w:rsid w:val="007B25B4"/>
    <w:rsid w:val="007B25C9"/>
    <w:rsid w:val="007B25D2"/>
    <w:rsid w:val="007B25D3"/>
    <w:rsid w:val="007B25DB"/>
    <w:rsid w:val="007B2632"/>
    <w:rsid w:val="007B26C0"/>
    <w:rsid w:val="007B26CD"/>
    <w:rsid w:val="007B26EA"/>
    <w:rsid w:val="007B279D"/>
    <w:rsid w:val="007B27A1"/>
    <w:rsid w:val="007B285E"/>
    <w:rsid w:val="007B2870"/>
    <w:rsid w:val="007B28A1"/>
    <w:rsid w:val="007B2A7A"/>
    <w:rsid w:val="007B2AE0"/>
    <w:rsid w:val="007B2B08"/>
    <w:rsid w:val="007B2BBD"/>
    <w:rsid w:val="007B2C4A"/>
    <w:rsid w:val="007B2CD4"/>
    <w:rsid w:val="007B2D98"/>
    <w:rsid w:val="007B2E3A"/>
    <w:rsid w:val="007B2EB6"/>
    <w:rsid w:val="007B2F46"/>
    <w:rsid w:val="007B308A"/>
    <w:rsid w:val="007B30AE"/>
    <w:rsid w:val="007B3105"/>
    <w:rsid w:val="007B3111"/>
    <w:rsid w:val="007B3131"/>
    <w:rsid w:val="007B3137"/>
    <w:rsid w:val="007B3163"/>
    <w:rsid w:val="007B3355"/>
    <w:rsid w:val="007B3434"/>
    <w:rsid w:val="007B34B3"/>
    <w:rsid w:val="007B352B"/>
    <w:rsid w:val="007B352D"/>
    <w:rsid w:val="007B3640"/>
    <w:rsid w:val="007B368F"/>
    <w:rsid w:val="007B3709"/>
    <w:rsid w:val="007B3789"/>
    <w:rsid w:val="007B38B8"/>
    <w:rsid w:val="007B38C3"/>
    <w:rsid w:val="007B391B"/>
    <w:rsid w:val="007B3930"/>
    <w:rsid w:val="007B396D"/>
    <w:rsid w:val="007B3989"/>
    <w:rsid w:val="007B3A12"/>
    <w:rsid w:val="007B3A56"/>
    <w:rsid w:val="007B3A7D"/>
    <w:rsid w:val="007B3BB0"/>
    <w:rsid w:val="007B3D4F"/>
    <w:rsid w:val="007B3D7F"/>
    <w:rsid w:val="007B3DBD"/>
    <w:rsid w:val="007B3E12"/>
    <w:rsid w:val="007B3F31"/>
    <w:rsid w:val="007B3F3B"/>
    <w:rsid w:val="007B3F4D"/>
    <w:rsid w:val="007B3FB8"/>
    <w:rsid w:val="007B400D"/>
    <w:rsid w:val="007B406D"/>
    <w:rsid w:val="007B4115"/>
    <w:rsid w:val="007B424A"/>
    <w:rsid w:val="007B426E"/>
    <w:rsid w:val="007B42EC"/>
    <w:rsid w:val="007B430D"/>
    <w:rsid w:val="007B443A"/>
    <w:rsid w:val="007B4453"/>
    <w:rsid w:val="007B445E"/>
    <w:rsid w:val="007B4491"/>
    <w:rsid w:val="007B44FF"/>
    <w:rsid w:val="007B4568"/>
    <w:rsid w:val="007B457C"/>
    <w:rsid w:val="007B4585"/>
    <w:rsid w:val="007B459B"/>
    <w:rsid w:val="007B45E1"/>
    <w:rsid w:val="007B475B"/>
    <w:rsid w:val="007B4760"/>
    <w:rsid w:val="007B4764"/>
    <w:rsid w:val="007B4785"/>
    <w:rsid w:val="007B48AF"/>
    <w:rsid w:val="007B4959"/>
    <w:rsid w:val="007B4A3E"/>
    <w:rsid w:val="007B4ACB"/>
    <w:rsid w:val="007B4AFB"/>
    <w:rsid w:val="007B4B35"/>
    <w:rsid w:val="007B4BB0"/>
    <w:rsid w:val="007B4BB2"/>
    <w:rsid w:val="007B4BE3"/>
    <w:rsid w:val="007B4BE4"/>
    <w:rsid w:val="007B4C29"/>
    <w:rsid w:val="007B4C32"/>
    <w:rsid w:val="007B4C66"/>
    <w:rsid w:val="007B4C86"/>
    <w:rsid w:val="007B4D09"/>
    <w:rsid w:val="007B4DAA"/>
    <w:rsid w:val="007B4DAB"/>
    <w:rsid w:val="007B4DB9"/>
    <w:rsid w:val="007B4E76"/>
    <w:rsid w:val="007B4F75"/>
    <w:rsid w:val="007B4FFB"/>
    <w:rsid w:val="007B5042"/>
    <w:rsid w:val="007B51BD"/>
    <w:rsid w:val="007B5344"/>
    <w:rsid w:val="007B5371"/>
    <w:rsid w:val="007B537C"/>
    <w:rsid w:val="007B5486"/>
    <w:rsid w:val="007B54AF"/>
    <w:rsid w:val="007B560E"/>
    <w:rsid w:val="007B5674"/>
    <w:rsid w:val="007B573C"/>
    <w:rsid w:val="007B57FA"/>
    <w:rsid w:val="007B580B"/>
    <w:rsid w:val="007B5878"/>
    <w:rsid w:val="007B5880"/>
    <w:rsid w:val="007B5893"/>
    <w:rsid w:val="007B5918"/>
    <w:rsid w:val="007B5980"/>
    <w:rsid w:val="007B59F8"/>
    <w:rsid w:val="007B5A79"/>
    <w:rsid w:val="007B5B43"/>
    <w:rsid w:val="007B5D22"/>
    <w:rsid w:val="007B5D4A"/>
    <w:rsid w:val="007B5D56"/>
    <w:rsid w:val="007B5DC2"/>
    <w:rsid w:val="007B5DDA"/>
    <w:rsid w:val="007B5DEB"/>
    <w:rsid w:val="007B5F6D"/>
    <w:rsid w:val="007B602C"/>
    <w:rsid w:val="007B6035"/>
    <w:rsid w:val="007B615F"/>
    <w:rsid w:val="007B62AE"/>
    <w:rsid w:val="007B636E"/>
    <w:rsid w:val="007B638F"/>
    <w:rsid w:val="007B63AB"/>
    <w:rsid w:val="007B63E4"/>
    <w:rsid w:val="007B6409"/>
    <w:rsid w:val="007B641A"/>
    <w:rsid w:val="007B6447"/>
    <w:rsid w:val="007B645C"/>
    <w:rsid w:val="007B6521"/>
    <w:rsid w:val="007B655D"/>
    <w:rsid w:val="007B6617"/>
    <w:rsid w:val="007B6618"/>
    <w:rsid w:val="007B66B7"/>
    <w:rsid w:val="007B6789"/>
    <w:rsid w:val="007B67AC"/>
    <w:rsid w:val="007B683B"/>
    <w:rsid w:val="007B6873"/>
    <w:rsid w:val="007B68F5"/>
    <w:rsid w:val="007B696A"/>
    <w:rsid w:val="007B6998"/>
    <w:rsid w:val="007B6A42"/>
    <w:rsid w:val="007B6A7D"/>
    <w:rsid w:val="007B6B0F"/>
    <w:rsid w:val="007B6B1F"/>
    <w:rsid w:val="007B6B2D"/>
    <w:rsid w:val="007B6B69"/>
    <w:rsid w:val="007B6B93"/>
    <w:rsid w:val="007B6C73"/>
    <w:rsid w:val="007B6D42"/>
    <w:rsid w:val="007B6E5A"/>
    <w:rsid w:val="007B6F28"/>
    <w:rsid w:val="007B6F2D"/>
    <w:rsid w:val="007B6F79"/>
    <w:rsid w:val="007B7009"/>
    <w:rsid w:val="007B7096"/>
    <w:rsid w:val="007B70B3"/>
    <w:rsid w:val="007B712D"/>
    <w:rsid w:val="007B7164"/>
    <w:rsid w:val="007B71CF"/>
    <w:rsid w:val="007B7276"/>
    <w:rsid w:val="007B72B2"/>
    <w:rsid w:val="007B7439"/>
    <w:rsid w:val="007B748E"/>
    <w:rsid w:val="007B7513"/>
    <w:rsid w:val="007B7567"/>
    <w:rsid w:val="007B7592"/>
    <w:rsid w:val="007B762A"/>
    <w:rsid w:val="007B76CF"/>
    <w:rsid w:val="007B7723"/>
    <w:rsid w:val="007B77B1"/>
    <w:rsid w:val="007B77F3"/>
    <w:rsid w:val="007B7877"/>
    <w:rsid w:val="007B7897"/>
    <w:rsid w:val="007B78B6"/>
    <w:rsid w:val="007B78D8"/>
    <w:rsid w:val="007B7974"/>
    <w:rsid w:val="007B7AB7"/>
    <w:rsid w:val="007B7ADD"/>
    <w:rsid w:val="007B7B7C"/>
    <w:rsid w:val="007B7C53"/>
    <w:rsid w:val="007B7C7D"/>
    <w:rsid w:val="007B7C96"/>
    <w:rsid w:val="007B7CF0"/>
    <w:rsid w:val="007B7D37"/>
    <w:rsid w:val="007B7DC4"/>
    <w:rsid w:val="007B7E20"/>
    <w:rsid w:val="007B7E3D"/>
    <w:rsid w:val="007B7E92"/>
    <w:rsid w:val="007B7F44"/>
    <w:rsid w:val="007B7F9B"/>
    <w:rsid w:val="007C00D5"/>
    <w:rsid w:val="007C00D7"/>
    <w:rsid w:val="007C0107"/>
    <w:rsid w:val="007C015E"/>
    <w:rsid w:val="007C01BC"/>
    <w:rsid w:val="007C0225"/>
    <w:rsid w:val="007C022B"/>
    <w:rsid w:val="007C0238"/>
    <w:rsid w:val="007C0299"/>
    <w:rsid w:val="007C02AF"/>
    <w:rsid w:val="007C0337"/>
    <w:rsid w:val="007C042F"/>
    <w:rsid w:val="007C0478"/>
    <w:rsid w:val="007C04F1"/>
    <w:rsid w:val="007C055A"/>
    <w:rsid w:val="007C0577"/>
    <w:rsid w:val="007C05A4"/>
    <w:rsid w:val="007C05D1"/>
    <w:rsid w:val="007C0641"/>
    <w:rsid w:val="007C067D"/>
    <w:rsid w:val="007C078C"/>
    <w:rsid w:val="007C080B"/>
    <w:rsid w:val="007C09AC"/>
    <w:rsid w:val="007C0B3F"/>
    <w:rsid w:val="007C0C41"/>
    <w:rsid w:val="007C0CC1"/>
    <w:rsid w:val="007C0D1A"/>
    <w:rsid w:val="007C0E0A"/>
    <w:rsid w:val="007C0E12"/>
    <w:rsid w:val="007C0E6B"/>
    <w:rsid w:val="007C0EC1"/>
    <w:rsid w:val="007C106E"/>
    <w:rsid w:val="007C10FF"/>
    <w:rsid w:val="007C12DF"/>
    <w:rsid w:val="007C133B"/>
    <w:rsid w:val="007C1370"/>
    <w:rsid w:val="007C1448"/>
    <w:rsid w:val="007C145F"/>
    <w:rsid w:val="007C147E"/>
    <w:rsid w:val="007C1594"/>
    <w:rsid w:val="007C159D"/>
    <w:rsid w:val="007C1625"/>
    <w:rsid w:val="007C1642"/>
    <w:rsid w:val="007C169E"/>
    <w:rsid w:val="007C16D2"/>
    <w:rsid w:val="007C16F3"/>
    <w:rsid w:val="007C1712"/>
    <w:rsid w:val="007C1760"/>
    <w:rsid w:val="007C1763"/>
    <w:rsid w:val="007C1839"/>
    <w:rsid w:val="007C1891"/>
    <w:rsid w:val="007C1904"/>
    <w:rsid w:val="007C1921"/>
    <w:rsid w:val="007C1967"/>
    <w:rsid w:val="007C1979"/>
    <w:rsid w:val="007C19C8"/>
    <w:rsid w:val="007C19E1"/>
    <w:rsid w:val="007C1A47"/>
    <w:rsid w:val="007C1A86"/>
    <w:rsid w:val="007C1AD2"/>
    <w:rsid w:val="007C1B16"/>
    <w:rsid w:val="007C1BA1"/>
    <w:rsid w:val="007C1BCD"/>
    <w:rsid w:val="007C1C27"/>
    <w:rsid w:val="007C1C7D"/>
    <w:rsid w:val="007C1C88"/>
    <w:rsid w:val="007C1CDA"/>
    <w:rsid w:val="007C1D18"/>
    <w:rsid w:val="007C1D5B"/>
    <w:rsid w:val="007C1D96"/>
    <w:rsid w:val="007C1DA7"/>
    <w:rsid w:val="007C1DAF"/>
    <w:rsid w:val="007C1DDD"/>
    <w:rsid w:val="007C1DE1"/>
    <w:rsid w:val="007C1E55"/>
    <w:rsid w:val="007C1E83"/>
    <w:rsid w:val="007C1ECD"/>
    <w:rsid w:val="007C1EEA"/>
    <w:rsid w:val="007C1F73"/>
    <w:rsid w:val="007C1F80"/>
    <w:rsid w:val="007C1FC5"/>
    <w:rsid w:val="007C1FC8"/>
    <w:rsid w:val="007C1FE4"/>
    <w:rsid w:val="007C200F"/>
    <w:rsid w:val="007C2022"/>
    <w:rsid w:val="007C2064"/>
    <w:rsid w:val="007C2082"/>
    <w:rsid w:val="007C20EC"/>
    <w:rsid w:val="007C215B"/>
    <w:rsid w:val="007C2166"/>
    <w:rsid w:val="007C2193"/>
    <w:rsid w:val="007C21F2"/>
    <w:rsid w:val="007C220E"/>
    <w:rsid w:val="007C223E"/>
    <w:rsid w:val="007C2244"/>
    <w:rsid w:val="007C22A3"/>
    <w:rsid w:val="007C23B9"/>
    <w:rsid w:val="007C23FC"/>
    <w:rsid w:val="007C242A"/>
    <w:rsid w:val="007C2445"/>
    <w:rsid w:val="007C2463"/>
    <w:rsid w:val="007C2524"/>
    <w:rsid w:val="007C25C7"/>
    <w:rsid w:val="007C26A9"/>
    <w:rsid w:val="007C26DD"/>
    <w:rsid w:val="007C277D"/>
    <w:rsid w:val="007C281C"/>
    <w:rsid w:val="007C2897"/>
    <w:rsid w:val="007C28E2"/>
    <w:rsid w:val="007C28F5"/>
    <w:rsid w:val="007C292F"/>
    <w:rsid w:val="007C299B"/>
    <w:rsid w:val="007C29D1"/>
    <w:rsid w:val="007C29FC"/>
    <w:rsid w:val="007C2A79"/>
    <w:rsid w:val="007C2A9C"/>
    <w:rsid w:val="007C2AA0"/>
    <w:rsid w:val="007C2AB7"/>
    <w:rsid w:val="007C2B2E"/>
    <w:rsid w:val="007C2B48"/>
    <w:rsid w:val="007C2B6F"/>
    <w:rsid w:val="007C2C84"/>
    <w:rsid w:val="007C2C89"/>
    <w:rsid w:val="007C2E12"/>
    <w:rsid w:val="007C2E67"/>
    <w:rsid w:val="007C2EC7"/>
    <w:rsid w:val="007C2F06"/>
    <w:rsid w:val="007C2F52"/>
    <w:rsid w:val="007C2FCD"/>
    <w:rsid w:val="007C2FD4"/>
    <w:rsid w:val="007C2FF7"/>
    <w:rsid w:val="007C3028"/>
    <w:rsid w:val="007C3062"/>
    <w:rsid w:val="007C30A1"/>
    <w:rsid w:val="007C30E7"/>
    <w:rsid w:val="007C30FC"/>
    <w:rsid w:val="007C31D5"/>
    <w:rsid w:val="007C31DB"/>
    <w:rsid w:val="007C3208"/>
    <w:rsid w:val="007C32D7"/>
    <w:rsid w:val="007C3390"/>
    <w:rsid w:val="007C345A"/>
    <w:rsid w:val="007C3506"/>
    <w:rsid w:val="007C35BD"/>
    <w:rsid w:val="007C35E1"/>
    <w:rsid w:val="007C35EC"/>
    <w:rsid w:val="007C3613"/>
    <w:rsid w:val="007C3659"/>
    <w:rsid w:val="007C36F9"/>
    <w:rsid w:val="007C38B5"/>
    <w:rsid w:val="007C38C3"/>
    <w:rsid w:val="007C39B9"/>
    <w:rsid w:val="007C3A21"/>
    <w:rsid w:val="007C3AFF"/>
    <w:rsid w:val="007C3B21"/>
    <w:rsid w:val="007C3B81"/>
    <w:rsid w:val="007C3C1A"/>
    <w:rsid w:val="007C3C46"/>
    <w:rsid w:val="007C3CC5"/>
    <w:rsid w:val="007C3CD2"/>
    <w:rsid w:val="007C3DF2"/>
    <w:rsid w:val="007C3E19"/>
    <w:rsid w:val="007C3F16"/>
    <w:rsid w:val="007C3F25"/>
    <w:rsid w:val="007C3F56"/>
    <w:rsid w:val="007C3FD4"/>
    <w:rsid w:val="007C405F"/>
    <w:rsid w:val="007C41A0"/>
    <w:rsid w:val="007C41D4"/>
    <w:rsid w:val="007C41F2"/>
    <w:rsid w:val="007C4219"/>
    <w:rsid w:val="007C4263"/>
    <w:rsid w:val="007C4288"/>
    <w:rsid w:val="007C42B0"/>
    <w:rsid w:val="007C4336"/>
    <w:rsid w:val="007C4370"/>
    <w:rsid w:val="007C43E2"/>
    <w:rsid w:val="007C43F5"/>
    <w:rsid w:val="007C44B9"/>
    <w:rsid w:val="007C44C5"/>
    <w:rsid w:val="007C44D1"/>
    <w:rsid w:val="007C45A5"/>
    <w:rsid w:val="007C460F"/>
    <w:rsid w:val="007C463E"/>
    <w:rsid w:val="007C46D7"/>
    <w:rsid w:val="007C46DF"/>
    <w:rsid w:val="007C46F0"/>
    <w:rsid w:val="007C46F5"/>
    <w:rsid w:val="007C4706"/>
    <w:rsid w:val="007C4733"/>
    <w:rsid w:val="007C478B"/>
    <w:rsid w:val="007C47B2"/>
    <w:rsid w:val="007C47E3"/>
    <w:rsid w:val="007C47E7"/>
    <w:rsid w:val="007C47F0"/>
    <w:rsid w:val="007C4966"/>
    <w:rsid w:val="007C4A1E"/>
    <w:rsid w:val="007C4A2B"/>
    <w:rsid w:val="007C4B52"/>
    <w:rsid w:val="007C4B9B"/>
    <w:rsid w:val="007C4BAD"/>
    <w:rsid w:val="007C4BF7"/>
    <w:rsid w:val="007C4C4B"/>
    <w:rsid w:val="007C4C97"/>
    <w:rsid w:val="007C4D4C"/>
    <w:rsid w:val="007C4D65"/>
    <w:rsid w:val="007C4EA0"/>
    <w:rsid w:val="007C4F73"/>
    <w:rsid w:val="007C4F7B"/>
    <w:rsid w:val="007C4F89"/>
    <w:rsid w:val="007C4FAD"/>
    <w:rsid w:val="007C50E2"/>
    <w:rsid w:val="007C5126"/>
    <w:rsid w:val="007C5145"/>
    <w:rsid w:val="007C5168"/>
    <w:rsid w:val="007C5184"/>
    <w:rsid w:val="007C51B0"/>
    <w:rsid w:val="007C51B8"/>
    <w:rsid w:val="007C52A8"/>
    <w:rsid w:val="007C52D4"/>
    <w:rsid w:val="007C52E1"/>
    <w:rsid w:val="007C52F4"/>
    <w:rsid w:val="007C5329"/>
    <w:rsid w:val="007C5365"/>
    <w:rsid w:val="007C5382"/>
    <w:rsid w:val="007C55AF"/>
    <w:rsid w:val="007C5603"/>
    <w:rsid w:val="007C56CB"/>
    <w:rsid w:val="007C5758"/>
    <w:rsid w:val="007C57A3"/>
    <w:rsid w:val="007C590A"/>
    <w:rsid w:val="007C5954"/>
    <w:rsid w:val="007C5963"/>
    <w:rsid w:val="007C59B9"/>
    <w:rsid w:val="007C5A19"/>
    <w:rsid w:val="007C5A7D"/>
    <w:rsid w:val="007C5AA2"/>
    <w:rsid w:val="007C5BBE"/>
    <w:rsid w:val="007C5C32"/>
    <w:rsid w:val="007C5D10"/>
    <w:rsid w:val="007C5D3E"/>
    <w:rsid w:val="007C5DDF"/>
    <w:rsid w:val="007C5F14"/>
    <w:rsid w:val="007C5F46"/>
    <w:rsid w:val="007C5FDA"/>
    <w:rsid w:val="007C6087"/>
    <w:rsid w:val="007C6114"/>
    <w:rsid w:val="007C61BC"/>
    <w:rsid w:val="007C621C"/>
    <w:rsid w:val="007C621E"/>
    <w:rsid w:val="007C6249"/>
    <w:rsid w:val="007C635C"/>
    <w:rsid w:val="007C636E"/>
    <w:rsid w:val="007C6393"/>
    <w:rsid w:val="007C63A2"/>
    <w:rsid w:val="007C645B"/>
    <w:rsid w:val="007C64CA"/>
    <w:rsid w:val="007C6562"/>
    <w:rsid w:val="007C65C5"/>
    <w:rsid w:val="007C65EE"/>
    <w:rsid w:val="007C6688"/>
    <w:rsid w:val="007C66F9"/>
    <w:rsid w:val="007C6708"/>
    <w:rsid w:val="007C6724"/>
    <w:rsid w:val="007C677A"/>
    <w:rsid w:val="007C678D"/>
    <w:rsid w:val="007C67AE"/>
    <w:rsid w:val="007C686A"/>
    <w:rsid w:val="007C686E"/>
    <w:rsid w:val="007C689B"/>
    <w:rsid w:val="007C68B3"/>
    <w:rsid w:val="007C698B"/>
    <w:rsid w:val="007C69DF"/>
    <w:rsid w:val="007C6AEE"/>
    <w:rsid w:val="007C6B05"/>
    <w:rsid w:val="007C6BF7"/>
    <w:rsid w:val="007C6D0B"/>
    <w:rsid w:val="007C6ED4"/>
    <w:rsid w:val="007C6EE2"/>
    <w:rsid w:val="007C6F02"/>
    <w:rsid w:val="007C6F35"/>
    <w:rsid w:val="007C6F49"/>
    <w:rsid w:val="007C6F5E"/>
    <w:rsid w:val="007C6F85"/>
    <w:rsid w:val="007C70CE"/>
    <w:rsid w:val="007C70E9"/>
    <w:rsid w:val="007C712D"/>
    <w:rsid w:val="007C717D"/>
    <w:rsid w:val="007C7342"/>
    <w:rsid w:val="007C735A"/>
    <w:rsid w:val="007C73AF"/>
    <w:rsid w:val="007C73BB"/>
    <w:rsid w:val="007C73EF"/>
    <w:rsid w:val="007C7528"/>
    <w:rsid w:val="007C753B"/>
    <w:rsid w:val="007C75DE"/>
    <w:rsid w:val="007C75EA"/>
    <w:rsid w:val="007C76C7"/>
    <w:rsid w:val="007C76DD"/>
    <w:rsid w:val="007C76F9"/>
    <w:rsid w:val="007C7744"/>
    <w:rsid w:val="007C7763"/>
    <w:rsid w:val="007C7767"/>
    <w:rsid w:val="007C77A7"/>
    <w:rsid w:val="007C77BE"/>
    <w:rsid w:val="007C7811"/>
    <w:rsid w:val="007C787E"/>
    <w:rsid w:val="007C7885"/>
    <w:rsid w:val="007C7930"/>
    <w:rsid w:val="007C79E7"/>
    <w:rsid w:val="007C7A3F"/>
    <w:rsid w:val="007C7AF6"/>
    <w:rsid w:val="007C7B90"/>
    <w:rsid w:val="007C7C11"/>
    <w:rsid w:val="007C7CF6"/>
    <w:rsid w:val="007C7D68"/>
    <w:rsid w:val="007C7E28"/>
    <w:rsid w:val="007C7F6C"/>
    <w:rsid w:val="007C7F7F"/>
    <w:rsid w:val="007D0021"/>
    <w:rsid w:val="007D006B"/>
    <w:rsid w:val="007D00F0"/>
    <w:rsid w:val="007D019D"/>
    <w:rsid w:val="007D019F"/>
    <w:rsid w:val="007D0240"/>
    <w:rsid w:val="007D02FB"/>
    <w:rsid w:val="007D034C"/>
    <w:rsid w:val="007D03B3"/>
    <w:rsid w:val="007D03D3"/>
    <w:rsid w:val="007D04AE"/>
    <w:rsid w:val="007D0532"/>
    <w:rsid w:val="007D0613"/>
    <w:rsid w:val="007D06CD"/>
    <w:rsid w:val="007D06F0"/>
    <w:rsid w:val="007D070B"/>
    <w:rsid w:val="007D07DE"/>
    <w:rsid w:val="007D0835"/>
    <w:rsid w:val="007D08C3"/>
    <w:rsid w:val="007D0913"/>
    <w:rsid w:val="007D0921"/>
    <w:rsid w:val="007D092D"/>
    <w:rsid w:val="007D0A72"/>
    <w:rsid w:val="007D0A73"/>
    <w:rsid w:val="007D0A81"/>
    <w:rsid w:val="007D0C0A"/>
    <w:rsid w:val="007D0C45"/>
    <w:rsid w:val="007D0C68"/>
    <w:rsid w:val="007D0CA6"/>
    <w:rsid w:val="007D0D3A"/>
    <w:rsid w:val="007D0D3E"/>
    <w:rsid w:val="007D0D75"/>
    <w:rsid w:val="007D0DAC"/>
    <w:rsid w:val="007D0E28"/>
    <w:rsid w:val="007D0F3F"/>
    <w:rsid w:val="007D1016"/>
    <w:rsid w:val="007D1020"/>
    <w:rsid w:val="007D1062"/>
    <w:rsid w:val="007D1078"/>
    <w:rsid w:val="007D115B"/>
    <w:rsid w:val="007D1257"/>
    <w:rsid w:val="007D128E"/>
    <w:rsid w:val="007D1359"/>
    <w:rsid w:val="007D144F"/>
    <w:rsid w:val="007D148E"/>
    <w:rsid w:val="007D14F2"/>
    <w:rsid w:val="007D1516"/>
    <w:rsid w:val="007D157B"/>
    <w:rsid w:val="007D1617"/>
    <w:rsid w:val="007D1662"/>
    <w:rsid w:val="007D1664"/>
    <w:rsid w:val="007D16B3"/>
    <w:rsid w:val="007D17CE"/>
    <w:rsid w:val="007D1864"/>
    <w:rsid w:val="007D189E"/>
    <w:rsid w:val="007D1B9C"/>
    <w:rsid w:val="007D1BCC"/>
    <w:rsid w:val="007D1BE2"/>
    <w:rsid w:val="007D1BE5"/>
    <w:rsid w:val="007D1D9C"/>
    <w:rsid w:val="007D1E48"/>
    <w:rsid w:val="007D1F72"/>
    <w:rsid w:val="007D1F97"/>
    <w:rsid w:val="007D1FB2"/>
    <w:rsid w:val="007D2021"/>
    <w:rsid w:val="007D206D"/>
    <w:rsid w:val="007D20EE"/>
    <w:rsid w:val="007D2121"/>
    <w:rsid w:val="007D22A3"/>
    <w:rsid w:val="007D2323"/>
    <w:rsid w:val="007D23A7"/>
    <w:rsid w:val="007D23C8"/>
    <w:rsid w:val="007D2415"/>
    <w:rsid w:val="007D2457"/>
    <w:rsid w:val="007D2477"/>
    <w:rsid w:val="007D247D"/>
    <w:rsid w:val="007D24F8"/>
    <w:rsid w:val="007D2557"/>
    <w:rsid w:val="007D261D"/>
    <w:rsid w:val="007D2651"/>
    <w:rsid w:val="007D2708"/>
    <w:rsid w:val="007D272B"/>
    <w:rsid w:val="007D274E"/>
    <w:rsid w:val="007D27FC"/>
    <w:rsid w:val="007D2811"/>
    <w:rsid w:val="007D2839"/>
    <w:rsid w:val="007D2960"/>
    <w:rsid w:val="007D2A16"/>
    <w:rsid w:val="007D2B45"/>
    <w:rsid w:val="007D2C3A"/>
    <w:rsid w:val="007D2C53"/>
    <w:rsid w:val="007D2C5E"/>
    <w:rsid w:val="007D2CAB"/>
    <w:rsid w:val="007D2CEE"/>
    <w:rsid w:val="007D2D08"/>
    <w:rsid w:val="007D2D1E"/>
    <w:rsid w:val="007D2DD6"/>
    <w:rsid w:val="007D2E1D"/>
    <w:rsid w:val="007D2E30"/>
    <w:rsid w:val="007D2E50"/>
    <w:rsid w:val="007D2F05"/>
    <w:rsid w:val="007D2F53"/>
    <w:rsid w:val="007D2F6F"/>
    <w:rsid w:val="007D2FCE"/>
    <w:rsid w:val="007D3016"/>
    <w:rsid w:val="007D319F"/>
    <w:rsid w:val="007D3225"/>
    <w:rsid w:val="007D3278"/>
    <w:rsid w:val="007D32F3"/>
    <w:rsid w:val="007D33D1"/>
    <w:rsid w:val="007D34EA"/>
    <w:rsid w:val="007D34FC"/>
    <w:rsid w:val="007D3586"/>
    <w:rsid w:val="007D359E"/>
    <w:rsid w:val="007D372F"/>
    <w:rsid w:val="007D3747"/>
    <w:rsid w:val="007D375A"/>
    <w:rsid w:val="007D37B0"/>
    <w:rsid w:val="007D37B3"/>
    <w:rsid w:val="007D37EC"/>
    <w:rsid w:val="007D381D"/>
    <w:rsid w:val="007D3894"/>
    <w:rsid w:val="007D394B"/>
    <w:rsid w:val="007D3A30"/>
    <w:rsid w:val="007D3AD1"/>
    <w:rsid w:val="007D3AF4"/>
    <w:rsid w:val="007D3B26"/>
    <w:rsid w:val="007D3BB2"/>
    <w:rsid w:val="007D3CB3"/>
    <w:rsid w:val="007D3CBD"/>
    <w:rsid w:val="007D3CC0"/>
    <w:rsid w:val="007D3CF4"/>
    <w:rsid w:val="007D3E06"/>
    <w:rsid w:val="007D3E69"/>
    <w:rsid w:val="007D3E8A"/>
    <w:rsid w:val="007D3EC1"/>
    <w:rsid w:val="007D3F41"/>
    <w:rsid w:val="007D3F5E"/>
    <w:rsid w:val="007D3F6C"/>
    <w:rsid w:val="007D3F8C"/>
    <w:rsid w:val="007D4104"/>
    <w:rsid w:val="007D4181"/>
    <w:rsid w:val="007D41EE"/>
    <w:rsid w:val="007D421C"/>
    <w:rsid w:val="007D4326"/>
    <w:rsid w:val="007D4471"/>
    <w:rsid w:val="007D449B"/>
    <w:rsid w:val="007D44ED"/>
    <w:rsid w:val="007D44FF"/>
    <w:rsid w:val="007D450B"/>
    <w:rsid w:val="007D4530"/>
    <w:rsid w:val="007D459C"/>
    <w:rsid w:val="007D4613"/>
    <w:rsid w:val="007D46DB"/>
    <w:rsid w:val="007D4765"/>
    <w:rsid w:val="007D47F3"/>
    <w:rsid w:val="007D4804"/>
    <w:rsid w:val="007D4815"/>
    <w:rsid w:val="007D4834"/>
    <w:rsid w:val="007D48AC"/>
    <w:rsid w:val="007D48EE"/>
    <w:rsid w:val="007D4A3B"/>
    <w:rsid w:val="007D4AEF"/>
    <w:rsid w:val="007D4B01"/>
    <w:rsid w:val="007D4B36"/>
    <w:rsid w:val="007D4BCD"/>
    <w:rsid w:val="007D4CD1"/>
    <w:rsid w:val="007D4DC8"/>
    <w:rsid w:val="007D4DDA"/>
    <w:rsid w:val="007D4E33"/>
    <w:rsid w:val="007D4EA8"/>
    <w:rsid w:val="007D4EB1"/>
    <w:rsid w:val="007D4EC5"/>
    <w:rsid w:val="007D4EFB"/>
    <w:rsid w:val="007D4F62"/>
    <w:rsid w:val="007D4FC8"/>
    <w:rsid w:val="007D4FFC"/>
    <w:rsid w:val="007D5029"/>
    <w:rsid w:val="007D5055"/>
    <w:rsid w:val="007D50DA"/>
    <w:rsid w:val="007D5108"/>
    <w:rsid w:val="007D51ED"/>
    <w:rsid w:val="007D5345"/>
    <w:rsid w:val="007D5359"/>
    <w:rsid w:val="007D536E"/>
    <w:rsid w:val="007D53CC"/>
    <w:rsid w:val="007D53E8"/>
    <w:rsid w:val="007D544C"/>
    <w:rsid w:val="007D54A4"/>
    <w:rsid w:val="007D54CF"/>
    <w:rsid w:val="007D54DB"/>
    <w:rsid w:val="007D5555"/>
    <w:rsid w:val="007D5565"/>
    <w:rsid w:val="007D5575"/>
    <w:rsid w:val="007D578E"/>
    <w:rsid w:val="007D57D1"/>
    <w:rsid w:val="007D582D"/>
    <w:rsid w:val="007D58ED"/>
    <w:rsid w:val="007D590D"/>
    <w:rsid w:val="007D5972"/>
    <w:rsid w:val="007D59A4"/>
    <w:rsid w:val="007D59EF"/>
    <w:rsid w:val="007D5A2E"/>
    <w:rsid w:val="007D5A63"/>
    <w:rsid w:val="007D5A68"/>
    <w:rsid w:val="007D5ADA"/>
    <w:rsid w:val="007D5B79"/>
    <w:rsid w:val="007D5BA3"/>
    <w:rsid w:val="007D5BC0"/>
    <w:rsid w:val="007D5BCC"/>
    <w:rsid w:val="007D5C70"/>
    <w:rsid w:val="007D5D96"/>
    <w:rsid w:val="007D5E96"/>
    <w:rsid w:val="007D5ECB"/>
    <w:rsid w:val="007D5F51"/>
    <w:rsid w:val="007D6077"/>
    <w:rsid w:val="007D60B9"/>
    <w:rsid w:val="007D60FE"/>
    <w:rsid w:val="007D610E"/>
    <w:rsid w:val="007D6126"/>
    <w:rsid w:val="007D6213"/>
    <w:rsid w:val="007D6247"/>
    <w:rsid w:val="007D62BB"/>
    <w:rsid w:val="007D6370"/>
    <w:rsid w:val="007D639C"/>
    <w:rsid w:val="007D642C"/>
    <w:rsid w:val="007D6460"/>
    <w:rsid w:val="007D64BE"/>
    <w:rsid w:val="007D64C4"/>
    <w:rsid w:val="007D64E7"/>
    <w:rsid w:val="007D653E"/>
    <w:rsid w:val="007D6550"/>
    <w:rsid w:val="007D65E5"/>
    <w:rsid w:val="007D6642"/>
    <w:rsid w:val="007D66AC"/>
    <w:rsid w:val="007D679E"/>
    <w:rsid w:val="007D6872"/>
    <w:rsid w:val="007D6979"/>
    <w:rsid w:val="007D698E"/>
    <w:rsid w:val="007D6A3C"/>
    <w:rsid w:val="007D6A6F"/>
    <w:rsid w:val="007D6A8E"/>
    <w:rsid w:val="007D6AC6"/>
    <w:rsid w:val="007D6B39"/>
    <w:rsid w:val="007D6BA1"/>
    <w:rsid w:val="007D6C70"/>
    <w:rsid w:val="007D6D09"/>
    <w:rsid w:val="007D6E65"/>
    <w:rsid w:val="007D6F7A"/>
    <w:rsid w:val="007D6F99"/>
    <w:rsid w:val="007D703C"/>
    <w:rsid w:val="007D7053"/>
    <w:rsid w:val="007D716C"/>
    <w:rsid w:val="007D729C"/>
    <w:rsid w:val="007D72E4"/>
    <w:rsid w:val="007D7394"/>
    <w:rsid w:val="007D739B"/>
    <w:rsid w:val="007D73A3"/>
    <w:rsid w:val="007D740C"/>
    <w:rsid w:val="007D741E"/>
    <w:rsid w:val="007D74BF"/>
    <w:rsid w:val="007D7508"/>
    <w:rsid w:val="007D757B"/>
    <w:rsid w:val="007D75A9"/>
    <w:rsid w:val="007D75BA"/>
    <w:rsid w:val="007D768E"/>
    <w:rsid w:val="007D76B5"/>
    <w:rsid w:val="007D76D0"/>
    <w:rsid w:val="007D7730"/>
    <w:rsid w:val="007D7844"/>
    <w:rsid w:val="007D7892"/>
    <w:rsid w:val="007D7920"/>
    <w:rsid w:val="007D79DA"/>
    <w:rsid w:val="007D7A1B"/>
    <w:rsid w:val="007D7A6C"/>
    <w:rsid w:val="007D7A8A"/>
    <w:rsid w:val="007D7B4B"/>
    <w:rsid w:val="007D7C72"/>
    <w:rsid w:val="007D7CCD"/>
    <w:rsid w:val="007D7D05"/>
    <w:rsid w:val="007D7F3F"/>
    <w:rsid w:val="007D7FC0"/>
    <w:rsid w:val="007E007A"/>
    <w:rsid w:val="007E00A1"/>
    <w:rsid w:val="007E010B"/>
    <w:rsid w:val="007E011D"/>
    <w:rsid w:val="007E0222"/>
    <w:rsid w:val="007E024E"/>
    <w:rsid w:val="007E035F"/>
    <w:rsid w:val="007E0379"/>
    <w:rsid w:val="007E03A3"/>
    <w:rsid w:val="007E03A7"/>
    <w:rsid w:val="007E04BD"/>
    <w:rsid w:val="007E0569"/>
    <w:rsid w:val="007E056E"/>
    <w:rsid w:val="007E0593"/>
    <w:rsid w:val="007E0622"/>
    <w:rsid w:val="007E062C"/>
    <w:rsid w:val="007E06A2"/>
    <w:rsid w:val="007E06D7"/>
    <w:rsid w:val="007E06E3"/>
    <w:rsid w:val="007E0731"/>
    <w:rsid w:val="007E075A"/>
    <w:rsid w:val="007E0787"/>
    <w:rsid w:val="007E07BA"/>
    <w:rsid w:val="007E07EB"/>
    <w:rsid w:val="007E0823"/>
    <w:rsid w:val="007E086D"/>
    <w:rsid w:val="007E08C8"/>
    <w:rsid w:val="007E08DE"/>
    <w:rsid w:val="007E09B2"/>
    <w:rsid w:val="007E09C6"/>
    <w:rsid w:val="007E09CE"/>
    <w:rsid w:val="007E0A79"/>
    <w:rsid w:val="007E0AB2"/>
    <w:rsid w:val="007E0AD7"/>
    <w:rsid w:val="007E0B6B"/>
    <w:rsid w:val="007E0BB8"/>
    <w:rsid w:val="007E0BBC"/>
    <w:rsid w:val="007E0C68"/>
    <w:rsid w:val="007E0C69"/>
    <w:rsid w:val="007E0CA9"/>
    <w:rsid w:val="007E0CE6"/>
    <w:rsid w:val="007E0D5E"/>
    <w:rsid w:val="007E0D6C"/>
    <w:rsid w:val="007E0F14"/>
    <w:rsid w:val="007E1014"/>
    <w:rsid w:val="007E1024"/>
    <w:rsid w:val="007E106C"/>
    <w:rsid w:val="007E109C"/>
    <w:rsid w:val="007E10BA"/>
    <w:rsid w:val="007E1155"/>
    <w:rsid w:val="007E11E2"/>
    <w:rsid w:val="007E12A6"/>
    <w:rsid w:val="007E12D0"/>
    <w:rsid w:val="007E12FD"/>
    <w:rsid w:val="007E13D2"/>
    <w:rsid w:val="007E143B"/>
    <w:rsid w:val="007E149D"/>
    <w:rsid w:val="007E1559"/>
    <w:rsid w:val="007E161A"/>
    <w:rsid w:val="007E1632"/>
    <w:rsid w:val="007E1698"/>
    <w:rsid w:val="007E179F"/>
    <w:rsid w:val="007E17DF"/>
    <w:rsid w:val="007E1818"/>
    <w:rsid w:val="007E188A"/>
    <w:rsid w:val="007E1904"/>
    <w:rsid w:val="007E193B"/>
    <w:rsid w:val="007E194C"/>
    <w:rsid w:val="007E1A87"/>
    <w:rsid w:val="007E1AA1"/>
    <w:rsid w:val="007E1B15"/>
    <w:rsid w:val="007E1B40"/>
    <w:rsid w:val="007E1C16"/>
    <w:rsid w:val="007E1C98"/>
    <w:rsid w:val="007E1CA5"/>
    <w:rsid w:val="007E1CDE"/>
    <w:rsid w:val="007E1CF2"/>
    <w:rsid w:val="007E1E00"/>
    <w:rsid w:val="007E1E1B"/>
    <w:rsid w:val="007E2020"/>
    <w:rsid w:val="007E2063"/>
    <w:rsid w:val="007E20BB"/>
    <w:rsid w:val="007E2127"/>
    <w:rsid w:val="007E21FB"/>
    <w:rsid w:val="007E224F"/>
    <w:rsid w:val="007E2274"/>
    <w:rsid w:val="007E227C"/>
    <w:rsid w:val="007E228A"/>
    <w:rsid w:val="007E22FE"/>
    <w:rsid w:val="007E23E7"/>
    <w:rsid w:val="007E240A"/>
    <w:rsid w:val="007E245C"/>
    <w:rsid w:val="007E2562"/>
    <w:rsid w:val="007E256F"/>
    <w:rsid w:val="007E2598"/>
    <w:rsid w:val="007E2609"/>
    <w:rsid w:val="007E26D3"/>
    <w:rsid w:val="007E2751"/>
    <w:rsid w:val="007E27F7"/>
    <w:rsid w:val="007E2866"/>
    <w:rsid w:val="007E2878"/>
    <w:rsid w:val="007E28AB"/>
    <w:rsid w:val="007E28FE"/>
    <w:rsid w:val="007E29F8"/>
    <w:rsid w:val="007E2A1D"/>
    <w:rsid w:val="007E2A75"/>
    <w:rsid w:val="007E2B11"/>
    <w:rsid w:val="007E2B45"/>
    <w:rsid w:val="007E2C04"/>
    <w:rsid w:val="007E2C8C"/>
    <w:rsid w:val="007E2CD5"/>
    <w:rsid w:val="007E2D00"/>
    <w:rsid w:val="007E2D24"/>
    <w:rsid w:val="007E2D56"/>
    <w:rsid w:val="007E2E54"/>
    <w:rsid w:val="007E2E6C"/>
    <w:rsid w:val="007E2E9D"/>
    <w:rsid w:val="007E2EB6"/>
    <w:rsid w:val="007E2EB7"/>
    <w:rsid w:val="007E2FC4"/>
    <w:rsid w:val="007E2FE7"/>
    <w:rsid w:val="007E30D4"/>
    <w:rsid w:val="007E310C"/>
    <w:rsid w:val="007E3142"/>
    <w:rsid w:val="007E3210"/>
    <w:rsid w:val="007E321E"/>
    <w:rsid w:val="007E333E"/>
    <w:rsid w:val="007E3386"/>
    <w:rsid w:val="007E33AD"/>
    <w:rsid w:val="007E33BB"/>
    <w:rsid w:val="007E3433"/>
    <w:rsid w:val="007E344D"/>
    <w:rsid w:val="007E354C"/>
    <w:rsid w:val="007E35B9"/>
    <w:rsid w:val="007E36E0"/>
    <w:rsid w:val="007E3721"/>
    <w:rsid w:val="007E37B7"/>
    <w:rsid w:val="007E3892"/>
    <w:rsid w:val="007E38DC"/>
    <w:rsid w:val="007E3989"/>
    <w:rsid w:val="007E3A6A"/>
    <w:rsid w:val="007E3A77"/>
    <w:rsid w:val="007E3B50"/>
    <w:rsid w:val="007E3B62"/>
    <w:rsid w:val="007E3B66"/>
    <w:rsid w:val="007E3BA0"/>
    <w:rsid w:val="007E3BB9"/>
    <w:rsid w:val="007E3C04"/>
    <w:rsid w:val="007E3C8C"/>
    <w:rsid w:val="007E3CB4"/>
    <w:rsid w:val="007E3F08"/>
    <w:rsid w:val="007E3F2A"/>
    <w:rsid w:val="007E3F37"/>
    <w:rsid w:val="007E3FE8"/>
    <w:rsid w:val="007E4004"/>
    <w:rsid w:val="007E4026"/>
    <w:rsid w:val="007E403C"/>
    <w:rsid w:val="007E40C4"/>
    <w:rsid w:val="007E42A8"/>
    <w:rsid w:val="007E440D"/>
    <w:rsid w:val="007E4430"/>
    <w:rsid w:val="007E4507"/>
    <w:rsid w:val="007E451E"/>
    <w:rsid w:val="007E455C"/>
    <w:rsid w:val="007E45F4"/>
    <w:rsid w:val="007E4645"/>
    <w:rsid w:val="007E4659"/>
    <w:rsid w:val="007E46BE"/>
    <w:rsid w:val="007E46F5"/>
    <w:rsid w:val="007E4725"/>
    <w:rsid w:val="007E478F"/>
    <w:rsid w:val="007E47A8"/>
    <w:rsid w:val="007E48D5"/>
    <w:rsid w:val="007E4958"/>
    <w:rsid w:val="007E49A4"/>
    <w:rsid w:val="007E4A61"/>
    <w:rsid w:val="007E4BB3"/>
    <w:rsid w:val="007E4BFC"/>
    <w:rsid w:val="007E4C2C"/>
    <w:rsid w:val="007E4C59"/>
    <w:rsid w:val="007E4C75"/>
    <w:rsid w:val="007E4C94"/>
    <w:rsid w:val="007E4DAA"/>
    <w:rsid w:val="007E4E86"/>
    <w:rsid w:val="007E4E90"/>
    <w:rsid w:val="007E4F33"/>
    <w:rsid w:val="007E4F67"/>
    <w:rsid w:val="007E4F81"/>
    <w:rsid w:val="007E4F9E"/>
    <w:rsid w:val="007E50F6"/>
    <w:rsid w:val="007E51C1"/>
    <w:rsid w:val="007E5208"/>
    <w:rsid w:val="007E5297"/>
    <w:rsid w:val="007E54AD"/>
    <w:rsid w:val="007E552B"/>
    <w:rsid w:val="007E5595"/>
    <w:rsid w:val="007E55DE"/>
    <w:rsid w:val="007E565C"/>
    <w:rsid w:val="007E568B"/>
    <w:rsid w:val="007E5725"/>
    <w:rsid w:val="007E575F"/>
    <w:rsid w:val="007E577C"/>
    <w:rsid w:val="007E57F9"/>
    <w:rsid w:val="007E58AC"/>
    <w:rsid w:val="007E58EA"/>
    <w:rsid w:val="007E58F2"/>
    <w:rsid w:val="007E596B"/>
    <w:rsid w:val="007E5973"/>
    <w:rsid w:val="007E5A0C"/>
    <w:rsid w:val="007E5A72"/>
    <w:rsid w:val="007E5C00"/>
    <w:rsid w:val="007E5D70"/>
    <w:rsid w:val="007E5DBE"/>
    <w:rsid w:val="007E5DF0"/>
    <w:rsid w:val="007E5FDB"/>
    <w:rsid w:val="007E6031"/>
    <w:rsid w:val="007E60E2"/>
    <w:rsid w:val="007E6124"/>
    <w:rsid w:val="007E6261"/>
    <w:rsid w:val="007E62A1"/>
    <w:rsid w:val="007E62D9"/>
    <w:rsid w:val="007E638A"/>
    <w:rsid w:val="007E63A6"/>
    <w:rsid w:val="007E640C"/>
    <w:rsid w:val="007E6446"/>
    <w:rsid w:val="007E646F"/>
    <w:rsid w:val="007E663E"/>
    <w:rsid w:val="007E66F0"/>
    <w:rsid w:val="007E66F9"/>
    <w:rsid w:val="007E6711"/>
    <w:rsid w:val="007E671F"/>
    <w:rsid w:val="007E67AD"/>
    <w:rsid w:val="007E67EA"/>
    <w:rsid w:val="007E683A"/>
    <w:rsid w:val="007E684C"/>
    <w:rsid w:val="007E684F"/>
    <w:rsid w:val="007E68F6"/>
    <w:rsid w:val="007E6A19"/>
    <w:rsid w:val="007E6A2C"/>
    <w:rsid w:val="007E6A34"/>
    <w:rsid w:val="007E6B7E"/>
    <w:rsid w:val="007E6B92"/>
    <w:rsid w:val="007E6BBB"/>
    <w:rsid w:val="007E6BFD"/>
    <w:rsid w:val="007E6C65"/>
    <w:rsid w:val="007E6C92"/>
    <w:rsid w:val="007E6D0C"/>
    <w:rsid w:val="007E6D46"/>
    <w:rsid w:val="007E6D47"/>
    <w:rsid w:val="007E6D9A"/>
    <w:rsid w:val="007E6DC5"/>
    <w:rsid w:val="007E6EC3"/>
    <w:rsid w:val="007E6F02"/>
    <w:rsid w:val="007E6F34"/>
    <w:rsid w:val="007E705A"/>
    <w:rsid w:val="007E7094"/>
    <w:rsid w:val="007E7172"/>
    <w:rsid w:val="007E71B4"/>
    <w:rsid w:val="007E71BC"/>
    <w:rsid w:val="007E71D0"/>
    <w:rsid w:val="007E7205"/>
    <w:rsid w:val="007E7292"/>
    <w:rsid w:val="007E72B5"/>
    <w:rsid w:val="007E72C2"/>
    <w:rsid w:val="007E7435"/>
    <w:rsid w:val="007E7450"/>
    <w:rsid w:val="007E7472"/>
    <w:rsid w:val="007E7480"/>
    <w:rsid w:val="007E74EA"/>
    <w:rsid w:val="007E74F2"/>
    <w:rsid w:val="007E7516"/>
    <w:rsid w:val="007E7537"/>
    <w:rsid w:val="007E75B8"/>
    <w:rsid w:val="007E76A6"/>
    <w:rsid w:val="007E76AA"/>
    <w:rsid w:val="007E76E8"/>
    <w:rsid w:val="007E7701"/>
    <w:rsid w:val="007E771C"/>
    <w:rsid w:val="007E78C7"/>
    <w:rsid w:val="007E7961"/>
    <w:rsid w:val="007E7A09"/>
    <w:rsid w:val="007E7A5F"/>
    <w:rsid w:val="007E7C16"/>
    <w:rsid w:val="007E7CA6"/>
    <w:rsid w:val="007E7DC5"/>
    <w:rsid w:val="007E7DFB"/>
    <w:rsid w:val="007E7DFF"/>
    <w:rsid w:val="007E7E46"/>
    <w:rsid w:val="007E7FAC"/>
    <w:rsid w:val="007E7FEF"/>
    <w:rsid w:val="007F003C"/>
    <w:rsid w:val="007F0059"/>
    <w:rsid w:val="007F0062"/>
    <w:rsid w:val="007F00F0"/>
    <w:rsid w:val="007F012E"/>
    <w:rsid w:val="007F018C"/>
    <w:rsid w:val="007F01B6"/>
    <w:rsid w:val="007F01DA"/>
    <w:rsid w:val="007F01E9"/>
    <w:rsid w:val="007F0210"/>
    <w:rsid w:val="007F0291"/>
    <w:rsid w:val="007F02AF"/>
    <w:rsid w:val="007F0439"/>
    <w:rsid w:val="007F044B"/>
    <w:rsid w:val="007F0533"/>
    <w:rsid w:val="007F05E0"/>
    <w:rsid w:val="007F06E1"/>
    <w:rsid w:val="007F082D"/>
    <w:rsid w:val="007F0851"/>
    <w:rsid w:val="007F08AD"/>
    <w:rsid w:val="007F0926"/>
    <w:rsid w:val="007F0941"/>
    <w:rsid w:val="007F095C"/>
    <w:rsid w:val="007F09AD"/>
    <w:rsid w:val="007F09D3"/>
    <w:rsid w:val="007F0A38"/>
    <w:rsid w:val="007F0A61"/>
    <w:rsid w:val="007F0ACA"/>
    <w:rsid w:val="007F0C42"/>
    <w:rsid w:val="007F0C84"/>
    <w:rsid w:val="007F0CCB"/>
    <w:rsid w:val="007F0DBF"/>
    <w:rsid w:val="007F0DF1"/>
    <w:rsid w:val="007F0E10"/>
    <w:rsid w:val="007F0E2A"/>
    <w:rsid w:val="007F0E6B"/>
    <w:rsid w:val="007F0E9F"/>
    <w:rsid w:val="007F0ED9"/>
    <w:rsid w:val="007F0F31"/>
    <w:rsid w:val="007F0F8E"/>
    <w:rsid w:val="007F0FC9"/>
    <w:rsid w:val="007F0FE2"/>
    <w:rsid w:val="007F1031"/>
    <w:rsid w:val="007F1097"/>
    <w:rsid w:val="007F10C8"/>
    <w:rsid w:val="007F111E"/>
    <w:rsid w:val="007F1125"/>
    <w:rsid w:val="007F1148"/>
    <w:rsid w:val="007F1174"/>
    <w:rsid w:val="007F1193"/>
    <w:rsid w:val="007F11C9"/>
    <w:rsid w:val="007F128C"/>
    <w:rsid w:val="007F1292"/>
    <w:rsid w:val="007F133B"/>
    <w:rsid w:val="007F1439"/>
    <w:rsid w:val="007F1549"/>
    <w:rsid w:val="007F166B"/>
    <w:rsid w:val="007F17A7"/>
    <w:rsid w:val="007F189C"/>
    <w:rsid w:val="007F193E"/>
    <w:rsid w:val="007F1953"/>
    <w:rsid w:val="007F1980"/>
    <w:rsid w:val="007F19B2"/>
    <w:rsid w:val="007F1BA5"/>
    <w:rsid w:val="007F1BAE"/>
    <w:rsid w:val="007F1BF9"/>
    <w:rsid w:val="007F1C14"/>
    <w:rsid w:val="007F1C58"/>
    <w:rsid w:val="007F1C8E"/>
    <w:rsid w:val="007F1CA5"/>
    <w:rsid w:val="007F1CE9"/>
    <w:rsid w:val="007F1DE1"/>
    <w:rsid w:val="007F1E04"/>
    <w:rsid w:val="007F1E30"/>
    <w:rsid w:val="007F1EA5"/>
    <w:rsid w:val="007F1ED3"/>
    <w:rsid w:val="007F1EDB"/>
    <w:rsid w:val="007F1F1E"/>
    <w:rsid w:val="007F1F37"/>
    <w:rsid w:val="007F1FA0"/>
    <w:rsid w:val="007F2024"/>
    <w:rsid w:val="007F2079"/>
    <w:rsid w:val="007F2148"/>
    <w:rsid w:val="007F2167"/>
    <w:rsid w:val="007F21B0"/>
    <w:rsid w:val="007F223C"/>
    <w:rsid w:val="007F223E"/>
    <w:rsid w:val="007F22A7"/>
    <w:rsid w:val="007F237A"/>
    <w:rsid w:val="007F24CD"/>
    <w:rsid w:val="007F24FC"/>
    <w:rsid w:val="007F25C7"/>
    <w:rsid w:val="007F260D"/>
    <w:rsid w:val="007F2620"/>
    <w:rsid w:val="007F26EF"/>
    <w:rsid w:val="007F2828"/>
    <w:rsid w:val="007F2832"/>
    <w:rsid w:val="007F2875"/>
    <w:rsid w:val="007F28C4"/>
    <w:rsid w:val="007F29CA"/>
    <w:rsid w:val="007F2A14"/>
    <w:rsid w:val="007F2A22"/>
    <w:rsid w:val="007F2A94"/>
    <w:rsid w:val="007F2AB8"/>
    <w:rsid w:val="007F2B99"/>
    <w:rsid w:val="007F2BBA"/>
    <w:rsid w:val="007F2BE7"/>
    <w:rsid w:val="007F2BEE"/>
    <w:rsid w:val="007F2C75"/>
    <w:rsid w:val="007F2D10"/>
    <w:rsid w:val="007F2D11"/>
    <w:rsid w:val="007F2E16"/>
    <w:rsid w:val="007F2E92"/>
    <w:rsid w:val="007F2F53"/>
    <w:rsid w:val="007F3011"/>
    <w:rsid w:val="007F3043"/>
    <w:rsid w:val="007F3062"/>
    <w:rsid w:val="007F307C"/>
    <w:rsid w:val="007F30AD"/>
    <w:rsid w:val="007F30ED"/>
    <w:rsid w:val="007F3151"/>
    <w:rsid w:val="007F31E1"/>
    <w:rsid w:val="007F325A"/>
    <w:rsid w:val="007F327A"/>
    <w:rsid w:val="007F329B"/>
    <w:rsid w:val="007F3308"/>
    <w:rsid w:val="007F34B6"/>
    <w:rsid w:val="007F34B9"/>
    <w:rsid w:val="007F34F5"/>
    <w:rsid w:val="007F352F"/>
    <w:rsid w:val="007F3598"/>
    <w:rsid w:val="007F3645"/>
    <w:rsid w:val="007F3665"/>
    <w:rsid w:val="007F3732"/>
    <w:rsid w:val="007F3739"/>
    <w:rsid w:val="007F37E4"/>
    <w:rsid w:val="007F3896"/>
    <w:rsid w:val="007F3A15"/>
    <w:rsid w:val="007F3A1C"/>
    <w:rsid w:val="007F3A3F"/>
    <w:rsid w:val="007F3A7D"/>
    <w:rsid w:val="007F3A97"/>
    <w:rsid w:val="007F3AEE"/>
    <w:rsid w:val="007F3B1F"/>
    <w:rsid w:val="007F3C11"/>
    <w:rsid w:val="007F3C89"/>
    <w:rsid w:val="007F3CDF"/>
    <w:rsid w:val="007F3D9E"/>
    <w:rsid w:val="007F3DDD"/>
    <w:rsid w:val="007F3DEC"/>
    <w:rsid w:val="007F3E9B"/>
    <w:rsid w:val="007F3EBE"/>
    <w:rsid w:val="007F3F3B"/>
    <w:rsid w:val="007F4028"/>
    <w:rsid w:val="007F4092"/>
    <w:rsid w:val="007F414E"/>
    <w:rsid w:val="007F41D3"/>
    <w:rsid w:val="007F4249"/>
    <w:rsid w:val="007F4301"/>
    <w:rsid w:val="007F431D"/>
    <w:rsid w:val="007F433C"/>
    <w:rsid w:val="007F4351"/>
    <w:rsid w:val="007F43D6"/>
    <w:rsid w:val="007F4429"/>
    <w:rsid w:val="007F4460"/>
    <w:rsid w:val="007F4519"/>
    <w:rsid w:val="007F451B"/>
    <w:rsid w:val="007F4575"/>
    <w:rsid w:val="007F462A"/>
    <w:rsid w:val="007F46DF"/>
    <w:rsid w:val="007F486F"/>
    <w:rsid w:val="007F48AA"/>
    <w:rsid w:val="007F48B4"/>
    <w:rsid w:val="007F4AFA"/>
    <w:rsid w:val="007F4B79"/>
    <w:rsid w:val="007F4BA9"/>
    <w:rsid w:val="007F4BD9"/>
    <w:rsid w:val="007F4BF0"/>
    <w:rsid w:val="007F4C32"/>
    <w:rsid w:val="007F4CC8"/>
    <w:rsid w:val="007F4D29"/>
    <w:rsid w:val="007F4D7C"/>
    <w:rsid w:val="007F4E1E"/>
    <w:rsid w:val="007F4F36"/>
    <w:rsid w:val="007F4F7C"/>
    <w:rsid w:val="007F504F"/>
    <w:rsid w:val="007F519E"/>
    <w:rsid w:val="007F5247"/>
    <w:rsid w:val="007F5361"/>
    <w:rsid w:val="007F53F9"/>
    <w:rsid w:val="007F546C"/>
    <w:rsid w:val="007F54B6"/>
    <w:rsid w:val="007F54D7"/>
    <w:rsid w:val="007F551B"/>
    <w:rsid w:val="007F5548"/>
    <w:rsid w:val="007F5739"/>
    <w:rsid w:val="007F573F"/>
    <w:rsid w:val="007F578C"/>
    <w:rsid w:val="007F5965"/>
    <w:rsid w:val="007F5A25"/>
    <w:rsid w:val="007F5C16"/>
    <w:rsid w:val="007F5C32"/>
    <w:rsid w:val="007F5CD7"/>
    <w:rsid w:val="007F5CEB"/>
    <w:rsid w:val="007F5D66"/>
    <w:rsid w:val="007F5DEC"/>
    <w:rsid w:val="007F5E1D"/>
    <w:rsid w:val="007F5F2A"/>
    <w:rsid w:val="007F5F89"/>
    <w:rsid w:val="007F601D"/>
    <w:rsid w:val="007F6027"/>
    <w:rsid w:val="007F60A3"/>
    <w:rsid w:val="007F60A8"/>
    <w:rsid w:val="007F60EC"/>
    <w:rsid w:val="007F60F3"/>
    <w:rsid w:val="007F611E"/>
    <w:rsid w:val="007F61BA"/>
    <w:rsid w:val="007F632C"/>
    <w:rsid w:val="007F6396"/>
    <w:rsid w:val="007F63F3"/>
    <w:rsid w:val="007F63F5"/>
    <w:rsid w:val="007F641D"/>
    <w:rsid w:val="007F645B"/>
    <w:rsid w:val="007F648A"/>
    <w:rsid w:val="007F64E4"/>
    <w:rsid w:val="007F64F8"/>
    <w:rsid w:val="007F65A6"/>
    <w:rsid w:val="007F65BB"/>
    <w:rsid w:val="007F667D"/>
    <w:rsid w:val="007F66AC"/>
    <w:rsid w:val="007F66C3"/>
    <w:rsid w:val="007F6709"/>
    <w:rsid w:val="007F6733"/>
    <w:rsid w:val="007F6758"/>
    <w:rsid w:val="007F681F"/>
    <w:rsid w:val="007F6823"/>
    <w:rsid w:val="007F6876"/>
    <w:rsid w:val="007F6887"/>
    <w:rsid w:val="007F6986"/>
    <w:rsid w:val="007F69CF"/>
    <w:rsid w:val="007F6A8D"/>
    <w:rsid w:val="007F6AA3"/>
    <w:rsid w:val="007F6AD4"/>
    <w:rsid w:val="007F6B9F"/>
    <w:rsid w:val="007F6BA8"/>
    <w:rsid w:val="007F6CAB"/>
    <w:rsid w:val="007F6D15"/>
    <w:rsid w:val="007F6D73"/>
    <w:rsid w:val="007F6F2A"/>
    <w:rsid w:val="007F6F6E"/>
    <w:rsid w:val="007F6F8E"/>
    <w:rsid w:val="007F708C"/>
    <w:rsid w:val="007F7097"/>
    <w:rsid w:val="007F70C1"/>
    <w:rsid w:val="007F71A6"/>
    <w:rsid w:val="007F731A"/>
    <w:rsid w:val="007F7320"/>
    <w:rsid w:val="007F736E"/>
    <w:rsid w:val="007F7506"/>
    <w:rsid w:val="007F7521"/>
    <w:rsid w:val="007F755E"/>
    <w:rsid w:val="007F757B"/>
    <w:rsid w:val="007F76C1"/>
    <w:rsid w:val="007F76C2"/>
    <w:rsid w:val="007F7734"/>
    <w:rsid w:val="007F778D"/>
    <w:rsid w:val="007F7790"/>
    <w:rsid w:val="007F7801"/>
    <w:rsid w:val="007F7814"/>
    <w:rsid w:val="007F78A6"/>
    <w:rsid w:val="007F78FB"/>
    <w:rsid w:val="007F794D"/>
    <w:rsid w:val="007F798F"/>
    <w:rsid w:val="007F79BC"/>
    <w:rsid w:val="007F7C2D"/>
    <w:rsid w:val="007F7C58"/>
    <w:rsid w:val="007F7C64"/>
    <w:rsid w:val="007F7C9D"/>
    <w:rsid w:val="007F7D06"/>
    <w:rsid w:val="007F7EB8"/>
    <w:rsid w:val="007F7ED6"/>
    <w:rsid w:val="007F7EEA"/>
    <w:rsid w:val="007F7F14"/>
    <w:rsid w:val="007F7F5A"/>
    <w:rsid w:val="007F7FBC"/>
    <w:rsid w:val="007F7FD7"/>
    <w:rsid w:val="007F7FF0"/>
    <w:rsid w:val="0080001C"/>
    <w:rsid w:val="008000DF"/>
    <w:rsid w:val="008003AA"/>
    <w:rsid w:val="008003B9"/>
    <w:rsid w:val="008003C7"/>
    <w:rsid w:val="008003CC"/>
    <w:rsid w:val="008003E2"/>
    <w:rsid w:val="00800444"/>
    <w:rsid w:val="0080045D"/>
    <w:rsid w:val="00800490"/>
    <w:rsid w:val="00800535"/>
    <w:rsid w:val="00800539"/>
    <w:rsid w:val="00800568"/>
    <w:rsid w:val="00800572"/>
    <w:rsid w:val="0080057E"/>
    <w:rsid w:val="008005B8"/>
    <w:rsid w:val="008005D6"/>
    <w:rsid w:val="00800677"/>
    <w:rsid w:val="00800758"/>
    <w:rsid w:val="00800768"/>
    <w:rsid w:val="0080077A"/>
    <w:rsid w:val="00800799"/>
    <w:rsid w:val="00800930"/>
    <w:rsid w:val="008009FF"/>
    <w:rsid w:val="00800A0F"/>
    <w:rsid w:val="00800A60"/>
    <w:rsid w:val="00800A61"/>
    <w:rsid w:val="00800AAD"/>
    <w:rsid w:val="00800B70"/>
    <w:rsid w:val="00800C4C"/>
    <w:rsid w:val="00800D6A"/>
    <w:rsid w:val="00800EE5"/>
    <w:rsid w:val="00800F01"/>
    <w:rsid w:val="00800F14"/>
    <w:rsid w:val="00800F34"/>
    <w:rsid w:val="00800F61"/>
    <w:rsid w:val="00800F7F"/>
    <w:rsid w:val="00800F95"/>
    <w:rsid w:val="0080107D"/>
    <w:rsid w:val="00801150"/>
    <w:rsid w:val="00801216"/>
    <w:rsid w:val="00801226"/>
    <w:rsid w:val="00801231"/>
    <w:rsid w:val="00801241"/>
    <w:rsid w:val="0080127E"/>
    <w:rsid w:val="008012ED"/>
    <w:rsid w:val="008013DE"/>
    <w:rsid w:val="00801415"/>
    <w:rsid w:val="0080142D"/>
    <w:rsid w:val="00801448"/>
    <w:rsid w:val="0080144D"/>
    <w:rsid w:val="00801451"/>
    <w:rsid w:val="00801496"/>
    <w:rsid w:val="008014DB"/>
    <w:rsid w:val="008014E4"/>
    <w:rsid w:val="008014EF"/>
    <w:rsid w:val="0080150B"/>
    <w:rsid w:val="00801558"/>
    <w:rsid w:val="008015C9"/>
    <w:rsid w:val="0080165B"/>
    <w:rsid w:val="00801687"/>
    <w:rsid w:val="008016EB"/>
    <w:rsid w:val="00801704"/>
    <w:rsid w:val="0080171F"/>
    <w:rsid w:val="0080186F"/>
    <w:rsid w:val="008018B1"/>
    <w:rsid w:val="008018FB"/>
    <w:rsid w:val="00801985"/>
    <w:rsid w:val="00801A66"/>
    <w:rsid w:val="00801AB2"/>
    <w:rsid w:val="00801B48"/>
    <w:rsid w:val="00801B75"/>
    <w:rsid w:val="00801B85"/>
    <w:rsid w:val="00801BF8"/>
    <w:rsid w:val="00801CF6"/>
    <w:rsid w:val="00801D25"/>
    <w:rsid w:val="00801D67"/>
    <w:rsid w:val="00801D75"/>
    <w:rsid w:val="00801ED1"/>
    <w:rsid w:val="00801FF9"/>
    <w:rsid w:val="00801FFE"/>
    <w:rsid w:val="00802086"/>
    <w:rsid w:val="0080209B"/>
    <w:rsid w:val="00802199"/>
    <w:rsid w:val="00802208"/>
    <w:rsid w:val="00802279"/>
    <w:rsid w:val="008022FA"/>
    <w:rsid w:val="0080230C"/>
    <w:rsid w:val="00802341"/>
    <w:rsid w:val="0080234B"/>
    <w:rsid w:val="008023DE"/>
    <w:rsid w:val="00802407"/>
    <w:rsid w:val="0080247F"/>
    <w:rsid w:val="00802491"/>
    <w:rsid w:val="008024A0"/>
    <w:rsid w:val="0080255A"/>
    <w:rsid w:val="0080264A"/>
    <w:rsid w:val="008026C9"/>
    <w:rsid w:val="00802734"/>
    <w:rsid w:val="0080273E"/>
    <w:rsid w:val="00802773"/>
    <w:rsid w:val="008027A7"/>
    <w:rsid w:val="008027C1"/>
    <w:rsid w:val="008027DE"/>
    <w:rsid w:val="008027EC"/>
    <w:rsid w:val="008027F9"/>
    <w:rsid w:val="008028D3"/>
    <w:rsid w:val="00802917"/>
    <w:rsid w:val="0080291D"/>
    <w:rsid w:val="008029B9"/>
    <w:rsid w:val="00802A25"/>
    <w:rsid w:val="00802A7C"/>
    <w:rsid w:val="00802A88"/>
    <w:rsid w:val="00802AD8"/>
    <w:rsid w:val="00802AEB"/>
    <w:rsid w:val="00802C0D"/>
    <w:rsid w:val="00802C2C"/>
    <w:rsid w:val="00802C35"/>
    <w:rsid w:val="00802D9E"/>
    <w:rsid w:val="00802E67"/>
    <w:rsid w:val="00802E84"/>
    <w:rsid w:val="00802EF1"/>
    <w:rsid w:val="00802F42"/>
    <w:rsid w:val="00803037"/>
    <w:rsid w:val="0080307E"/>
    <w:rsid w:val="008030C7"/>
    <w:rsid w:val="008030D8"/>
    <w:rsid w:val="008031B0"/>
    <w:rsid w:val="008031CE"/>
    <w:rsid w:val="00803214"/>
    <w:rsid w:val="008032AD"/>
    <w:rsid w:val="008032C9"/>
    <w:rsid w:val="0080339B"/>
    <w:rsid w:val="008033BB"/>
    <w:rsid w:val="008033EB"/>
    <w:rsid w:val="0080341A"/>
    <w:rsid w:val="008035CA"/>
    <w:rsid w:val="0080361B"/>
    <w:rsid w:val="008036A0"/>
    <w:rsid w:val="008036CD"/>
    <w:rsid w:val="0080370D"/>
    <w:rsid w:val="00803893"/>
    <w:rsid w:val="00803894"/>
    <w:rsid w:val="0080392D"/>
    <w:rsid w:val="00803958"/>
    <w:rsid w:val="00803962"/>
    <w:rsid w:val="008039F6"/>
    <w:rsid w:val="00803A02"/>
    <w:rsid w:val="00803A25"/>
    <w:rsid w:val="00803A3E"/>
    <w:rsid w:val="00803B09"/>
    <w:rsid w:val="00803B5E"/>
    <w:rsid w:val="00803C36"/>
    <w:rsid w:val="00803C81"/>
    <w:rsid w:val="00803CDD"/>
    <w:rsid w:val="00803CF8"/>
    <w:rsid w:val="00803DE4"/>
    <w:rsid w:val="00803DFD"/>
    <w:rsid w:val="00803E16"/>
    <w:rsid w:val="00803E25"/>
    <w:rsid w:val="00803F2C"/>
    <w:rsid w:val="00803F6A"/>
    <w:rsid w:val="0080404A"/>
    <w:rsid w:val="00804088"/>
    <w:rsid w:val="0080408C"/>
    <w:rsid w:val="008040FA"/>
    <w:rsid w:val="00804105"/>
    <w:rsid w:val="00804142"/>
    <w:rsid w:val="00804149"/>
    <w:rsid w:val="00804208"/>
    <w:rsid w:val="008042AA"/>
    <w:rsid w:val="00804322"/>
    <w:rsid w:val="00804383"/>
    <w:rsid w:val="0080440C"/>
    <w:rsid w:val="0080442E"/>
    <w:rsid w:val="00804566"/>
    <w:rsid w:val="0080460A"/>
    <w:rsid w:val="008047B4"/>
    <w:rsid w:val="00804854"/>
    <w:rsid w:val="008049E4"/>
    <w:rsid w:val="00804A3F"/>
    <w:rsid w:val="00804A4C"/>
    <w:rsid w:val="00804A4E"/>
    <w:rsid w:val="00804A94"/>
    <w:rsid w:val="00804AF0"/>
    <w:rsid w:val="00804B68"/>
    <w:rsid w:val="00804BEC"/>
    <w:rsid w:val="00804C60"/>
    <w:rsid w:val="00804CAA"/>
    <w:rsid w:val="00804CBD"/>
    <w:rsid w:val="00804D98"/>
    <w:rsid w:val="00804DC0"/>
    <w:rsid w:val="00804DC3"/>
    <w:rsid w:val="00804DE3"/>
    <w:rsid w:val="00804E14"/>
    <w:rsid w:val="00804E73"/>
    <w:rsid w:val="00804E91"/>
    <w:rsid w:val="00804EEB"/>
    <w:rsid w:val="00804EFA"/>
    <w:rsid w:val="00804FBB"/>
    <w:rsid w:val="0080502C"/>
    <w:rsid w:val="00805075"/>
    <w:rsid w:val="008050BD"/>
    <w:rsid w:val="008051BA"/>
    <w:rsid w:val="00805218"/>
    <w:rsid w:val="0080521B"/>
    <w:rsid w:val="008052AC"/>
    <w:rsid w:val="008052D3"/>
    <w:rsid w:val="008052EE"/>
    <w:rsid w:val="008053AC"/>
    <w:rsid w:val="008053E0"/>
    <w:rsid w:val="008053E8"/>
    <w:rsid w:val="00805446"/>
    <w:rsid w:val="00805450"/>
    <w:rsid w:val="0080547C"/>
    <w:rsid w:val="00805480"/>
    <w:rsid w:val="008055B0"/>
    <w:rsid w:val="00805673"/>
    <w:rsid w:val="008056BD"/>
    <w:rsid w:val="008056FE"/>
    <w:rsid w:val="00805752"/>
    <w:rsid w:val="0080576D"/>
    <w:rsid w:val="008057A7"/>
    <w:rsid w:val="0080581B"/>
    <w:rsid w:val="00805856"/>
    <w:rsid w:val="00805889"/>
    <w:rsid w:val="00805974"/>
    <w:rsid w:val="008059A9"/>
    <w:rsid w:val="008059E5"/>
    <w:rsid w:val="00805A90"/>
    <w:rsid w:val="00805B4A"/>
    <w:rsid w:val="00805B57"/>
    <w:rsid w:val="00805BA5"/>
    <w:rsid w:val="00805BEC"/>
    <w:rsid w:val="00805BF6"/>
    <w:rsid w:val="00805C83"/>
    <w:rsid w:val="00805CCB"/>
    <w:rsid w:val="00805CCD"/>
    <w:rsid w:val="00805CD0"/>
    <w:rsid w:val="00805D07"/>
    <w:rsid w:val="00805E5B"/>
    <w:rsid w:val="00805EEC"/>
    <w:rsid w:val="00805F01"/>
    <w:rsid w:val="00805F43"/>
    <w:rsid w:val="00805F5E"/>
    <w:rsid w:val="00805F76"/>
    <w:rsid w:val="0080626A"/>
    <w:rsid w:val="0080626F"/>
    <w:rsid w:val="00806296"/>
    <w:rsid w:val="00806384"/>
    <w:rsid w:val="00806399"/>
    <w:rsid w:val="0080648D"/>
    <w:rsid w:val="008064A7"/>
    <w:rsid w:val="008065CD"/>
    <w:rsid w:val="00806641"/>
    <w:rsid w:val="00806726"/>
    <w:rsid w:val="008067A6"/>
    <w:rsid w:val="008067B0"/>
    <w:rsid w:val="008067D4"/>
    <w:rsid w:val="008067F4"/>
    <w:rsid w:val="00806834"/>
    <w:rsid w:val="00806899"/>
    <w:rsid w:val="00806957"/>
    <w:rsid w:val="008069B3"/>
    <w:rsid w:val="00806A41"/>
    <w:rsid w:val="00806B11"/>
    <w:rsid w:val="00806C42"/>
    <w:rsid w:val="00806E7F"/>
    <w:rsid w:val="00806EAA"/>
    <w:rsid w:val="00806FD7"/>
    <w:rsid w:val="0080702B"/>
    <w:rsid w:val="00807193"/>
    <w:rsid w:val="008071DC"/>
    <w:rsid w:val="00807216"/>
    <w:rsid w:val="0080721D"/>
    <w:rsid w:val="00807249"/>
    <w:rsid w:val="0080725B"/>
    <w:rsid w:val="008072F6"/>
    <w:rsid w:val="00807317"/>
    <w:rsid w:val="00807473"/>
    <w:rsid w:val="0080749E"/>
    <w:rsid w:val="0080749F"/>
    <w:rsid w:val="00807551"/>
    <w:rsid w:val="008075E5"/>
    <w:rsid w:val="008075EA"/>
    <w:rsid w:val="008075EC"/>
    <w:rsid w:val="00807664"/>
    <w:rsid w:val="008076B7"/>
    <w:rsid w:val="0080775D"/>
    <w:rsid w:val="0080777E"/>
    <w:rsid w:val="008077FF"/>
    <w:rsid w:val="00807888"/>
    <w:rsid w:val="008078B0"/>
    <w:rsid w:val="008078F0"/>
    <w:rsid w:val="00807917"/>
    <w:rsid w:val="00807988"/>
    <w:rsid w:val="008079EF"/>
    <w:rsid w:val="00807A17"/>
    <w:rsid w:val="00807A43"/>
    <w:rsid w:val="00807ACF"/>
    <w:rsid w:val="00807B46"/>
    <w:rsid w:val="00807B82"/>
    <w:rsid w:val="00807BD3"/>
    <w:rsid w:val="00807C05"/>
    <w:rsid w:val="00807CE9"/>
    <w:rsid w:val="00807E1A"/>
    <w:rsid w:val="00807E38"/>
    <w:rsid w:val="00807F1B"/>
    <w:rsid w:val="00807F7E"/>
    <w:rsid w:val="0081007D"/>
    <w:rsid w:val="00810094"/>
    <w:rsid w:val="008100AD"/>
    <w:rsid w:val="008100E6"/>
    <w:rsid w:val="00810187"/>
    <w:rsid w:val="0081018D"/>
    <w:rsid w:val="00810199"/>
    <w:rsid w:val="008101A2"/>
    <w:rsid w:val="008101B3"/>
    <w:rsid w:val="00810203"/>
    <w:rsid w:val="0081020E"/>
    <w:rsid w:val="00810213"/>
    <w:rsid w:val="0081034E"/>
    <w:rsid w:val="008103CD"/>
    <w:rsid w:val="00810411"/>
    <w:rsid w:val="008104A1"/>
    <w:rsid w:val="008104E0"/>
    <w:rsid w:val="0081053C"/>
    <w:rsid w:val="00810690"/>
    <w:rsid w:val="008106D1"/>
    <w:rsid w:val="008107A5"/>
    <w:rsid w:val="00810859"/>
    <w:rsid w:val="008108BD"/>
    <w:rsid w:val="00810900"/>
    <w:rsid w:val="0081095C"/>
    <w:rsid w:val="008109E5"/>
    <w:rsid w:val="00810A13"/>
    <w:rsid w:val="00810A23"/>
    <w:rsid w:val="00810AD6"/>
    <w:rsid w:val="00810AFB"/>
    <w:rsid w:val="00810B84"/>
    <w:rsid w:val="00810B8A"/>
    <w:rsid w:val="00810C0B"/>
    <w:rsid w:val="00810C13"/>
    <w:rsid w:val="00810C5E"/>
    <w:rsid w:val="00810D3B"/>
    <w:rsid w:val="00810DAC"/>
    <w:rsid w:val="00810E3E"/>
    <w:rsid w:val="00810E8D"/>
    <w:rsid w:val="00810F09"/>
    <w:rsid w:val="00810F82"/>
    <w:rsid w:val="00810FD6"/>
    <w:rsid w:val="0081106C"/>
    <w:rsid w:val="008110AE"/>
    <w:rsid w:val="0081112F"/>
    <w:rsid w:val="00811163"/>
    <w:rsid w:val="00811167"/>
    <w:rsid w:val="0081117E"/>
    <w:rsid w:val="00811259"/>
    <w:rsid w:val="008112D8"/>
    <w:rsid w:val="00811304"/>
    <w:rsid w:val="00811458"/>
    <w:rsid w:val="0081145B"/>
    <w:rsid w:val="008114BF"/>
    <w:rsid w:val="00811500"/>
    <w:rsid w:val="008115A4"/>
    <w:rsid w:val="008115FE"/>
    <w:rsid w:val="00811605"/>
    <w:rsid w:val="0081163C"/>
    <w:rsid w:val="008116A0"/>
    <w:rsid w:val="008116C5"/>
    <w:rsid w:val="008116FC"/>
    <w:rsid w:val="008117ED"/>
    <w:rsid w:val="00811817"/>
    <w:rsid w:val="00811890"/>
    <w:rsid w:val="00811911"/>
    <w:rsid w:val="00811972"/>
    <w:rsid w:val="00811A0F"/>
    <w:rsid w:val="00811A7D"/>
    <w:rsid w:val="00811AAE"/>
    <w:rsid w:val="00811ADD"/>
    <w:rsid w:val="00811AF9"/>
    <w:rsid w:val="00811B0D"/>
    <w:rsid w:val="00811B7B"/>
    <w:rsid w:val="00811B95"/>
    <w:rsid w:val="00811C8B"/>
    <w:rsid w:val="00811C91"/>
    <w:rsid w:val="00811CC0"/>
    <w:rsid w:val="00811D72"/>
    <w:rsid w:val="00811DF1"/>
    <w:rsid w:val="00811E00"/>
    <w:rsid w:val="00811E09"/>
    <w:rsid w:val="00811E63"/>
    <w:rsid w:val="00811E6D"/>
    <w:rsid w:val="00811E87"/>
    <w:rsid w:val="00811EE7"/>
    <w:rsid w:val="00811EF9"/>
    <w:rsid w:val="00811F16"/>
    <w:rsid w:val="00811FAA"/>
    <w:rsid w:val="00811FD2"/>
    <w:rsid w:val="00811FFB"/>
    <w:rsid w:val="0081200F"/>
    <w:rsid w:val="00812030"/>
    <w:rsid w:val="00812042"/>
    <w:rsid w:val="0081205D"/>
    <w:rsid w:val="0081221D"/>
    <w:rsid w:val="008122E9"/>
    <w:rsid w:val="008123C7"/>
    <w:rsid w:val="008123DB"/>
    <w:rsid w:val="00812476"/>
    <w:rsid w:val="0081250C"/>
    <w:rsid w:val="0081250D"/>
    <w:rsid w:val="00812559"/>
    <w:rsid w:val="008125CC"/>
    <w:rsid w:val="0081262A"/>
    <w:rsid w:val="00812661"/>
    <w:rsid w:val="0081274E"/>
    <w:rsid w:val="008127BB"/>
    <w:rsid w:val="008127C7"/>
    <w:rsid w:val="00812840"/>
    <w:rsid w:val="00812863"/>
    <w:rsid w:val="008129A8"/>
    <w:rsid w:val="008129AD"/>
    <w:rsid w:val="008129E1"/>
    <w:rsid w:val="00812A03"/>
    <w:rsid w:val="00812ABE"/>
    <w:rsid w:val="00812B6D"/>
    <w:rsid w:val="00812B80"/>
    <w:rsid w:val="00812B91"/>
    <w:rsid w:val="00812BA1"/>
    <w:rsid w:val="00812BB0"/>
    <w:rsid w:val="00812BB6"/>
    <w:rsid w:val="00812C16"/>
    <w:rsid w:val="00812C26"/>
    <w:rsid w:val="00812C49"/>
    <w:rsid w:val="00812C69"/>
    <w:rsid w:val="00812C9E"/>
    <w:rsid w:val="00812E80"/>
    <w:rsid w:val="00812EA6"/>
    <w:rsid w:val="00812F37"/>
    <w:rsid w:val="00812F6D"/>
    <w:rsid w:val="00812F88"/>
    <w:rsid w:val="00813138"/>
    <w:rsid w:val="008131FE"/>
    <w:rsid w:val="0081320B"/>
    <w:rsid w:val="008132F3"/>
    <w:rsid w:val="00813309"/>
    <w:rsid w:val="008133E9"/>
    <w:rsid w:val="0081342D"/>
    <w:rsid w:val="0081351B"/>
    <w:rsid w:val="0081351D"/>
    <w:rsid w:val="00813705"/>
    <w:rsid w:val="0081371B"/>
    <w:rsid w:val="0081376A"/>
    <w:rsid w:val="0081377B"/>
    <w:rsid w:val="008137C7"/>
    <w:rsid w:val="00813823"/>
    <w:rsid w:val="00813878"/>
    <w:rsid w:val="00813993"/>
    <w:rsid w:val="00813A08"/>
    <w:rsid w:val="00813A22"/>
    <w:rsid w:val="00813AF5"/>
    <w:rsid w:val="00813AFD"/>
    <w:rsid w:val="00813B06"/>
    <w:rsid w:val="00813BC1"/>
    <w:rsid w:val="00813C93"/>
    <w:rsid w:val="00813D2C"/>
    <w:rsid w:val="00813D32"/>
    <w:rsid w:val="00813DA0"/>
    <w:rsid w:val="00813E51"/>
    <w:rsid w:val="00813E89"/>
    <w:rsid w:val="00813F49"/>
    <w:rsid w:val="00813F56"/>
    <w:rsid w:val="0081409C"/>
    <w:rsid w:val="008140F2"/>
    <w:rsid w:val="0081412A"/>
    <w:rsid w:val="00814160"/>
    <w:rsid w:val="0081419E"/>
    <w:rsid w:val="008141AD"/>
    <w:rsid w:val="008141E3"/>
    <w:rsid w:val="00814212"/>
    <w:rsid w:val="00814276"/>
    <w:rsid w:val="00814278"/>
    <w:rsid w:val="0081427F"/>
    <w:rsid w:val="008142E3"/>
    <w:rsid w:val="00814341"/>
    <w:rsid w:val="00814374"/>
    <w:rsid w:val="00814426"/>
    <w:rsid w:val="00814480"/>
    <w:rsid w:val="008144F9"/>
    <w:rsid w:val="008145ED"/>
    <w:rsid w:val="0081467E"/>
    <w:rsid w:val="008146B9"/>
    <w:rsid w:val="0081473D"/>
    <w:rsid w:val="00814798"/>
    <w:rsid w:val="008147F5"/>
    <w:rsid w:val="00814802"/>
    <w:rsid w:val="00814822"/>
    <w:rsid w:val="00814847"/>
    <w:rsid w:val="00814927"/>
    <w:rsid w:val="00814931"/>
    <w:rsid w:val="00814A2F"/>
    <w:rsid w:val="00814A31"/>
    <w:rsid w:val="00814ACA"/>
    <w:rsid w:val="00814B11"/>
    <w:rsid w:val="00814BCE"/>
    <w:rsid w:val="00814C5D"/>
    <w:rsid w:val="00814CB9"/>
    <w:rsid w:val="00814CC6"/>
    <w:rsid w:val="00814E03"/>
    <w:rsid w:val="00814E4D"/>
    <w:rsid w:val="00814F6C"/>
    <w:rsid w:val="00814FE5"/>
    <w:rsid w:val="00815011"/>
    <w:rsid w:val="00815042"/>
    <w:rsid w:val="0081508C"/>
    <w:rsid w:val="008150CA"/>
    <w:rsid w:val="008150CF"/>
    <w:rsid w:val="008150F7"/>
    <w:rsid w:val="0081514D"/>
    <w:rsid w:val="00815155"/>
    <w:rsid w:val="00815160"/>
    <w:rsid w:val="00815223"/>
    <w:rsid w:val="008152F9"/>
    <w:rsid w:val="00815326"/>
    <w:rsid w:val="0081532A"/>
    <w:rsid w:val="008155D0"/>
    <w:rsid w:val="0081575C"/>
    <w:rsid w:val="008157EC"/>
    <w:rsid w:val="00815872"/>
    <w:rsid w:val="00815897"/>
    <w:rsid w:val="008158D2"/>
    <w:rsid w:val="008158EA"/>
    <w:rsid w:val="00815929"/>
    <w:rsid w:val="0081595D"/>
    <w:rsid w:val="008159A1"/>
    <w:rsid w:val="00815B19"/>
    <w:rsid w:val="00815B1A"/>
    <w:rsid w:val="00815B1F"/>
    <w:rsid w:val="00815B20"/>
    <w:rsid w:val="00815B75"/>
    <w:rsid w:val="00815C43"/>
    <w:rsid w:val="00815C4B"/>
    <w:rsid w:val="00815C62"/>
    <w:rsid w:val="00815D79"/>
    <w:rsid w:val="00815E2F"/>
    <w:rsid w:val="00815E6C"/>
    <w:rsid w:val="00815EA5"/>
    <w:rsid w:val="00815EC5"/>
    <w:rsid w:val="00815F20"/>
    <w:rsid w:val="00815F55"/>
    <w:rsid w:val="00815F5A"/>
    <w:rsid w:val="00816009"/>
    <w:rsid w:val="00816041"/>
    <w:rsid w:val="0081617D"/>
    <w:rsid w:val="008161F5"/>
    <w:rsid w:val="008161F9"/>
    <w:rsid w:val="00816223"/>
    <w:rsid w:val="0081623E"/>
    <w:rsid w:val="008162FE"/>
    <w:rsid w:val="0081637B"/>
    <w:rsid w:val="0081643E"/>
    <w:rsid w:val="00816514"/>
    <w:rsid w:val="0081655B"/>
    <w:rsid w:val="0081658D"/>
    <w:rsid w:val="008165C2"/>
    <w:rsid w:val="00816607"/>
    <w:rsid w:val="008166BC"/>
    <w:rsid w:val="0081670D"/>
    <w:rsid w:val="008168B6"/>
    <w:rsid w:val="008168C8"/>
    <w:rsid w:val="008169B4"/>
    <w:rsid w:val="008169B8"/>
    <w:rsid w:val="008169C2"/>
    <w:rsid w:val="008169CF"/>
    <w:rsid w:val="00816A23"/>
    <w:rsid w:val="00816A44"/>
    <w:rsid w:val="00816ACB"/>
    <w:rsid w:val="00816AE9"/>
    <w:rsid w:val="00816BE3"/>
    <w:rsid w:val="00816D07"/>
    <w:rsid w:val="00816D31"/>
    <w:rsid w:val="00816E1B"/>
    <w:rsid w:val="00816E42"/>
    <w:rsid w:val="00816EB1"/>
    <w:rsid w:val="00816FE5"/>
    <w:rsid w:val="00817072"/>
    <w:rsid w:val="0081710A"/>
    <w:rsid w:val="00817146"/>
    <w:rsid w:val="008171A5"/>
    <w:rsid w:val="008171AB"/>
    <w:rsid w:val="008171CE"/>
    <w:rsid w:val="008171E9"/>
    <w:rsid w:val="00817245"/>
    <w:rsid w:val="008172AA"/>
    <w:rsid w:val="00817319"/>
    <w:rsid w:val="00817333"/>
    <w:rsid w:val="00817352"/>
    <w:rsid w:val="00817428"/>
    <w:rsid w:val="008174E3"/>
    <w:rsid w:val="0081750F"/>
    <w:rsid w:val="008175F7"/>
    <w:rsid w:val="008176D4"/>
    <w:rsid w:val="00817740"/>
    <w:rsid w:val="0081778B"/>
    <w:rsid w:val="00817963"/>
    <w:rsid w:val="0081796E"/>
    <w:rsid w:val="008179BB"/>
    <w:rsid w:val="00817A02"/>
    <w:rsid w:val="00817A60"/>
    <w:rsid w:val="00817A80"/>
    <w:rsid w:val="00817A96"/>
    <w:rsid w:val="00817AAC"/>
    <w:rsid w:val="00817C77"/>
    <w:rsid w:val="00817CE8"/>
    <w:rsid w:val="00817D72"/>
    <w:rsid w:val="00817E30"/>
    <w:rsid w:val="00817E69"/>
    <w:rsid w:val="00817E79"/>
    <w:rsid w:val="00817EA4"/>
    <w:rsid w:val="00817F7D"/>
    <w:rsid w:val="00817FF3"/>
    <w:rsid w:val="00820021"/>
    <w:rsid w:val="008200D4"/>
    <w:rsid w:val="008200D9"/>
    <w:rsid w:val="008200FE"/>
    <w:rsid w:val="008202F7"/>
    <w:rsid w:val="00820345"/>
    <w:rsid w:val="00820380"/>
    <w:rsid w:val="008203EE"/>
    <w:rsid w:val="00820471"/>
    <w:rsid w:val="008204A1"/>
    <w:rsid w:val="008204BB"/>
    <w:rsid w:val="00820546"/>
    <w:rsid w:val="008206A6"/>
    <w:rsid w:val="008208B9"/>
    <w:rsid w:val="008208F7"/>
    <w:rsid w:val="00820931"/>
    <w:rsid w:val="00820997"/>
    <w:rsid w:val="0082099F"/>
    <w:rsid w:val="008209C2"/>
    <w:rsid w:val="008209E7"/>
    <w:rsid w:val="008209F7"/>
    <w:rsid w:val="00820A4F"/>
    <w:rsid w:val="00820B11"/>
    <w:rsid w:val="00820B38"/>
    <w:rsid w:val="00820C19"/>
    <w:rsid w:val="00820C9E"/>
    <w:rsid w:val="00820D30"/>
    <w:rsid w:val="00820D33"/>
    <w:rsid w:val="00820D54"/>
    <w:rsid w:val="00820DB6"/>
    <w:rsid w:val="00820DD0"/>
    <w:rsid w:val="00820E2F"/>
    <w:rsid w:val="00820E5F"/>
    <w:rsid w:val="00821033"/>
    <w:rsid w:val="00821062"/>
    <w:rsid w:val="008210E3"/>
    <w:rsid w:val="008210FD"/>
    <w:rsid w:val="00821102"/>
    <w:rsid w:val="008211A2"/>
    <w:rsid w:val="008211AA"/>
    <w:rsid w:val="008211F9"/>
    <w:rsid w:val="008212A4"/>
    <w:rsid w:val="0082132C"/>
    <w:rsid w:val="008213E6"/>
    <w:rsid w:val="008213EA"/>
    <w:rsid w:val="00821405"/>
    <w:rsid w:val="00821508"/>
    <w:rsid w:val="0082150F"/>
    <w:rsid w:val="00821568"/>
    <w:rsid w:val="008215B7"/>
    <w:rsid w:val="008215FA"/>
    <w:rsid w:val="00821607"/>
    <w:rsid w:val="00821639"/>
    <w:rsid w:val="00821695"/>
    <w:rsid w:val="00821760"/>
    <w:rsid w:val="00821876"/>
    <w:rsid w:val="008218EB"/>
    <w:rsid w:val="0082199B"/>
    <w:rsid w:val="00821A64"/>
    <w:rsid w:val="00821A94"/>
    <w:rsid w:val="00821AD7"/>
    <w:rsid w:val="00821B5D"/>
    <w:rsid w:val="00821BB1"/>
    <w:rsid w:val="00821D92"/>
    <w:rsid w:val="00821DCC"/>
    <w:rsid w:val="00821E13"/>
    <w:rsid w:val="00821E17"/>
    <w:rsid w:val="00821E82"/>
    <w:rsid w:val="00821EB6"/>
    <w:rsid w:val="00821EB8"/>
    <w:rsid w:val="00821EBA"/>
    <w:rsid w:val="00821ED2"/>
    <w:rsid w:val="00821F2C"/>
    <w:rsid w:val="00821F6D"/>
    <w:rsid w:val="00821FCE"/>
    <w:rsid w:val="00821FD8"/>
    <w:rsid w:val="00822032"/>
    <w:rsid w:val="008220DD"/>
    <w:rsid w:val="008220ED"/>
    <w:rsid w:val="00822170"/>
    <w:rsid w:val="008221D7"/>
    <w:rsid w:val="00822292"/>
    <w:rsid w:val="008222B2"/>
    <w:rsid w:val="0082231E"/>
    <w:rsid w:val="00822323"/>
    <w:rsid w:val="00822363"/>
    <w:rsid w:val="00822396"/>
    <w:rsid w:val="008224DB"/>
    <w:rsid w:val="008224FF"/>
    <w:rsid w:val="00822517"/>
    <w:rsid w:val="00822540"/>
    <w:rsid w:val="0082254B"/>
    <w:rsid w:val="00822695"/>
    <w:rsid w:val="008226A8"/>
    <w:rsid w:val="008226B0"/>
    <w:rsid w:val="008226BF"/>
    <w:rsid w:val="008226E7"/>
    <w:rsid w:val="0082273B"/>
    <w:rsid w:val="00822784"/>
    <w:rsid w:val="0082278B"/>
    <w:rsid w:val="00822790"/>
    <w:rsid w:val="00822803"/>
    <w:rsid w:val="00822804"/>
    <w:rsid w:val="0082295F"/>
    <w:rsid w:val="0082298A"/>
    <w:rsid w:val="00822ADC"/>
    <w:rsid w:val="00822AFE"/>
    <w:rsid w:val="00822B08"/>
    <w:rsid w:val="00822BAF"/>
    <w:rsid w:val="00822BD6"/>
    <w:rsid w:val="00822C0B"/>
    <w:rsid w:val="00822C2C"/>
    <w:rsid w:val="00822CBE"/>
    <w:rsid w:val="00822D2F"/>
    <w:rsid w:val="00822D5F"/>
    <w:rsid w:val="00822DA9"/>
    <w:rsid w:val="00822DDB"/>
    <w:rsid w:val="00822E05"/>
    <w:rsid w:val="00822E0B"/>
    <w:rsid w:val="00822E1C"/>
    <w:rsid w:val="00823013"/>
    <w:rsid w:val="0082302F"/>
    <w:rsid w:val="0082306B"/>
    <w:rsid w:val="008230D7"/>
    <w:rsid w:val="0082314A"/>
    <w:rsid w:val="0082314C"/>
    <w:rsid w:val="008231C9"/>
    <w:rsid w:val="0082326B"/>
    <w:rsid w:val="008232B8"/>
    <w:rsid w:val="008232BF"/>
    <w:rsid w:val="008232D1"/>
    <w:rsid w:val="00823303"/>
    <w:rsid w:val="0082330B"/>
    <w:rsid w:val="00823328"/>
    <w:rsid w:val="00823332"/>
    <w:rsid w:val="00823483"/>
    <w:rsid w:val="008234B8"/>
    <w:rsid w:val="00823578"/>
    <w:rsid w:val="0082366E"/>
    <w:rsid w:val="008236A1"/>
    <w:rsid w:val="0082389C"/>
    <w:rsid w:val="008238BC"/>
    <w:rsid w:val="008238C3"/>
    <w:rsid w:val="00823912"/>
    <w:rsid w:val="0082394D"/>
    <w:rsid w:val="00823974"/>
    <w:rsid w:val="008239C0"/>
    <w:rsid w:val="00823A26"/>
    <w:rsid w:val="00823B27"/>
    <w:rsid w:val="00823B4D"/>
    <w:rsid w:val="00823BD8"/>
    <w:rsid w:val="00823C8D"/>
    <w:rsid w:val="00823D2B"/>
    <w:rsid w:val="00823D87"/>
    <w:rsid w:val="00823DAB"/>
    <w:rsid w:val="00823E12"/>
    <w:rsid w:val="00823FBF"/>
    <w:rsid w:val="008240C8"/>
    <w:rsid w:val="008240DB"/>
    <w:rsid w:val="008240E2"/>
    <w:rsid w:val="0082410D"/>
    <w:rsid w:val="008241D9"/>
    <w:rsid w:val="008241E1"/>
    <w:rsid w:val="00824228"/>
    <w:rsid w:val="008242A1"/>
    <w:rsid w:val="00824382"/>
    <w:rsid w:val="0082438B"/>
    <w:rsid w:val="008244A7"/>
    <w:rsid w:val="0082459F"/>
    <w:rsid w:val="008247BD"/>
    <w:rsid w:val="00824808"/>
    <w:rsid w:val="0082481D"/>
    <w:rsid w:val="008248FA"/>
    <w:rsid w:val="00824903"/>
    <w:rsid w:val="00824941"/>
    <w:rsid w:val="00824967"/>
    <w:rsid w:val="00824974"/>
    <w:rsid w:val="008249AA"/>
    <w:rsid w:val="00824A02"/>
    <w:rsid w:val="00824A41"/>
    <w:rsid w:val="00824AA6"/>
    <w:rsid w:val="00824AFC"/>
    <w:rsid w:val="00824B1C"/>
    <w:rsid w:val="00824B21"/>
    <w:rsid w:val="00824C2C"/>
    <w:rsid w:val="00824CC8"/>
    <w:rsid w:val="00824E09"/>
    <w:rsid w:val="00824E5A"/>
    <w:rsid w:val="00824E79"/>
    <w:rsid w:val="00824EE0"/>
    <w:rsid w:val="00824EF8"/>
    <w:rsid w:val="00824F36"/>
    <w:rsid w:val="00824F83"/>
    <w:rsid w:val="00824FA7"/>
    <w:rsid w:val="00824FED"/>
    <w:rsid w:val="00824FEF"/>
    <w:rsid w:val="008250C9"/>
    <w:rsid w:val="00825180"/>
    <w:rsid w:val="008251FF"/>
    <w:rsid w:val="00825215"/>
    <w:rsid w:val="0082526C"/>
    <w:rsid w:val="008252E6"/>
    <w:rsid w:val="00825301"/>
    <w:rsid w:val="008253F6"/>
    <w:rsid w:val="00825495"/>
    <w:rsid w:val="008255C5"/>
    <w:rsid w:val="008255E7"/>
    <w:rsid w:val="00825625"/>
    <w:rsid w:val="00825655"/>
    <w:rsid w:val="00825674"/>
    <w:rsid w:val="00825683"/>
    <w:rsid w:val="00825781"/>
    <w:rsid w:val="00825805"/>
    <w:rsid w:val="0082581C"/>
    <w:rsid w:val="00825886"/>
    <w:rsid w:val="0082593B"/>
    <w:rsid w:val="008259B7"/>
    <w:rsid w:val="00825A79"/>
    <w:rsid w:val="00825AED"/>
    <w:rsid w:val="00825B2E"/>
    <w:rsid w:val="00825BB7"/>
    <w:rsid w:val="00825BEC"/>
    <w:rsid w:val="00825C07"/>
    <w:rsid w:val="00825CEB"/>
    <w:rsid w:val="00825D0E"/>
    <w:rsid w:val="00825D2F"/>
    <w:rsid w:val="00825D3F"/>
    <w:rsid w:val="00825DB0"/>
    <w:rsid w:val="00825DB8"/>
    <w:rsid w:val="00825DF6"/>
    <w:rsid w:val="00825E16"/>
    <w:rsid w:val="00825E3B"/>
    <w:rsid w:val="00825EC8"/>
    <w:rsid w:val="00825F2F"/>
    <w:rsid w:val="00825F34"/>
    <w:rsid w:val="00825F62"/>
    <w:rsid w:val="00825FCA"/>
    <w:rsid w:val="00826039"/>
    <w:rsid w:val="0082605B"/>
    <w:rsid w:val="00826063"/>
    <w:rsid w:val="008260BB"/>
    <w:rsid w:val="008260DD"/>
    <w:rsid w:val="008260EF"/>
    <w:rsid w:val="0082615A"/>
    <w:rsid w:val="008261D9"/>
    <w:rsid w:val="008262BD"/>
    <w:rsid w:val="008262C7"/>
    <w:rsid w:val="0082631E"/>
    <w:rsid w:val="008263B2"/>
    <w:rsid w:val="008263C1"/>
    <w:rsid w:val="0082647A"/>
    <w:rsid w:val="00826498"/>
    <w:rsid w:val="00826511"/>
    <w:rsid w:val="00826515"/>
    <w:rsid w:val="0082655D"/>
    <w:rsid w:val="0082663F"/>
    <w:rsid w:val="008266F8"/>
    <w:rsid w:val="008269A2"/>
    <w:rsid w:val="008269AB"/>
    <w:rsid w:val="00826A5C"/>
    <w:rsid w:val="00826BC0"/>
    <w:rsid w:val="00826BC8"/>
    <w:rsid w:val="00826C03"/>
    <w:rsid w:val="00826C42"/>
    <w:rsid w:val="00826C82"/>
    <w:rsid w:val="00826CFF"/>
    <w:rsid w:val="00826D17"/>
    <w:rsid w:val="00826DC3"/>
    <w:rsid w:val="00826DD4"/>
    <w:rsid w:val="00826E50"/>
    <w:rsid w:val="00826E76"/>
    <w:rsid w:val="00826F6E"/>
    <w:rsid w:val="00826F80"/>
    <w:rsid w:val="00826FAA"/>
    <w:rsid w:val="00827025"/>
    <w:rsid w:val="00827060"/>
    <w:rsid w:val="00827065"/>
    <w:rsid w:val="00827173"/>
    <w:rsid w:val="008271A0"/>
    <w:rsid w:val="008271CD"/>
    <w:rsid w:val="00827363"/>
    <w:rsid w:val="008273F9"/>
    <w:rsid w:val="00827431"/>
    <w:rsid w:val="008274B0"/>
    <w:rsid w:val="0082751F"/>
    <w:rsid w:val="00827558"/>
    <w:rsid w:val="00827600"/>
    <w:rsid w:val="008276D4"/>
    <w:rsid w:val="008276E4"/>
    <w:rsid w:val="0082772D"/>
    <w:rsid w:val="00827730"/>
    <w:rsid w:val="008277BE"/>
    <w:rsid w:val="0082786B"/>
    <w:rsid w:val="008278FC"/>
    <w:rsid w:val="00827937"/>
    <w:rsid w:val="00827A14"/>
    <w:rsid w:val="00827A8D"/>
    <w:rsid w:val="00827AAE"/>
    <w:rsid w:val="00827B87"/>
    <w:rsid w:val="00827C01"/>
    <w:rsid w:val="00827C06"/>
    <w:rsid w:val="00827C40"/>
    <w:rsid w:val="00827CDF"/>
    <w:rsid w:val="00827D7A"/>
    <w:rsid w:val="00827E5D"/>
    <w:rsid w:val="00827EC6"/>
    <w:rsid w:val="00827ECB"/>
    <w:rsid w:val="00827EE1"/>
    <w:rsid w:val="00827EF5"/>
    <w:rsid w:val="00830030"/>
    <w:rsid w:val="0083004E"/>
    <w:rsid w:val="00830054"/>
    <w:rsid w:val="00830064"/>
    <w:rsid w:val="008300F7"/>
    <w:rsid w:val="0083018A"/>
    <w:rsid w:val="00830293"/>
    <w:rsid w:val="008302DD"/>
    <w:rsid w:val="0083033C"/>
    <w:rsid w:val="0083033D"/>
    <w:rsid w:val="00830368"/>
    <w:rsid w:val="00830373"/>
    <w:rsid w:val="0083037C"/>
    <w:rsid w:val="00830394"/>
    <w:rsid w:val="008303B0"/>
    <w:rsid w:val="0083042A"/>
    <w:rsid w:val="00830436"/>
    <w:rsid w:val="0083055A"/>
    <w:rsid w:val="00830588"/>
    <w:rsid w:val="0083059F"/>
    <w:rsid w:val="008305D8"/>
    <w:rsid w:val="00830604"/>
    <w:rsid w:val="00830649"/>
    <w:rsid w:val="00830697"/>
    <w:rsid w:val="008306AD"/>
    <w:rsid w:val="008306E4"/>
    <w:rsid w:val="0083079D"/>
    <w:rsid w:val="008307EE"/>
    <w:rsid w:val="008307FA"/>
    <w:rsid w:val="0083081E"/>
    <w:rsid w:val="0083088E"/>
    <w:rsid w:val="008309CB"/>
    <w:rsid w:val="00830A79"/>
    <w:rsid w:val="00830B35"/>
    <w:rsid w:val="00830C56"/>
    <w:rsid w:val="00830D4D"/>
    <w:rsid w:val="00830F3E"/>
    <w:rsid w:val="00830FF1"/>
    <w:rsid w:val="00831089"/>
    <w:rsid w:val="008310AA"/>
    <w:rsid w:val="008310EE"/>
    <w:rsid w:val="00831134"/>
    <w:rsid w:val="0083117A"/>
    <w:rsid w:val="00831277"/>
    <w:rsid w:val="008312DE"/>
    <w:rsid w:val="00831341"/>
    <w:rsid w:val="0083138D"/>
    <w:rsid w:val="00831426"/>
    <w:rsid w:val="00831451"/>
    <w:rsid w:val="008315F8"/>
    <w:rsid w:val="00831602"/>
    <w:rsid w:val="008316D3"/>
    <w:rsid w:val="008317E9"/>
    <w:rsid w:val="00831884"/>
    <w:rsid w:val="0083189E"/>
    <w:rsid w:val="008318AD"/>
    <w:rsid w:val="0083198A"/>
    <w:rsid w:val="00831999"/>
    <w:rsid w:val="008319CB"/>
    <w:rsid w:val="00831A04"/>
    <w:rsid w:val="00831BA4"/>
    <w:rsid w:val="00831BD7"/>
    <w:rsid w:val="00831C0B"/>
    <w:rsid w:val="00831CA7"/>
    <w:rsid w:val="00831D46"/>
    <w:rsid w:val="00831D6D"/>
    <w:rsid w:val="00831D78"/>
    <w:rsid w:val="00831DAA"/>
    <w:rsid w:val="00831DD9"/>
    <w:rsid w:val="00831E38"/>
    <w:rsid w:val="00831E39"/>
    <w:rsid w:val="00831F99"/>
    <w:rsid w:val="00832027"/>
    <w:rsid w:val="0083207D"/>
    <w:rsid w:val="0083208E"/>
    <w:rsid w:val="008320BF"/>
    <w:rsid w:val="00832198"/>
    <w:rsid w:val="008321C3"/>
    <w:rsid w:val="00832307"/>
    <w:rsid w:val="008323CD"/>
    <w:rsid w:val="008324DB"/>
    <w:rsid w:val="00832544"/>
    <w:rsid w:val="00832549"/>
    <w:rsid w:val="00832601"/>
    <w:rsid w:val="00832705"/>
    <w:rsid w:val="008327D6"/>
    <w:rsid w:val="00832816"/>
    <w:rsid w:val="00832838"/>
    <w:rsid w:val="0083285B"/>
    <w:rsid w:val="0083286D"/>
    <w:rsid w:val="0083289D"/>
    <w:rsid w:val="00832952"/>
    <w:rsid w:val="00832A28"/>
    <w:rsid w:val="00832A42"/>
    <w:rsid w:val="00832A5B"/>
    <w:rsid w:val="00832A89"/>
    <w:rsid w:val="00832AF9"/>
    <w:rsid w:val="00832AFC"/>
    <w:rsid w:val="00832B19"/>
    <w:rsid w:val="00832B26"/>
    <w:rsid w:val="00832D07"/>
    <w:rsid w:val="00832D23"/>
    <w:rsid w:val="00832D6E"/>
    <w:rsid w:val="00832D77"/>
    <w:rsid w:val="00832DC6"/>
    <w:rsid w:val="00832E07"/>
    <w:rsid w:val="00832EB5"/>
    <w:rsid w:val="00832EB7"/>
    <w:rsid w:val="00832EED"/>
    <w:rsid w:val="00832F5C"/>
    <w:rsid w:val="00832FD4"/>
    <w:rsid w:val="0083303E"/>
    <w:rsid w:val="008330A9"/>
    <w:rsid w:val="008331B8"/>
    <w:rsid w:val="008331BD"/>
    <w:rsid w:val="008331F4"/>
    <w:rsid w:val="00833206"/>
    <w:rsid w:val="008332C9"/>
    <w:rsid w:val="0083336F"/>
    <w:rsid w:val="00833375"/>
    <w:rsid w:val="00833396"/>
    <w:rsid w:val="008333DD"/>
    <w:rsid w:val="008333DF"/>
    <w:rsid w:val="0083345E"/>
    <w:rsid w:val="008334FB"/>
    <w:rsid w:val="00833532"/>
    <w:rsid w:val="0083354D"/>
    <w:rsid w:val="00833558"/>
    <w:rsid w:val="008335D6"/>
    <w:rsid w:val="008335DB"/>
    <w:rsid w:val="00833606"/>
    <w:rsid w:val="00833610"/>
    <w:rsid w:val="008336BE"/>
    <w:rsid w:val="008336CD"/>
    <w:rsid w:val="008336FC"/>
    <w:rsid w:val="00833732"/>
    <w:rsid w:val="008337E0"/>
    <w:rsid w:val="0083381E"/>
    <w:rsid w:val="00833886"/>
    <w:rsid w:val="00833960"/>
    <w:rsid w:val="008339A1"/>
    <w:rsid w:val="008339C4"/>
    <w:rsid w:val="008339EE"/>
    <w:rsid w:val="00833A05"/>
    <w:rsid w:val="00833BE2"/>
    <w:rsid w:val="00833D29"/>
    <w:rsid w:val="00833E35"/>
    <w:rsid w:val="00833E49"/>
    <w:rsid w:val="00833EDC"/>
    <w:rsid w:val="00834078"/>
    <w:rsid w:val="00834095"/>
    <w:rsid w:val="0083412A"/>
    <w:rsid w:val="008341A4"/>
    <w:rsid w:val="008341CA"/>
    <w:rsid w:val="0083426B"/>
    <w:rsid w:val="00834335"/>
    <w:rsid w:val="00834336"/>
    <w:rsid w:val="008343BA"/>
    <w:rsid w:val="00834425"/>
    <w:rsid w:val="0083444A"/>
    <w:rsid w:val="00834498"/>
    <w:rsid w:val="008344A9"/>
    <w:rsid w:val="008344EE"/>
    <w:rsid w:val="0083451E"/>
    <w:rsid w:val="00834537"/>
    <w:rsid w:val="0083464E"/>
    <w:rsid w:val="00834653"/>
    <w:rsid w:val="00834670"/>
    <w:rsid w:val="008346AD"/>
    <w:rsid w:val="008346BD"/>
    <w:rsid w:val="008346C7"/>
    <w:rsid w:val="00834895"/>
    <w:rsid w:val="008348B7"/>
    <w:rsid w:val="008348EF"/>
    <w:rsid w:val="008348FA"/>
    <w:rsid w:val="00834961"/>
    <w:rsid w:val="008349D7"/>
    <w:rsid w:val="00834A0F"/>
    <w:rsid w:val="00834A69"/>
    <w:rsid w:val="00834A81"/>
    <w:rsid w:val="00834A82"/>
    <w:rsid w:val="00834B03"/>
    <w:rsid w:val="00834B95"/>
    <w:rsid w:val="00834C74"/>
    <w:rsid w:val="00834D03"/>
    <w:rsid w:val="00834D16"/>
    <w:rsid w:val="00834E04"/>
    <w:rsid w:val="00834E12"/>
    <w:rsid w:val="00834E19"/>
    <w:rsid w:val="00834EB8"/>
    <w:rsid w:val="00834EC0"/>
    <w:rsid w:val="00834F72"/>
    <w:rsid w:val="00834F88"/>
    <w:rsid w:val="00834FA8"/>
    <w:rsid w:val="00834FAE"/>
    <w:rsid w:val="00834FE5"/>
    <w:rsid w:val="008350C6"/>
    <w:rsid w:val="008350CD"/>
    <w:rsid w:val="008350EF"/>
    <w:rsid w:val="00835129"/>
    <w:rsid w:val="0083512B"/>
    <w:rsid w:val="008351B9"/>
    <w:rsid w:val="0083525E"/>
    <w:rsid w:val="00835337"/>
    <w:rsid w:val="008353C5"/>
    <w:rsid w:val="008353FD"/>
    <w:rsid w:val="00835487"/>
    <w:rsid w:val="008354C5"/>
    <w:rsid w:val="008354E7"/>
    <w:rsid w:val="0083553F"/>
    <w:rsid w:val="00835593"/>
    <w:rsid w:val="008355BD"/>
    <w:rsid w:val="008355CB"/>
    <w:rsid w:val="008355F6"/>
    <w:rsid w:val="00835678"/>
    <w:rsid w:val="00835763"/>
    <w:rsid w:val="008357E2"/>
    <w:rsid w:val="008357F4"/>
    <w:rsid w:val="00835825"/>
    <w:rsid w:val="00835947"/>
    <w:rsid w:val="0083596E"/>
    <w:rsid w:val="008359C6"/>
    <w:rsid w:val="00835A15"/>
    <w:rsid w:val="00835A5A"/>
    <w:rsid w:val="00835A5D"/>
    <w:rsid w:val="00835B01"/>
    <w:rsid w:val="00835BD3"/>
    <w:rsid w:val="00835D0B"/>
    <w:rsid w:val="00835D9C"/>
    <w:rsid w:val="00835E38"/>
    <w:rsid w:val="00835E45"/>
    <w:rsid w:val="00835E7C"/>
    <w:rsid w:val="00835ECA"/>
    <w:rsid w:val="00835FC0"/>
    <w:rsid w:val="00835FD5"/>
    <w:rsid w:val="0083601D"/>
    <w:rsid w:val="008360DF"/>
    <w:rsid w:val="008360E1"/>
    <w:rsid w:val="00836117"/>
    <w:rsid w:val="0083611F"/>
    <w:rsid w:val="0083613B"/>
    <w:rsid w:val="008361D2"/>
    <w:rsid w:val="0083626C"/>
    <w:rsid w:val="00836276"/>
    <w:rsid w:val="008362EF"/>
    <w:rsid w:val="008363BA"/>
    <w:rsid w:val="00836489"/>
    <w:rsid w:val="008364B9"/>
    <w:rsid w:val="008365F5"/>
    <w:rsid w:val="00836673"/>
    <w:rsid w:val="008367BA"/>
    <w:rsid w:val="008367CD"/>
    <w:rsid w:val="00836826"/>
    <w:rsid w:val="00836868"/>
    <w:rsid w:val="008368A8"/>
    <w:rsid w:val="008368E8"/>
    <w:rsid w:val="0083694F"/>
    <w:rsid w:val="00836977"/>
    <w:rsid w:val="008369B1"/>
    <w:rsid w:val="008369B7"/>
    <w:rsid w:val="008369BC"/>
    <w:rsid w:val="008369C6"/>
    <w:rsid w:val="008369E2"/>
    <w:rsid w:val="00836A44"/>
    <w:rsid w:val="00836A68"/>
    <w:rsid w:val="00836A86"/>
    <w:rsid w:val="00836A94"/>
    <w:rsid w:val="00836AD0"/>
    <w:rsid w:val="00836B2F"/>
    <w:rsid w:val="00836B4A"/>
    <w:rsid w:val="00836B59"/>
    <w:rsid w:val="00836B5A"/>
    <w:rsid w:val="00836B98"/>
    <w:rsid w:val="00836BD5"/>
    <w:rsid w:val="00836CC1"/>
    <w:rsid w:val="00836D1E"/>
    <w:rsid w:val="00836DB2"/>
    <w:rsid w:val="00836E15"/>
    <w:rsid w:val="00836E1D"/>
    <w:rsid w:val="00836E33"/>
    <w:rsid w:val="00836F42"/>
    <w:rsid w:val="00836F44"/>
    <w:rsid w:val="00836F61"/>
    <w:rsid w:val="00836F6B"/>
    <w:rsid w:val="00836FCB"/>
    <w:rsid w:val="00837083"/>
    <w:rsid w:val="008370C2"/>
    <w:rsid w:val="008370D1"/>
    <w:rsid w:val="008371BE"/>
    <w:rsid w:val="00837243"/>
    <w:rsid w:val="00837306"/>
    <w:rsid w:val="00837350"/>
    <w:rsid w:val="008373CE"/>
    <w:rsid w:val="008374A1"/>
    <w:rsid w:val="0083752F"/>
    <w:rsid w:val="0083753A"/>
    <w:rsid w:val="00837744"/>
    <w:rsid w:val="008377BD"/>
    <w:rsid w:val="00837897"/>
    <w:rsid w:val="008378A2"/>
    <w:rsid w:val="00837917"/>
    <w:rsid w:val="0083799B"/>
    <w:rsid w:val="00837A0B"/>
    <w:rsid w:val="00837A3E"/>
    <w:rsid w:val="00837B9C"/>
    <w:rsid w:val="00837BC9"/>
    <w:rsid w:val="00837C1A"/>
    <w:rsid w:val="00837CE5"/>
    <w:rsid w:val="00837D31"/>
    <w:rsid w:val="00837D64"/>
    <w:rsid w:val="00837DA9"/>
    <w:rsid w:val="00837DBD"/>
    <w:rsid w:val="00837E94"/>
    <w:rsid w:val="00837EF1"/>
    <w:rsid w:val="0083AEDD"/>
    <w:rsid w:val="00840015"/>
    <w:rsid w:val="00840047"/>
    <w:rsid w:val="0084005E"/>
    <w:rsid w:val="008400DE"/>
    <w:rsid w:val="00840144"/>
    <w:rsid w:val="00840158"/>
    <w:rsid w:val="008401B4"/>
    <w:rsid w:val="0084020F"/>
    <w:rsid w:val="0084029E"/>
    <w:rsid w:val="008402CA"/>
    <w:rsid w:val="00840317"/>
    <w:rsid w:val="00840400"/>
    <w:rsid w:val="00840403"/>
    <w:rsid w:val="008404DA"/>
    <w:rsid w:val="008405D0"/>
    <w:rsid w:val="008405E7"/>
    <w:rsid w:val="00840623"/>
    <w:rsid w:val="0084068E"/>
    <w:rsid w:val="008406AC"/>
    <w:rsid w:val="008407C3"/>
    <w:rsid w:val="00840828"/>
    <w:rsid w:val="00840840"/>
    <w:rsid w:val="008409E1"/>
    <w:rsid w:val="00840A27"/>
    <w:rsid w:val="00840AAE"/>
    <w:rsid w:val="00840B0A"/>
    <w:rsid w:val="00840B2D"/>
    <w:rsid w:val="00840C1F"/>
    <w:rsid w:val="00840C4E"/>
    <w:rsid w:val="00840E5D"/>
    <w:rsid w:val="00840F3B"/>
    <w:rsid w:val="00840F47"/>
    <w:rsid w:val="00840FC4"/>
    <w:rsid w:val="008410A4"/>
    <w:rsid w:val="008411E7"/>
    <w:rsid w:val="008411F8"/>
    <w:rsid w:val="00841216"/>
    <w:rsid w:val="0084130F"/>
    <w:rsid w:val="00841327"/>
    <w:rsid w:val="00841369"/>
    <w:rsid w:val="008413AD"/>
    <w:rsid w:val="00841482"/>
    <w:rsid w:val="008414CD"/>
    <w:rsid w:val="008414E1"/>
    <w:rsid w:val="00841500"/>
    <w:rsid w:val="00841526"/>
    <w:rsid w:val="00841554"/>
    <w:rsid w:val="008415A9"/>
    <w:rsid w:val="008415F3"/>
    <w:rsid w:val="0084162C"/>
    <w:rsid w:val="00841652"/>
    <w:rsid w:val="008416DD"/>
    <w:rsid w:val="0084178A"/>
    <w:rsid w:val="008417BF"/>
    <w:rsid w:val="008417E7"/>
    <w:rsid w:val="00841811"/>
    <w:rsid w:val="0084186A"/>
    <w:rsid w:val="00841926"/>
    <w:rsid w:val="00841A40"/>
    <w:rsid w:val="00841AF5"/>
    <w:rsid w:val="00841B98"/>
    <w:rsid w:val="00841BE0"/>
    <w:rsid w:val="00841C11"/>
    <w:rsid w:val="00841D6E"/>
    <w:rsid w:val="00841D7F"/>
    <w:rsid w:val="00841DD2"/>
    <w:rsid w:val="00841DE6"/>
    <w:rsid w:val="00841E0F"/>
    <w:rsid w:val="00841F50"/>
    <w:rsid w:val="00841FAC"/>
    <w:rsid w:val="00841FEF"/>
    <w:rsid w:val="008420B3"/>
    <w:rsid w:val="008420E6"/>
    <w:rsid w:val="00842157"/>
    <w:rsid w:val="0084219F"/>
    <w:rsid w:val="008421BD"/>
    <w:rsid w:val="008421BF"/>
    <w:rsid w:val="008422F4"/>
    <w:rsid w:val="008423AE"/>
    <w:rsid w:val="008423B2"/>
    <w:rsid w:val="008423F6"/>
    <w:rsid w:val="008424CD"/>
    <w:rsid w:val="0084258F"/>
    <w:rsid w:val="008425A2"/>
    <w:rsid w:val="008425A6"/>
    <w:rsid w:val="008426E2"/>
    <w:rsid w:val="008429A4"/>
    <w:rsid w:val="00842A6D"/>
    <w:rsid w:val="00842AA4"/>
    <w:rsid w:val="00842AF4"/>
    <w:rsid w:val="00842B39"/>
    <w:rsid w:val="00842B50"/>
    <w:rsid w:val="00842B87"/>
    <w:rsid w:val="00842BF2"/>
    <w:rsid w:val="00842C0B"/>
    <w:rsid w:val="00842C11"/>
    <w:rsid w:val="00842C4F"/>
    <w:rsid w:val="00842CC4"/>
    <w:rsid w:val="00842CF7"/>
    <w:rsid w:val="00842D14"/>
    <w:rsid w:val="00842D38"/>
    <w:rsid w:val="00842D60"/>
    <w:rsid w:val="00842D7F"/>
    <w:rsid w:val="00842DA5"/>
    <w:rsid w:val="00842DA8"/>
    <w:rsid w:val="00842E3E"/>
    <w:rsid w:val="00842EBC"/>
    <w:rsid w:val="00842F1D"/>
    <w:rsid w:val="00842F4A"/>
    <w:rsid w:val="00842F4F"/>
    <w:rsid w:val="00842F80"/>
    <w:rsid w:val="00842FE2"/>
    <w:rsid w:val="00843195"/>
    <w:rsid w:val="0084319A"/>
    <w:rsid w:val="008431B4"/>
    <w:rsid w:val="008431D1"/>
    <w:rsid w:val="00843273"/>
    <w:rsid w:val="0084327A"/>
    <w:rsid w:val="008432B1"/>
    <w:rsid w:val="008432FE"/>
    <w:rsid w:val="0084336F"/>
    <w:rsid w:val="008433B5"/>
    <w:rsid w:val="008433D6"/>
    <w:rsid w:val="008433DD"/>
    <w:rsid w:val="008433ED"/>
    <w:rsid w:val="008433F7"/>
    <w:rsid w:val="00843402"/>
    <w:rsid w:val="0084346F"/>
    <w:rsid w:val="00843495"/>
    <w:rsid w:val="008434B0"/>
    <w:rsid w:val="008434CB"/>
    <w:rsid w:val="008434FA"/>
    <w:rsid w:val="00843511"/>
    <w:rsid w:val="0084370C"/>
    <w:rsid w:val="0084374F"/>
    <w:rsid w:val="00843792"/>
    <w:rsid w:val="008437AB"/>
    <w:rsid w:val="008437D1"/>
    <w:rsid w:val="008437D7"/>
    <w:rsid w:val="00843839"/>
    <w:rsid w:val="00843884"/>
    <w:rsid w:val="0084388A"/>
    <w:rsid w:val="008438A6"/>
    <w:rsid w:val="00843902"/>
    <w:rsid w:val="00843953"/>
    <w:rsid w:val="00843960"/>
    <w:rsid w:val="008439D4"/>
    <w:rsid w:val="00843A3C"/>
    <w:rsid w:val="00843A4E"/>
    <w:rsid w:val="00843ACC"/>
    <w:rsid w:val="00843AE7"/>
    <w:rsid w:val="00843B09"/>
    <w:rsid w:val="00843B14"/>
    <w:rsid w:val="00843B5F"/>
    <w:rsid w:val="00843BC9"/>
    <w:rsid w:val="00843BF0"/>
    <w:rsid w:val="00843C5B"/>
    <w:rsid w:val="00843C6B"/>
    <w:rsid w:val="00843C84"/>
    <w:rsid w:val="00843CF5"/>
    <w:rsid w:val="00843D0B"/>
    <w:rsid w:val="00843D78"/>
    <w:rsid w:val="00843DCA"/>
    <w:rsid w:val="00843E08"/>
    <w:rsid w:val="00843E09"/>
    <w:rsid w:val="00843E80"/>
    <w:rsid w:val="00843F0E"/>
    <w:rsid w:val="00843F3C"/>
    <w:rsid w:val="00843F6B"/>
    <w:rsid w:val="00844077"/>
    <w:rsid w:val="008440B1"/>
    <w:rsid w:val="008440E4"/>
    <w:rsid w:val="00844105"/>
    <w:rsid w:val="00844180"/>
    <w:rsid w:val="00844185"/>
    <w:rsid w:val="008441D4"/>
    <w:rsid w:val="00844264"/>
    <w:rsid w:val="0084429D"/>
    <w:rsid w:val="00844313"/>
    <w:rsid w:val="0084444B"/>
    <w:rsid w:val="00844462"/>
    <w:rsid w:val="0084452F"/>
    <w:rsid w:val="00844574"/>
    <w:rsid w:val="008446BB"/>
    <w:rsid w:val="008446C1"/>
    <w:rsid w:val="008446E6"/>
    <w:rsid w:val="0084472E"/>
    <w:rsid w:val="00844795"/>
    <w:rsid w:val="008447D7"/>
    <w:rsid w:val="00844822"/>
    <w:rsid w:val="00844829"/>
    <w:rsid w:val="008448C3"/>
    <w:rsid w:val="00844917"/>
    <w:rsid w:val="008449C1"/>
    <w:rsid w:val="00844A41"/>
    <w:rsid w:val="00844AA4"/>
    <w:rsid w:val="00844AD3"/>
    <w:rsid w:val="00844AEB"/>
    <w:rsid w:val="00844B7D"/>
    <w:rsid w:val="00844BE1"/>
    <w:rsid w:val="00844C20"/>
    <w:rsid w:val="00844C69"/>
    <w:rsid w:val="00844CD3"/>
    <w:rsid w:val="00844CED"/>
    <w:rsid w:val="00844D8E"/>
    <w:rsid w:val="00844F28"/>
    <w:rsid w:val="00844F29"/>
    <w:rsid w:val="00844F68"/>
    <w:rsid w:val="00844F8E"/>
    <w:rsid w:val="00844FA0"/>
    <w:rsid w:val="00844FF1"/>
    <w:rsid w:val="00845054"/>
    <w:rsid w:val="00845085"/>
    <w:rsid w:val="0084508F"/>
    <w:rsid w:val="008450A6"/>
    <w:rsid w:val="008450B5"/>
    <w:rsid w:val="00845176"/>
    <w:rsid w:val="00845186"/>
    <w:rsid w:val="008452C5"/>
    <w:rsid w:val="008452EB"/>
    <w:rsid w:val="008453CD"/>
    <w:rsid w:val="00845400"/>
    <w:rsid w:val="008454CE"/>
    <w:rsid w:val="0084554C"/>
    <w:rsid w:val="00845586"/>
    <w:rsid w:val="00845681"/>
    <w:rsid w:val="0084584B"/>
    <w:rsid w:val="0084588A"/>
    <w:rsid w:val="008458E4"/>
    <w:rsid w:val="008458E7"/>
    <w:rsid w:val="00845909"/>
    <w:rsid w:val="00845921"/>
    <w:rsid w:val="00845963"/>
    <w:rsid w:val="008459C8"/>
    <w:rsid w:val="008459CB"/>
    <w:rsid w:val="00845B8B"/>
    <w:rsid w:val="00845BE8"/>
    <w:rsid w:val="00845C7F"/>
    <w:rsid w:val="00845C80"/>
    <w:rsid w:val="00845CA6"/>
    <w:rsid w:val="00845D1F"/>
    <w:rsid w:val="00845DA9"/>
    <w:rsid w:val="00845E6B"/>
    <w:rsid w:val="00845E7C"/>
    <w:rsid w:val="00845EC8"/>
    <w:rsid w:val="00845EDB"/>
    <w:rsid w:val="00845F8A"/>
    <w:rsid w:val="00845F92"/>
    <w:rsid w:val="00845FE1"/>
    <w:rsid w:val="00845FE3"/>
    <w:rsid w:val="00846007"/>
    <w:rsid w:val="00846010"/>
    <w:rsid w:val="0084607C"/>
    <w:rsid w:val="00846098"/>
    <w:rsid w:val="008460AD"/>
    <w:rsid w:val="00846187"/>
    <w:rsid w:val="0084621D"/>
    <w:rsid w:val="00846240"/>
    <w:rsid w:val="00846251"/>
    <w:rsid w:val="0084637E"/>
    <w:rsid w:val="00846425"/>
    <w:rsid w:val="008464BA"/>
    <w:rsid w:val="00846504"/>
    <w:rsid w:val="00846537"/>
    <w:rsid w:val="0084654E"/>
    <w:rsid w:val="008465C7"/>
    <w:rsid w:val="008465F3"/>
    <w:rsid w:val="00846631"/>
    <w:rsid w:val="008466D8"/>
    <w:rsid w:val="00846941"/>
    <w:rsid w:val="008469AC"/>
    <w:rsid w:val="00846A34"/>
    <w:rsid w:val="00846A40"/>
    <w:rsid w:val="00846A79"/>
    <w:rsid w:val="00846A85"/>
    <w:rsid w:val="00846A97"/>
    <w:rsid w:val="00846B95"/>
    <w:rsid w:val="00846BCF"/>
    <w:rsid w:val="00846BE7"/>
    <w:rsid w:val="00846C7D"/>
    <w:rsid w:val="00846DE5"/>
    <w:rsid w:val="00846F43"/>
    <w:rsid w:val="00846F74"/>
    <w:rsid w:val="00846F8D"/>
    <w:rsid w:val="00847011"/>
    <w:rsid w:val="00847054"/>
    <w:rsid w:val="008470B2"/>
    <w:rsid w:val="0084718B"/>
    <w:rsid w:val="0084720F"/>
    <w:rsid w:val="0084721B"/>
    <w:rsid w:val="0084721C"/>
    <w:rsid w:val="00847352"/>
    <w:rsid w:val="00847387"/>
    <w:rsid w:val="00847395"/>
    <w:rsid w:val="008473D2"/>
    <w:rsid w:val="008473FB"/>
    <w:rsid w:val="00847462"/>
    <w:rsid w:val="0084746C"/>
    <w:rsid w:val="008474D7"/>
    <w:rsid w:val="008475D6"/>
    <w:rsid w:val="00847626"/>
    <w:rsid w:val="00847628"/>
    <w:rsid w:val="0084764C"/>
    <w:rsid w:val="00847656"/>
    <w:rsid w:val="008477E7"/>
    <w:rsid w:val="00847854"/>
    <w:rsid w:val="008478A9"/>
    <w:rsid w:val="008478F4"/>
    <w:rsid w:val="0084792F"/>
    <w:rsid w:val="008479B9"/>
    <w:rsid w:val="008479D7"/>
    <w:rsid w:val="00847A27"/>
    <w:rsid w:val="00847A31"/>
    <w:rsid w:val="00847ACA"/>
    <w:rsid w:val="00847B8C"/>
    <w:rsid w:val="00847BEA"/>
    <w:rsid w:val="00847C2F"/>
    <w:rsid w:val="00847C8C"/>
    <w:rsid w:val="00847D5F"/>
    <w:rsid w:val="00847D6A"/>
    <w:rsid w:val="00847E36"/>
    <w:rsid w:val="00847EC3"/>
    <w:rsid w:val="00847F5F"/>
    <w:rsid w:val="00847FA7"/>
    <w:rsid w:val="00847FCE"/>
    <w:rsid w:val="00850045"/>
    <w:rsid w:val="0085008F"/>
    <w:rsid w:val="008500C9"/>
    <w:rsid w:val="008500CB"/>
    <w:rsid w:val="008500DF"/>
    <w:rsid w:val="008500E4"/>
    <w:rsid w:val="00850175"/>
    <w:rsid w:val="00850176"/>
    <w:rsid w:val="00850187"/>
    <w:rsid w:val="0085018D"/>
    <w:rsid w:val="008501BB"/>
    <w:rsid w:val="00850236"/>
    <w:rsid w:val="00850257"/>
    <w:rsid w:val="00850272"/>
    <w:rsid w:val="008502AE"/>
    <w:rsid w:val="008502B5"/>
    <w:rsid w:val="00850366"/>
    <w:rsid w:val="00850522"/>
    <w:rsid w:val="00850532"/>
    <w:rsid w:val="00850538"/>
    <w:rsid w:val="008506BE"/>
    <w:rsid w:val="00850730"/>
    <w:rsid w:val="00850765"/>
    <w:rsid w:val="0085076A"/>
    <w:rsid w:val="0085092D"/>
    <w:rsid w:val="0085093E"/>
    <w:rsid w:val="0085094A"/>
    <w:rsid w:val="00850968"/>
    <w:rsid w:val="00850A8D"/>
    <w:rsid w:val="00850BB1"/>
    <w:rsid w:val="00850D4D"/>
    <w:rsid w:val="00850D8B"/>
    <w:rsid w:val="00850DDB"/>
    <w:rsid w:val="00850E29"/>
    <w:rsid w:val="00850E37"/>
    <w:rsid w:val="00850E64"/>
    <w:rsid w:val="00850EDB"/>
    <w:rsid w:val="00850EF7"/>
    <w:rsid w:val="00850F1F"/>
    <w:rsid w:val="00851021"/>
    <w:rsid w:val="00851097"/>
    <w:rsid w:val="008510D7"/>
    <w:rsid w:val="0085110B"/>
    <w:rsid w:val="00851121"/>
    <w:rsid w:val="0085113C"/>
    <w:rsid w:val="00851172"/>
    <w:rsid w:val="008511CA"/>
    <w:rsid w:val="008511EF"/>
    <w:rsid w:val="0085125C"/>
    <w:rsid w:val="008512C4"/>
    <w:rsid w:val="0085131C"/>
    <w:rsid w:val="00851330"/>
    <w:rsid w:val="008513D7"/>
    <w:rsid w:val="00851588"/>
    <w:rsid w:val="008516F2"/>
    <w:rsid w:val="008517AF"/>
    <w:rsid w:val="008517EB"/>
    <w:rsid w:val="0085184E"/>
    <w:rsid w:val="00851865"/>
    <w:rsid w:val="008518F1"/>
    <w:rsid w:val="00851954"/>
    <w:rsid w:val="00851995"/>
    <w:rsid w:val="008519AC"/>
    <w:rsid w:val="00851A01"/>
    <w:rsid w:val="00851A74"/>
    <w:rsid w:val="00851AC2"/>
    <w:rsid w:val="00851AEB"/>
    <w:rsid w:val="00851AF4"/>
    <w:rsid w:val="00851AF6"/>
    <w:rsid w:val="00851B5A"/>
    <w:rsid w:val="00851BC7"/>
    <w:rsid w:val="00851C38"/>
    <w:rsid w:val="00851C56"/>
    <w:rsid w:val="00851CA6"/>
    <w:rsid w:val="00851D0A"/>
    <w:rsid w:val="00851D93"/>
    <w:rsid w:val="00851DD9"/>
    <w:rsid w:val="00851DE8"/>
    <w:rsid w:val="00851F6B"/>
    <w:rsid w:val="00851FAE"/>
    <w:rsid w:val="00851FFA"/>
    <w:rsid w:val="00852051"/>
    <w:rsid w:val="00852116"/>
    <w:rsid w:val="00852118"/>
    <w:rsid w:val="00852196"/>
    <w:rsid w:val="00852266"/>
    <w:rsid w:val="00852327"/>
    <w:rsid w:val="008523E8"/>
    <w:rsid w:val="008524C0"/>
    <w:rsid w:val="008524FE"/>
    <w:rsid w:val="00852522"/>
    <w:rsid w:val="0085257F"/>
    <w:rsid w:val="00852771"/>
    <w:rsid w:val="00852859"/>
    <w:rsid w:val="008528CA"/>
    <w:rsid w:val="00852971"/>
    <w:rsid w:val="0085297A"/>
    <w:rsid w:val="008529CE"/>
    <w:rsid w:val="00852ABC"/>
    <w:rsid w:val="00852B0D"/>
    <w:rsid w:val="00852B29"/>
    <w:rsid w:val="00852B76"/>
    <w:rsid w:val="00852B81"/>
    <w:rsid w:val="00852BE1"/>
    <w:rsid w:val="00852CB9"/>
    <w:rsid w:val="00852D0A"/>
    <w:rsid w:val="00852D0E"/>
    <w:rsid w:val="00852D54"/>
    <w:rsid w:val="00852DED"/>
    <w:rsid w:val="00852E84"/>
    <w:rsid w:val="00852E99"/>
    <w:rsid w:val="00852F3E"/>
    <w:rsid w:val="00853032"/>
    <w:rsid w:val="0085305A"/>
    <w:rsid w:val="00853077"/>
    <w:rsid w:val="008530AC"/>
    <w:rsid w:val="008530B7"/>
    <w:rsid w:val="008530D3"/>
    <w:rsid w:val="0085323B"/>
    <w:rsid w:val="008532AA"/>
    <w:rsid w:val="00853379"/>
    <w:rsid w:val="00853389"/>
    <w:rsid w:val="008533BB"/>
    <w:rsid w:val="0085343F"/>
    <w:rsid w:val="0085344A"/>
    <w:rsid w:val="00853458"/>
    <w:rsid w:val="008534B1"/>
    <w:rsid w:val="0085357A"/>
    <w:rsid w:val="00853593"/>
    <w:rsid w:val="0085359A"/>
    <w:rsid w:val="008535A8"/>
    <w:rsid w:val="00853771"/>
    <w:rsid w:val="0085378B"/>
    <w:rsid w:val="008537E7"/>
    <w:rsid w:val="00853815"/>
    <w:rsid w:val="00853917"/>
    <w:rsid w:val="0085392C"/>
    <w:rsid w:val="00853990"/>
    <w:rsid w:val="008539B7"/>
    <w:rsid w:val="00853A21"/>
    <w:rsid w:val="00853A26"/>
    <w:rsid w:val="00853A4B"/>
    <w:rsid w:val="00853B21"/>
    <w:rsid w:val="00853BE7"/>
    <w:rsid w:val="00853BEA"/>
    <w:rsid w:val="00853C47"/>
    <w:rsid w:val="00853CDF"/>
    <w:rsid w:val="00853D46"/>
    <w:rsid w:val="00853D7A"/>
    <w:rsid w:val="00853E17"/>
    <w:rsid w:val="00853F5C"/>
    <w:rsid w:val="00853FD1"/>
    <w:rsid w:val="00853FE3"/>
    <w:rsid w:val="008541C2"/>
    <w:rsid w:val="00854227"/>
    <w:rsid w:val="00854290"/>
    <w:rsid w:val="008542DC"/>
    <w:rsid w:val="008544B7"/>
    <w:rsid w:val="008544BB"/>
    <w:rsid w:val="008544D5"/>
    <w:rsid w:val="008544D7"/>
    <w:rsid w:val="00854525"/>
    <w:rsid w:val="008545E8"/>
    <w:rsid w:val="00854611"/>
    <w:rsid w:val="00854651"/>
    <w:rsid w:val="0085466D"/>
    <w:rsid w:val="0085471D"/>
    <w:rsid w:val="0085472C"/>
    <w:rsid w:val="00854859"/>
    <w:rsid w:val="0085491D"/>
    <w:rsid w:val="0085493E"/>
    <w:rsid w:val="0085499D"/>
    <w:rsid w:val="00854AB8"/>
    <w:rsid w:val="00854B46"/>
    <w:rsid w:val="00854B4F"/>
    <w:rsid w:val="00854B98"/>
    <w:rsid w:val="00854B9C"/>
    <w:rsid w:val="00854BD8"/>
    <w:rsid w:val="00854BF9"/>
    <w:rsid w:val="00854C0E"/>
    <w:rsid w:val="00854C7C"/>
    <w:rsid w:val="00854CCA"/>
    <w:rsid w:val="00854CF8"/>
    <w:rsid w:val="00854D46"/>
    <w:rsid w:val="00854E3D"/>
    <w:rsid w:val="00854E66"/>
    <w:rsid w:val="00854E7B"/>
    <w:rsid w:val="00854E80"/>
    <w:rsid w:val="00854F3E"/>
    <w:rsid w:val="00854F9E"/>
    <w:rsid w:val="00854FBE"/>
    <w:rsid w:val="0085500C"/>
    <w:rsid w:val="00855013"/>
    <w:rsid w:val="008551FB"/>
    <w:rsid w:val="0085520C"/>
    <w:rsid w:val="0085527C"/>
    <w:rsid w:val="00855360"/>
    <w:rsid w:val="00855364"/>
    <w:rsid w:val="00855389"/>
    <w:rsid w:val="008553C7"/>
    <w:rsid w:val="008553CA"/>
    <w:rsid w:val="0085545D"/>
    <w:rsid w:val="008554B9"/>
    <w:rsid w:val="008554BC"/>
    <w:rsid w:val="008554C9"/>
    <w:rsid w:val="0085550A"/>
    <w:rsid w:val="00855522"/>
    <w:rsid w:val="00855531"/>
    <w:rsid w:val="0085553D"/>
    <w:rsid w:val="00855599"/>
    <w:rsid w:val="008555B3"/>
    <w:rsid w:val="00855648"/>
    <w:rsid w:val="0085568B"/>
    <w:rsid w:val="0085579B"/>
    <w:rsid w:val="008558BC"/>
    <w:rsid w:val="008558C3"/>
    <w:rsid w:val="00855A08"/>
    <w:rsid w:val="00855A17"/>
    <w:rsid w:val="00855A47"/>
    <w:rsid w:val="00855ABA"/>
    <w:rsid w:val="00855B16"/>
    <w:rsid w:val="00855B36"/>
    <w:rsid w:val="00855BC6"/>
    <w:rsid w:val="00855C2A"/>
    <w:rsid w:val="00855CA8"/>
    <w:rsid w:val="00855CE6"/>
    <w:rsid w:val="00855D94"/>
    <w:rsid w:val="00855DEA"/>
    <w:rsid w:val="00855EAE"/>
    <w:rsid w:val="00855EDE"/>
    <w:rsid w:val="00855EE2"/>
    <w:rsid w:val="00855F59"/>
    <w:rsid w:val="00855FD3"/>
    <w:rsid w:val="00855FDE"/>
    <w:rsid w:val="00856138"/>
    <w:rsid w:val="0085618F"/>
    <w:rsid w:val="0085619D"/>
    <w:rsid w:val="008561D6"/>
    <w:rsid w:val="00856214"/>
    <w:rsid w:val="00856242"/>
    <w:rsid w:val="0085624D"/>
    <w:rsid w:val="00856398"/>
    <w:rsid w:val="008563A6"/>
    <w:rsid w:val="008563DF"/>
    <w:rsid w:val="00856437"/>
    <w:rsid w:val="008564A8"/>
    <w:rsid w:val="00856504"/>
    <w:rsid w:val="008565D7"/>
    <w:rsid w:val="008566D8"/>
    <w:rsid w:val="008567C4"/>
    <w:rsid w:val="0085680D"/>
    <w:rsid w:val="00856879"/>
    <w:rsid w:val="008568D9"/>
    <w:rsid w:val="008568F4"/>
    <w:rsid w:val="008569B3"/>
    <w:rsid w:val="00856A00"/>
    <w:rsid w:val="00856AAB"/>
    <w:rsid w:val="00856AEB"/>
    <w:rsid w:val="00856AEC"/>
    <w:rsid w:val="00856B27"/>
    <w:rsid w:val="00856BED"/>
    <w:rsid w:val="00856C49"/>
    <w:rsid w:val="00856CB5"/>
    <w:rsid w:val="00856D0B"/>
    <w:rsid w:val="00856D62"/>
    <w:rsid w:val="00856DA2"/>
    <w:rsid w:val="00856DB9"/>
    <w:rsid w:val="00856DE3"/>
    <w:rsid w:val="00856E0C"/>
    <w:rsid w:val="00856E2B"/>
    <w:rsid w:val="00856E2F"/>
    <w:rsid w:val="00856EA5"/>
    <w:rsid w:val="00856F91"/>
    <w:rsid w:val="00857074"/>
    <w:rsid w:val="008570D6"/>
    <w:rsid w:val="00857172"/>
    <w:rsid w:val="008571AF"/>
    <w:rsid w:val="008571CC"/>
    <w:rsid w:val="00857241"/>
    <w:rsid w:val="00857277"/>
    <w:rsid w:val="00857300"/>
    <w:rsid w:val="0085730C"/>
    <w:rsid w:val="00857344"/>
    <w:rsid w:val="008573DA"/>
    <w:rsid w:val="00857466"/>
    <w:rsid w:val="0085748B"/>
    <w:rsid w:val="0085752A"/>
    <w:rsid w:val="008575A3"/>
    <w:rsid w:val="008575AD"/>
    <w:rsid w:val="008575EB"/>
    <w:rsid w:val="008576DC"/>
    <w:rsid w:val="008576EB"/>
    <w:rsid w:val="00857722"/>
    <w:rsid w:val="0085773A"/>
    <w:rsid w:val="00857793"/>
    <w:rsid w:val="0085785C"/>
    <w:rsid w:val="008578EA"/>
    <w:rsid w:val="0085791F"/>
    <w:rsid w:val="00857B4C"/>
    <w:rsid w:val="00857BA4"/>
    <w:rsid w:val="00857C58"/>
    <w:rsid w:val="00857DC0"/>
    <w:rsid w:val="00857DC8"/>
    <w:rsid w:val="00857E01"/>
    <w:rsid w:val="00857E24"/>
    <w:rsid w:val="00857E26"/>
    <w:rsid w:val="0086000A"/>
    <w:rsid w:val="0086006A"/>
    <w:rsid w:val="00860094"/>
    <w:rsid w:val="008600A1"/>
    <w:rsid w:val="008600B4"/>
    <w:rsid w:val="008600EF"/>
    <w:rsid w:val="008601E6"/>
    <w:rsid w:val="00860226"/>
    <w:rsid w:val="0086022E"/>
    <w:rsid w:val="0086028E"/>
    <w:rsid w:val="008602B4"/>
    <w:rsid w:val="00860307"/>
    <w:rsid w:val="00860335"/>
    <w:rsid w:val="00860439"/>
    <w:rsid w:val="008604B2"/>
    <w:rsid w:val="008604C6"/>
    <w:rsid w:val="00860517"/>
    <w:rsid w:val="0086062D"/>
    <w:rsid w:val="00860632"/>
    <w:rsid w:val="00860656"/>
    <w:rsid w:val="008606AF"/>
    <w:rsid w:val="008606F0"/>
    <w:rsid w:val="00860711"/>
    <w:rsid w:val="008607F4"/>
    <w:rsid w:val="008607FC"/>
    <w:rsid w:val="008608CC"/>
    <w:rsid w:val="00860952"/>
    <w:rsid w:val="0086097F"/>
    <w:rsid w:val="008609A2"/>
    <w:rsid w:val="008609C6"/>
    <w:rsid w:val="00860A0E"/>
    <w:rsid w:val="00860A3D"/>
    <w:rsid w:val="00860A75"/>
    <w:rsid w:val="00860B7F"/>
    <w:rsid w:val="00860C13"/>
    <w:rsid w:val="00860C1A"/>
    <w:rsid w:val="00860C42"/>
    <w:rsid w:val="00860C44"/>
    <w:rsid w:val="00860C7F"/>
    <w:rsid w:val="00860D64"/>
    <w:rsid w:val="00860DCC"/>
    <w:rsid w:val="00860E96"/>
    <w:rsid w:val="00860ECF"/>
    <w:rsid w:val="00860EF3"/>
    <w:rsid w:val="00860F04"/>
    <w:rsid w:val="00860F53"/>
    <w:rsid w:val="00861058"/>
    <w:rsid w:val="008610E5"/>
    <w:rsid w:val="0086110B"/>
    <w:rsid w:val="00861150"/>
    <w:rsid w:val="00861190"/>
    <w:rsid w:val="008611E8"/>
    <w:rsid w:val="0086120D"/>
    <w:rsid w:val="00861212"/>
    <w:rsid w:val="0086128E"/>
    <w:rsid w:val="008612B0"/>
    <w:rsid w:val="008612F8"/>
    <w:rsid w:val="008612FA"/>
    <w:rsid w:val="0086131B"/>
    <w:rsid w:val="0086133D"/>
    <w:rsid w:val="0086135C"/>
    <w:rsid w:val="0086135D"/>
    <w:rsid w:val="008613A0"/>
    <w:rsid w:val="008615D9"/>
    <w:rsid w:val="00861601"/>
    <w:rsid w:val="008616AD"/>
    <w:rsid w:val="00861708"/>
    <w:rsid w:val="0086170F"/>
    <w:rsid w:val="0086173F"/>
    <w:rsid w:val="00861882"/>
    <w:rsid w:val="00861887"/>
    <w:rsid w:val="00861904"/>
    <w:rsid w:val="00861914"/>
    <w:rsid w:val="00861939"/>
    <w:rsid w:val="00861951"/>
    <w:rsid w:val="00861997"/>
    <w:rsid w:val="008619D4"/>
    <w:rsid w:val="00861AA1"/>
    <w:rsid w:val="00861C36"/>
    <w:rsid w:val="00861CAB"/>
    <w:rsid w:val="00861CD5"/>
    <w:rsid w:val="00861D4E"/>
    <w:rsid w:val="00861D8D"/>
    <w:rsid w:val="00861DB1"/>
    <w:rsid w:val="00861E07"/>
    <w:rsid w:val="00861E8A"/>
    <w:rsid w:val="00861EA1"/>
    <w:rsid w:val="00861EEE"/>
    <w:rsid w:val="00861F87"/>
    <w:rsid w:val="00861F9C"/>
    <w:rsid w:val="00861FA6"/>
    <w:rsid w:val="00861FED"/>
    <w:rsid w:val="00861FF9"/>
    <w:rsid w:val="00862016"/>
    <w:rsid w:val="00862061"/>
    <w:rsid w:val="008620FD"/>
    <w:rsid w:val="00862109"/>
    <w:rsid w:val="00862117"/>
    <w:rsid w:val="00862147"/>
    <w:rsid w:val="0086216C"/>
    <w:rsid w:val="008621E8"/>
    <w:rsid w:val="00862271"/>
    <w:rsid w:val="0086227A"/>
    <w:rsid w:val="0086228E"/>
    <w:rsid w:val="008622A8"/>
    <w:rsid w:val="00862308"/>
    <w:rsid w:val="00862425"/>
    <w:rsid w:val="00862536"/>
    <w:rsid w:val="0086255A"/>
    <w:rsid w:val="008625E9"/>
    <w:rsid w:val="00862636"/>
    <w:rsid w:val="0086263C"/>
    <w:rsid w:val="0086270E"/>
    <w:rsid w:val="00862718"/>
    <w:rsid w:val="00862786"/>
    <w:rsid w:val="008627EF"/>
    <w:rsid w:val="0086281D"/>
    <w:rsid w:val="00862898"/>
    <w:rsid w:val="00862966"/>
    <w:rsid w:val="00862A03"/>
    <w:rsid w:val="00862A31"/>
    <w:rsid w:val="00862B3C"/>
    <w:rsid w:val="00862C24"/>
    <w:rsid w:val="00862C3F"/>
    <w:rsid w:val="00862CA7"/>
    <w:rsid w:val="00862D7A"/>
    <w:rsid w:val="00862DA5"/>
    <w:rsid w:val="00862E00"/>
    <w:rsid w:val="00862E21"/>
    <w:rsid w:val="00862E3B"/>
    <w:rsid w:val="00862E78"/>
    <w:rsid w:val="00862EAC"/>
    <w:rsid w:val="00862F34"/>
    <w:rsid w:val="00862F51"/>
    <w:rsid w:val="00862F7D"/>
    <w:rsid w:val="00862FB1"/>
    <w:rsid w:val="00862FE1"/>
    <w:rsid w:val="00863106"/>
    <w:rsid w:val="00863129"/>
    <w:rsid w:val="0086313A"/>
    <w:rsid w:val="00863172"/>
    <w:rsid w:val="0086318D"/>
    <w:rsid w:val="008631A6"/>
    <w:rsid w:val="00863249"/>
    <w:rsid w:val="0086332C"/>
    <w:rsid w:val="0086339D"/>
    <w:rsid w:val="008633CF"/>
    <w:rsid w:val="00863410"/>
    <w:rsid w:val="00863418"/>
    <w:rsid w:val="0086350A"/>
    <w:rsid w:val="0086368E"/>
    <w:rsid w:val="00863780"/>
    <w:rsid w:val="0086383A"/>
    <w:rsid w:val="00863880"/>
    <w:rsid w:val="0086390B"/>
    <w:rsid w:val="0086391A"/>
    <w:rsid w:val="00863A11"/>
    <w:rsid w:val="00863A1B"/>
    <w:rsid w:val="00863A2E"/>
    <w:rsid w:val="00863C44"/>
    <w:rsid w:val="00863C46"/>
    <w:rsid w:val="00863D1C"/>
    <w:rsid w:val="00863D28"/>
    <w:rsid w:val="00863D2C"/>
    <w:rsid w:val="00863DB8"/>
    <w:rsid w:val="00863E39"/>
    <w:rsid w:val="00863FCC"/>
    <w:rsid w:val="00864000"/>
    <w:rsid w:val="00864083"/>
    <w:rsid w:val="00864094"/>
    <w:rsid w:val="0086418C"/>
    <w:rsid w:val="0086424D"/>
    <w:rsid w:val="0086426C"/>
    <w:rsid w:val="008642D1"/>
    <w:rsid w:val="0086431D"/>
    <w:rsid w:val="00864334"/>
    <w:rsid w:val="00864336"/>
    <w:rsid w:val="00864393"/>
    <w:rsid w:val="00864425"/>
    <w:rsid w:val="0086449A"/>
    <w:rsid w:val="008644C1"/>
    <w:rsid w:val="00864517"/>
    <w:rsid w:val="00864518"/>
    <w:rsid w:val="00864534"/>
    <w:rsid w:val="00864593"/>
    <w:rsid w:val="0086462D"/>
    <w:rsid w:val="00864641"/>
    <w:rsid w:val="008646AD"/>
    <w:rsid w:val="0086473B"/>
    <w:rsid w:val="0086473E"/>
    <w:rsid w:val="00864751"/>
    <w:rsid w:val="00864764"/>
    <w:rsid w:val="0086476A"/>
    <w:rsid w:val="0086476D"/>
    <w:rsid w:val="008647D5"/>
    <w:rsid w:val="008647F6"/>
    <w:rsid w:val="00864810"/>
    <w:rsid w:val="00864817"/>
    <w:rsid w:val="00864819"/>
    <w:rsid w:val="00864838"/>
    <w:rsid w:val="008648CE"/>
    <w:rsid w:val="0086498D"/>
    <w:rsid w:val="0086499E"/>
    <w:rsid w:val="008649CF"/>
    <w:rsid w:val="008649D6"/>
    <w:rsid w:val="008649FF"/>
    <w:rsid w:val="00864A20"/>
    <w:rsid w:val="00864A37"/>
    <w:rsid w:val="00864A63"/>
    <w:rsid w:val="00864A6D"/>
    <w:rsid w:val="00864AF4"/>
    <w:rsid w:val="00864B8D"/>
    <w:rsid w:val="00864C07"/>
    <w:rsid w:val="00864C2A"/>
    <w:rsid w:val="00864C4C"/>
    <w:rsid w:val="00864CF8"/>
    <w:rsid w:val="00864D30"/>
    <w:rsid w:val="00864D96"/>
    <w:rsid w:val="00864DF0"/>
    <w:rsid w:val="00864DFC"/>
    <w:rsid w:val="00864E4A"/>
    <w:rsid w:val="00864FB0"/>
    <w:rsid w:val="00864FC8"/>
    <w:rsid w:val="00864FCB"/>
    <w:rsid w:val="0086507A"/>
    <w:rsid w:val="008650B6"/>
    <w:rsid w:val="008650E5"/>
    <w:rsid w:val="00865213"/>
    <w:rsid w:val="00865349"/>
    <w:rsid w:val="0086534C"/>
    <w:rsid w:val="00865390"/>
    <w:rsid w:val="008653BD"/>
    <w:rsid w:val="008653E1"/>
    <w:rsid w:val="00865446"/>
    <w:rsid w:val="008654D7"/>
    <w:rsid w:val="00865500"/>
    <w:rsid w:val="008655D3"/>
    <w:rsid w:val="008655ED"/>
    <w:rsid w:val="0086560C"/>
    <w:rsid w:val="0086565E"/>
    <w:rsid w:val="00865679"/>
    <w:rsid w:val="008656F7"/>
    <w:rsid w:val="00865708"/>
    <w:rsid w:val="0086570F"/>
    <w:rsid w:val="0086577F"/>
    <w:rsid w:val="008657DB"/>
    <w:rsid w:val="00865819"/>
    <w:rsid w:val="00865885"/>
    <w:rsid w:val="008658B2"/>
    <w:rsid w:val="00865A6E"/>
    <w:rsid w:val="00865B30"/>
    <w:rsid w:val="00865C42"/>
    <w:rsid w:val="00865CF0"/>
    <w:rsid w:val="00865DBF"/>
    <w:rsid w:val="00865DDE"/>
    <w:rsid w:val="00865E59"/>
    <w:rsid w:val="00865E79"/>
    <w:rsid w:val="00865EEA"/>
    <w:rsid w:val="00865F82"/>
    <w:rsid w:val="00866028"/>
    <w:rsid w:val="0086602C"/>
    <w:rsid w:val="008661D7"/>
    <w:rsid w:val="00866217"/>
    <w:rsid w:val="00866267"/>
    <w:rsid w:val="008662D8"/>
    <w:rsid w:val="00866342"/>
    <w:rsid w:val="00866476"/>
    <w:rsid w:val="00866485"/>
    <w:rsid w:val="008664C6"/>
    <w:rsid w:val="008664D5"/>
    <w:rsid w:val="008664E1"/>
    <w:rsid w:val="0086654E"/>
    <w:rsid w:val="00866578"/>
    <w:rsid w:val="008665D8"/>
    <w:rsid w:val="00866600"/>
    <w:rsid w:val="00866635"/>
    <w:rsid w:val="00866697"/>
    <w:rsid w:val="008666E1"/>
    <w:rsid w:val="008666F3"/>
    <w:rsid w:val="008667A7"/>
    <w:rsid w:val="008667B2"/>
    <w:rsid w:val="00866864"/>
    <w:rsid w:val="008668D4"/>
    <w:rsid w:val="0086693D"/>
    <w:rsid w:val="00866991"/>
    <w:rsid w:val="008669BA"/>
    <w:rsid w:val="00866A42"/>
    <w:rsid w:val="00866A5A"/>
    <w:rsid w:val="00866A83"/>
    <w:rsid w:val="00866AF2"/>
    <w:rsid w:val="00866C4F"/>
    <w:rsid w:val="00866CE1"/>
    <w:rsid w:val="00866D55"/>
    <w:rsid w:val="00866DB6"/>
    <w:rsid w:val="00866E1E"/>
    <w:rsid w:val="00866F38"/>
    <w:rsid w:val="0086701A"/>
    <w:rsid w:val="00867023"/>
    <w:rsid w:val="0086704E"/>
    <w:rsid w:val="0086705C"/>
    <w:rsid w:val="00867084"/>
    <w:rsid w:val="008670D8"/>
    <w:rsid w:val="00867164"/>
    <w:rsid w:val="008671BD"/>
    <w:rsid w:val="008671F5"/>
    <w:rsid w:val="00867210"/>
    <w:rsid w:val="008672D8"/>
    <w:rsid w:val="00867364"/>
    <w:rsid w:val="00867366"/>
    <w:rsid w:val="008673D4"/>
    <w:rsid w:val="00867452"/>
    <w:rsid w:val="0086746B"/>
    <w:rsid w:val="00867545"/>
    <w:rsid w:val="00867557"/>
    <w:rsid w:val="008675C7"/>
    <w:rsid w:val="008675EE"/>
    <w:rsid w:val="0086761B"/>
    <w:rsid w:val="008677F5"/>
    <w:rsid w:val="00867862"/>
    <w:rsid w:val="008678E0"/>
    <w:rsid w:val="008678FD"/>
    <w:rsid w:val="00867944"/>
    <w:rsid w:val="00867946"/>
    <w:rsid w:val="00867960"/>
    <w:rsid w:val="008679FA"/>
    <w:rsid w:val="00867A10"/>
    <w:rsid w:val="00867A4D"/>
    <w:rsid w:val="00867A8E"/>
    <w:rsid w:val="00867AC0"/>
    <w:rsid w:val="00867B55"/>
    <w:rsid w:val="00867C3A"/>
    <w:rsid w:val="00867C57"/>
    <w:rsid w:val="00867CA0"/>
    <w:rsid w:val="00867CDD"/>
    <w:rsid w:val="00867D52"/>
    <w:rsid w:val="00867D58"/>
    <w:rsid w:val="00867DEE"/>
    <w:rsid w:val="00867E8A"/>
    <w:rsid w:val="00867F2C"/>
    <w:rsid w:val="00867F38"/>
    <w:rsid w:val="00867FD5"/>
    <w:rsid w:val="0087006F"/>
    <w:rsid w:val="00870094"/>
    <w:rsid w:val="00870262"/>
    <w:rsid w:val="00870271"/>
    <w:rsid w:val="00870338"/>
    <w:rsid w:val="0087034D"/>
    <w:rsid w:val="00870382"/>
    <w:rsid w:val="00870384"/>
    <w:rsid w:val="008703BB"/>
    <w:rsid w:val="008703E7"/>
    <w:rsid w:val="008704AB"/>
    <w:rsid w:val="0087050A"/>
    <w:rsid w:val="00870543"/>
    <w:rsid w:val="0087055F"/>
    <w:rsid w:val="008705AD"/>
    <w:rsid w:val="008705E3"/>
    <w:rsid w:val="008706A8"/>
    <w:rsid w:val="008706C7"/>
    <w:rsid w:val="00870730"/>
    <w:rsid w:val="00870768"/>
    <w:rsid w:val="008707E6"/>
    <w:rsid w:val="00870826"/>
    <w:rsid w:val="00870841"/>
    <w:rsid w:val="00870853"/>
    <w:rsid w:val="008708B3"/>
    <w:rsid w:val="008708CC"/>
    <w:rsid w:val="008708D4"/>
    <w:rsid w:val="00870905"/>
    <w:rsid w:val="00870914"/>
    <w:rsid w:val="00870963"/>
    <w:rsid w:val="00870983"/>
    <w:rsid w:val="008709AE"/>
    <w:rsid w:val="00870A0A"/>
    <w:rsid w:val="00870A72"/>
    <w:rsid w:val="00870AB8"/>
    <w:rsid w:val="00870ACA"/>
    <w:rsid w:val="00870B6B"/>
    <w:rsid w:val="00870C75"/>
    <w:rsid w:val="00870D98"/>
    <w:rsid w:val="00870E17"/>
    <w:rsid w:val="00870E6C"/>
    <w:rsid w:val="00870E87"/>
    <w:rsid w:val="00870E94"/>
    <w:rsid w:val="00870F2B"/>
    <w:rsid w:val="0087102A"/>
    <w:rsid w:val="00871056"/>
    <w:rsid w:val="00871059"/>
    <w:rsid w:val="0087106A"/>
    <w:rsid w:val="008710B6"/>
    <w:rsid w:val="00871117"/>
    <w:rsid w:val="00871240"/>
    <w:rsid w:val="0087129F"/>
    <w:rsid w:val="008712BB"/>
    <w:rsid w:val="008712C0"/>
    <w:rsid w:val="008712F1"/>
    <w:rsid w:val="008713E9"/>
    <w:rsid w:val="00871400"/>
    <w:rsid w:val="00871419"/>
    <w:rsid w:val="00871495"/>
    <w:rsid w:val="008714A9"/>
    <w:rsid w:val="00871507"/>
    <w:rsid w:val="00871535"/>
    <w:rsid w:val="00871544"/>
    <w:rsid w:val="00871561"/>
    <w:rsid w:val="0087165A"/>
    <w:rsid w:val="008716CE"/>
    <w:rsid w:val="0087178F"/>
    <w:rsid w:val="008717A6"/>
    <w:rsid w:val="008718E2"/>
    <w:rsid w:val="00871949"/>
    <w:rsid w:val="00871A4C"/>
    <w:rsid w:val="00871AAC"/>
    <w:rsid w:val="00871B25"/>
    <w:rsid w:val="00871B37"/>
    <w:rsid w:val="00871B8A"/>
    <w:rsid w:val="00871C22"/>
    <w:rsid w:val="00871CB1"/>
    <w:rsid w:val="00871D38"/>
    <w:rsid w:val="00871DD9"/>
    <w:rsid w:val="00871F08"/>
    <w:rsid w:val="00871FF8"/>
    <w:rsid w:val="008722DD"/>
    <w:rsid w:val="008722F0"/>
    <w:rsid w:val="008724F6"/>
    <w:rsid w:val="00872504"/>
    <w:rsid w:val="008725D0"/>
    <w:rsid w:val="008725D6"/>
    <w:rsid w:val="008726D8"/>
    <w:rsid w:val="008726FF"/>
    <w:rsid w:val="00872898"/>
    <w:rsid w:val="008728AB"/>
    <w:rsid w:val="008728D5"/>
    <w:rsid w:val="00872961"/>
    <w:rsid w:val="008729DA"/>
    <w:rsid w:val="00872AA2"/>
    <w:rsid w:val="00872AB5"/>
    <w:rsid w:val="00872B72"/>
    <w:rsid w:val="00872C67"/>
    <w:rsid w:val="00872CD2"/>
    <w:rsid w:val="00872EA2"/>
    <w:rsid w:val="00872ED5"/>
    <w:rsid w:val="00872F37"/>
    <w:rsid w:val="0087303C"/>
    <w:rsid w:val="0087317A"/>
    <w:rsid w:val="0087319E"/>
    <w:rsid w:val="008731B4"/>
    <w:rsid w:val="00873246"/>
    <w:rsid w:val="008732A3"/>
    <w:rsid w:val="008732D2"/>
    <w:rsid w:val="008733A7"/>
    <w:rsid w:val="008733CA"/>
    <w:rsid w:val="008734E3"/>
    <w:rsid w:val="0087351C"/>
    <w:rsid w:val="0087353F"/>
    <w:rsid w:val="00873580"/>
    <w:rsid w:val="008735BC"/>
    <w:rsid w:val="008735E1"/>
    <w:rsid w:val="0087369E"/>
    <w:rsid w:val="00873720"/>
    <w:rsid w:val="00873762"/>
    <w:rsid w:val="0087377A"/>
    <w:rsid w:val="0087381A"/>
    <w:rsid w:val="00873836"/>
    <w:rsid w:val="00873910"/>
    <w:rsid w:val="00873998"/>
    <w:rsid w:val="0087399A"/>
    <w:rsid w:val="008739AB"/>
    <w:rsid w:val="008739CF"/>
    <w:rsid w:val="00873A68"/>
    <w:rsid w:val="00873A71"/>
    <w:rsid w:val="00873ADE"/>
    <w:rsid w:val="00873B24"/>
    <w:rsid w:val="00873BE2"/>
    <w:rsid w:val="00873C28"/>
    <w:rsid w:val="00873C7C"/>
    <w:rsid w:val="00873CA8"/>
    <w:rsid w:val="00873DCC"/>
    <w:rsid w:val="00873DE5"/>
    <w:rsid w:val="00873E0D"/>
    <w:rsid w:val="00873E3D"/>
    <w:rsid w:val="00873E54"/>
    <w:rsid w:val="00873EB5"/>
    <w:rsid w:val="00873ECC"/>
    <w:rsid w:val="00873ED5"/>
    <w:rsid w:val="00873EDB"/>
    <w:rsid w:val="00873EE5"/>
    <w:rsid w:val="008740DD"/>
    <w:rsid w:val="00874165"/>
    <w:rsid w:val="008741A5"/>
    <w:rsid w:val="008741EA"/>
    <w:rsid w:val="00874226"/>
    <w:rsid w:val="0087422C"/>
    <w:rsid w:val="00874279"/>
    <w:rsid w:val="008742F2"/>
    <w:rsid w:val="008742F5"/>
    <w:rsid w:val="008743D2"/>
    <w:rsid w:val="008743D3"/>
    <w:rsid w:val="008743FE"/>
    <w:rsid w:val="00874404"/>
    <w:rsid w:val="00874406"/>
    <w:rsid w:val="0087445F"/>
    <w:rsid w:val="008744B7"/>
    <w:rsid w:val="0087452C"/>
    <w:rsid w:val="00874549"/>
    <w:rsid w:val="00874587"/>
    <w:rsid w:val="008745D4"/>
    <w:rsid w:val="008745DA"/>
    <w:rsid w:val="0087460B"/>
    <w:rsid w:val="00874618"/>
    <w:rsid w:val="008746BF"/>
    <w:rsid w:val="0087471E"/>
    <w:rsid w:val="0087476E"/>
    <w:rsid w:val="008747A2"/>
    <w:rsid w:val="00874810"/>
    <w:rsid w:val="00874969"/>
    <w:rsid w:val="00874989"/>
    <w:rsid w:val="00874AC1"/>
    <w:rsid w:val="00874B29"/>
    <w:rsid w:val="00874CF5"/>
    <w:rsid w:val="00874EB4"/>
    <w:rsid w:val="00874F2C"/>
    <w:rsid w:val="00874F55"/>
    <w:rsid w:val="00874F92"/>
    <w:rsid w:val="0087506C"/>
    <w:rsid w:val="008750A8"/>
    <w:rsid w:val="008750DE"/>
    <w:rsid w:val="008751C8"/>
    <w:rsid w:val="0087523E"/>
    <w:rsid w:val="00875372"/>
    <w:rsid w:val="0087538D"/>
    <w:rsid w:val="00875396"/>
    <w:rsid w:val="00875430"/>
    <w:rsid w:val="0087555B"/>
    <w:rsid w:val="0087565C"/>
    <w:rsid w:val="008756FA"/>
    <w:rsid w:val="00875788"/>
    <w:rsid w:val="00875818"/>
    <w:rsid w:val="0087592B"/>
    <w:rsid w:val="00875930"/>
    <w:rsid w:val="0087598B"/>
    <w:rsid w:val="00875996"/>
    <w:rsid w:val="00875A78"/>
    <w:rsid w:val="00875ADE"/>
    <w:rsid w:val="00875B60"/>
    <w:rsid w:val="00875BA1"/>
    <w:rsid w:val="00875BB4"/>
    <w:rsid w:val="00875BD8"/>
    <w:rsid w:val="00875C15"/>
    <w:rsid w:val="00875C33"/>
    <w:rsid w:val="00875C65"/>
    <w:rsid w:val="00875C8E"/>
    <w:rsid w:val="00875E07"/>
    <w:rsid w:val="00875E0E"/>
    <w:rsid w:val="00875E7B"/>
    <w:rsid w:val="00875E99"/>
    <w:rsid w:val="00875F36"/>
    <w:rsid w:val="00875FB6"/>
    <w:rsid w:val="00875FBB"/>
    <w:rsid w:val="00876032"/>
    <w:rsid w:val="00876360"/>
    <w:rsid w:val="00876433"/>
    <w:rsid w:val="00876466"/>
    <w:rsid w:val="008764C4"/>
    <w:rsid w:val="0087650F"/>
    <w:rsid w:val="00876595"/>
    <w:rsid w:val="008765F4"/>
    <w:rsid w:val="00876621"/>
    <w:rsid w:val="0087668A"/>
    <w:rsid w:val="008766F7"/>
    <w:rsid w:val="00876709"/>
    <w:rsid w:val="00876737"/>
    <w:rsid w:val="00876745"/>
    <w:rsid w:val="00876747"/>
    <w:rsid w:val="0087677E"/>
    <w:rsid w:val="008767A2"/>
    <w:rsid w:val="008767F9"/>
    <w:rsid w:val="0087681D"/>
    <w:rsid w:val="008768CB"/>
    <w:rsid w:val="008768D2"/>
    <w:rsid w:val="008768D5"/>
    <w:rsid w:val="0087696C"/>
    <w:rsid w:val="008769B0"/>
    <w:rsid w:val="00876A2B"/>
    <w:rsid w:val="00876A50"/>
    <w:rsid w:val="00876B34"/>
    <w:rsid w:val="00876CD8"/>
    <w:rsid w:val="00876CDE"/>
    <w:rsid w:val="00876D18"/>
    <w:rsid w:val="00876DA2"/>
    <w:rsid w:val="00876DFA"/>
    <w:rsid w:val="00876E18"/>
    <w:rsid w:val="00876E5E"/>
    <w:rsid w:val="00876EA0"/>
    <w:rsid w:val="00876ECE"/>
    <w:rsid w:val="00876F7E"/>
    <w:rsid w:val="00876F90"/>
    <w:rsid w:val="00876F92"/>
    <w:rsid w:val="00876F9E"/>
    <w:rsid w:val="00876FE0"/>
    <w:rsid w:val="00876FE4"/>
    <w:rsid w:val="00876FF8"/>
    <w:rsid w:val="00877011"/>
    <w:rsid w:val="0087703A"/>
    <w:rsid w:val="008770EB"/>
    <w:rsid w:val="0087710B"/>
    <w:rsid w:val="00877177"/>
    <w:rsid w:val="008771AA"/>
    <w:rsid w:val="008771B7"/>
    <w:rsid w:val="0087729C"/>
    <w:rsid w:val="008772DA"/>
    <w:rsid w:val="00877320"/>
    <w:rsid w:val="00877373"/>
    <w:rsid w:val="00877374"/>
    <w:rsid w:val="00877433"/>
    <w:rsid w:val="00877470"/>
    <w:rsid w:val="0087747E"/>
    <w:rsid w:val="00877483"/>
    <w:rsid w:val="00877509"/>
    <w:rsid w:val="00877528"/>
    <w:rsid w:val="00877607"/>
    <w:rsid w:val="0087761C"/>
    <w:rsid w:val="0087771E"/>
    <w:rsid w:val="00877749"/>
    <w:rsid w:val="00877799"/>
    <w:rsid w:val="008777E2"/>
    <w:rsid w:val="0087780E"/>
    <w:rsid w:val="0087789A"/>
    <w:rsid w:val="00877958"/>
    <w:rsid w:val="00877A1A"/>
    <w:rsid w:val="00877AD3"/>
    <w:rsid w:val="00877AE4"/>
    <w:rsid w:val="00877AF5"/>
    <w:rsid w:val="00877BFE"/>
    <w:rsid w:val="00877C6C"/>
    <w:rsid w:val="00877DC4"/>
    <w:rsid w:val="00877DFF"/>
    <w:rsid w:val="00877E71"/>
    <w:rsid w:val="00877F71"/>
    <w:rsid w:val="00877F77"/>
    <w:rsid w:val="00880017"/>
    <w:rsid w:val="00880029"/>
    <w:rsid w:val="0088008A"/>
    <w:rsid w:val="008800A0"/>
    <w:rsid w:val="008800D9"/>
    <w:rsid w:val="008801D4"/>
    <w:rsid w:val="00880217"/>
    <w:rsid w:val="008802DC"/>
    <w:rsid w:val="00880398"/>
    <w:rsid w:val="008804DC"/>
    <w:rsid w:val="00880554"/>
    <w:rsid w:val="00880585"/>
    <w:rsid w:val="008805ED"/>
    <w:rsid w:val="0088060D"/>
    <w:rsid w:val="0088060E"/>
    <w:rsid w:val="008806C2"/>
    <w:rsid w:val="008806FF"/>
    <w:rsid w:val="00880854"/>
    <w:rsid w:val="0088088F"/>
    <w:rsid w:val="008808DD"/>
    <w:rsid w:val="00880900"/>
    <w:rsid w:val="0088096F"/>
    <w:rsid w:val="008809D7"/>
    <w:rsid w:val="008809E7"/>
    <w:rsid w:val="00880A6B"/>
    <w:rsid w:val="00880B83"/>
    <w:rsid w:val="00880C44"/>
    <w:rsid w:val="00880C4A"/>
    <w:rsid w:val="00880C77"/>
    <w:rsid w:val="00880CA2"/>
    <w:rsid w:val="00880CFC"/>
    <w:rsid w:val="00880D0E"/>
    <w:rsid w:val="00880DC4"/>
    <w:rsid w:val="00880DEF"/>
    <w:rsid w:val="00880E62"/>
    <w:rsid w:val="00880E6A"/>
    <w:rsid w:val="00880F15"/>
    <w:rsid w:val="00880F18"/>
    <w:rsid w:val="00880F98"/>
    <w:rsid w:val="0088103D"/>
    <w:rsid w:val="00881084"/>
    <w:rsid w:val="008810B4"/>
    <w:rsid w:val="00881181"/>
    <w:rsid w:val="0088119D"/>
    <w:rsid w:val="008812F7"/>
    <w:rsid w:val="008813F7"/>
    <w:rsid w:val="0088143F"/>
    <w:rsid w:val="00881442"/>
    <w:rsid w:val="0088150A"/>
    <w:rsid w:val="00881556"/>
    <w:rsid w:val="00881558"/>
    <w:rsid w:val="00881601"/>
    <w:rsid w:val="0088165D"/>
    <w:rsid w:val="0088168C"/>
    <w:rsid w:val="00881763"/>
    <w:rsid w:val="0088176D"/>
    <w:rsid w:val="008817DE"/>
    <w:rsid w:val="008817F4"/>
    <w:rsid w:val="0088181E"/>
    <w:rsid w:val="0088184F"/>
    <w:rsid w:val="00881908"/>
    <w:rsid w:val="00881987"/>
    <w:rsid w:val="00881A54"/>
    <w:rsid w:val="00881A71"/>
    <w:rsid w:val="00881C68"/>
    <w:rsid w:val="00881CC8"/>
    <w:rsid w:val="00881CF6"/>
    <w:rsid w:val="00881D1E"/>
    <w:rsid w:val="00881DC0"/>
    <w:rsid w:val="00881E4D"/>
    <w:rsid w:val="00881EAF"/>
    <w:rsid w:val="00881F60"/>
    <w:rsid w:val="0088201D"/>
    <w:rsid w:val="0088214E"/>
    <w:rsid w:val="008821DB"/>
    <w:rsid w:val="0088220F"/>
    <w:rsid w:val="0088221A"/>
    <w:rsid w:val="00882255"/>
    <w:rsid w:val="0088225A"/>
    <w:rsid w:val="008822D8"/>
    <w:rsid w:val="00882313"/>
    <w:rsid w:val="00882326"/>
    <w:rsid w:val="008823BF"/>
    <w:rsid w:val="00882400"/>
    <w:rsid w:val="0088259E"/>
    <w:rsid w:val="008825A2"/>
    <w:rsid w:val="008825DD"/>
    <w:rsid w:val="0088266B"/>
    <w:rsid w:val="0088267E"/>
    <w:rsid w:val="008826B6"/>
    <w:rsid w:val="008826F3"/>
    <w:rsid w:val="008826F5"/>
    <w:rsid w:val="00882707"/>
    <w:rsid w:val="00882715"/>
    <w:rsid w:val="0088272E"/>
    <w:rsid w:val="00882818"/>
    <w:rsid w:val="00882873"/>
    <w:rsid w:val="008828D2"/>
    <w:rsid w:val="00882968"/>
    <w:rsid w:val="00882974"/>
    <w:rsid w:val="008829AD"/>
    <w:rsid w:val="00882AD6"/>
    <w:rsid w:val="00882B48"/>
    <w:rsid w:val="00882B68"/>
    <w:rsid w:val="00882CCB"/>
    <w:rsid w:val="00882CD2"/>
    <w:rsid w:val="00882D25"/>
    <w:rsid w:val="00882D77"/>
    <w:rsid w:val="00882E99"/>
    <w:rsid w:val="00882EFF"/>
    <w:rsid w:val="00882F0F"/>
    <w:rsid w:val="00882F16"/>
    <w:rsid w:val="00882F23"/>
    <w:rsid w:val="00882F4D"/>
    <w:rsid w:val="0088302B"/>
    <w:rsid w:val="00883081"/>
    <w:rsid w:val="008831D3"/>
    <w:rsid w:val="008832FE"/>
    <w:rsid w:val="0088333F"/>
    <w:rsid w:val="00883356"/>
    <w:rsid w:val="0088344E"/>
    <w:rsid w:val="00883503"/>
    <w:rsid w:val="0088352E"/>
    <w:rsid w:val="00883537"/>
    <w:rsid w:val="00883571"/>
    <w:rsid w:val="008835AF"/>
    <w:rsid w:val="00883668"/>
    <w:rsid w:val="0088369D"/>
    <w:rsid w:val="008836C3"/>
    <w:rsid w:val="00883783"/>
    <w:rsid w:val="0088384A"/>
    <w:rsid w:val="008838FD"/>
    <w:rsid w:val="0088398F"/>
    <w:rsid w:val="00883A45"/>
    <w:rsid w:val="00883A90"/>
    <w:rsid w:val="00883AAB"/>
    <w:rsid w:val="00883B05"/>
    <w:rsid w:val="00883B3A"/>
    <w:rsid w:val="00883BC2"/>
    <w:rsid w:val="00883C02"/>
    <w:rsid w:val="00883C97"/>
    <w:rsid w:val="00883D85"/>
    <w:rsid w:val="00883DAE"/>
    <w:rsid w:val="00883DAF"/>
    <w:rsid w:val="00883EBD"/>
    <w:rsid w:val="00883FAA"/>
    <w:rsid w:val="00883FE1"/>
    <w:rsid w:val="00884158"/>
    <w:rsid w:val="008842A0"/>
    <w:rsid w:val="008842A4"/>
    <w:rsid w:val="00884397"/>
    <w:rsid w:val="008843E2"/>
    <w:rsid w:val="008843EE"/>
    <w:rsid w:val="008844AF"/>
    <w:rsid w:val="0088454F"/>
    <w:rsid w:val="0088457E"/>
    <w:rsid w:val="00884674"/>
    <w:rsid w:val="008846EF"/>
    <w:rsid w:val="008846F1"/>
    <w:rsid w:val="008847B9"/>
    <w:rsid w:val="008847E0"/>
    <w:rsid w:val="0088486C"/>
    <w:rsid w:val="0088486D"/>
    <w:rsid w:val="00884889"/>
    <w:rsid w:val="0088489D"/>
    <w:rsid w:val="008848AF"/>
    <w:rsid w:val="008848CF"/>
    <w:rsid w:val="00884941"/>
    <w:rsid w:val="008849B7"/>
    <w:rsid w:val="008849CD"/>
    <w:rsid w:val="00884AF5"/>
    <w:rsid w:val="00884C40"/>
    <w:rsid w:val="00884C4F"/>
    <w:rsid w:val="00884C56"/>
    <w:rsid w:val="00884C8C"/>
    <w:rsid w:val="00884C96"/>
    <w:rsid w:val="00884C9C"/>
    <w:rsid w:val="00884D4E"/>
    <w:rsid w:val="00884D64"/>
    <w:rsid w:val="00884DA1"/>
    <w:rsid w:val="00884DB6"/>
    <w:rsid w:val="00884E14"/>
    <w:rsid w:val="00884E60"/>
    <w:rsid w:val="00884E8C"/>
    <w:rsid w:val="00884FFD"/>
    <w:rsid w:val="00885009"/>
    <w:rsid w:val="00885069"/>
    <w:rsid w:val="008850A9"/>
    <w:rsid w:val="008850CC"/>
    <w:rsid w:val="008850E4"/>
    <w:rsid w:val="008850F0"/>
    <w:rsid w:val="008851DF"/>
    <w:rsid w:val="00885210"/>
    <w:rsid w:val="0088530A"/>
    <w:rsid w:val="00885390"/>
    <w:rsid w:val="008853B2"/>
    <w:rsid w:val="0088542E"/>
    <w:rsid w:val="00885559"/>
    <w:rsid w:val="008855D3"/>
    <w:rsid w:val="00885616"/>
    <w:rsid w:val="00885637"/>
    <w:rsid w:val="0088574F"/>
    <w:rsid w:val="008857AE"/>
    <w:rsid w:val="00885832"/>
    <w:rsid w:val="008858DB"/>
    <w:rsid w:val="008859F0"/>
    <w:rsid w:val="00885ACD"/>
    <w:rsid w:val="00885BEE"/>
    <w:rsid w:val="00885C34"/>
    <w:rsid w:val="00885C3A"/>
    <w:rsid w:val="00885C76"/>
    <w:rsid w:val="00885CD7"/>
    <w:rsid w:val="00885D45"/>
    <w:rsid w:val="00885D63"/>
    <w:rsid w:val="00885DEA"/>
    <w:rsid w:val="00885ECC"/>
    <w:rsid w:val="00885F1F"/>
    <w:rsid w:val="00885FA0"/>
    <w:rsid w:val="00885FF0"/>
    <w:rsid w:val="00886002"/>
    <w:rsid w:val="00886004"/>
    <w:rsid w:val="0088600C"/>
    <w:rsid w:val="0088610F"/>
    <w:rsid w:val="00886211"/>
    <w:rsid w:val="00886290"/>
    <w:rsid w:val="0088632D"/>
    <w:rsid w:val="00886337"/>
    <w:rsid w:val="00886394"/>
    <w:rsid w:val="00886450"/>
    <w:rsid w:val="008864C9"/>
    <w:rsid w:val="00886581"/>
    <w:rsid w:val="008865F1"/>
    <w:rsid w:val="008866BF"/>
    <w:rsid w:val="008866D3"/>
    <w:rsid w:val="008869D6"/>
    <w:rsid w:val="00886A3A"/>
    <w:rsid w:val="00886A92"/>
    <w:rsid w:val="00886A9A"/>
    <w:rsid w:val="00886ACC"/>
    <w:rsid w:val="00886B3E"/>
    <w:rsid w:val="00886B47"/>
    <w:rsid w:val="00886B54"/>
    <w:rsid w:val="00886BA6"/>
    <w:rsid w:val="00886BFC"/>
    <w:rsid w:val="00886C3B"/>
    <w:rsid w:val="00886C86"/>
    <w:rsid w:val="00886D31"/>
    <w:rsid w:val="00886D4F"/>
    <w:rsid w:val="00886DFA"/>
    <w:rsid w:val="00886EE5"/>
    <w:rsid w:val="00887049"/>
    <w:rsid w:val="0088704D"/>
    <w:rsid w:val="00887064"/>
    <w:rsid w:val="0088709E"/>
    <w:rsid w:val="008870DA"/>
    <w:rsid w:val="0088710E"/>
    <w:rsid w:val="00887188"/>
    <w:rsid w:val="008871DE"/>
    <w:rsid w:val="008872EB"/>
    <w:rsid w:val="00887320"/>
    <w:rsid w:val="008873A6"/>
    <w:rsid w:val="008873E6"/>
    <w:rsid w:val="00887454"/>
    <w:rsid w:val="008874A2"/>
    <w:rsid w:val="008874DC"/>
    <w:rsid w:val="008875E1"/>
    <w:rsid w:val="00887600"/>
    <w:rsid w:val="00887603"/>
    <w:rsid w:val="0088765E"/>
    <w:rsid w:val="00887882"/>
    <w:rsid w:val="00887936"/>
    <w:rsid w:val="008879E5"/>
    <w:rsid w:val="00887B72"/>
    <w:rsid w:val="00887B77"/>
    <w:rsid w:val="00887C19"/>
    <w:rsid w:val="00887C25"/>
    <w:rsid w:val="00887C39"/>
    <w:rsid w:val="00887C4D"/>
    <w:rsid w:val="00887C5C"/>
    <w:rsid w:val="00887CB2"/>
    <w:rsid w:val="00887CB5"/>
    <w:rsid w:val="00887D21"/>
    <w:rsid w:val="00887D23"/>
    <w:rsid w:val="00887DF6"/>
    <w:rsid w:val="00887EFA"/>
    <w:rsid w:val="00887F58"/>
    <w:rsid w:val="00887FE6"/>
    <w:rsid w:val="00887FF7"/>
    <w:rsid w:val="008900B3"/>
    <w:rsid w:val="00890121"/>
    <w:rsid w:val="00890125"/>
    <w:rsid w:val="0089014D"/>
    <w:rsid w:val="008901A4"/>
    <w:rsid w:val="008901EA"/>
    <w:rsid w:val="00890287"/>
    <w:rsid w:val="008902CB"/>
    <w:rsid w:val="00890412"/>
    <w:rsid w:val="00890422"/>
    <w:rsid w:val="00890486"/>
    <w:rsid w:val="008904F6"/>
    <w:rsid w:val="00890522"/>
    <w:rsid w:val="008905FC"/>
    <w:rsid w:val="0089069D"/>
    <w:rsid w:val="008906AE"/>
    <w:rsid w:val="00890732"/>
    <w:rsid w:val="0089082E"/>
    <w:rsid w:val="0089089A"/>
    <w:rsid w:val="0089092C"/>
    <w:rsid w:val="008909C2"/>
    <w:rsid w:val="00890A08"/>
    <w:rsid w:val="00890B6E"/>
    <w:rsid w:val="00890BF1"/>
    <w:rsid w:val="00890C35"/>
    <w:rsid w:val="00890C9E"/>
    <w:rsid w:val="00890CBA"/>
    <w:rsid w:val="00890D5D"/>
    <w:rsid w:val="00890D92"/>
    <w:rsid w:val="00890D94"/>
    <w:rsid w:val="00890E18"/>
    <w:rsid w:val="00890E1F"/>
    <w:rsid w:val="00890EC0"/>
    <w:rsid w:val="00890F4F"/>
    <w:rsid w:val="00890F6E"/>
    <w:rsid w:val="00890FFD"/>
    <w:rsid w:val="008910AC"/>
    <w:rsid w:val="008910D6"/>
    <w:rsid w:val="00891158"/>
    <w:rsid w:val="00891375"/>
    <w:rsid w:val="00891381"/>
    <w:rsid w:val="0089138D"/>
    <w:rsid w:val="00891443"/>
    <w:rsid w:val="00891488"/>
    <w:rsid w:val="008915C1"/>
    <w:rsid w:val="0089167C"/>
    <w:rsid w:val="00891741"/>
    <w:rsid w:val="008917A3"/>
    <w:rsid w:val="008917B0"/>
    <w:rsid w:val="008918C9"/>
    <w:rsid w:val="00891994"/>
    <w:rsid w:val="008919A4"/>
    <w:rsid w:val="00891B61"/>
    <w:rsid w:val="00891B6A"/>
    <w:rsid w:val="00891C15"/>
    <w:rsid w:val="00891DA8"/>
    <w:rsid w:val="00891DB4"/>
    <w:rsid w:val="00891E34"/>
    <w:rsid w:val="00891F8C"/>
    <w:rsid w:val="008920A6"/>
    <w:rsid w:val="008920BB"/>
    <w:rsid w:val="0089215F"/>
    <w:rsid w:val="008921ED"/>
    <w:rsid w:val="0089225F"/>
    <w:rsid w:val="00892299"/>
    <w:rsid w:val="008922F4"/>
    <w:rsid w:val="00892343"/>
    <w:rsid w:val="008923C3"/>
    <w:rsid w:val="008923DC"/>
    <w:rsid w:val="008924BB"/>
    <w:rsid w:val="0089255C"/>
    <w:rsid w:val="008925C1"/>
    <w:rsid w:val="008925D8"/>
    <w:rsid w:val="00892604"/>
    <w:rsid w:val="00892633"/>
    <w:rsid w:val="00892681"/>
    <w:rsid w:val="0089271A"/>
    <w:rsid w:val="00892729"/>
    <w:rsid w:val="008927E7"/>
    <w:rsid w:val="008929E7"/>
    <w:rsid w:val="00892A47"/>
    <w:rsid w:val="00892A64"/>
    <w:rsid w:val="00892BAF"/>
    <w:rsid w:val="00892C42"/>
    <w:rsid w:val="00892D3F"/>
    <w:rsid w:val="00892D7D"/>
    <w:rsid w:val="00892E24"/>
    <w:rsid w:val="00892E55"/>
    <w:rsid w:val="00892E94"/>
    <w:rsid w:val="00892EF7"/>
    <w:rsid w:val="00892F03"/>
    <w:rsid w:val="00892F20"/>
    <w:rsid w:val="00892F61"/>
    <w:rsid w:val="00892FAF"/>
    <w:rsid w:val="00892FEA"/>
    <w:rsid w:val="0089322F"/>
    <w:rsid w:val="008932AC"/>
    <w:rsid w:val="008932BD"/>
    <w:rsid w:val="00893455"/>
    <w:rsid w:val="0089346D"/>
    <w:rsid w:val="008934F8"/>
    <w:rsid w:val="008934F9"/>
    <w:rsid w:val="00893575"/>
    <w:rsid w:val="008935DF"/>
    <w:rsid w:val="00893647"/>
    <w:rsid w:val="00893696"/>
    <w:rsid w:val="008936A9"/>
    <w:rsid w:val="008936AE"/>
    <w:rsid w:val="008936B9"/>
    <w:rsid w:val="008936F7"/>
    <w:rsid w:val="0089371A"/>
    <w:rsid w:val="008937B3"/>
    <w:rsid w:val="008938B4"/>
    <w:rsid w:val="008938DA"/>
    <w:rsid w:val="0089391A"/>
    <w:rsid w:val="00893922"/>
    <w:rsid w:val="0089396E"/>
    <w:rsid w:val="00893A19"/>
    <w:rsid w:val="00893A29"/>
    <w:rsid w:val="00893AFF"/>
    <w:rsid w:val="00893B1E"/>
    <w:rsid w:val="00893B85"/>
    <w:rsid w:val="00893BBE"/>
    <w:rsid w:val="00893BDC"/>
    <w:rsid w:val="00893C78"/>
    <w:rsid w:val="00893CF8"/>
    <w:rsid w:val="00893E77"/>
    <w:rsid w:val="00893E80"/>
    <w:rsid w:val="00893F18"/>
    <w:rsid w:val="00893F58"/>
    <w:rsid w:val="00893FA3"/>
    <w:rsid w:val="00893FFA"/>
    <w:rsid w:val="00894011"/>
    <w:rsid w:val="00894075"/>
    <w:rsid w:val="0089416F"/>
    <w:rsid w:val="00894178"/>
    <w:rsid w:val="00894186"/>
    <w:rsid w:val="008941FE"/>
    <w:rsid w:val="00894251"/>
    <w:rsid w:val="0089430C"/>
    <w:rsid w:val="0089430F"/>
    <w:rsid w:val="00894374"/>
    <w:rsid w:val="00894401"/>
    <w:rsid w:val="00894521"/>
    <w:rsid w:val="00894634"/>
    <w:rsid w:val="008946E7"/>
    <w:rsid w:val="0089470B"/>
    <w:rsid w:val="0089471E"/>
    <w:rsid w:val="00894778"/>
    <w:rsid w:val="008947FD"/>
    <w:rsid w:val="008948B6"/>
    <w:rsid w:val="008949F1"/>
    <w:rsid w:val="008949FB"/>
    <w:rsid w:val="00894B65"/>
    <w:rsid w:val="00894C1F"/>
    <w:rsid w:val="00894C21"/>
    <w:rsid w:val="00894C4E"/>
    <w:rsid w:val="00894C5C"/>
    <w:rsid w:val="00894C75"/>
    <w:rsid w:val="00894CB7"/>
    <w:rsid w:val="00894D58"/>
    <w:rsid w:val="00894E26"/>
    <w:rsid w:val="00894E74"/>
    <w:rsid w:val="00894EE2"/>
    <w:rsid w:val="00894F06"/>
    <w:rsid w:val="00894F2E"/>
    <w:rsid w:val="00894F33"/>
    <w:rsid w:val="00894F73"/>
    <w:rsid w:val="0089502A"/>
    <w:rsid w:val="00895068"/>
    <w:rsid w:val="00895084"/>
    <w:rsid w:val="008950D6"/>
    <w:rsid w:val="00895164"/>
    <w:rsid w:val="0089518F"/>
    <w:rsid w:val="008951E8"/>
    <w:rsid w:val="00895231"/>
    <w:rsid w:val="00895241"/>
    <w:rsid w:val="00895248"/>
    <w:rsid w:val="0089526A"/>
    <w:rsid w:val="00895286"/>
    <w:rsid w:val="008952B3"/>
    <w:rsid w:val="008952D1"/>
    <w:rsid w:val="00895327"/>
    <w:rsid w:val="00895345"/>
    <w:rsid w:val="008953CE"/>
    <w:rsid w:val="008953DB"/>
    <w:rsid w:val="00895449"/>
    <w:rsid w:val="008954A2"/>
    <w:rsid w:val="008954D2"/>
    <w:rsid w:val="008955B9"/>
    <w:rsid w:val="008955CD"/>
    <w:rsid w:val="00895639"/>
    <w:rsid w:val="0089571F"/>
    <w:rsid w:val="008957BB"/>
    <w:rsid w:val="008959D3"/>
    <w:rsid w:val="00895A10"/>
    <w:rsid w:val="00895A18"/>
    <w:rsid w:val="00895A3B"/>
    <w:rsid w:val="00895A5D"/>
    <w:rsid w:val="00895A85"/>
    <w:rsid w:val="00895C77"/>
    <w:rsid w:val="00895CDE"/>
    <w:rsid w:val="00895D1C"/>
    <w:rsid w:val="00895E14"/>
    <w:rsid w:val="00895F31"/>
    <w:rsid w:val="00895F57"/>
    <w:rsid w:val="00896074"/>
    <w:rsid w:val="00896084"/>
    <w:rsid w:val="0089608A"/>
    <w:rsid w:val="008960BA"/>
    <w:rsid w:val="00896129"/>
    <w:rsid w:val="008961A6"/>
    <w:rsid w:val="008961E8"/>
    <w:rsid w:val="00896214"/>
    <w:rsid w:val="00896246"/>
    <w:rsid w:val="0089628A"/>
    <w:rsid w:val="008962B9"/>
    <w:rsid w:val="00896399"/>
    <w:rsid w:val="008963F7"/>
    <w:rsid w:val="00896424"/>
    <w:rsid w:val="0089643B"/>
    <w:rsid w:val="00896561"/>
    <w:rsid w:val="008965D9"/>
    <w:rsid w:val="00896748"/>
    <w:rsid w:val="0089678E"/>
    <w:rsid w:val="008967A7"/>
    <w:rsid w:val="008968B4"/>
    <w:rsid w:val="008968BA"/>
    <w:rsid w:val="008968F8"/>
    <w:rsid w:val="008969F3"/>
    <w:rsid w:val="00896A61"/>
    <w:rsid w:val="00896A6A"/>
    <w:rsid w:val="00896AAB"/>
    <w:rsid w:val="00896B74"/>
    <w:rsid w:val="00896D8A"/>
    <w:rsid w:val="00896EBA"/>
    <w:rsid w:val="00896EDB"/>
    <w:rsid w:val="00896FC3"/>
    <w:rsid w:val="00896FFB"/>
    <w:rsid w:val="00897004"/>
    <w:rsid w:val="0089709C"/>
    <w:rsid w:val="00897247"/>
    <w:rsid w:val="008972AA"/>
    <w:rsid w:val="00897339"/>
    <w:rsid w:val="0089735D"/>
    <w:rsid w:val="008973AE"/>
    <w:rsid w:val="0089740A"/>
    <w:rsid w:val="0089742A"/>
    <w:rsid w:val="00897442"/>
    <w:rsid w:val="0089750B"/>
    <w:rsid w:val="00897523"/>
    <w:rsid w:val="0089764E"/>
    <w:rsid w:val="008976CD"/>
    <w:rsid w:val="008976E6"/>
    <w:rsid w:val="0089774A"/>
    <w:rsid w:val="00897772"/>
    <w:rsid w:val="00897792"/>
    <w:rsid w:val="008977B9"/>
    <w:rsid w:val="0089782D"/>
    <w:rsid w:val="00897860"/>
    <w:rsid w:val="008978AB"/>
    <w:rsid w:val="0089791A"/>
    <w:rsid w:val="00897972"/>
    <w:rsid w:val="00897978"/>
    <w:rsid w:val="0089798D"/>
    <w:rsid w:val="0089798F"/>
    <w:rsid w:val="008979A2"/>
    <w:rsid w:val="008979CD"/>
    <w:rsid w:val="00897AF1"/>
    <w:rsid w:val="00897B52"/>
    <w:rsid w:val="00897BF7"/>
    <w:rsid w:val="00897C55"/>
    <w:rsid w:val="00897C94"/>
    <w:rsid w:val="00897F77"/>
    <w:rsid w:val="008A0023"/>
    <w:rsid w:val="008A0053"/>
    <w:rsid w:val="008A00D4"/>
    <w:rsid w:val="008A00E8"/>
    <w:rsid w:val="008A0111"/>
    <w:rsid w:val="008A0123"/>
    <w:rsid w:val="008A022B"/>
    <w:rsid w:val="008A0314"/>
    <w:rsid w:val="008A0385"/>
    <w:rsid w:val="008A0411"/>
    <w:rsid w:val="008A0414"/>
    <w:rsid w:val="008A04CE"/>
    <w:rsid w:val="008A05F7"/>
    <w:rsid w:val="008A0722"/>
    <w:rsid w:val="008A0762"/>
    <w:rsid w:val="008A07E7"/>
    <w:rsid w:val="008A0802"/>
    <w:rsid w:val="008A0885"/>
    <w:rsid w:val="008A0983"/>
    <w:rsid w:val="008A0995"/>
    <w:rsid w:val="008A0A46"/>
    <w:rsid w:val="008A0AAD"/>
    <w:rsid w:val="008A0B76"/>
    <w:rsid w:val="008A0C53"/>
    <w:rsid w:val="008A0C60"/>
    <w:rsid w:val="008A0CE1"/>
    <w:rsid w:val="008A0D3D"/>
    <w:rsid w:val="008A0D5D"/>
    <w:rsid w:val="008A0DF3"/>
    <w:rsid w:val="008A0E0B"/>
    <w:rsid w:val="008A0E28"/>
    <w:rsid w:val="008A0E68"/>
    <w:rsid w:val="008A0F0F"/>
    <w:rsid w:val="008A0F37"/>
    <w:rsid w:val="008A0F72"/>
    <w:rsid w:val="008A0F89"/>
    <w:rsid w:val="008A0FB5"/>
    <w:rsid w:val="008A0FFA"/>
    <w:rsid w:val="008A1025"/>
    <w:rsid w:val="008A1066"/>
    <w:rsid w:val="008A115F"/>
    <w:rsid w:val="008A1245"/>
    <w:rsid w:val="008A12D6"/>
    <w:rsid w:val="008A1450"/>
    <w:rsid w:val="008A14D4"/>
    <w:rsid w:val="008A1501"/>
    <w:rsid w:val="008A153B"/>
    <w:rsid w:val="008A16B6"/>
    <w:rsid w:val="008A16B8"/>
    <w:rsid w:val="008A16E1"/>
    <w:rsid w:val="008A186C"/>
    <w:rsid w:val="008A1911"/>
    <w:rsid w:val="008A1A4C"/>
    <w:rsid w:val="008A1AAA"/>
    <w:rsid w:val="008A1B08"/>
    <w:rsid w:val="008A1B9D"/>
    <w:rsid w:val="008A1BCA"/>
    <w:rsid w:val="008A1C1A"/>
    <w:rsid w:val="008A1C37"/>
    <w:rsid w:val="008A1C74"/>
    <w:rsid w:val="008A1CFD"/>
    <w:rsid w:val="008A1DCF"/>
    <w:rsid w:val="008A1E03"/>
    <w:rsid w:val="008A1E1E"/>
    <w:rsid w:val="008A1E89"/>
    <w:rsid w:val="008A1EA6"/>
    <w:rsid w:val="008A1EAE"/>
    <w:rsid w:val="008A1F7D"/>
    <w:rsid w:val="008A2084"/>
    <w:rsid w:val="008A2091"/>
    <w:rsid w:val="008A2101"/>
    <w:rsid w:val="008A2187"/>
    <w:rsid w:val="008A21CD"/>
    <w:rsid w:val="008A21F3"/>
    <w:rsid w:val="008A2234"/>
    <w:rsid w:val="008A2257"/>
    <w:rsid w:val="008A22BF"/>
    <w:rsid w:val="008A2321"/>
    <w:rsid w:val="008A241D"/>
    <w:rsid w:val="008A2474"/>
    <w:rsid w:val="008A24CC"/>
    <w:rsid w:val="008A2570"/>
    <w:rsid w:val="008A25DF"/>
    <w:rsid w:val="008A2615"/>
    <w:rsid w:val="008A262A"/>
    <w:rsid w:val="008A2648"/>
    <w:rsid w:val="008A268D"/>
    <w:rsid w:val="008A27FF"/>
    <w:rsid w:val="008A2913"/>
    <w:rsid w:val="008A2925"/>
    <w:rsid w:val="008A29A4"/>
    <w:rsid w:val="008A2A71"/>
    <w:rsid w:val="008A2ACD"/>
    <w:rsid w:val="008A2B4E"/>
    <w:rsid w:val="008A2B5A"/>
    <w:rsid w:val="008A2CB3"/>
    <w:rsid w:val="008A2D16"/>
    <w:rsid w:val="008A2D70"/>
    <w:rsid w:val="008A2E07"/>
    <w:rsid w:val="008A2E4F"/>
    <w:rsid w:val="008A2F18"/>
    <w:rsid w:val="008A2F51"/>
    <w:rsid w:val="008A302D"/>
    <w:rsid w:val="008A3266"/>
    <w:rsid w:val="008A3279"/>
    <w:rsid w:val="008A327F"/>
    <w:rsid w:val="008A3391"/>
    <w:rsid w:val="008A343B"/>
    <w:rsid w:val="008A3445"/>
    <w:rsid w:val="008A3450"/>
    <w:rsid w:val="008A3472"/>
    <w:rsid w:val="008A34EC"/>
    <w:rsid w:val="008A358C"/>
    <w:rsid w:val="008A364A"/>
    <w:rsid w:val="008A36E7"/>
    <w:rsid w:val="008A372E"/>
    <w:rsid w:val="008A3742"/>
    <w:rsid w:val="008A3761"/>
    <w:rsid w:val="008A38B8"/>
    <w:rsid w:val="008A38C3"/>
    <w:rsid w:val="008A3A0E"/>
    <w:rsid w:val="008A3A6B"/>
    <w:rsid w:val="008A3A8F"/>
    <w:rsid w:val="008A3AA6"/>
    <w:rsid w:val="008A3AC8"/>
    <w:rsid w:val="008A3B0A"/>
    <w:rsid w:val="008A3B95"/>
    <w:rsid w:val="008A3C1D"/>
    <w:rsid w:val="008A3C2B"/>
    <w:rsid w:val="008A3E15"/>
    <w:rsid w:val="008A3EB9"/>
    <w:rsid w:val="008A3F7D"/>
    <w:rsid w:val="008A3FA1"/>
    <w:rsid w:val="008A4015"/>
    <w:rsid w:val="008A401C"/>
    <w:rsid w:val="008A40D8"/>
    <w:rsid w:val="008A4171"/>
    <w:rsid w:val="008A4178"/>
    <w:rsid w:val="008A4198"/>
    <w:rsid w:val="008A41A8"/>
    <w:rsid w:val="008A41B8"/>
    <w:rsid w:val="008A41EA"/>
    <w:rsid w:val="008A41ED"/>
    <w:rsid w:val="008A4227"/>
    <w:rsid w:val="008A427E"/>
    <w:rsid w:val="008A42D0"/>
    <w:rsid w:val="008A4384"/>
    <w:rsid w:val="008A4396"/>
    <w:rsid w:val="008A446F"/>
    <w:rsid w:val="008A4475"/>
    <w:rsid w:val="008A4530"/>
    <w:rsid w:val="008A4578"/>
    <w:rsid w:val="008A457C"/>
    <w:rsid w:val="008A45E1"/>
    <w:rsid w:val="008A45E9"/>
    <w:rsid w:val="008A460C"/>
    <w:rsid w:val="008A4616"/>
    <w:rsid w:val="008A467B"/>
    <w:rsid w:val="008A46A2"/>
    <w:rsid w:val="008A4728"/>
    <w:rsid w:val="008A47C6"/>
    <w:rsid w:val="008A47E9"/>
    <w:rsid w:val="008A4845"/>
    <w:rsid w:val="008A488C"/>
    <w:rsid w:val="008A48FF"/>
    <w:rsid w:val="008A4997"/>
    <w:rsid w:val="008A49AA"/>
    <w:rsid w:val="008A49D8"/>
    <w:rsid w:val="008A49F0"/>
    <w:rsid w:val="008A49F5"/>
    <w:rsid w:val="008A4A37"/>
    <w:rsid w:val="008A4AA0"/>
    <w:rsid w:val="008A4C45"/>
    <w:rsid w:val="008A4C4C"/>
    <w:rsid w:val="008A4CBD"/>
    <w:rsid w:val="008A4D16"/>
    <w:rsid w:val="008A4D94"/>
    <w:rsid w:val="008A4DD4"/>
    <w:rsid w:val="008A4DFA"/>
    <w:rsid w:val="008A4E24"/>
    <w:rsid w:val="008A4E2C"/>
    <w:rsid w:val="008A4FA7"/>
    <w:rsid w:val="008A4FDA"/>
    <w:rsid w:val="008A5066"/>
    <w:rsid w:val="008A51EF"/>
    <w:rsid w:val="008A51F2"/>
    <w:rsid w:val="008A5422"/>
    <w:rsid w:val="008A5457"/>
    <w:rsid w:val="008A545C"/>
    <w:rsid w:val="008A5467"/>
    <w:rsid w:val="008A54CC"/>
    <w:rsid w:val="008A54E8"/>
    <w:rsid w:val="008A5584"/>
    <w:rsid w:val="008A5594"/>
    <w:rsid w:val="008A55CE"/>
    <w:rsid w:val="008A55F5"/>
    <w:rsid w:val="008A5611"/>
    <w:rsid w:val="008A5688"/>
    <w:rsid w:val="008A57B7"/>
    <w:rsid w:val="008A57ED"/>
    <w:rsid w:val="008A5810"/>
    <w:rsid w:val="008A588D"/>
    <w:rsid w:val="008A58A0"/>
    <w:rsid w:val="008A58AE"/>
    <w:rsid w:val="008A5950"/>
    <w:rsid w:val="008A5B63"/>
    <w:rsid w:val="008A5B67"/>
    <w:rsid w:val="008A5B76"/>
    <w:rsid w:val="008A5BCF"/>
    <w:rsid w:val="008A5BE5"/>
    <w:rsid w:val="008A5BE8"/>
    <w:rsid w:val="008A5C2B"/>
    <w:rsid w:val="008A5D1A"/>
    <w:rsid w:val="008A5D21"/>
    <w:rsid w:val="008A5D4C"/>
    <w:rsid w:val="008A5E07"/>
    <w:rsid w:val="008A5E2C"/>
    <w:rsid w:val="008A5EE5"/>
    <w:rsid w:val="008A5F58"/>
    <w:rsid w:val="008A5F62"/>
    <w:rsid w:val="008A5F9C"/>
    <w:rsid w:val="008A5FB2"/>
    <w:rsid w:val="008A614F"/>
    <w:rsid w:val="008A61D7"/>
    <w:rsid w:val="008A61EB"/>
    <w:rsid w:val="008A621D"/>
    <w:rsid w:val="008A6291"/>
    <w:rsid w:val="008A62D4"/>
    <w:rsid w:val="008A633B"/>
    <w:rsid w:val="008A636B"/>
    <w:rsid w:val="008A641A"/>
    <w:rsid w:val="008A6421"/>
    <w:rsid w:val="008A642B"/>
    <w:rsid w:val="008A6435"/>
    <w:rsid w:val="008A6536"/>
    <w:rsid w:val="008A65C1"/>
    <w:rsid w:val="008A65D5"/>
    <w:rsid w:val="008A6692"/>
    <w:rsid w:val="008A66D7"/>
    <w:rsid w:val="008A67EF"/>
    <w:rsid w:val="008A6809"/>
    <w:rsid w:val="008A684D"/>
    <w:rsid w:val="008A6905"/>
    <w:rsid w:val="008A6934"/>
    <w:rsid w:val="008A69FB"/>
    <w:rsid w:val="008A6A61"/>
    <w:rsid w:val="008A6A72"/>
    <w:rsid w:val="008A6C6D"/>
    <w:rsid w:val="008A6CB5"/>
    <w:rsid w:val="008A6CBE"/>
    <w:rsid w:val="008A6E00"/>
    <w:rsid w:val="008A6E7A"/>
    <w:rsid w:val="008A6E80"/>
    <w:rsid w:val="008A6EA6"/>
    <w:rsid w:val="008A6EB2"/>
    <w:rsid w:val="008A6FBA"/>
    <w:rsid w:val="008A7062"/>
    <w:rsid w:val="008A7075"/>
    <w:rsid w:val="008A7101"/>
    <w:rsid w:val="008A7199"/>
    <w:rsid w:val="008A7208"/>
    <w:rsid w:val="008A7210"/>
    <w:rsid w:val="008A7225"/>
    <w:rsid w:val="008A7241"/>
    <w:rsid w:val="008A7269"/>
    <w:rsid w:val="008A7385"/>
    <w:rsid w:val="008A73BF"/>
    <w:rsid w:val="008A749C"/>
    <w:rsid w:val="008A74BE"/>
    <w:rsid w:val="008A74CA"/>
    <w:rsid w:val="008A757B"/>
    <w:rsid w:val="008A75F6"/>
    <w:rsid w:val="008A763C"/>
    <w:rsid w:val="008A77B9"/>
    <w:rsid w:val="008A785C"/>
    <w:rsid w:val="008A7993"/>
    <w:rsid w:val="008A799F"/>
    <w:rsid w:val="008A79A2"/>
    <w:rsid w:val="008A7A27"/>
    <w:rsid w:val="008A7A48"/>
    <w:rsid w:val="008A7B1E"/>
    <w:rsid w:val="008A7B4A"/>
    <w:rsid w:val="008A7B4B"/>
    <w:rsid w:val="008A7B5A"/>
    <w:rsid w:val="008A7B8E"/>
    <w:rsid w:val="008A7BB4"/>
    <w:rsid w:val="008A7BD9"/>
    <w:rsid w:val="008A7C00"/>
    <w:rsid w:val="008A7CA2"/>
    <w:rsid w:val="008A7CE8"/>
    <w:rsid w:val="008A7D5A"/>
    <w:rsid w:val="008A7DD6"/>
    <w:rsid w:val="008A7ED8"/>
    <w:rsid w:val="008A7F8F"/>
    <w:rsid w:val="008B001A"/>
    <w:rsid w:val="008B004B"/>
    <w:rsid w:val="008B0133"/>
    <w:rsid w:val="008B017B"/>
    <w:rsid w:val="008B017C"/>
    <w:rsid w:val="008B01F0"/>
    <w:rsid w:val="008B01FA"/>
    <w:rsid w:val="008B0240"/>
    <w:rsid w:val="008B0274"/>
    <w:rsid w:val="008B0349"/>
    <w:rsid w:val="008B0364"/>
    <w:rsid w:val="008B038A"/>
    <w:rsid w:val="008B045B"/>
    <w:rsid w:val="008B04F1"/>
    <w:rsid w:val="008B05D5"/>
    <w:rsid w:val="008B073D"/>
    <w:rsid w:val="008B0788"/>
    <w:rsid w:val="008B0806"/>
    <w:rsid w:val="008B08C1"/>
    <w:rsid w:val="008B0911"/>
    <w:rsid w:val="008B0A14"/>
    <w:rsid w:val="008B0A8B"/>
    <w:rsid w:val="008B0AA3"/>
    <w:rsid w:val="008B0AE3"/>
    <w:rsid w:val="008B0C25"/>
    <w:rsid w:val="008B0D95"/>
    <w:rsid w:val="008B0DA5"/>
    <w:rsid w:val="008B0DCF"/>
    <w:rsid w:val="008B0F1E"/>
    <w:rsid w:val="008B0F47"/>
    <w:rsid w:val="008B0F4B"/>
    <w:rsid w:val="008B0F89"/>
    <w:rsid w:val="008B0FAB"/>
    <w:rsid w:val="008B1041"/>
    <w:rsid w:val="008B112B"/>
    <w:rsid w:val="008B1161"/>
    <w:rsid w:val="008B116D"/>
    <w:rsid w:val="008B1221"/>
    <w:rsid w:val="008B1271"/>
    <w:rsid w:val="008B12C8"/>
    <w:rsid w:val="008B133F"/>
    <w:rsid w:val="008B1344"/>
    <w:rsid w:val="008B13E4"/>
    <w:rsid w:val="008B1476"/>
    <w:rsid w:val="008B14A8"/>
    <w:rsid w:val="008B14DD"/>
    <w:rsid w:val="008B15C5"/>
    <w:rsid w:val="008B1629"/>
    <w:rsid w:val="008B1641"/>
    <w:rsid w:val="008B166D"/>
    <w:rsid w:val="008B1763"/>
    <w:rsid w:val="008B1B0D"/>
    <w:rsid w:val="008B1BCF"/>
    <w:rsid w:val="008B1BFE"/>
    <w:rsid w:val="008B1C1D"/>
    <w:rsid w:val="008B1C36"/>
    <w:rsid w:val="008B1C61"/>
    <w:rsid w:val="008B1D0A"/>
    <w:rsid w:val="008B1DE2"/>
    <w:rsid w:val="008B1E53"/>
    <w:rsid w:val="008B1ED9"/>
    <w:rsid w:val="008B1F7E"/>
    <w:rsid w:val="008B1F8F"/>
    <w:rsid w:val="008B2080"/>
    <w:rsid w:val="008B209B"/>
    <w:rsid w:val="008B20F9"/>
    <w:rsid w:val="008B20FF"/>
    <w:rsid w:val="008B2118"/>
    <w:rsid w:val="008B2217"/>
    <w:rsid w:val="008B2287"/>
    <w:rsid w:val="008B228C"/>
    <w:rsid w:val="008B229F"/>
    <w:rsid w:val="008B22A2"/>
    <w:rsid w:val="008B2308"/>
    <w:rsid w:val="008B231B"/>
    <w:rsid w:val="008B23AD"/>
    <w:rsid w:val="008B23F8"/>
    <w:rsid w:val="008B2453"/>
    <w:rsid w:val="008B2459"/>
    <w:rsid w:val="008B24F2"/>
    <w:rsid w:val="008B255E"/>
    <w:rsid w:val="008B268F"/>
    <w:rsid w:val="008B2778"/>
    <w:rsid w:val="008B2799"/>
    <w:rsid w:val="008B2838"/>
    <w:rsid w:val="008B288D"/>
    <w:rsid w:val="008B28F4"/>
    <w:rsid w:val="008B2AF7"/>
    <w:rsid w:val="008B2B27"/>
    <w:rsid w:val="008B2B56"/>
    <w:rsid w:val="008B2BC9"/>
    <w:rsid w:val="008B2C52"/>
    <w:rsid w:val="008B2CAD"/>
    <w:rsid w:val="008B2CC6"/>
    <w:rsid w:val="008B2DA6"/>
    <w:rsid w:val="008B2DD8"/>
    <w:rsid w:val="008B2E18"/>
    <w:rsid w:val="008B2F25"/>
    <w:rsid w:val="008B2F5B"/>
    <w:rsid w:val="008B2FA9"/>
    <w:rsid w:val="008B2FF9"/>
    <w:rsid w:val="008B3015"/>
    <w:rsid w:val="008B306C"/>
    <w:rsid w:val="008B3072"/>
    <w:rsid w:val="008B30D9"/>
    <w:rsid w:val="008B30EA"/>
    <w:rsid w:val="008B3203"/>
    <w:rsid w:val="008B3223"/>
    <w:rsid w:val="008B328B"/>
    <w:rsid w:val="008B32AD"/>
    <w:rsid w:val="008B33CD"/>
    <w:rsid w:val="008B343B"/>
    <w:rsid w:val="008B34E3"/>
    <w:rsid w:val="008B34FC"/>
    <w:rsid w:val="008B352E"/>
    <w:rsid w:val="008B356A"/>
    <w:rsid w:val="008B357E"/>
    <w:rsid w:val="008B3596"/>
    <w:rsid w:val="008B3692"/>
    <w:rsid w:val="008B36E3"/>
    <w:rsid w:val="008B3799"/>
    <w:rsid w:val="008B3829"/>
    <w:rsid w:val="008B382F"/>
    <w:rsid w:val="008B38A4"/>
    <w:rsid w:val="008B3998"/>
    <w:rsid w:val="008B39CC"/>
    <w:rsid w:val="008B3A3C"/>
    <w:rsid w:val="008B3A94"/>
    <w:rsid w:val="008B3B1C"/>
    <w:rsid w:val="008B3B21"/>
    <w:rsid w:val="008B3B5C"/>
    <w:rsid w:val="008B3BAC"/>
    <w:rsid w:val="008B3C4F"/>
    <w:rsid w:val="008B3CC8"/>
    <w:rsid w:val="008B3D5F"/>
    <w:rsid w:val="008B3E63"/>
    <w:rsid w:val="008B3E6B"/>
    <w:rsid w:val="008B3E7D"/>
    <w:rsid w:val="008B3EAD"/>
    <w:rsid w:val="008B3ECF"/>
    <w:rsid w:val="008B3EEA"/>
    <w:rsid w:val="008B3F76"/>
    <w:rsid w:val="008B402D"/>
    <w:rsid w:val="008B4100"/>
    <w:rsid w:val="008B4152"/>
    <w:rsid w:val="008B41D8"/>
    <w:rsid w:val="008B41F0"/>
    <w:rsid w:val="008B4254"/>
    <w:rsid w:val="008B42DF"/>
    <w:rsid w:val="008B43FA"/>
    <w:rsid w:val="008B4450"/>
    <w:rsid w:val="008B445E"/>
    <w:rsid w:val="008B449D"/>
    <w:rsid w:val="008B44E9"/>
    <w:rsid w:val="008B450D"/>
    <w:rsid w:val="008B4510"/>
    <w:rsid w:val="008B454D"/>
    <w:rsid w:val="008B455C"/>
    <w:rsid w:val="008B45FE"/>
    <w:rsid w:val="008B4653"/>
    <w:rsid w:val="008B4785"/>
    <w:rsid w:val="008B47A3"/>
    <w:rsid w:val="008B47BC"/>
    <w:rsid w:val="008B480B"/>
    <w:rsid w:val="008B481F"/>
    <w:rsid w:val="008B4925"/>
    <w:rsid w:val="008B493A"/>
    <w:rsid w:val="008B4A95"/>
    <w:rsid w:val="008B4AFC"/>
    <w:rsid w:val="008B4B2E"/>
    <w:rsid w:val="008B4BBD"/>
    <w:rsid w:val="008B4CA6"/>
    <w:rsid w:val="008B4CA9"/>
    <w:rsid w:val="008B4CCD"/>
    <w:rsid w:val="008B4D46"/>
    <w:rsid w:val="008B4DC7"/>
    <w:rsid w:val="008B4DD6"/>
    <w:rsid w:val="008B4E84"/>
    <w:rsid w:val="008B4F8C"/>
    <w:rsid w:val="008B4F91"/>
    <w:rsid w:val="008B5029"/>
    <w:rsid w:val="008B5049"/>
    <w:rsid w:val="008B5108"/>
    <w:rsid w:val="008B511F"/>
    <w:rsid w:val="008B513F"/>
    <w:rsid w:val="008B5171"/>
    <w:rsid w:val="008B5227"/>
    <w:rsid w:val="008B5261"/>
    <w:rsid w:val="008B52B3"/>
    <w:rsid w:val="008B53B7"/>
    <w:rsid w:val="008B53D5"/>
    <w:rsid w:val="008B5411"/>
    <w:rsid w:val="008B5452"/>
    <w:rsid w:val="008B545D"/>
    <w:rsid w:val="008B5482"/>
    <w:rsid w:val="008B54D4"/>
    <w:rsid w:val="008B54E2"/>
    <w:rsid w:val="008B5537"/>
    <w:rsid w:val="008B554F"/>
    <w:rsid w:val="008B5552"/>
    <w:rsid w:val="008B55D7"/>
    <w:rsid w:val="008B55DE"/>
    <w:rsid w:val="008B5695"/>
    <w:rsid w:val="008B56DB"/>
    <w:rsid w:val="008B582B"/>
    <w:rsid w:val="008B583C"/>
    <w:rsid w:val="008B5892"/>
    <w:rsid w:val="008B58A9"/>
    <w:rsid w:val="008B58BC"/>
    <w:rsid w:val="008B58E8"/>
    <w:rsid w:val="008B5929"/>
    <w:rsid w:val="008B5938"/>
    <w:rsid w:val="008B594B"/>
    <w:rsid w:val="008B59A8"/>
    <w:rsid w:val="008B5A12"/>
    <w:rsid w:val="008B5A16"/>
    <w:rsid w:val="008B5A33"/>
    <w:rsid w:val="008B5A55"/>
    <w:rsid w:val="008B5B24"/>
    <w:rsid w:val="008B5B8A"/>
    <w:rsid w:val="008B5CA4"/>
    <w:rsid w:val="008B5D27"/>
    <w:rsid w:val="008B5D64"/>
    <w:rsid w:val="008B5DA5"/>
    <w:rsid w:val="008B5F97"/>
    <w:rsid w:val="008B600B"/>
    <w:rsid w:val="008B625C"/>
    <w:rsid w:val="008B62F9"/>
    <w:rsid w:val="008B6329"/>
    <w:rsid w:val="008B641E"/>
    <w:rsid w:val="008B6494"/>
    <w:rsid w:val="008B64B9"/>
    <w:rsid w:val="008B653C"/>
    <w:rsid w:val="008B657B"/>
    <w:rsid w:val="008B65CD"/>
    <w:rsid w:val="008B664B"/>
    <w:rsid w:val="008B6692"/>
    <w:rsid w:val="008B66E8"/>
    <w:rsid w:val="008B68B6"/>
    <w:rsid w:val="008B68F4"/>
    <w:rsid w:val="008B69B0"/>
    <w:rsid w:val="008B6AA7"/>
    <w:rsid w:val="008B6C5C"/>
    <w:rsid w:val="008B6CC2"/>
    <w:rsid w:val="008B6D00"/>
    <w:rsid w:val="008B6DCC"/>
    <w:rsid w:val="008B6E27"/>
    <w:rsid w:val="008B6EA4"/>
    <w:rsid w:val="008B6EFD"/>
    <w:rsid w:val="008B6F49"/>
    <w:rsid w:val="008B6FF1"/>
    <w:rsid w:val="008B7098"/>
    <w:rsid w:val="008B70E3"/>
    <w:rsid w:val="008B71D0"/>
    <w:rsid w:val="008B727C"/>
    <w:rsid w:val="008B7356"/>
    <w:rsid w:val="008B7372"/>
    <w:rsid w:val="008B73A8"/>
    <w:rsid w:val="008B73B9"/>
    <w:rsid w:val="008B73BE"/>
    <w:rsid w:val="008B7440"/>
    <w:rsid w:val="008B74D2"/>
    <w:rsid w:val="008B7519"/>
    <w:rsid w:val="008B7521"/>
    <w:rsid w:val="008B7561"/>
    <w:rsid w:val="008B767D"/>
    <w:rsid w:val="008B76A0"/>
    <w:rsid w:val="008B7748"/>
    <w:rsid w:val="008B77B0"/>
    <w:rsid w:val="008B785D"/>
    <w:rsid w:val="008B7890"/>
    <w:rsid w:val="008B78B5"/>
    <w:rsid w:val="008B78CC"/>
    <w:rsid w:val="008B79E0"/>
    <w:rsid w:val="008B7A1A"/>
    <w:rsid w:val="008B7A33"/>
    <w:rsid w:val="008B7B9C"/>
    <w:rsid w:val="008B7BA7"/>
    <w:rsid w:val="008B7C45"/>
    <w:rsid w:val="008B7C7A"/>
    <w:rsid w:val="008C001E"/>
    <w:rsid w:val="008C004A"/>
    <w:rsid w:val="008C0084"/>
    <w:rsid w:val="008C022D"/>
    <w:rsid w:val="008C0308"/>
    <w:rsid w:val="008C041F"/>
    <w:rsid w:val="008C0474"/>
    <w:rsid w:val="008C0484"/>
    <w:rsid w:val="008C05F8"/>
    <w:rsid w:val="008C0635"/>
    <w:rsid w:val="008C0662"/>
    <w:rsid w:val="008C06B3"/>
    <w:rsid w:val="008C06F5"/>
    <w:rsid w:val="008C07F7"/>
    <w:rsid w:val="008C0821"/>
    <w:rsid w:val="008C08DC"/>
    <w:rsid w:val="008C09EB"/>
    <w:rsid w:val="008C0A0D"/>
    <w:rsid w:val="008C0A92"/>
    <w:rsid w:val="008C0ABB"/>
    <w:rsid w:val="008C0ADD"/>
    <w:rsid w:val="008C0B6D"/>
    <w:rsid w:val="008C0C14"/>
    <w:rsid w:val="008C0C2F"/>
    <w:rsid w:val="008C0C8F"/>
    <w:rsid w:val="008C0CAC"/>
    <w:rsid w:val="008C0D02"/>
    <w:rsid w:val="008C0E0A"/>
    <w:rsid w:val="008C0E53"/>
    <w:rsid w:val="008C0E8E"/>
    <w:rsid w:val="008C0FC4"/>
    <w:rsid w:val="008C100A"/>
    <w:rsid w:val="008C1041"/>
    <w:rsid w:val="008C10BA"/>
    <w:rsid w:val="008C1145"/>
    <w:rsid w:val="008C1178"/>
    <w:rsid w:val="008C137D"/>
    <w:rsid w:val="008C13C5"/>
    <w:rsid w:val="008C13DE"/>
    <w:rsid w:val="008C140A"/>
    <w:rsid w:val="008C1420"/>
    <w:rsid w:val="008C14BD"/>
    <w:rsid w:val="008C1528"/>
    <w:rsid w:val="008C1589"/>
    <w:rsid w:val="008C1598"/>
    <w:rsid w:val="008C15EF"/>
    <w:rsid w:val="008C15F1"/>
    <w:rsid w:val="008C1614"/>
    <w:rsid w:val="008C163F"/>
    <w:rsid w:val="008C1656"/>
    <w:rsid w:val="008C165F"/>
    <w:rsid w:val="008C169B"/>
    <w:rsid w:val="008C17D5"/>
    <w:rsid w:val="008C183B"/>
    <w:rsid w:val="008C1845"/>
    <w:rsid w:val="008C184C"/>
    <w:rsid w:val="008C18E0"/>
    <w:rsid w:val="008C1904"/>
    <w:rsid w:val="008C1917"/>
    <w:rsid w:val="008C19A8"/>
    <w:rsid w:val="008C1ABA"/>
    <w:rsid w:val="008C1AFE"/>
    <w:rsid w:val="008C1B39"/>
    <w:rsid w:val="008C1D07"/>
    <w:rsid w:val="008C1DA7"/>
    <w:rsid w:val="008C1EF1"/>
    <w:rsid w:val="008C1FF0"/>
    <w:rsid w:val="008C20EF"/>
    <w:rsid w:val="008C2118"/>
    <w:rsid w:val="008C212C"/>
    <w:rsid w:val="008C21DC"/>
    <w:rsid w:val="008C2246"/>
    <w:rsid w:val="008C227E"/>
    <w:rsid w:val="008C2285"/>
    <w:rsid w:val="008C2399"/>
    <w:rsid w:val="008C23EA"/>
    <w:rsid w:val="008C2489"/>
    <w:rsid w:val="008C248A"/>
    <w:rsid w:val="008C248D"/>
    <w:rsid w:val="008C24A8"/>
    <w:rsid w:val="008C24D2"/>
    <w:rsid w:val="008C2555"/>
    <w:rsid w:val="008C259E"/>
    <w:rsid w:val="008C25EE"/>
    <w:rsid w:val="008C2603"/>
    <w:rsid w:val="008C26C4"/>
    <w:rsid w:val="008C2781"/>
    <w:rsid w:val="008C27A3"/>
    <w:rsid w:val="008C2865"/>
    <w:rsid w:val="008C28BF"/>
    <w:rsid w:val="008C2A3E"/>
    <w:rsid w:val="008C2ADD"/>
    <w:rsid w:val="008C2B96"/>
    <w:rsid w:val="008C2B9B"/>
    <w:rsid w:val="008C2BD9"/>
    <w:rsid w:val="008C2BFD"/>
    <w:rsid w:val="008C2DC8"/>
    <w:rsid w:val="008C2DE4"/>
    <w:rsid w:val="008C2F59"/>
    <w:rsid w:val="008C2FC1"/>
    <w:rsid w:val="008C305B"/>
    <w:rsid w:val="008C309F"/>
    <w:rsid w:val="008C30BF"/>
    <w:rsid w:val="008C3189"/>
    <w:rsid w:val="008C31FC"/>
    <w:rsid w:val="008C3337"/>
    <w:rsid w:val="008C338C"/>
    <w:rsid w:val="008C33B5"/>
    <w:rsid w:val="008C3528"/>
    <w:rsid w:val="008C3570"/>
    <w:rsid w:val="008C35F5"/>
    <w:rsid w:val="008C36AE"/>
    <w:rsid w:val="008C370F"/>
    <w:rsid w:val="008C3786"/>
    <w:rsid w:val="008C378C"/>
    <w:rsid w:val="008C38BE"/>
    <w:rsid w:val="008C3909"/>
    <w:rsid w:val="008C398A"/>
    <w:rsid w:val="008C3A30"/>
    <w:rsid w:val="008C3ADE"/>
    <w:rsid w:val="008C3B45"/>
    <w:rsid w:val="008C3B97"/>
    <w:rsid w:val="008C3BA7"/>
    <w:rsid w:val="008C3BDA"/>
    <w:rsid w:val="008C3C0D"/>
    <w:rsid w:val="008C3C2A"/>
    <w:rsid w:val="008C3C4F"/>
    <w:rsid w:val="008C3C5B"/>
    <w:rsid w:val="008C3CEF"/>
    <w:rsid w:val="008C3D26"/>
    <w:rsid w:val="008C3E2A"/>
    <w:rsid w:val="008C3F70"/>
    <w:rsid w:val="008C3FCC"/>
    <w:rsid w:val="008C3FD7"/>
    <w:rsid w:val="008C40C8"/>
    <w:rsid w:val="008C4160"/>
    <w:rsid w:val="008C41BD"/>
    <w:rsid w:val="008C42C9"/>
    <w:rsid w:val="008C430C"/>
    <w:rsid w:val="008C43C0"/>
    <w:rsid w:val="008C43D9"/>
    <w:rsid w:val="008C4557"/>
    <w:rsid w:val="008C459B"/>
    <w:rsid w:val="008C459C"/>
    <w:rsid w:val="008C4630"/>
    <w:rsid w:val="008C474E"/>
    <w:rsid w:val="008C4807"/>
    <w:rsid w:val="008C480F"/>
    <w:rsid w:val="008C4833"/>
    <w:rsid w:val="008C483F"/>
    <w:rsid w:val="008C4864"/>
    <w:rsid w:val="008C48C3"/>
    <w:rsid w:val="008C48F9"/>
    <w:rsid w:val="008C4950"/>
    <w:rsid w:val="008C4965"/>
    <w:rsid w:val="008C49CA"/>
    <w:rsid w:val="008C4A40"/>
    <w:rsid w:val="008C4A68"/>
    <w:rsid w:val="008C4B17"/>
    <w:rsid w:val="008C4B74"/>
    <w:rsid w:val="008C4BA4"/>
    <w:rsid w:val="008C4BBE"/>
    <w:rsid w:val="008C4C28"/>
    <w:rsid w:val="008C4C3A"/>
    <w:rsid w:val="008C4C67"/>
    <w:rsid w:val="008C4C93"/>
    <w:rsid w:val="008C4D05"/>
    <w:rsid w:val="008C4DC6"/>
    <w:rsid w:val="008C4E47"/>
    <w:rsid w:val="008C4E56"/>
    <w:rsid w:val="008C4EE1"/>
    <w:rsid w:val="008C4F08"/>
    <w:rsid w:val="008C4F0E"/>
    <w:rsid w:val="008C4FF2"/>
    <w:rsid w:val="008C5052"/>
    <w:rsid w:val="008C50CC"/>
    <w:rsid w:val="008C50F5"/>
    <w:rsid w:val="008C5139"/>
    <w:rsid w:val="008C5205"/>
    <w:rsid w:val="008C5234"/>
    <w:rsid w:val="008C5255"/>
    <w:rsid w:val="008C52AF"/>
    <w:rsid w:val="008C52D4"/>
    <w:rsid w:val="008C52E9"/>
    <w:rsid w:val="008C5352"/>
    <w:rsid w:val="008C5462"/>
    <w:rsid w:val="008C557B"/>
    <w:rsid w:val="008C55B1"/>
    <w:rsid w:val="008C562D"/>
    <w:rsid w:val="008C577F"/>
    <w:rsid w:val="008C581E"/>
    <w:rsid w:val="008C5856"/>
    <w:rsid w:val="008C5863"/>
    <w:rsid w:val="008C5897"/>
    <w:rsid w:val="008C59F9"/>
    <w:rsid w:val="008C5AFE"/>
    <w:rsid w:val="008C5B03"/>
    <w:rsid w:val="008C5BD1"/>
    <w:rsid w:val="008C5CB4"/>
    <w:rsid w:val="008C5CD5"/>
    <w:rsid w:val="008C5DA2"/>
    <w:rsid w:val="008C5DEC"/>
    <w:rsid w:val="008C5E9F"/>
    <w:rsid w:val="008C5EC0"/>
    <w:rsid w:val="008C5EC5"/>
    <w:rsid w:val="008C5EF7"/>
    <w:rsid w:val="008C5F11"/>
    <w:rsid w:val="008C5F41"/>
    <w:rsid w:val="008C60A5"/>
    <w:rsid w:val="008C60D4"/>
    <w:rsid w:val="008C60F8"/>
    <w:rsid w:val="008C618B"/>
    <w:rsid w:val="008C627E"/>
    <w:rsid w:val="008C6315"/>
    <w:rsid w:val="008C6325"/>
    <w:rsid w:val="008C6329"/>
    <w:rsid w:val="008C632E"/>
    <w:rsid w:val="008C637D"/>
    <w:rsid w:val="008C6408"/>
    <w:rsid w:val="008C642F"/>
    <w:rsid w:val="008C6468"/>
    <w:rsid w:val="008C648D"/>
    <w:rsid w:val="008C64F3"/>
    <w:rsid w:val="008C6574"/>
    <w:rsid w:val="008C65FE"/>
    <w:rsid w:val="008C677F"/>
    <w:rsid w:val="008C67A8"/>
    <w:rsid w:val="008C67B0"/>
    <w:rsid w:val="008C67B8"/>
    <w:rsid w:val="008C67C3"/>
    <w:rsid w:val="008C67E2"/>
    <w:rsid w:val="008C68F0"/>
    <w:rsid w:val="008C6988"/>
    <w:rsid w:val="008C699B"/>
    <w:rsid w:val="008C6AA5"/>
    <w:rsid w:val="008C6ACD"/>
    <w:rsid w:val="008C6B44"/>
    <w:rsid w:val="008C6C1F"/>
    <w:rsid w:val="008C6C42"/>
    <w:rsid w:val="008C6CB0"/>
    <w:rsid w:val="008C6D2A"/>
    <w:rsid w:val="008C6D44"/>
    <w:rsid w:val="008C6DBA"/>
    <w:rsid w:val="008C6E04"/>
    <w:rsid w:val="008C6F09"/>
    <w:rsid w:val="008C6F7C"/>
    <w:rsid w:val="008C6F9D"/>
    <w:rsid w:val="008C7005"/>
    <w:rsid w:val="008C7045"/>
    <w:rsid w:val="008C7080"/>
    <w:rsid w:val="008C708F"/>
    <w:rsid w:val="008C70B4"/>
    <w:rsid w:val="008C70C5"/>
    <w:rsid w:val="008C70F4"/>
    <w:rsid w:val="008C7132"/>
    <w:rsid w:val="008C7135"/>
    <w:rsid w:val="008C71B7"/>
    <w:rsid w:val="008C7201"/>
    <w:rsid w:val="008C72DC"/>
    <w:rsid w:val="008C73FD"/>
    <w:rsid w:val="008C7522"/>
    <w:rsid w:val="008C75B5"/>
    <w:rsid w:val="008C75C9"/>
    <w:rsid w:val="008C7642"/>
    <w:rsid w:val="008C7733"/>
    <w:rsid w:val="008C7755"/>
    <w:rsid w:val="008C775B"/>
    <w:rsid w:val="008C78D1"/>
    <w:rsid w:val="008C78F1"/>
    <w:rsid w:val="008C7924"/>
    <w:rsid w:val="008C79A6"/>
    <w:rsid w:val="008C7A17"/>
    <w:rsid w:val="008C7A7A"/>
    <w:rsid w:val="008C7B71"/>
    <w:rsid w:val="008C7B93"/>
    <w:rsid w:val="008C7BA3"/>
    <w:rsid w:val="008C7BEA"/>
    <w:rsid w:val="008C7C38"/>
    <w:rsid w:val="008C7CB4"/>
    <w:rsid w:val="008C7D0A"/>
    <w:rsid w:val="008C7D6A"/>
    <w:rsid w:val="008C7D82"/>
    <w:rsid w:val="008C7F9A"/>
    <w:rsid w:val="008C7FAF"/>
    <w:rsid w:val="008C7FBC"/>
    <w:rsid w:val="008C7FFA"/>
    <w:rsid w:val="008D0109"/>
    <w:rsid w:val="008D0110"/>
    <w:rsid w:val="008D0165"/>
    <w:rsid w:val="008D01AA"/>
    <w:rsid w:val="008D01CB"/>
    <w:rsid w:val="008D022C"/>
    <w:rsid w:val="008D025D"/>
    <w:rsid w:val="008D035C"/>
    <w:rsid w:val="008D038E"/>
    <w:rsid w:val="008D03A3"/>
    <w:rsid w:val="008D044D"/>
    <w:rsid w:val="008D04BA"/>
    <w:rsid w:val="008D0528"/>
    <w:rsid w:val="008D05E6"/>
    <w:rsid w:val="008D063A"/>
    <w:rsid w:val="008D069F"/>
    <w:rsid w:val="008D0772"/>
    <w:rsid w:val="008D0789"/>
    <w:rsid w:val="008D079C"/>
    <w:rsid w:val="008D07F1"/>
    <w:rsid w:val="008D08CA"/>
    <w:rsid w:val="008D08D5"/>
    <w:rsid w:val="008D0917"/>
    <w:rsid w:val="008D09AB"/>
    <w:rsid w:val="008D09F0"/>
    <w:rsid w:val="008D0A04"/>
    <w:rsid w:val="008D0A2F"/>
    <w:rsid w:val="008D0A57"/>
    <w:rsid w:val="008D0ABC"/>
    <w:rsid w:val="008D0BDE"/>
    <w:rsid w:val="008D0C05"/>
    <w:rsid w:val="008D0C4B"/>
    <w:rsid w:val="008D0C59"/>
    <w:rsid w:val="008D0C79"/>
    <w:rsid w:val="008D0C7A"/>
    <w:rsid w:val="008D0D07"/>
    <w:rsid w:val="008D0DBC"/>
    <w:rsid w:val="008D0DF0"/>
    <w:rsid w:val="008D0E72"/>
    <w:rsid w:val="008D0EB4"/>
    <w:rsid w:val="008D0ED6"/>
    <w:rsid w:val="008D0F02"/>
    <w:rsid w:val="008D0F35"/>
    <w:rsid w:val="008D0FBB"/>
    <w:rsid w:val="008D1118"/>
    <w:rsid w:val="008D11E2"/>
    <w:rsid w:val="008D1286"/>
    <w:rsid w:val="008D12DE"/>
    <w:rsid w:val="008D130E"/>
    <w:rsid w:val="008D1441"/>
    <w:rsid w:val="008D14BC"/>
    <w:rsid w:val="008D155D"/>
    <w:rsid w:val="008D15B2"/>
    <w:rsid w:val="008D15D2"/>
    <w:rsid w:val="008D1604"/>
    <w:rsid w:val="008D167F"/>
    <w:rsid w:val="008D1736"/>
    <w:rsid w:val="008D17CD"/>
    <w:rsid w:val="008D17EB"/>
    <w:rsid w:val="008D1839"/>
    <w:rsid w:val="008D185A"/>
    <w:rsid w:val="008D1929"/>
    <w:rsid w:val="008D1954"/>
    <w:rsid w:val="008D19AC"/>
    <w:rsid w:val="008D19F7"/>
    <w:rsid w:val="008D1A05"/>
    <w:rsid w:val="008D1AF6"/>
    <w:rsid w:val="008D1AF9"/>
    <w:rsid w:val="008D1B12"/>
    <w:rsid w:val="008D1B2A"/>
    <w:rsid w:val="008D1B4D"/>
    <w:rsid w:val="008D1B5E"/>
    <w:rsid w:val="008D1BB7"/>
    <w:rsid w:val="008D1C3F"/>
    <w:rsid w:val="008D1C50"/>
    <w:rsid w:val="008D1C85"/>
    <w:rsid w:val="008D1CDA"/>
    <w:rsid w:val="008D1D2B"/>
    <w:rsid w:val="008D1DD1"/>
    <w:rsid w:val="008D1DE1"/>
    <w:rsid w:val="008D1E27"/>
    <w:rsid w:val="008D1E4C"/>
    <w:rsid w:val="008D1E68"/>
    <w:rsid w:val="008D1ED0"/>
    <w:rsid w:val="008D1FA4"/>
    <w:rsid w:val="008D2031"/>
    <w:rsid w:val="008D2107"/>
    <w:rsid w:val="008D2201"/>
    <w:rsid w:val="008D2215"/>
    <w:rsid w:val="008D2220"/>
    <w:rsid w:val="008D228B"/>
    <w:rsid w:val="008D22C1"/>
    <w:rsid w:val="008D235A"/>
    <w:rsid w:val="008D237E"/>
    <w:rsid w:val="008D2393"/>
    <w:rsid w:val="008D239E"/>
    <w:rsid w:val="008D23B8"/>
    <w:rsid w:val="008D248D"/>
    <w:rsid w:val="008D24BC"/>
    <w:rsid w:val="008D24CC"/>
    <w:rsid w:val="008D26F1"/>
    <w:rsid w:val="008D2706"/>
    <w:rsid w:val="008D27DF"/>
    <w:rsid w:val="008D2839"/>
    <w:rsid w:val="008D2885"/>
    <w:rsid w:val="008D296C"/>
    <w:rsid w:val="008D2984"/>
    <w:rsid w:val="008D2A0A"/>
    <w:rsid w:val="008D2A6B"/>
    <w:rsid w:val="008D2A7B"/>
    <w:rsid w:val="008D2AFE"/>
    <w:rsid w:val="008D2B13"/>
    <w:rsid w:val="008D2B73"/>
    <w:rsid w:val="008D2BB9"/>
    <w:rsid w:val="008D2BE6"/>
    <w:rsid w:val="008D2C6F"/>
    <w:rsid w:val="008D2C8B"/>
    <w:rsid w:val="008D2DBE"/>
    <w:rsid w:val="008D2E05"/>
    <w:rsid w:val="008D2E07"/>
    <w:rsid w:val="008D2E33"/>
    <w:rsid w:val="008D2E3E"/>
    <w:rsid w:val="008D2E52"/>
    <w:rsid w:val="008D2E79"/>
    <w:rsid w:val="008D2EB6"/>
    <w:rsid w:val="008D2EF3"/>
    <w:rsid w:val="008D2F1D"/>
    <w:rsid w:val="008D2F5B"/>
    <w:rsid w:val="008D2F73"/>
    <w:rsid w:val="008D2F77"/>
    <w:rsid w:val="008D3049"/>
    <w:rsid w:val="008D307E"/>
    <w:rsid w:val="008D320F"/>
    <w:rsid w:val="008D3242"/>
    <w:rsid w:val="008D3380"/>
    <w:rsid w:val="008D33BF"/>
    <w:rsid w:val="008D343A"/>
    <w:rsid w:val="008D343D"/>
    <w:rsid w:val="008D3560"/>
    <w:rsid w:val="008D35C4"/>
    <w:rsid w:val="008D35D8"/>
    <w:rsid w:val="008D3656"/>
    <w:rsid w:val="008D366C"/>
    <w:rsid w:val="008D36D4"/>
    <w:rsid w:val="008D36FD"/>
    <w:rsid w:val="008D3721"/>
    <w:rsid w:val="008D377D"/>
    <w:rsid w:val="008D379E"/>
    <w:rsid w:val="008D37FC"/>
    <w:rsid w:val="008D383C"/>
    <w:rsid w:val="008D38D7"/>
    <w:rsid w:val="008D395F"/>
    <w:rsid w:val="008D3B0D"/>
    <w:rsid w:val="008D3B28"/>
    <w:rsid w:val="008D3C04"/>
    <w:rsid w:val="008D3C21"/>
    <w:rsid w:val="008D3C37"/>
    <w:rsid w:val="008D3D21"/>
    <w:rsid w:val="008D3D5B"/>
    <w:rsid w:val="008D3E0D"/>
    <w:rsid w:val="008D3FCA"/>
    <w:rsid w:val="008D3FDA"/>
    <w:rsid w:val="008D40CD"/>
    <w:rsid w:val="008D40FB"/>
    <w:rsid w:val="008D4122"/>
    <w:rsid w:val="008D4158"/>
    <w:rsid w:val="008D4268"/>
    <w:rsid w:val="008D426F"/>
    <w:rsid w:val="008D4388"/>
    <w:rsid w:val="008D43BD"/>
    <w:rsid w:val="008D448D"/>
    <w:rsid w:val="008D44B1"/>
    <w:rsid w:val="008D44DA"/>
    <w:rsid w:val="008D4524"/>
    <w:rsid w:val="008D4532"/>
    <w:rsid w:val="008D4534"/>
    <w:rsid w:val="008D4543"/>
    <w:rsid w:val="008D457B"/>
    <w:rsid w:val="008D462A"/>
    <w:rsid w:val="008D464D"/>
    <w:rsid w:val="008D465D"/>
    <w:rsid w:val="008D46BD"/>
    <w:rsid w:val="008D46C0"/>
    <w:rsid w:val="008D473B"/>
    <w:rsid w:val="008D4749"/>
    <w:rsid w:val="008D475D"/>
    <w:rsid w:val="008D47A2"/>
    <w:rsid w:val="008D47A8"/>
    <w:rsid w:val="008D481C"/>
    <w:rsid w:val="008D484C"/>
    <w:rsid w:val="008D4890"/>
    <w:rsid w:val="008D48D2"/>
    <w:rsid w:val="008D4900"/>
    <w:rsid w:val="008D4960"/>
    <w:rsid w:val="008D49AB"/>
    <w:rsid w:val="008D49B2"/>
    <w:rsid w:val="008D49C6"/>
    <w:rsid w:val="008D4A27"/>
    <w:rsid w:val="008D4A39"/>
    <w:rsid w:val="008D4BE5"/>
    <w:rsid w:val="008D4C21"/>
    <w:rsid w:val="008D4C50"/>
    <w:rsid w:val="008D4C51"/>
    <w:rsid w:val="008D4C8A"/>
    <w:rsid w:val="008D4C90"/>
    <w:rsid w:val="008D4CDE"/>
    <w:rsid w:val="008D4D06"/>
    <w:rsid w:val="008D4D5D"/>
    <w:rsid w:val="008D4E67"/>
    <w:rsid w:val="008D4E77"/>
    <w:rsid w:val="008D4E7E"/>
    <w:rsid w:val="008D4F0F"/>
    <w:rsid w:val="008D4F26"/>
    <w:rsid w:val="008D4F59"/>
    <w:rsid w:val="008D4F8F"/>
    <w:rsid w:val="008D4FAC"/>
    <w:rsid w:val="008D4FB6"/>
    <w:rsid w:val="008D5026"/>
    <w:rsid w:val="008D5037"/>
    <w:rsid w:val="008D5157"/>
    <w:rsid w:val="008D5176"/>
    <w:rsid w:val="008D5179"/>
    <w:rsid w:val="008D517A"/>
    <w:rsid w:val="008D51A9"/>
    <w:rsid w:val="008D5256"/>
    <w:rsid w:val="008D535A"/>
    <w:rsid w:val="008D5388"/>
    <w:rsid w:val="008D53C7"/>
    <w:rsid w:val="008D5444"/>
    <w:rsid w:val="008D54AC"/>
    <w:rsid w:val="008D5596"/>
    <w:rsid w:val="008D56B5"/>
    <w:rsid w:val="008D5749"/>
    <w:rsid w:val="008D5858"/>
    <w:rsid w:val="008D5866"/>
    <w:rsid w:val="008D5893"/>
    <w:rsid w:val="008D59E3"/>
    <w:rsid w:val="008D59EF"/>
    <w:rsid w:val="008D5B25"/>
    <w:rsid w:val="008D5B31"/>
    <w:rsid w:val="008D5B73"/>
    <w:rsid w:val="008D5BAF"/>
    <w:rsid w:val="008D5BCE"/>
    <w:rsid w:val="008D5BD5"/>
    <w:rsid w:val="008D5C51"/>
    <w:rsid w:val="008D5C9F"/>
    <w:rsid w:val="008D5CF6"/>
    <w:rsid w:val="008D5D45"/>
    <w:rsid w:val="008D5D4B"/>
    <w:rsid w:val="008D5D64"/>
    <w:rsid w:val="008D5D8F"/>
    <w:rsid w:val="008D5E08"/>
    <w:rsid w:val="008D5E24"/>
    <w:rsid w:val="008D5E2D"/>
    <w:rsid w:val="008D5EEE"/>
    <w:rsid w:val="008D5F47"/>
    <w:rsid w:val="008D6090"/>
    <w:rsid w:val="008D60A9"/>
    <w:rsid w:val="008D60BF"/>
    <w:rsid w:val="008D60E2"/>
    <w:rsid w:val="008D610F"/>
    <w:rsid w:val="008D6117"/>
    <w:rsid w:val="008D611D"/>
    <w:rsid w:val="008D6279"/>
    <w:rsid w:val="008D62D4"/>
    <w:rsid w:val="008D636B"/>
    <w:rsid w:val="008D63FC"/>
    <w:rsid w:val="008D642F"/>
    <w:rsid w:val="008D644B"/>
    <w:rsid w:val="008D64A8"/>
    <w:rsid w:val="008D64AA"/>
    <w:rsid w:val="008D6613"/>
    <w:rsid w:val="008D6644"/>
    <w:rsid w:val="008D668E"/>
    <w:rsid w:val="008D6762"/>
    <w:rsid w:val="008D67AB"/>
    <w:rsid w:val="008D67C2"/>
    <w:rsid w:val="008D67CB"/>
    <w:rsid w:val="008D6888"/>
    <w:rsid w:val="008D6889"/>
    <w:rsid w:val="008D68B5"/>
    <w:rsid w:val="008D692F"/>
    <w:rsid w:val="008D699C"/>
    <w:rsid w:val="008D6A49"/>
    <w:rsid w:val="008D6A53"/>
    <w:rsid w:val="008D6A71"/>
    <w:rsid w:val="008D6ADC"/>
    <w:rsid w:val="008D6AE0"/>
    <w:rsid w:val="008D6C3F"/>
    <w:rsid w:val="008D6CAE"/>
    <w:rsid w:val="008D6CFA"/>
    <w:rsid w:val="008D6D0D"/>
    <w:rsid w:val="008D6D42"/>
    <w:rsid w:val="008D6D51"/>
    <w:rsid w:val="008D6E6C"/>
    <w:rsid w:val="008D6E7D"/>
    <w:rsid w:val="008D6F40"/>
    <w:rsid w:val="008D6F6A"/>
    <w:rsid w:val="008D6F9D"/>
    <w:rsid w:val="008D7007"/>
    <w:rsid w:val="008D70A8"/>
    <w:rsid w:val="008D723E"/>
    <w:rsid w:val="008D7247"/>
    <w:rsid w:val="008D724B"/>
    <w:rsid w:val="008D724F"/>
    <w:rsid w:val="008D7273"/>
    <w:rsid w:val="008D7300"/>
    <w:rsid w:val="008D735E"/>
    <w:rsid w:val="008D7360"/>
    <w:rsid w:val="008D73D3"/>
    <w:rsid w:val="008D73E8"/>
    <w:rsid w:val="008D73EE"/>
    <w:rsid w:val="008D73F6"/>
    <w:rsid w:val="008D740F"/>
    <w:rsid w:val="008D7440"/>
    <w:rsid w:val="008D748A"/>
    <w:rsid w:val="008D74CD"/>
    <w:rsid w:val="008D74D2"/>
    <w:rsid w:val="008D75BB"/>
    <w:rsid w:val="008D75E1"/>
    <w:rsid w:val="008D7776"/>
    <w:rsid w:val="008D7784"/>
    <w:rsid w:val="008D77DC"/>
    <w:rsid w:val="008D7837"/>
    <w:rsid w:val="008D78C4"/>
    <w:rsid w:val="008D797B"/>
    <w:rsid w:val="008D79A6"/>
    <w:rsid w:val="008D7A70"/>
    <w:rsid w:val="008D7A8F"/>
    <w:rsid w:val="008D7B03"/>
    <w:rsid w:val="008D7D48"/>
    <w:rsid w:val="008D7DBF"/>
    <w:rsid w:val="008D7E00"/>
    <w:rsid w:val="008D7E70"/>
    <w:rsid w:val="008D7ED2"/>
    <w:rsid w:val="008E0038"/>
    <w:rsid w:val="008E0058"/>
    <w:rsid w:val="008E00E0"/>
    <w:rsid w:val="008E01BB"/>
    <w:rsid w:val="008E0208"/>
    <w:rsid w:val="008E02C8"/>
    <w:rsid w:val="008E0317"/>
    <w:rsid w:val="008E033F"/>
    <w:rsid w:val="008E039C"/>
    <w:rsid w:val="008E03E1"/>
    <w:rsid w:val="008E03E7"/>
    <w:rsid w:val="008E045D"/>
    <w:rsid w:val="008E0465"/>
    <w:rsid w:val="008E04AD"/>
    <w:rsid w:val="008E0503"/>
    <w:rsid w:val="008E0510"/>
    <w:rsid w:val="008E0561"/>
    <w:rsid w:val="008E0577"/>
    <w:rsid w:val="008E05A7"/>
    <w:rsid w:val="008E05C8"/>
    <w:rsid w:val="008E05CE"/>
    <w:rsid w:val="008E0602"/>
    <w:rsid w:val="008E0675"/>
    <w:rsid w:val="008E0686"/>
    <w:rsid w:val="008E0691"/>
    <w:rsid w:val="008E06FC"/>
    <w:rsid w:val="008E0777"/>
    <w:rsid w:val="008E09B6"/>
    <w:rsid w:val="008E09F1"/>
    <w:rsid w:val="008E0A3E"/>
    <w:rsid w:val="008E0A85"/>
    <w:rsid w:val="008E0AB3"/>
    <w:rsid w:val="008E0B50"/>
    <w:rsid w:val="008E0B82"/>
    <w:rsid w:val="008E0B86"/>
    <w:rsid w:val="008E0BC1"/>
    <w:rsid w:val="008E0BF5"/>
    <w:rsid w:val="008E0C53"/>
    <w:rsid w:val="008E0C7E"/>
    <w:rsid w:val="008E0D65"/>
    <w:rsid w:val="008E0D74"/>
    <w:rsid w:val="008E0E17"/>
    <w:rsid w:val="008E0E19"/>
    <w:rsid w:val="008E0E4E"/>
    <w:rsid w:val="008E0E6E"/>
    <w:rsid w:val="008E0F10"/>
    <w:rsid w:val="008E0FCA"/>
    <w:rsid w:val="008E11B2"/>
    <w:rsid w:val="008E11B9"/>
    <w:rsid w:val="008E11DD"/>
    <w:rsid w:val="008E1263"/>
    <w:rsid w:val="008E1287"/>
    <w:rsid w:val="008E12ED"/>
    <w:rsid w:val="008E138C"/>
    <w:rsid w:val="008E1429"/>
    <w:rsid w:val="008E14CE"/>
    <w:rsid w:val="008E1525"/>
    <w:rsid w:val="008E152D"/>
    <w:rsid w:val="008E155B"/>
    <w:rsid w:val="008E161A"/>
    <w:rsid w:val="008E164F"/>
    <w:rsid w:val="008E16A1"/>
    <w:rsid w:val="008E16E5"/>
    <w:rsid w:val="008E1723"/>
    <w:rsid w:val="008E179F"/>
    <w:rsid w:val="008E183D"/>
    <w:rsid w:val="008E1950"/>
    <w:rsid w:val="008E19B1"/>
    <w:rsid w:val="008E19E9"/>
    <w:rsid w:val="008E1AA5"/>
    <w:rsid w:val="008E1AD6"/>
    <w:rsid w:val="008E1AE3"/>
    <w:rsid w:val="008E1AEB"/>
    <w:rsid w:val="008E1B34"/>
    <w:rsid w:val="008E1C71"/>
    <w:rsid w:val="008E1C78"/>
    <w:rsid w:val="008E1CC8"/>
    <w:rsid w:val="008E1D1A"/>
    <w:rsid w:val="008E1D73"/>
    <w:rsid w:val="008E1DC8"/>
    <w:rsid w:val="008E1FAD"/>
    <w:rsid w:val="008E2009"/>
    <w:rsid w:val="008E2046"/>
    <w:rsid w:val="008E2086"/>
    <w:rsid w:val="008E20E9"/>
    <w:rsid w:val="008E2122"/>
    <w:rsid w:val="008E21A2"/>
    <w:rsid w:val="008E21BD"/>
    <w:rsid w:val="008E2204"/>
    <w:rsid w:val="008E221A"/>
    <w:rsid w:val="008E2240"/>
    <w:rsid w:val="008E2375"/>
    <w:rsid w:val="008E2440"/>
    <w:rsid w:val="008E2452"/>
    <w:rsid w:val="008E2461"/>
    <w:rsid w:val="008E253B"/>
    <w:rsid w:val="008E2588"/>
    <w:rsid w:val="008E259C"/>
    <w:rsid w:val="008E25D8"/>
    <w:rsid w:val="008E2663"/>
    <w:rsid w:val="008E26C7"/>
    <w:rsid w:val="008E2805"/>
    <w:rsid w:val="008E2869"/>
    <w:rsid w:val="008E298D"/>
    <w:rsid w:val="008E29A3"/>
    <w:rsid w:val="008E2AF7"/>
    <w:rsid w:val="008E2B55"/>
    <w:rsid w:val="008E2B69"/>
    <w:rsid w:val="008E2C11"/>
    <w:rsid w:val="008E2C13"/>
    <w:rsid w:val="008E2C39"/>
    <w:rsid w:val="008E2CD0"/>
    <w:rsid w:val="008E2CD7"/>
    <w:rsid w:val="008E2D06"/>
    <w:rsid w:val="008E2D1B"/>
    <w:rsid w:val="008E2D2C"/>
    <w:rsid w:val="008E2D8D"/>
    <w:rsid w:val="008E2D90"/>
    <w:rsid w:val="008E2E17"/>
    <w:rsid w:val="008E2E55"/>
    <w:rsid w:val="008E2F91"/>
    <w:rsid w:val="008E2FDC"/>
    <w:rsid w:val="008E304B"/>
    <w:rsid w:val="008E30AF"/>
    <w:rsid w:val="008E3128"/>
    <w:rsid w:val="008E3198"/>
    <w:rsid w:val="008E3217"/>
    <w:rsid w:val="008E3234"/>
    <w:rsid w:val="008E3263"/>
    <w:rsid w:val="008E32BB"/>
    <w:rsid w:val="008E330B"/>
    <w:rsid w:val="008E331D"/>
    <w:rsid w:val="008E339A"/>
    <w:rsid w:val="008E33CE"/>
    <w:rsid w:val="008E33DA"/>
    <w:rsid w:val="008E3444"/>
    <w:rsid w:val="008E3467"/>
    <w:rsid w:val="008E349D"/>
    <w:rsid w:val="008E34A0"/>
    <w:rsid w:val="008E34F0"/>
    <w:rsid w:val="008E34F1"/>
    <w:rsid w:val="008E34F5"/>
    <w:rsid w:val="008E3521"/>
    <w:rsid w:val="008E3589"/>
    <w:rsid w:val="008E3616"/>
    <w:rsid w:val="008E3648"/>
    <w:rsid w:val="008E365E"/>
    <w:rsid w:val="008E37B6"/>
    <w:rsid w:val="008E37EE"/>
    <w:rsid w:val="008E37F0"/>
    <w:rsid w:val="008E384B"/>
    <w:rsid w:val="008E3893"/>
    <w:rsid w:val="008E38A5"/>
    <w:rsid w:val="008E3B91"/>
    <w:rsid w:val="008E3B98"/>
    <w:rsid w:val="008E3BC1"/>
    <w:rsid w:val="008E3C2A"/>
    <w:rsid w:val="008E3CCE"/>
    <w:rsid w:val="008E3D35"/>
    <w:rsid w:val="008E3D4B"/>
    <w:rsid w:val="008E3DA2"/>
    <w:rsid w:val="008E3E17"/>
    <w:rsid w:val="008E3E1F"/>
    <w:rsid w:val="008E3E66"/>
    <w:rsid w:val="008E3E6F"/>
    <w:rsid w:val="008E3ECE"/>
    <w:rsid w:val="008E3F28"/>
    <w:rsid w:val="008E3F30"/>
    <w:rsid w:val="008E403F"/>
    <w:rsid w:val="008E40C7"/>
    <w:rsid w:val="008E4117"/>
    <w:rsid w:val="008E4148"/>
    <w:rsid w:val="008E41B4"/>
    <w:rsid w:val="008E41D3"/>
    <w:rsid w:val="008E41D8"/>
    <w:rsid w:val="008E4223"/>
    <w:rsid w:val="008E42FB"/>
    <w:rsid w:val="008E430F"/>
    <w:rsid w:val="008E431B"/>
    <w:rsid w:val="008E4378"/>
    <w:rsid w:val="008E43D6"/>
    <w:rsid w:val="008E43E2"/>
    <w:rsid w:val="008E44B7"/>
    <w:rsid w:val="008E44F7"/>
    <w:rsid w:val="008E45C1"/>
    <w:rsid w:val="008E462F"/>
    <w:rsid w:val="008E46CF"/>
    <w:rsid w:val="008E475C"/>
    <w:rsid w:val="008E47DA"/>
    <w:rsid w:val="008E47EC"/>
    <w:rsid w:val="008E4853"/>
    <w:rsid w:val="008E493B"/>
    <w:rsid w:val="008E4A1B"/>
    <w:rsid w:val="008E4A43"/>
    <w:rsid w:val="008E4A85"/>
    <w:rsid w:val="008E4AB9"/>
    <w:rsid w:val="008E4B49"/>
    <w:rsid w:val="008E4BD6"/>
    <w:rsid w:val="008E4C2B"/>
    <w:rsid w:val="008E4C7A"/>
    <w:rsid w:val="008E4D5C"/>
    <w:rsid w:val="008E4DBC"/>
    <w:rsid w:val="008E4DDC"/>
    <w:rsid w:val="008E4DFB"/>
    <w:rsid w:val="008E4E16"/>
    <w:rsid w:val="008E4E5F"/>
    <w:rsid w:val="008E4EC0"/>
    <w:rsid w:val="008E4F26"/>
    <w:rsid w:val="008E4FDC"/>
    <w:rsid w:val="008E508C"/>
    <w:rsid w:val="008E50ED"/>
    <w:rsid w:val="008E50EF"/>
    <w:rsid w:val="008E5143"/>
    <w:rsid w:val="008E515A"/>
    <w:rsid w:val="008E5221"/>
    <w:rsid w:val="008E5269"/>
    <w:rsid w:val="008E528C"/>
    <w:rsid w:val="008E52D2"/>
    <w:rsid w:val="008E535F"/>
    <w:rsid w:val="008E53B3"/>
    <w:rsid w:val="008E53F1"/>
    <w:rsid w:val="008E53F3"/>
    <w:rsid w:val="008E548B"/>
    <w:rsid w:val="008E5491"/>
    <w:rsid w:val="008E5530"/>
    <w:rsid w:val="008E55CF"/>
    <w:rsid w:val="008E5695"/>
    <w:rsid w:val="008E56A4"/>
    <w:rsid w:val="008E56E1"/>
    <w:rsid w:val="008E57E2"/>
    <w:rsid w:val="008E58CF"/>
    <w:rsid w:val="008E595F"/>
    <w:rsid w:val="008E59C0"/>
    <w:rsid w:val="008E5BBE"/>
    <w:rsid w:val="008E5C53"/>
    <w:rsid w:val="008E5C66"/>
    <w:rsid w:val="008E5C9B"/>
    <w:rsid w:val="008E5DB5"/>
    <w:rsid w:val="008E5DC8"/>
    <w:rsid w:val="008E5DE6"/>
    <w:rsid w:val="008E5DF5"/>
    <w:rsid w:val="008E5E39"/>
    <w:rsid w:val="008E5E54"/>
    <w:rsid w:val="008E5EB5"/>
    <w:rsid w:val="008E5EC1"/>
    <w:rsid w:val="008E5EFA"/>
    <w:rsid w:val="008E5F40"/>
    <w:rsid w:val="008E5F64"/>
    <w:rsid w:val="008E5FE7"/>
    <w:rsid w:val="008E600B"/>
    <w:rsid w:val="008E608C"/>
    <w:rsid w:val="008E616A"/>
    <w:rsid w:val="008E6215"/>
    <w:rsid w:val="008E6241"/>
    <w:rsid w:val="008E6339"/>
    <w:rsid w:val="008E6346"/>
    <w:rsid w:val="008E6352"/>
    <w:rsid w:val="008E63EB"/>
    <w:rsid w:val="008E6468"/>
    <w:rsid w:val="008E648E"/>
    <w:rsid w:val="008E6671"/>
    <w:rsid w:val="008E6699"/>
    <w:rsid w:val="008E685E"/>
    <w:rsid w:val="008E68C0"/>
    <w:rsid w:val="008E69BB"/>
    <w:rsid w:val="008E69C8"/>
    <w:rsid w:val="008E6A1E"/>
    <w:rsid w:val="008E6ADD"/>
    <w:rsid w:val="008E6ADF"/>
    <w:rsid w:val="008E6B0E"/>
    <w:rsid w:val="008E6B95"/>
    <w:rsid w:val="008E6CF1"/>
    <w:rsid w:val="008E6DD3"/>
    <w:rsid w:val="008E6E7C"/>
    <w:rsid w:val="008E6E93"/>
    <w:rsid w:val="008E6EB9"/>
    <w:rsid w:val="008E6F4A"/>
    <w:rsid w:val="008E6FC7"/>
    <w:rsid w:val="008E705A"/>
    <w:rsid w:val="008E7138"/>
    <w:rsid w:val="008E7163"/>
    <w:rsid w:val="008E718C"/>
    <w:rsid w:val="008E71B0"/>
    <w:rsid w:val="008E71CB"/>
    <w:rsid w:val="008E71D1"/>
    <w:rsid w:val="008E7211"/>
    <w:rsid w:val="008E7416"/>
    <w:rsid w:val="008E7449"/>
    <w:rsid w:val="008E7488"/>
    <w:rsid w:val="008E74A5"/>
    <w:rsid w:val="008E74B7"/>
    <w:rsid w:val="008E754A"/>
    <w:rsid w:val="008E75C4"/>
    <w:rsid w:val="008E75CF"/>
    <w:rsid w:val="008E76BE"/>
    <w:rsid w:val="008E76BF"/>
    <w:rsid w:val="008E7700"/>
    <w:rsid w:val="008E77E9"/>
    <w:rsid w:val="008E78C2"/>
    <w:rsid w:val="008E78C7"/>
    <w:rsid w:val="008E7933"/>
    <w:rsid w:val="008E7976"/>
    <w:rsid w:val="008E79D6"/>
    <w:rsid w:val="008E7A1D"/>
    <w:rsid w:val="008E7A3D"/>
    <w:rsid w:val="008E7A41"/>
    <w:rsid w:val="008E7A48"/>
    <w:rsid w:val="008E7B05"/>
    <w:rsid w:val="008E7B1C"/>
    <w:rsid w:val="008E7BF8"/>
    <w:rsid w:val="008E7D30"/>
    <w:rsid w:val="008E7F97"/>
    <w:rsid w:val="008E7FC3"/>
    <w:rsid w:val="008E7FFD"/>
    <w:rsid w:val="008F0003"/>
    <w:rsid w:val="008F004A"/>
    <w:rsid w:val="008F004E"/>
    <w:rsid w:val="008F00BA"/>
    <w:rsid w:val="008F016B"/>
    <w:rsid w:val="008F01A5"/>
    <w:rsid w:val="008F01E5"/>
    <w:rsid w:val="008F0203"/>
    <w:rsid w:val="008F0247"/>
    <w:rsid w:val="008F03F5"/>
    <w:rsid w:val="008F0407"/>
    <w:rsid w:val="008F042C"/>
    <w:rsid w:val="008F04CF"/>
    <w:rsid w:val="008F0570"/>
    <w:rsid w:val="008F0574"/>
    <w:rsid w:val="008F057D"/>
    <w:rsid w:val="008F069A"/>
    <w:rsid w:val="008F06A0"/>
    <w:rsid w:val="008F06F8"/>
    <w:rsid w:val="008F0708"/>
    <w:rsid w:val="008F0722"/>
    <w:rsid w:val="008F07A8"/>
    <w:rsid w:val="008F07F3"/>
    <w:rsid w:val="008F0845"/>
    <w:rsid w:val="008F08A1"/>
    <w:rsid w:val="008F08CF"/>
    <w:rsid w:val="008F08FB"/>
    <w:rsid w:val="008F0937"/>
    <w:rsid w:val="008F093C"/>
    <w:rsid w:val="008F0990"/>
    <w:rsid w:val="008F0A61"/>
    <w:rsid w:val="008F0A8E"/>
    <w:rsid w:val="008F0B14"/>
    <w:rsid w:val="008F0B4F"/>
    <w:rsid w:val="008F0B67"/>
    <w:rsid w:val="008F0B91"/>
    <w:rsid w:val="008F0C03"/>
    <w:rsid w:val="008F0C55"/>
    <w:rsid w:val="008F0D4A"/>
    <w:rsid w:val="008F0D84"/>
    <w:rsid w:val="008F0DA0"/>
    <w:rsid w:val="008F0E2B"/>
    <w:rsid w:val="008F1054"/>
    <w:rsid w:val="008F108A"/>
    <w:rsid w:val="008F118B"/>
    <w:rsid w:val="008F11DC"/>
    <w:rsid w:val="008F1220"/>
    <w:rsid w:val="008F12C4"/>
    <w:rsid w:val="008F12C5"/>
    <w:rsid w:val="008F1355"/>
    <w:rsid w:val="008F1406"/>
    <w:rsid w:val="008F15F0"/>
    <w:rsid w:val="008F1605"/>
    <w:rsid w:val="008F161D"/>
    <w:rsid w:val="008F1659"/>
    <w:rsid w:val="008F166F"/>
    <w:rsid w:val="008F1679"/>
    <w:rsid w:val="008F180E"/>
    <w:rsid w:val="008F1833"/>
    <w:rsid w:val="008F184F"/>
    <w:rsid w:val="008F18F6"/>
    <w:rsid w:val="008F192B"/>
    <w:rsid w:val="008F1A26"/>
    <w:rsid w:val="008F1A5E"/>
    <w:rsid w:val="008F1AAA"/>
    <w:rsid w:val="008F1B5F"/>
    <w:rsid w:val="008F1BC5"/>
    <w:rsid w:val="008F1BE5"/>
    <w:rsid w:val="008F1C6B"/>
    <w:rsid w:val="008F1C9B"/>
    <w:rsid w:val="008F1CD4"/>
    <w:rsid w:val="008F1D1B"/>
    <w:rsid w:val="008F1D7F"/>
    <w:rsid w:val="008F1EC3"/>
    <w:rsid w:val="008F2118"/>
    <w:rsid w:val="008F2157"/>
    <w:rsid w:val="008F2198"/>
    <w:rsid w:val="008F2229"/>
    <w:rsid w:val="008F22A0"/>
    <w:rsid w:val="008F232E"/>
    <w:rsid w:val="008F239A"/>
    <w:rsid w:val="008F23AE"/>
    <w:rsid w:val="008F23FE"/>
    <w:rsid w:val="008F2428"/>
    <w:rsid w:val="008F243A"/>
    <w:rsid w:val="008F2488"/>
    <w:rsid w:val="008F2565"/>
    <w:rsid w:val="008F25DE"/>
    <w:rsid w:val="008F2649"/>
    <w:rsid w:val="008F26B6"/>
    <w:rsid w:val="008F2735"/>
    <w:rsid w:val="008F273E"/>
    <w:rsid w:val="008F2746"/>
    <w:rsid w:val="008F27A1"/>
    <w:rsid w:val="008F28BC"/>
    <w:rsid w:val="008F290F"/>
    <w:rsid w:val="008F29AE"/>
    <w:rsid w:val="008F29C0"/>
    <w:rsid w:val="008F2C63"/>
    <w:rsid w:val="008F2C6C"/>
    <w:rsid w:val="008F2D18"/>
    <w:rsid w:val="008F2D33"/>
    <w:rsid w:val="008F2DBF"/>
    <w:rsid w:val="008F2DEB"/>
    <w:rsid w:val="008F2E36"/>
    <w:rsid w:val="008F2F36"/>
    <w:rsid w:val="008F2F3F"/>
    <w:rsid w:val="008F2FF1"/>
    <w:rsid w:val="008F3051"/>
    <w:rsid w:val="008F305B"/>
    <w:rsid w:val="008F3384"/>
    <w:rsid w:val="008F3451"/>
    <w:rsid w:val="008F346B"/>
    <w:rsid w:val="008F3478"/>
    <w:rsid w:val="008F3512"/>
    <w:rsid w:val="008F3520"/>
    <w:rsid w:val="008F356F"/>
    <w:rsid w:val="008F35A5"/>
    <w:rsid w:val="008F35E3"/>
    <w:rsid w:val="008F3789"/>
    <w:rsid w:val="008F37D9"/>
    <w:rsid w:val="008F384C"/>
    <w:rsid w:val="008F3921"/>
    <w:rsid w:val="008F3927"/>
    <w:rsid w:val="008F39B2"/>
    <w:rsid w:val="008F39BA"/>
    <w:rsid w:val="008F3AD1"/>
    <w:rsid w:val="008F3B44"/>
    <w:rsid w:val="008F3BEA"/>
    <w:rsid w:val="008F3BF5"/>
    <w:rsid w:val="008F3CDD"/>
    <w:rsid w:val="008F3D8F"/>
    <w:rsid w:val="008F3DB2"/>
    <w:rsid w:val="008F3E0F"/>
    <w:rsid w:val="008F3E6A"/>
    <w:rsid w:val="008F3E9C"/>
    <w:rsid w:val="008F3EA6"/>
    <w:rsid w:val="008F3F20"/>
    <w:rsid w:val="008F3F2B"/>
    <w:rsid w:val="008F3F7B"/>
    <w:rsid w:val="008F3F8A"/>
    <w:rsid w:val="008F3FA3"/>
    <w:rsid w:val="008F3FF4"/>
    <w:rsid w:val="008F4013"/>
    <w:rsid w:val="008F40C4"/>
    <w:rsid w:val="008F418A"/>
    <w:rsid w:val="008F4195"/>
    <w:rsid w:val="008F41F3"/>
    <w:rsid w:val="008F4278"/>
    <w:rsid w:val="008F433C"/>
    <w:rsid w:val="008F439E"/>
    <w:rsid w:val="008F43BF"/>
    <w:rsid w:val="008F43E3"/>
    <w:rsid w:val="008F451E"/>
    <w:rsid w:val="008F4558"/>
    <w:rsid w:val="008F45A2"/>
    <w:rsid w:val="008F45BD"/>
    <w:rsid w:val="008F4626"/>
    <w:rsid w:val="008F466D"/>
    <w:rsid w:val="008F4787"/>
    <w:rsid w:val="008F47BF"/>
    <w:rsid w:val="008F480E"/>
    <w:rsid w:val="008F48AC"/>
    <w:rsid w:val="008F4918"/>
    <w:rsid w:val="008F498A"/>
    <w:rsid w:val="008F4A20"/>
    <w:rsid w:val="008F4A37"/>
    <w:rsid w:val="008F4A62"/>
    <w:rsid w:val="008F4A63"/>
    <w:rsid w:val="008F4A8B"/>
    <w:rsid w:val="008F4AC7"/>
    <w:rsid w:val="008F4AFA"/>
    <w:rsid w:val="008F4C3A"/>
    <w:rsid w:val="008F4CB4"/>
    <w:rsid w:val="008F4CB6"/>
    <w:rsid w:val="008F4D12"/>
    <w:rsid w:val="008F4D1A"/>
    <w:rsid w:val="008F4E50"/>
    <w:rsid w:val="008F4F62"/>
    <w:rsid w:val="008F4F68"/>
    <w:rsid w:val="008F4F7F"/>
    <w:rsid w:val="008F4FBE"/>
    <w:rsid w:val="008F5035"/>
    <w:rsid w:val="008F51D5"/>
    <w:rsid w:val="008F52CD"/>
    <w:rsid w:val="008F52EA"/>
    <w:rsid w:val="008F532D"/>
    <w:rsid w:val="008F5369"/>
    <w:rsid w:val="008F5378"/>
    <w:rsid w:val="008F53E1"/>
    <w:rsid w:val="008F5413"/>
    <w:rsid w:val="008F5456"/>
    <w:rsid w:val="008F545D"/>
    <w:rsid w:val="008F549B"/>
    <w:rsid w:val="008F54C0"/>
    <w:rsid w:val="008F554C"/>
    <w:rsid w:val="008F555E"/>
    <w:rsid w:val="008F5674"/>
    <w:rsid w:val="008F5765"/>
    <w:rsid w:val="008F5825"/>
    <w:rsid w:val="008F594C"/>
    <w:rsid w:val="008F5966"/>
    <w:rsid w:val="008F5AC4"/>
    <w:rsid w:val="008F5B0E"/>
    <w:rsid w:val="008F5BD3"/>
    <w:rsid w:val="008F5C2E"/>
    <w:rsid w:val="008F5C64"/>
    <w:rsid w:val="008F5C82"/>
    <w:rsid w:val="008F5C8C"/>
    <w:rsid w:val="008F5CA8"/>
    <w:rsid w:val="008F5D0C"/>
    <w:rsid w:val="008F5D84"/>
    <w:rsid w:val="008F5DE7"/>
    <w:rsid w:val="008F5E25"/>
    <w:rsid w:val="008F5E8B"/>
    <w:rsid w:val="008F5ECA"/>
    <w:rsid w:val="008F5F11"/>
    <w:rsid w:val="008F5F58"/>
    <w:rsid w:val="008F5F61"/>
    <w:rsid w:val="008F5F7E"/>
    <w:rsid w:val="008F603A"/>
    <w:rsid w:val="008F6068"/>
    <w:rsid w:val="008F608F"/>
    <w:rsid w:val="008F60C8"/>
    <w:rsid w:val="008F62F1"/>
    <w:rsid w:val="008F62F4"/>
    <w:rsid w:val="008F632B"/>
    <w:rsid w:val="008F63B2"/>
    <w:rsid w:val="008F63CE"/>
    <w:rsid w:val="008F640D"/>
    <w:rsid w:val="008F6497"/>
    <w:rsid w:val="008F64DC"/>
    <w:rsid w:val="008F657A"/>
    <w:rsid w:val="008F6585"/>
    <w:rsid w:val="008F6597"/>
    <w:rsid w:val="008F66A0"/>
    <w:rsid w:val="008F6792"/>
    <w:rsid w:val="008F6861"/>
    <w:rsid w:val="008F6871"/>
    <w:rsid w:val="008F68D3"/>
    <w:rsid w:val="008F6958"/>
    <w:rsid w:val="008F6A22"/>
    <w:rsid w:val="008F6A51"/>
    <w:rsid w:val="008F6A67"/>
    <w:rsid w:val="008F6B1A"/>
    <w:rsid w:val="008F6B84"/>
    <w:rsid w:val="008F6CC4"/>
    <w:rsid w:val="008F6D56"/>
    <w:rsid w:val="008F6DAC"/>
    <w:rsid w:val="008F6DC5"/>
    <w:rsid w:val="008F6E73"/>
    <w:rsid w:val="008F6E7A"/>
    <w:rsid w:val="008F6E7F"/>
    <w:rsid w:val="008F6E9A"/>
    <w:rsid w:val="008F6F1F"/>
    <w:rsid w:val="008F6FB0"/>
    <w:rsid w:val="008F6FB1"/>
    <w:rsid w:val="008F6FC8"/>
    <w:rsid w:val="008F706F"/>
    <w:rsid w:val="008F70BA"/>
    <w:rsid w:val="008F713F"/>
    <w:rsid w:val="008F71CB"/>
    <w:rsid w:val="008F7256"/>
    <w:rsid w:val="008F7287"/>
    <w:rsid w:val="008F7290"/>
    <w:rsid w:val="008F7335"/>
    <w:rsid w:val="008F7498"/>
    <w:rsid w:val="008F74A7"/>
    <w:rsid w:val="008F7536"/>
    <w:rsid w:val="008F7592"/>
    <w:rsid w:val="008F75C7"/>
    <w:rsid w:val="008F7610"/>
    <w:rsid w:val="008F761B"/>
    <w:rsid w:val="008F7791"/>
    <w:rsid w:val="008F77F9"/>
    <w:rsid w:val="008F7855"/>
    <w:rsid w:val="008F78EC"/>
    <w:rsid w:val="008F7A86"/>
    <w:rsid w:val="008F7ACD"/>
    <w:rsid w:val="008F7B53"/>
    <w:rsid w:val="008F7CA9"/>
    <w:rsid w:val="008F7CDB"/>
    <w:rsid w:val="008F7CDC"/>
    <w:rsid w:val="008F7D62"/>
    <w:rsid w:val="008F7E0E"/>
    <w:rsid w:val="008F7EDD"/>
    <w:rsid w:val="008F7F13"/>
    <w:rsid w:val="008F7F3F"/>
    <w:rsid w:val="008F7FC2"/>
    <w:rsid w:val="00900068"/>
    <w:rsid w:val="00900085"/>
    <w:rsid w:val="0090015B"/>
    <w:rsid w:val="0090022B"/>
    <w:rsid w:val="00900259"/>
    <w:rsid w:val="009002B7"/>
    <w:rsid w:val="009002BB"/>
    <w:rsid w:val="00900303"/>
    <w:rsid w:val="00900340"/>
    <w:rsid w:val="009003D3"/>
    <w:rsid w:val="009004B6"/>
    <w:rsid w:val="009004CC"/>
    <w:rsid w:val="00900514"/>
    <w:rsid w:val="00900680"/>
    <w:rsid w:val="009006D7"/>
    <w:rsid w:val="00900774"/>
    <w:rsid w:val="00900896"/>
    <w:rsid w:val="009008E3"/>
    <w:rsid w:val="00900944"/>
    <w:rsid w:val="00900959"/>
    <w:rsid w:val="0090099D"/>
    <w:rsid w:val="009009E3"/>
    <w:rsid w:val="00900A38"/>
    <w:rsid w:val="00900ACB"/>
    <w:rsid w:val="00900B4D"/>
    <w:rsid w:val="00900B56"/>
    <w:rsid w:val="00900B8D"/>
    <w:rsid w:val="00900BE0"/>
    <w:rsid w:val="00900DF5"/>
    <w:rsid w:val="0090102C"/>
    <w:rsid w:val="00901096"/>
    <w:rsid w:val="009010AD"/>
    <w:rsid w:val="009010B5"/>
    <w:rsid w:val="00901108"/>
    <w:rsid w:val="00901214"/>
    <w:rsid w:val="00901224"/>
    <w:rsid w:val="009012B8"/>
    <w:rsid w:val="009012BE"/>
    <w:rsid w:val="00901393"/>
    <w:rsid w:val="009013E0"/>
    <w:rsid w:val="009013FF"/>
    <w:rsid w:val="00901442"/>
    <w:rsid w:val="009014EF"/>
    <w:rsid w:val="009015C5"/>
    <w:rsid w:val="009015D0"/>
    <w:rsid w:val="00901604"/>
    <w:rsid w:val="009016E1"/>
    <w:rsid w:val="00901737"/>
    <w:rsid w:val="00901748"/>
    <w:rsid w:val="00901764"/>
    <w:rsid w:val="0090182A"/>
    <w:rsid w:val="009018E3"/>
    <w:rsid w:val="009018E7"/>
    <w:rsid w:val="00901A7F"/>
    <w:rsid w:val="00901ACA"/>
    <w:rsid w:val="00901B3B"/>
    <w:rsid w:val="00901B92"/>
    <w:rsid w:val="00901C3D"/>
    <w:rsid w:val="00901C41"/>
    <w:rsid w:val="00901C4B"/>
    <w:rsid w:val="00901CB0"/>
    <w:rsid w:val="00901E0C"/>
    <w:rsid w:val="00901E3D"/>
    <w:rsid w:val="00901ECF"/>
    <w:rsid w:val="00901F29"/>
    <w:rsid w:val="00901F66"/>
    <w:rsid w:val="00901F97"/>
    <w:rsid w:val="00902026"/>
    <w:rsid w:val="0090206A"/>
    <w:rsid w:val="0090210D"/>
    <w:rsid w:val="00902134"/>
    <w:rsid w:val="009022A4"/>
    <w:rsid w:val="00902385"/>
    <w:rsid w:val="00902402"/>
    <w:rsid w:val="00902516"/>
    <w:rsid w:val="0090251C"/>
    <w:rsid w:val="0090251F"/>
    <w:rsid w:val="00902614"/>
    <w:rsid w:val="00902662"/>
    <w:rsid w:val="00902696"/>
    <w:rsid w:val="009026A8"/>
    <w:rsid w:val="00902744"/>
    <w:rsid w:val="00902755"/>
    <w:rsid w:val="00902762"/>
    <w:rsid w:val="009028B9"/>
    <w:rsid w:val="0090294A"/>
    <w:rsid w:val="009029E4"/>
    <w:rsid w:val="009029F5"/>
    <w:rsid w:val="00902A07"/>
    <w:rsid w:val="00902A97"/>
    <w:rsid w:val="00902B3B"/>
    <w:rsid w:val="00902C6C"/>
    <w:rsid w:val="00902C7D"/>
    <w:rsid w:val="00902CB2"/>
    <w:rsid w:val="00902CDA"/>
    <w:rsid w:val="00902D1D"/>
    <w:rsid w:val="00902D35"/>
    <w:rsid w:val="00902D6B"/>
    <w:rsid w:val="00902D8F"/>
    <w:rsid w:val="00902D9E"/>
    <w:rsid w:val="00902DAF"/>
    <w:rsid w:val="00902E20"/>
    <w:rsid w:val="00902ED4"/>
    <w:rsid w:val="00902F68"/>
    <w:rsid w:val="009030BC"/>
    <w:rsid w:val="009031CF"/>
    <w:rsid w:val="009031EE"/>
    <w:rsid w:val="0090321D"/>
    <w:rsid w:val="00903257"/>
    <w:rsid w:val="00903345"/>
    <w:rsid w:val="009033D3"/>
    <w:rsid w:val="0090349B"/>
    <w:rsid w:val="0090367F"/>
    <w:rsid w:val="0090370E"/>
    <w:rsid w:val="00903719"/>
    <w:rsid w:val="00903726"/>
    <w:rsid w:val="009037B8"/>
    <w:rsid w:val="00903825"/>
    <w:rsid w:val="00903988"/>
    <w:rsid w:val="009039CC"/>
    <w:rsid w:val="009039EF"/>
    <w:rsid w:val="00903AB0"/>
    <w:rsid w:val="00903B16"/>
    <w:rsid w:val="00903B4E"/>
    <w:rsid w:val="00903BC1"/>
    <w:rsid w:val="00903C72"/>
    <w:rsid w:val="00903CDE"/>
    <w:rsid w:val="00903DFF"/>
    <w:rsid w:val="00903E02"/>
    <w:rsid w:val="00903E48"/>
    <w:rsid w:val="00903F3B"/>
    <w:rsid w:val="00903F3E"/>
    <w:rsid w:val="00903F5B"/>
    <w:rsid w:val="00904159"/>
    <w:rsid w:val="0090418D"/>
    <w:rsid w:val="009041D3"/>
    <w:rsid w:val="0090423B"/>
    <w:rsid w:val="009042AB"/>
    <w:rsid w:val="0090432F"/>
    <w:rsid w:val="0090442F"/>
    <w:rsid w:val="00904450"/>
    <w:rsid w:val="0090446F"/>
    <w:rsid w:val="009044CC"/>
    <w:rsid w:val="009044FC"/>
    <w:rsid w:val="009044FF"/>
    <w:rsid w:val="0090457F"/>
    <w:rsid w:val="009045B6"/>
    <w:rsid w:val="00904628"/>
    <w:rsid w:val="00904661"/>
    <w:rsid w:val="009046DB"/>
    <w:rsid w:val="009046E2"/>
    <w:rsid w:val="0090475E"/>
    <w:rsid w:val="00904778"/>
    <w:rsid w:val="009047D5"/>
    <w:rsid w:val="009047EB"/>
    <w:rsid w:val="009047F8"/>
    <w:rsid w:val="00904802"/>
    <w:rsid w:val="00904850"/>
    <w:rsid w:val="0090488C"/>
    <w:rsid w:val="009048B4"/>
    <w:rsid w:val="009048CE"/>
    <w:rsid w:val="00904906"/>
    <w:rsid w:val="00904985"/>
    <w:rsid w:val="009049B6"/>
    <w:rsid w:val="009049D6"/>
    <w:rsid w:val="009049F7"/>
    <w:rsid w:val="00904A13"/>
    <w:rsid w:val="00904A4A"/>
    <w:rsid w:val="00904B0A"/>
    <w:rsid w:val="00904BA8"/>
    <w:rsid w:val="00904BF4"/>
    <w:rsid w:val="00904E38"/>
    <w:rsid w:val="00904E43"/>
    <w:rsid w:val="00904EBD"/>
    <w:rsid w:val="00904EF5"/>
    <w:rsid w:val="00904F39"/>
    <w:rsid w:val="00904FE6"/>
    <w:rsid w:val="009050FD"/>
    <w:rsid w:val="0090515F"/>
    <w:rsid w:val="00905207"/>
    <w:rsid w:val="00905296"/>
    <w:rsid w:val="009052A6"/>
    <w:rsid w:val="009052F1"/>
    <w:rsid w:val="009054DB"/>
    <w:rsid w:val="00905534"/>
    <w:rsid w:val="0090556E"/>
    <w:rsid w:val="00905595"/>
    <w:rsid w:val="009055B8"/>
    <w:rsid w:val="009055B9"/>
    <w:rsid w:val="00905619"/>
    <w:rsid w:val="0090562A"/>
    <w:rsid w:val="0090564D"/>
    <w:rsid w:val="00905671"/>
    <w:rsid w:val="009056C4"/>
    <w:rsid w:val="009056C7"/>
    <w:rsid w:val="009056DF"/>
    <w:rsid w:val="0090574F"/>
    <w:rsid w:val="00905918"/>
    <w:rsid w:val="00905940"/>
    <w:rsid w:val="0090598C"/>
    <w:rsid w:val="009059A4"/>
    <w:rsid w:val="00905A5B"/>
    <w:rsid w:val="00905AFA"/>
    <w:rsid w:val="00905B70"/>
    <w:rsid w:val="00905BED"/>
    <w:rsid w:val="00905C1F"/>
    <w:rsid w:val="00905C35"/>
    <w:rsid w:val="00905C86"/>
    <w:rsid w:val="00905CC7"/>
    <w:rsid w:val="00905D04"/>
    <w:rsid w:val="00905D10"/>
    <w:rsid w:val="00905D9A"/>
    <w:rsid w:val="00905DDB"/>
    <w:rsid w:val="00905DDE"/>
    <w:rsid w:val="00905E74"/>
    <w:rsid w:val="00905E8D"/>
    <w:rsid w:val="00905F56"/>
    <w:rsid w:val="00905F90"/>
    <w:rsid w:val="00905FB8"/>
    <w:rsid w:val="00905FF0"/>
    <w:rsid w:val="00906001"/>
    <w:rsid w:val="00906006"/>
    <w:rsid w:val="00906116"/>
    <w:rsid w:val="009061BA"/>
    <w:rsid w:val="00906233"/>
    <w:rsid w:val="00906293"/>
    <w:rsid w:val="009062D1"/>
    <w:rsid w:val="009062DA"/>
    <w:rsid w:val="0090643D"/>
    <w:rsid w:val="0090652D"/>
    <w:rsid w:val="00906552"/>
    <w:rsid w:val="0090658C"/>
    <w:rsid w:val="009065C9"/>
    <w:rsid w:val="00906635"/>
    <w:rsid w:val="009066A8"/>
    <w:rsid w:val="009066E9"/>
    <w:rsid w:val="009067B4"/>
    <w:rsid w:val="00906849"/>
    <w:rsid w:val="009068CC"/>
    <w:rsid w:val="009068F9"/>
    <w:rsid w:val="00906AB7"/>
    <w:rsid w:val="00906B0D"/>
    <w:rsid w:val="00906C11"/>
    <w:rsid w:val="00906CF7"/>
    <w:rsid w:val="00906D8D"/>
    <w:rsid w:val="00906D97"/>
    <w:rsid w:val="00906E5C"/>
    <w:rsid w:val="00906E5D"/>
    <w:rsid w:val="00906E90"/>
    <w:rsid w:val="00906F7D"/>
    <w:rsid w:val="0090713B"/>
    <w:rsid w:val="00907144"/>
    <w:rsid w:val="00907153"/>
    <w:rsid w:val="0090727E"/>
    <w:rsid w:val="009072D3"/>
    <w:rsid w:val="009073A4"/>
    <w:rsid w:val="009073EE"/>
    <w:rsid w:val="00907423"/>
    <w:rsid w:val="00907469"/>
    <w:rsid w:val="00907498"/>
    <w:rsid w:val="009074D0"/>
    <w:rsid w:val="00907577"/>
    <w:rsid w:val="00907588"/>
    <w:rsid w:val="009075B3"/>
    <w:rsid w:val="00907636"/>
    <w:rsid w:val="00907705"/>
    <w:rsid w:val="009077B1"/>
    <w:rsid w:val="00907816"/>
    <w:rsid w:val="0090781E"/>
    <w:rsid w:val="0090782E"/>
    <w:rsid w:val="0090785B"/>
    <w:rsid w:val="009078BE"/>
    <w:rsid w:val="009078C1"/>
    <w:rsid w:val="00907908"/>
    <w:rsid w:val="0090796D"/>
    <w:rsid w:val="00907995"/>
    <w:rsid w:val="00907A2F"/>
    <w:rsid w:val="00907A3A"/>
    <w:rsid w:val="00907A72"/>
    <w:rsid w:val="00907A8E"/>
    <w:rsid w:val="00907AFD"/>
    <w:rsid w:val="00907B23"/>
    <w:rsid w:val="00907B94"/>
    <w:rsid w:val="00907BB0"/>
    <w:rsid w:val="00907C74"/>
    <w:rsid w:val="00907C93"/>
    <w:rsid w:val="00907CA1"/>
    <w:rsid w:val="00907CC1"/>
    <w:rsid w:val="00907CF5"/>
    <w:rsid w:val="00907D2E"/>
    <w:rsid w:val="00907D5C"/>
    <w:rsid w:val="00907E20"/>
    <w:rsid w:val="00907E3E"/>
    <w:rsid w:val="00907E64"/>
    <w:rsid w:val="00907E73"/>
    <w:rsid w:val="00907E74"/>
    <w:rsid w:val="00907E99"/>
    <w:rsid w:val="00907EEF"/>
    <w:rsid w:val="00910006"/>
    <w:rsid w:val="0091006D"/>
    <w:rsid w:val="00910074"/>
    <w:rsid w:val="00910143"/>
    <w:rsid w:val="00910147"/>
    <w:rsid w:val="009101A9"/>
    <w:rsid w:val="009101F0"/>
    <w:rsid w:val="009101F5"/>
    <w:rsid w:val="0091029D"/>
    <w:rsid w:val="009102EC"/>
    <w:rsid w:val="00910376"/>
    <w:rsid w:val="009103CC"/>
    <w:rsid w:val="0091041C"/>
    <w:rsid w:val="00910465"/>
    <w:rsid w:val="009104E2"/>
    <w:rsid w:val="00910576"/>
    <w:rsid w:val="0091065C"/>
    <w:rsid w:val="00910692"/>
    <w:rsid w:val="0091079D"/>
    <w:rsid w:val="009107CF"/>
    <w:rsid w:val="009108EC"/>
    <w:rsid w:val="00910932"/>
    <w:rsid w:val="0091095C"/>
    <w:rsid w:val="00910962"/>
    <w:rsid w:val="00910AE4"/>
    <w:rsid w:val="00910CE7"/>
    <w:rsid w:val="00910CFD"/>
    <w:rsid w:val="00910E53"/>
    <w:rsid w:val="00910FDE"/>
    <w:rsid w:val="0091103F"/>
    <w:rsid w:val="00911053"/>
    <w:rsid w:val="009110E7"/>
    <w:rsid w:val="0091112D"/>
    <w:rsid w:val="0091125B"/>
    <w:rsid w:val="009113A7"/>
    <w:rsid w:val="0091149E"/>
    <w:rsid w:val="009114A8"/>
    <w:rsid w:val="009114F7"/>
    <w:rsid w:val="00911518"/>
    <w:rsid w:val="0091161E"/>
    <w:rsid w:val="00911734"/>
    <w:rsid w:val="00911766"/>
    <w:rsid w:val="0091178D"/>
    <w:rsid w:val="009117AD"/>
    <w:rsid w:val="00911865"/>
    <w:rsid w:val="00911983"/>
    <w:rsid w:val="009119E8"/>
    <w:rsid w:val="00911A26"/>
    <w:rsid w:val="00911A46"/>
    <w:rsid w:val="00911AD8"/>
    <w:rsid w:val="00911B27"/>
    <w:rsid w:val="00911B44"/>
    <w:rsid w:val="00911B85"/>
    <w:rsid w:val="00911C11"/>
    <w:rsid w:val="00911C47"/>
    <w:rsid w:val="00911C6F"/>
    <w:rsid w:val="00911C7B"/>
    <w:rsid w:val="00911CC8"/>
    <w:rsid w:val="00911CDE"/>
    <w:rsid w:val="00911EC9"/>
    <w:rsid w:val="00911EDB"/>
    <w:rsid w:val="00911F63"/>
    <w:rsid w:val="0091204A"/>
    <w:rsid w:val="00912055"/>
    <w:rsid w:val="009120A4"/>
    <w:rsid w:val="009120AE"/>
    <w:rsid w:val="00912123"/>
    <w:rsid w:val="0091218F"/>
    <w:rsid w:val="009121B6"/>
    <w:rsid w:val="0091223F"/>
    <w:rsid w:val="0091228F"/>
    <w:rsid w:val="009122C8"/>
    <w:rsid w:val="00912312"/>
    <w:rsid w:val="0091231A"/>
    <w:rsid w:val="00912383"/>
    <w:rsid w:val="009123A3"/>
    <w:rsid w:val="00912469"/>
    <w:rsid w:val="00912595"/>
    <w:rsid w:val="009125A7"/>
    <w:rsid w:val="009125C8"/>
    <w:rsid w:val="009125E1"/>
    <w:rsid w:val="00912641"/>
    <w:rsid w:val="0091275D"/>
    <w:rsid w:val="009127AA"/>
    <w:rsid w:val="0091281F"/>
    <w:rsid w:val="009128B1"/>
    <w:rsid w:val="009128B5"/>
    <w:rsid w:val="00912949"/>
    <w:rsid w:val="00912954"/>
    <w:rsid w:val="009129E8"/>
    <w:rsid w:val="00912A8C"/>
    <w:rsid w:val="00912AA2"/>
    <w:rsid w:val="00912ACB"/>
    <w:rsid w:val="00912ADB"/>
    <w:rsid w:val="00912B14"/>
    <w:rsid w:val="00912B30"/>
    <w:rsid w:val="00912B60"/>
    <w:rsid w:val="00912B83"/>
    <w:rsid w:val="00912C1B"/>
    <w:rsid w:val="00912C1F"/>
    <w:rsid w:val="00912C2E"/>
    <w:rsid w:val="00912C67"/>
    <w:rsid w:val="00912C7F"/>
    <w:rsid w:val="00912CD9"/>
    <w:rsid w:val="00912CFA"/>
    <w:rsid w:val="00912D1A"/>
    <w:rsid w:val="00912D4A"/>
    <w:rsid w:val="00912D6F"/>
    <w:rsid w:val="00912DB9"/>
    <w:rsid w:val="00912E15"/>
    <w:rsid w:val="00912E1A"/>
    <w:rsid w:val="00912E1B"/>
    <w:rsid w:val="00912E34"/>
    <w:rsid w:val="00912E3B"/>
    <w:rsid w:val="00912E48"/>
    <w:rsid w:val="00912E63"/>
    <w:rsid w:val="00912E8D"/>
    <w:rsid w:val="00912F42"/>
    <w:rsid w:val="00912F59"/>
    <w:rsid w:val="0091300F"/>
    <w:rsid w:val="00913102"/>
    <w:rsid w:val="00913136"/>
    <w:rsid w:val="009131AC"/>
    <w:rsid w:val="00913354"/>
    <w:rsid w:val="00913377"/>
    <w:rsid w:val="00913398"/>
    <w:rsid w:val="00913468"/>
    <w:rsid w:val="009134BF"/>
    <w:rsid w:val="00913520"/>
    <w:rsid w:val="009135A4"/>
    <w:rsid w:val="009135C8"/>
    <w:rsid w:val="009135FE"/>
    <w:rsid w:val="00913676"/>
    <w:rsid w:val="0091379F"/>
    <w:rsid w:val="0091383D"/>
    <w:rsid w:val="00913840"/>
    <w:rsid w:val="0091384E"/>
    <w:rsid w:val="00913866"/>
    <w:rsid w:val="00913925"/>
    <w:rsid w:val="00913987"/>
    <w:rsid w:val="00913997"/>
    <w:rsid w:val="0091399F"/>
    <w:rsid w:val="009139EA"/>
    <w:rsid w:val="009139FB"/>
    <w:rsid w:val="00913A8B"/>
    <w:rsid w:val="00913B80"/>
    <w:rsid w:val="00913C16"/>
    <w:rsid w:val="00913CB9"/>
    <w:rsid w:val="00913D57"/>
    <w:rsid w:val="00913D6F"/>
    <w:rsid w:val="00913F34"/>
    <w:rsid w:val="00913FCE"/>
    <w:rsid w:val="00914029"/>
    <w:rsid w:val="00914044"/>
    <w:rsid w:val="009140A5"/>
    <w:rsid w:val="009140AD"/>
    <w:rsid w:val="00914169"/>
    <w:rsid w:val="009141EF"/>
    <w:rsid w:val="00914249"/>
    <w:rsid w:val="009142A0"/>
    <w:rsid w:val="009142AB"/>
    <w:rsid w:val="0091437D"/>
    <w:rsid w:val="0091450B"/>
    <w:rsid w:val="00914530"/>
    <w:rsid w:val="0091463D"/>
    <w:rsid w:val="00914676"/>
    <w:rsid w:val="009146C1"/>
    <w:rsid w:val="00914848"/>
    <w:rsid w:val="00914953"/>
    <w:rsid w:val="0091498C"/>
    <w:rsid w:val="0091499D"/>
    <w:rsid w:val="00914A3D"/>
    <w:rsid w:val="00914AE0"/>
    <w:rsid w:val="00914AEB"/>
    <w:rsid w:val="00914B65"/>
    <w:rsid w:val="00914B8B"/>
    <w:rsid w:val="00914B9E"/>
    <w:rsid w:val="00914C76"/>
    <w:rsid w:val="00914CB2"/>
    <w:rsid w:val="00914CF5"/>
    <w:rsid w:val="00914D8F"/>
    <w:rsid w:val="00914E7F"/>
    <w:rsid w:val="00914E8C"/>
    <w:rsid w:val="00914EE0"/>
    <w:rsid w:val="00914F84"/>
    <w:rsid w:val="009150B7"/>
    <w:rsid w:val="009150D1"/>
    <w:rsid w:val="0091514B"/>
    <w:rsid w:val="009151CB"/>
    <w:rsid w:val="009151E6"/>
    <w:rsid w:val="009151F4"/>
    <w:rsid w:val="0091525D"/>
    <w:rsid w:val="00915297"/>
    <w:rsid w:val="009152D1"/>
    <w:rsid w:val="00915334"/>
    <w:rsid w:val="0091534F"/>
    <w:rsid w:val="0091537A"/>
    <w:rsid w:val="009153D7"/>
    <w:rsid w:val="0091546D"/>
    <w:rsid w:val="009154E3"/>
    <w:rsid w:val="00915519"/>
    <w:rsid w:val="00915530"/>
    <w:rsid w:val="009155E0"/>
    <w:rsid w:val="0091562B"/>
    <w:rsid w:val="009156F3"/>
    <w:rsid w:val="0091576F"/>
    <w:rsid w:val="009158B8"/>
    <w:rsid w:val="009158C1"/>
    <w:rsid w:val="009158DB"/>
    <w:rsid w:val="00915942"/>
    <w:rsid w:val="00915953"/>
    <w:rsid w:val="0091597D"/>
    <w:rsid w:val="009159C2"/>
    <w:rsid w:val="009159D5"/>
    <w:rsid w:val="00915A85"/>
    <w:rsid w:val="00915AA7"/>
    <w:rsid w:val="00915ABD"/>
    <w:rsid w:val="00915ACA"/>
    <w:rsid w:val="00915ACF"/>
    <w:rsid w:val="00915B0D"/>
    <w:rsid w:val="00915B42"/>
    <w:rsid w:val="00915C1D"/>
    <w:rsid w:val="00915D91"/>
    <w:rsid w:val="00915DA8"/>
    <w:rsid w:val="00915E17"/>
    <w:rsid w:val="00915E54"/>
    <w:rsid w:val="00915ED9"/>
    <w:rsid w:val="00915EF1"/>
    <w:rsid w:val="009160D6"/>
    <w:rsid w:val="009160E6"/>
    <w:rsid w:val="0091611F"/>
    <w:rsid w:val="0091616C"/>
    <w:rsid w:val="009161AB"/>
    <w:rsid w:val="00916273"/>
    <w:rsid w:val="00916284"/>
    <w:rsid w:val="00916321"/>
    <w:rsid w:val="009163E8"/>
    <w:rsid w:val="00916520"/>
    <w:rsid w:val="00916584"/>
    <w:rsid w:val="009166F5"/>
    <w:rsid w:val="00916716"/>
    <w:rsid w:val="00916725"/>
    <w:rsid w:val="00916753"/>
    <w:rsid w:val="009167D0"/>
    <w:rsid w:val="00916872"/>
    <w:rsid w:val="009168E9"/>
    <w:rsid w:val="00916959"/>
    <w:rsid w:val="00916A5B"/>
    <w:rsid w:val="00916A6E"/>
    <w:rsid w:val="00916AA0"/>
    <w:rsid w:val="00916AA2"/>
    <w:rsid w:val="00916AC3"/>
    <w:rsid w:val="00916B4D"/>
    <w:rsid w:val="00916BBA"/>
    <w:rsid w:val="00916C03"/>
    <w:rsid w:val="00916C22"/>
    <w:rsid w:val="00916C5C"/>
    <w:rsid w:val="00916CBF"/>
    <w:rsid w:val="00916D05"/>
    <w:rsid w:val="00916D3E"/>
    <w:rsid w:val="00916D86"/>
    <w:rsid w:val="00916F3C"/>
    <w:rsid w:val="00916F40"/>
    <w:rsid w:val="00916F4D"/>
    <w:rsid w:val="00916F9C"/>
    <w:rsid w:val="00916FAD"/>
    <w:rsid w:val="00916FB8"/>
    <w:rsid w:val="0091704D"/>
    <w:rsid w:val="0091715C"/>
    <w:rsid w:val="0091717A"/>
    <w:rsid w:val="00917191"/>
    <w:rsid w:val="009171A6"/>
    <w:rsid w:val="009171DD"/>
    <w:rsid w:val="00917268"/>
    <w:rsid w:val="00917304"/>
    <w:rsid w:val="0091740B"/>
    <w:rsid w:val="009174E7"/>
    <w:rsid w:val="009175F0"/>
    <w:rsid w:val="0091766D"/>
    <w:rsid w:val="009176DD"/>
    <w:rsid w:val="00917708"/>
    <w:rsid w:val="0091776F"/>
    <w:rsid w:val="00917783"/>
    <w:rsid w:val="009177A4"/>
    <w:rsid w:val="00917814"/>
    <w:rsid w:val="00917859"/>
    <w:rsid w:val="00917A1E"/>
    <w:rsid w:val="00917AA5"/>
    <w:rsid w:val="00917AD5"/>
    <w:rsid w:val="00917AFE"/>
    <w:rsid w:val="00917B2F"/>
    <w:rsid w:val="00917BA5"/>
    <w:rsid w:val="00917C48"/>
    <w:rsid w:val="00917C83"/>
    <w:rsid w:val="00917D8A"/>
    <w:rsid w:val="00917DCA"/>
    <w:rsid w:val="00917E7D"/>
    <w:rsid w:val="00917EAC"/>
    <w:rsid w:val="00917F12"/>
    <w:rsid w:val="00917F6E"/>
    <w:rsid w:val="0092003E"/>
    <w:rsid w:val="0092008E"/>
    <w:rsid w:val="009200DD"/>
    <w:rsid w:val="0092019F"/>
    <w:rsid w:val="009201D3"/>
    <w:rsid w:val="009201DA"/>
    <w:rsid w:val="0092027F"/>
    <w:rsid w:val="009202B3"/>
    <w:rsid w:val="009202D4"/>
    <w:rsid w:val="009202D9"/>
    <w:rsid w:val="00920331"/>
    <w:rsid w:val="009203A7"/>
    <w:rsid w:val="00920420"/>
    <w:rsid w:val="00920428"/>
    <w:rsid w:val="0092049A"/>
    <w:rsid w:val="009204D6"/>
    <w:rsid w:val="0092053C"/>
    <w:rsid w:val="00920651"/>
    <w:rsid w:val="009206B9"/>
    <w:rsid w:val="009206CC"/>
    <w:rsid w:val="009206DF"/>
    <w:rsid w:val="009206FB"/>
    <w:rsid w:val="0092074A"/>
    <w:rsid w:val="00920753"/>
    <w:rsid w:val="00920801"/>
    <w:rsid w:val="009208D5"/>
    <w:rsid w:val="009208E5"/>
    <w:rsid w:val="00920964"/>
    <w:rsid w:val="009209A6"/>
    <w:rsid w:val="00920AB2"/>
    <w:rsid w:val="00920B7F"/>
    <w:rsid w:val="00920C25"/>
    <w:rsid w:val="00920CFB"/>
    <w:rsid w:val="00920CFC"/>
    <w:rsid w:val="00920D1D"/>
    <w:rsid w:val="00920D4A"/>
    <w:rsid w:val="00920D61"/>
    <w:rsid w:val="00920D63"/>
    <w:rsid w:val="00920DCE"/>
    <w:rsid w:val="00920E43"/>
    <w:rsid w:val="00920E74"/>
    <w:rsid w:val="00920E98"/>
    <w:rsid w:val="00920F18"/>
    <w:rsid w:val="00920F39"/>
    <w:rsid w:val="00920F46"/>
    <w:rsid w:val="00920F9A"/>
    <w:rsid w:val="0092102E"/>
    <w:rsid w:val="00921082"/>
    <w:rsid w:val="0092113A"/>
    <w:rsid w:val="00921162"/>
    <w:rsid w:val="009211A8"/>
    <w:rsid w:val="00921243"/>
    <w:rsid w:val="0092129A"/>
    <w:rsid w:val="009212DF"/>
    <w:rsid w:val="009212F9"/>
    <w:rsid w:val="00921317"/>
    <w:rsid w:val="00921467"/>
    <w:rsid w:val="00921477"/>
    <w:rsid w:val="00921496"/>
    <w:rsid w:val="009214F5"/>
    <w:rsid w:val="00921555"/>
    <w:rsid w:val="0092160B"/>
    <w:rsid w:val="0092166A"/>
    <w:rsid w:val="009216FB"/>
    <w:rsid w:val="009217C5"/>
    <w:rsid w:val="009217E5"/>
    <w:rsid w:val="009218E1"/>
    <w:rsid w:val="00921973"/>
    <w:rsid w:val="009219F5"/>
    <w:rsid w:val="00921A05"/>
    <w:rsid w:val="00921A57"/>
    <w:rsid w:val="00921A86"/>
    <w:rsid w:val="00921B65"/>
    <w:rsid w:val="00921C3E"/>
    <w:rsid w:val="00921C41"/>
    <w:rsid w:val="00921C7F"/>
    <w:rsid w:val="00921CDB"/>
    <w:rsid w:val="00921D17"/>
    <w:rsid w:val="00921DF9"/>
    <w:rsid w:val="00921E30"/>
    <w:rsid w:val="00921E34"/>
    <w:rsid w:val="00921E6C"/>
    <w:rsid w:val="00921F17"/>
    <w:rsid w:val="00921FF9"/>
    <w:rsid w:val="009220B0"/>
    <w:rsid w:val="0092212D"/>
    <w:rsid w:val="0092216D"/>
    <w:rsid w:val="009221E7"/>
    <w:rsid w:val="009221FC"/>
    <w:rsid w:val="0092221E"/>
    <w:rsid w:val="00922226"/>
    <w:rsid w:val="0092235F"/>
    <w:rsid w:val="0092240B"/>
    <w:rsid w:val="00922461"/>
    <w:rsid w:val="009224D5"/>
    <w:rsid w:val="00922526"/>
    <w:rsid w:val="00922564"/>
    <w:rsid w:val="0092256F"/>
    <w:rsid w:val="00922593"/>
    <w:rsid w:val="009225AC"/>
    <w:rsid w:val="00922625"/>
    <w:rsid w:val="0092264B"/>
    <w:rsid w:val="0092268E"/>
    <w:rsid w:val="009226DF"/>
    <w:rsid w:val="009226E4"/>
    <w:rsid w:val="009227D2"/>
    <w:rsid w:val="009227E8"/>
    <w:rsid w:val="009228B5"/>
    <w:rsid w:val="00922903"/>
    <w:rsid w:val="00922926"/>
    <w:rsid w:val="0092298C"/>
    <w:rsid w:val="00922A90"/>
    <w:rsid w:val="00922B81"/>
    <w:rsid w:val="00922BE0"/>
    <w:rsid w:val="00922BE9"/>
    <w:rsid w:val="00922BF7"/>
    <w:rsid w:val="00922C51"/>
    <w:rsid w:val="00922C83"/>
    <w:rsid w:val="00922D88"/>
    <w:rsid w:val="00922D90"/>
    <w:rsid w:val="00922E1C"/>
    <w:rsid w:val="00922E3A"/>
    <w:rsid w:val="00922ED5"/>
    <w:rsid w:val="00922F52"/>
    <w:rsid w:val="00922F82"/>
    <w:rsid w:val="00922FAC"/>
    <w:rsid w:val="00922FBC"/>
    <w:rsid w:val="00923000"/>
    <w:rsid w:val="00923048"/>
    <w:rsid w:val="00923192"/>
    <w:rsid w:val="00923222"/>
    <w:rsid w:val="00923257"/>
    <w:rsid w:val="00923258"/>
    <w:rsid w:val="0092326D"/>
    <w:rsid w:val="009232B7"/>
    <w:rsid w:val="00923387"/>
    <w:rsid w:val="009233D2"/>
    <w:rsid w:val="009234CE"/>
    <w:rsid w:val="009236A6"/>
    <w:rsid w:val="009236B4"/>
    <w:rsid w:val="0092380A"/>
    <w:rsid w:val="009238DC"/>
    <w:rsid w:val="009238E8"/>
    <w:rsid w:val="00923916"/>
    <w:rsid w:val="00923960"/>
    <w:rsid w:val="009239BA"/>
    <w:rsid w:val="00923A53"/>
    <w:rsid w:val="00923A99"/>
    <w:rsid w:val="00923AB7"/>
    <w:rsid w:val="00923B9E"/>
    <w:rsid w:val="00923BE1"/>
    <w:rsid w:val="00923C3C"/>
    <w:rsid w:val="00923C57"/>
    <w:rsid w:val="00923C59"/>
    <w:rsid w:val="00923D27"/>
    <w:rsid w:val="00923D3D"/>
    <w:rsid w:val="00923D87"/>
    <w:rsid w:val="00923DD5"/>
    <w:rsid w:val="00923E1C"/>
    <w:rsid w:val="00923E61"/>
    <w:rsid w:val="00923EE6"/>
    <w:rsid w:val="00923EED"/>
    <w:rsid w:val="00923FAD"/>
    <w:rsid w:val="00924071"/>
    <w:rsid w:val="009240E2"/>
    <w:rsid w:val="00924190"/>
    <w:rsid w:val="0092420C"/>
    <w:rsid w:val="00924245"/>
    <w:rsid w:val="0092424E"/>
    <w:rsid w:val="00924274"/>
    <w:rsid w:val="009242A1"/>
    <w:rsid w:val="009242D9"/>
    <w:rsid w:val="0092431C"/>
    <w:rsid w:val="00924361"/>
    <w:rsid w:val="00924491"/>
    <w:rsid w:val="009245FD"/>
    <w:rsid w:val="00924610"/>
    <w:rsid w:val="009246F5"/>
    <w:rsid w:val="009247B8"/>
    <w:rsid w:val="009248CD"/>
    <w:rsid w:val="0092497E"/>
    <w:rsid w:val="009249C3"/>
    <w:rsid w:val="00924A44"/>
    <w:rsid w:val="00924A83"/>
    <w:rsid w:val="00924B89"/>
    <w:rsid w:val="00924D7E"/>
    <w:rsid w:val="00924DBA"/>
    <w:rsid w:val="00924DDE"/>
    <w:rsid w:val="00924E01"/>
    <w:rsid w:val="00924E3C"/>
    <w:rsid w:val="00924E43"/>
    <w:rsid w:val="00924E53"/>
    <w:rsid w:val="00924F1B"/>
    <w:rsid w:val="00924F1D"/>
    <w:rsid w:val="00924FF8"/>
    <w:rsid w:val="0092502E"/>
    <w:rsid w:val="009252C9"/>
    <w:rsid w:val="0092538E"/>
    <w:rsid w:val="0092555D"/>
    <w:rsid w:val="009255CC"/>
    <w:rsid w:val="00925693"/>
    <w:rsid w:val="009256B7"/>
    <w:rsid w:val="00925713"/>
    <w:rsid w:val="00925727"/>
    <w:rsid w:val="00925832"/>
    <w:rsid w:val="009258B9"/>
    <w:rsid w:val="0092592E"/>
    <w:rsid w:val="00925947"/>
    <w:rsid w:val="009259DB"/>
    <w:rsid w:val="00925A16"/>
    <w:rsid w:val="00925B17"/>
    <w:rsid w:val="00925B4D"/>
    <w:rsid w:val="00925B7F"/>
    <w:rsid w:val="00925C9E"/>
    <w:rsid w:val="00925D8C"/>
    <w:rsid w:val="00925DB3"/>
    <w:rsid w:val="00925DCC"/>
    <w:rsid w:val="00925E39"/>
    <w:rsid w:val="00925EE8"/>
    <w:rsid w:val="00925F5E"/>
    <w:rsid w:val="00925FE3"/>
    <w:rsid w:val="00926003"/>
    <w:rsid w:val="00926030"/>
    <w:rsid w:val="00926031"/>
    <w:rsid w:val="0092630F"/>
    <w:rsid w:val="0092631E"/>
    <w:rsid w:val="009263CB"/>
    <w:rsid w:val="00926437"/>
    <w:rsid w:val="0092644C"/>
    <w:rsid w:val="00926469"/>
    <w:rsid w:val="00926661"/>
    <w:rsid w:val="00926691"/>
    <w:rsid w:val="00926712"/>
    <w:rsid w:val="009267C7"/>
    <w:rsid w:val="009269B8"/>
    <w:rsid w:val="00926B6E"/>
    <w:rsid w:val="00926B8C"/>
    <w:rsid w:val="00926BEF"/>
    <w:rsid w:val="00926C55"/>
    <w:rsid w:val="00926CBA"/>
    <w:rsid w:val="00926D47"/>
    <w:rsid w:val="00926DAD"/>
    <w:rsid w:val="00926DD5"/>
    <w:rsid w:val="00926F26"/>
    <w:rsid w:val="00926F72"/>
    <w:rsid w:val="0092706F"/>
    <w:rsid w:val="00927073"/>
    <w:rsid w:val="009271A7"/>
    <w:rsid w:val="0092724B"/>
    <w:rsid w:val="0092726F"/>
    <w:rsid w:val="009272D2"/>
    <w:rsid w:val="00927327"/>
    <w:rsid w:val="0092732A"/>
    <w:rsid w:val="00927359"/>
    <w:rsid w:val="00927425"/>
    <w:rsid w:val="00927541"/>
    <w:rsid w:val="009275B2"/>
    <w:rsid w:val="009275C2"/>
    <w:rsid w:val="009275D1"/>
    <w:rsid w:val="00927709"/>
    <w:rsid w:val="00927744"/>
    <w:rsid w:val="0092778E"/>
    <w:rsid w:val="009277A6"/>
    <w:rsid w:val="0092781D"/>
    <w:rsid w:val="0092785A"/>
    <w:rsid w:val="009278B9"/>
    <w:rsid w:val="0092793B"/>
    <w:rsid w:val="009279DC"/>
    <w:rsid w:val="00927A9F"/>
    <w:rsid w:val="00927AE9"/>
    <w:rsid w:val="00927B68"/>
    <w:rsid w:val="00927BA3"/>
    <w:rsid w:val="00927BD1"/>
    <w:rsid w:val="00927BF7"/>
    <w:rsid w:val="00927D6C"/>
    <w:rsid w:val="00927DF3"/>
    <w:rsid w:val="00927E98"/>
    <w:rsid w:val="00927EA7"/>
    <w:rsid w:val="00927EED"/>
    <w:rsid w:val="00927F07"/>
    <w:rsid w:val="00927F13"/>
    <w:rsid w:val="00927F1A"/>
    <w:rsid w:val="00927F34"/>
    <w:rsid w:val="00927F87"/>
    <w:rsid w:val="00927FB7"/>
    <w:rsid w:val="0093008A"/>
    <w:rsid w:val="009300AC"/>
    <w:rsid w:val="009301EF"/>
    <w:rsid w:val="00930269"/>
    <w:rsid w:val="0093027B"/>
    <w:rsid w:val="00930287"/>
    <w:rsid w:val="00930292"/>
    <w:rsid w:val="009302DB"/>
    <w:rsid w:val="00930391"/>
    <w:rsid w:val="00930463"/>
    <w:rsid w:val="009304F2"/>
    <w:rsid w:val="009304F4"/>
    <w:rsid w:val="0093052A"/>
    <w:rsid w:val="00930566"/>
    <w:rsid w:val="00930576"/>
    <w:rsid w:val="0093057B"/>
    <w:rsid w:val="0093059D"/>
    <w:rsid w:val="009305E9"/>
    <w:rsid w:val="00930606"/>
    <w:rsid w:val="0093060E"/>
    <w:rsid w:val="00930691"/>
    <w:rsid w:val="009306AC"/>
    <w:rsid w:val="009306AE"/>
    <w:rsid w:val="0093081D"/>
    <w:rsid w:val="00930966"/>
    <w:rsid w:val="0093096D"/>
    <w:rsid w:val="009309D7"/>
    <w:rsid w:val="00930A3C"/>
    <w:rsid w:val="00930A7C"/>
    <w:rsid w:val="00930A9C"/>
    <w:rsid w:val="00930AB7"/>
    <w:rsid w:val="00930AF6"/>
    <w:rsid w:val="00930B09"/>
    <w:rsid w:val="00930B1E"/>
    <w:rsid w:val="00930B22"/>
    <w:rsid w:val="00930B80"/>
    <w:rsid w:val="00930BE6"/>
    <w:rsid w:val="00930C11"/>
    <w:rsid w:val="00930C15"/>
    <w:rsid w:val="00930C39"/>
    <w:rsid w:val="00930C61"/>
    <w:rsid w:val="00930C6C"/>
    <w:rsid w:val="00930C79"/>
    <w:rsid w:val="00930CB6"/>
    <w:rsid w:val="00930CF1"/>
    <w:rsid w:val="00930D02"/>
    <w:rsid w:val="00930D4F"/>
    <w:rsid w:val="00930D89"/>
    <w:rsid w:val="00930D95"/>
    <w:rsid w:val="00930DB3"/>
    <w:rsid w:val="00930E4F"/>
    <w:rsid w:val="00930F00"/>
    <w:rsid w:val="00930F50"/>
    <w:rsid w:val="00930F60"/>
    <w:rsid w:val="00930F6B"/>
    <w:rsid w:val="00930F7E"/>
    <w:rsid w:val="00931011"/>
    <w:rsid w:val="009310F4"/>
    <w:rsid w:val="00931178"/>
    <w:rsid w:val="00931333"/>
    <w:rsid w:val="009314DC"/>
    <w:rsid w:val="00931670"/>
    <w:rsid w:val="009316FC"/>
    <w:rsid w:val="00931761"/>
    <w:rsid w:val="00931802"/>
    <w:rsid w:val="00931900"/>
    <w:rsid w:val="00931910"/>
    <w:rsid w:val="00931927"/>
    <w:rsid w:val="00931A34"/>
    <w:rsid w:val="00931B2E"/>
    <w:rsid w:val="00931C6A"/>
    <w:rsid w:val="00931CA0"/>
    <w:rsid w:val="00931CAE"/>
    <w:rsid w:val="00931D13"/>
    <w:rsid w:val="00931D26"/>
    <w:rsid w:val="00931D44"/>
    <w:rsid w:val="00931D59"/>
    <w:rsid w:val="00931DB8"/>
    <w:rsid w:val="00932067"/>
    <w:rsid w:val="00932121"/>
    <w:rsid w:val="00932147"/>
    <w:rsid w:val="00932169"/>
    <w:rsid w:val="009321C1"/>
    <w:rsid w:val="0093224F"/>
    <w:rsid w:val="0093229B"/>
    <w:rsid w:val="009322BA"/>
    <w:rsid w:val="009322BE"/>
    <w:rsid w:val="0093236E"/>
    <w:rsid w:val="00932404"/>
    <w:rsid w:val="00932407"/>
    <w:rsid w:val="00932416"/>
    <w:rsid w:val="00932438"/>
    <w:rsid w:val="00932440"/>
    <w:rsid w:val="009324B0"/>
    <w:rsid w:val="009324E3"/>
    <w:rsid w:val="00932504"/>
    <w:rsid w:val="009326A1"/>
    <w:rsid w:val="009326FE"/>
    <w:rsid w:val="00932704"/>
    <w:rsid w:val="0093273C"/>
    <w:rsid w:val="00932877"/>
    <w:rsid w:val="009329D6"/>
    <w:rsid w:val="009329FA"/>
    <w:rsid w:val="00932A45"/>
    <w:rsid w:val="00932B1B"/>
    <w:rsid w:val="00932B2C"/>
    <w:rsid w:val="00932B99"/>
    <w:rsid w:val="00932BB9"/>
    <w:rsid w:val="00932BC4"/>
    <w:rsid w:val="00932BD5"/>
    <w:rsid w:val="00932BDF"/>
    <w:rsid w:val="00932C59"/>
    <w:rsid w:val="00932C68"/>
    <w:rsid w:val="00932D02"/>
    <w:rsid w:val="00932D12"/>
    <w:rsid w:val="00932D20"/>
    <w:rsid w:val="00932DB9"/>
    <w:rsid w:val="00932DC3"/>
    <w:rsid w:val="00932E49"/>
    <w:rsid w:val="00932FC5"/>
    <w:rsid w:val="00932FD1"/>
    <w:rsid w:val="009330AD"/>
    <w:rsid w:val="00933142"/>
    <w:rsid w:val="00933245"/>
    <w:rsid w:val="009332A1"/>
    <w:rsid w:val="009332F3"/>
    <w:rsid w:val="00933329"/>
    <w:rsid w:val="00933344"/>
    <w:rsid w:val="0093337A"/>
    <w:rsid w:val="009334EC"/>
    <w:rsid w:val="009335B3"/>
    <w:rsid w:val="009335C6"/>
    <w:rsid w:val="009336D0"/>
    <w:rsid w:val="0093372E"/>
    <w:rsid w:val="009337C6"/>
    <w:rsid w:val="00933835"/>
    <w:rsid w:val="00933893"/>
    <w:rsid w:val="0093389A"/>
    <w:rsid w:val="00933960"/>
    <w:rsid w:val="009339C0"/>
    <w:rsid w:val="00933A22"/>
    <w:rsid w:val="00933A84"/>
    <w:rsid w:val="00933B37"/>
    <w:rsid w:val="00933C5B"/>
    <w:rsid w:val="00933CBA"/>
    <w:rsid w:val="00933CE6"/>
    <w:rsid w:val="00933D62"/>
    <w:rsid w:val="00933E9D"/>
    <w:rsid w:val="00933F02"/>
    <w:rsid w:val="00933FF0"/>
    <w:rsid w:val="0093401F"/>
    <w:rsid w:val="009340D7"/>
    <w:rsid w:val="00934112"/>
    <w:rsid w:val="00934177"/>
    <w:rsid w:val="009341C3"/>
    <w:rsid w:val="009341F6"/>
    <w:rsid w:val="00934239"/>
    <w:rsid w:val="00934248"/>
    <w:rsid w:val="0093425F"/>
    <w:rsid w:val="009342CB"/>
    <w:rsid w:val="00934330"/>
    <w:rsid w:val="00934347"/>
    <w:rsid w:val="009343BE"/>
    <w:rsid w:val="009343D7"/>
    <w:rsid w:val="00934438"/>
    <w:rsid w:val="009344A0"/>
    <w:rsid w:val="0093455F"/>
    <w:rsid w:val="0093458A"/>
    <w:rsid w:val="009345E3"/>
    <w:rsid w:val="00934676"/>
    <w:rsid w:val="00934683"/>
    <w:rsid w:val="009346D4"/>
    <w:rsid w:val="00934749"/>
    <w:rsid w:val="009347B4"/>
    <w:rsid w:val="009347DB"/>
    <w:rsid w:val="009347DE"/>
    <w:rsid w:val="009347E2"/>
    <w:rsid w:val="009347ED"/>
    <w:rsid w:val="00934807"/>
    <w:rsid w:val="00934835"/>
    <w:rsid w:val="0093488B"/>
    <w:rsid w:val="00934B0A"/>
    <w:rsid w:val="00934BDA"/>
    <w:rsid w:val="00934C44"/>
    <w:rsid w:val="00934CA0"/>
    <w:rsid w:val="00934CEE"/>
    <w:rsid w:val="00934D52"/>
    <w:rsid w:val="00934D5F"/>
    <w:rsid w:val="00934E78"/>
    <w:rsid w:val="00934F33"/>
    <w:rsid w:val="00934FB8"/>
    <w:rsid w:val="00935013"/>
    <w:rsid w:val="0093504D"/>
    <w:rsid w:val="009352FE"/>
    <w:rsid w:val="00935304"/>
    <w:rsid w:val="00935329"/>
    <w:rsid w:val="0093532D"/>
    <w:rsid w:val="0093534B"/>
    <w:rsid w:val="00935358"/>
    <w:rsid w:val="009353CF"/>
    <w:rsid w:val="0093541A"/>
    <w:rsid w:val="009354EA"/>
    <w:rsid w:val="009354EC"/>
    <w:rsid w:val="00935524"/>
    <w:rsid w:val="00935558"/>
    <w:rsid w:val="009355F5"/>
    <w:rsid w:val="009355F8"/>
    <w:rsid w:val="009356BD"/>
    <w:rsid w:val="0093570A"/>
    <w:rsid w:val="00935717"/>
    <w:rsid w:val="00935718"/>
    <w:rsid w:val="0093573C"/>
    <w:rsid w:val="00935780"/>
    <w:rsid w:val="009357DC"/>
    <w:rsid w:val="00935819"/>
    <w:rsid w:val="0093585F"/>
    <w:rsid w:val="0093586D"/>
    <w:rsid w:val="0093588C"/>
    <w:rsid w:val="00935963"/>
    <w:rsid w:val="00935AD2"/>
    <w:rsid w:val="00935C75"/>
    <w:rsid w:val="00935C93"/>
    <w:rsid w:val="00935D26"/>
    <w:rsid w:val="00935DAE"/>
    <w:rsid w:val="00935E21"/>
    <w:rsid w:val="00935E2E"/>
    <w:rsid w:val="00935E74"/>
    <w:rsid w:val="00935EDA"/>
    <w:rsid w:val="00935FFE"/>
    <w:rsid w:val="00936016"/>
    <w:rsid w:val="00936038"/>
    <w:rsid w:val="0093605C"/>
    <w:rsid w:val="009360CD"/>
    <w:rsid w:val="00936201"/>
    <w:rsid w:val="0093622B"/>
    <w:rsid w:val="00936253"/>
    <w:rsid w:val="00936269"/>
    <w:rsid w:val="009362B3"/>
    <w:rsid w:val="00936320"/>
    <w:rsid w:val="00936332"/>
    <w:rsid w:val="0093634A"/>
    <w:rsid w:val="0093636C"/>
    <w:rsid w:val="0093637C"/>
    <w:rsid w:val="00936392"/>
    <w:rsid w:val="009363AD"/>
    <w:rsid w:val="009363B4"/>
    <w:rsid w:val="009363C6"/>
    <w:rsid w:val="00936452"/>
    <w:rsid w:val="009364BE"/>
    <w:rsid w:val="009364F7"/>
    <w:rsid w:val="00936576"/>
    <w:rsid w:val="00936585"/>
    <w:rsid w:val="009365D7"/>
    <w:rsid w:val="00936626"/>
    <w:rsid w:val="00936664"/>
    <w:rsid w:val="0093667A"/>
    <w:rsid w:val="00936684"/>
    <w:rsid w:val="00936707"/>
    <w:rsid w:val="00936736"/>
    <w:rsid w:val="00936777"/>
    <w:rsid w:val="0093680F"/>
    <w:rsid w:val="00936819"/>
    <w:rsid w:val="00936825"/>
    <w:rsid w:val="00936837"/>
    <w:rsid w:val="009368E2"/>
    <w:rsid w:val="00936A6F"/>
    <w:rsid w:val="00936AE9"/>
    <w:rsid w:val="00936B0D"/>
    <w:rsid w:val="00936BE5"/>
    <w:rsid w:val="00936CB1"/>
    <w:rsid w:val="00936E27"/>
    <w:rsid w:val="00936E6E"/>
    <w:rsid w:val="00936EB9"/>
    <w:rsid w:val="00936EEA"/>
    <w:rsid w:val="00937008"/>
    <w:rsid w:val="0093701E"/>
    <w:rsid w:val="00937083"/>
    <w:rsid w:val="00937127"/>
    <w:rsid w:val="00937130"/>
    <w:rsid w:val="00937138"/>
    <w:rsid w:val="00937141"/>
    <w:rsid w:val="009371F5"/>
    <w:rsid w:val="0093732E"/>
    <w:rsid w:val="00937344"/>
    <w:rsid w:val="009373C1"/>
    <w:rsid w:val="00937404"/>
    <w:rsid w:val="00937441"/>
    <w:rsid w:val="00937458"/>
    <w:rsid w:val="00937468"/>
    <w:rsid w:val="009374F5"/>
    <w:rsid w:val="00937515"/>
    <w:rsid w:val="00937527"/>
    <w:rsid w:val="0093763C"/>
    <w:rsid w:val="009376D9"/>
    <w:rsid w:val="009376F8"/>
    <w:rsid w:val="0093770C"/>
    <w:rsid w:val="00937714"/>
    <w:rsid w:val="0093774D"/>
    <w:rsid w:val="00937835"/>
    <w:rsid w:val="00937893"/>
    <w:rsid w:val="009378B7"/>
    <w:rsid w:val="00937970"/>
    <w:rsid w:val="009379EC"/>
    <w:rsid w:val="00937A47"/>
    <w:rsid w:val="00937A8B"/>
    <w:rsid w:val="00937AA8"/>
    <w:rsid w:val="00937AC0"/>
    <w:rsid w:val="00937B7F"/>
    <w:rsid w:val="00937BC0"/>
    <w:rsid w:val="00937C77"/>
    <w:rsid w:val="00937D03"/>
    <w:rsid w:val="00937D7A"/>
    <w:rsid w:val="00937D7B"/>
    <w:rsid w:val="00937FAA"/>
    <w:rsid w:val="00940008"/>
    <w:rsid w:val="0094013B"/>
    <w:rsid w:val="00940182"/>
    <w:rsid w:val="00940213"/>
    <w:rsid w:val="009403F9"/>
    <w:rsid w:val="00940436"/>
    <w:rsid w:val="0094045D"/>
    <w:rsid w:val="0094046C"/>
    <w:rsid w:val="009404A2"/>
    <w:rsid w:val="009404BF"/>
    <w:rsid w:val="009404E3"/>
    <w:rsid w:val="009404F9"/>
    <w:rsid w:val="00940616"/>
    <w:rsid w:val="00940697"/>
    <w:rsid w:val="009406F9"/>
    <w:rsid w:val="009406FB"/>
    <w:rsid w:val="00940705"/>
    <w:rsid w:val="00940748"/>
    <w:rsid w:val="00940775"/>
    <w:rsid w:val="009407A1"/>
    <w:rsid w:val="009407B8"/>
    <w:rsid w:val="009407B9"/>
    <w:rsid w:val="00940858"/>
    <w:rsid w:val="009408E8"/>
    <w:rsid w:val="009409AA"/>
    <w:rsid w:val="009409B7"/>
    <w:rsid w:val="00940ACD"/>
    <w:rsid w:val="00940AF6"/>
    <w:rsid w:val="00940B37"/>
    <w:rsid w:val="00940C4A"/>
    <w:rsid w:val="00940CD6"/>
    <w:rsid w:val="00940D2C"/>
    <w:rsid w:val="00940D66"/>
    <w:rsid w:val="00940D87"/>
    <w:rsid w:val="00940E26"/>
    <w:rsid w:val="00940EAC"/>
    <w:rsid w:val="00940F1D"/>
    <w:rsid w:val="00940F94"/>
    <w:rsid w:val="00940F9B"/>
    <w:rsid w:val="00940FDE"/>
    <w:rsid w:val="00941132"/>
    <w:rsid w:val="00941180"/>
    <w:rsid w:val="0094130A"/>
    <w:rsid w:val="00941370"/>
    <w:rsid w:val="009413A7"/>
    <w:rsid w:val="009413C6"/>
    <w:rsid w:val="009413D5"/>
    <w:rsid w:val="009413E3"/>
    <w:rsid w:val="009413F6"/>
    <w:rsid w:val="0094141B"/>
    <w:rsid w:val="0094143C"/>
    <w:rsid w:val="00941452"/>
    <w:rsid w:val="00941467"/>
    <w:rsid w:val="009414F9"/>
    <w:rsid w:val="00941525"/>
    <w:rsid w:val="00941574"/>
    <w:rsid w:val="00941667"/>
    <w:rsid w:val="009416A0"/>
    <w:rsid w:val="009417B6"/>
    <w:rsid w:val="00941820"/>
    <w:rsid w:val="00941826"/>
    <w:rsid w:val="009418E0"/>
    <w:rsid w:val="009418EE"/>
    <w:rsid w:val="00941A10"/>
    <w:rsid w:val="00941A1F"/>
    <w:rsid w:val="00941A6C"/>
    <w:rsid w:val="00941BA8"/>
    <w:rsid w:val="00941C73"/>
    <w:rsid w:val="00941CA5"/>
    <w:rsid w:val="00941D21"/>
    <w:rsid w:val="00941DAC"/>
    <w:rsid w:val="00941FB6"/>
    <w:rsid w:val="00941FED"/>
    <w:rsid w:val="0094210D"/>
    <w:rsid w:val="00942185"/>
    <w:rsid w:val="009421D2"/>
    <w:rsid w:val="0094226E"/>
    <w:rsid w:val="00942287"/>
    <w:rsid w:val="009422F6"/>
    <w:rsid w:val="0094232A"/>
    <w:rsid w:val="0094237E"/>
    <w:rsid w:val="009423C3"/>
    <w:rsid w:val="009423D6"/>
    <w:rsid w:val="00942414"/>
    <w:rsid w:val="009424A0"/>
    <w:rsid w:val="0094253C"/>
    <w:rsid w:val="00942571"/>
    <w:rsid w:val="00942639"/>
    <w:rsid w:val="0094265A"/>
    <w:rsid w:val="009426F8"/>
    <w:rsid w:val="00942877"/>
    <w:rsid w:val="0094297D"/>
    <w:rsid w:val="00942A05"/>
    <w:rsid w:val="00942B70"/>
    <w:rsid w:val="00942C50"/>
    <w:rsid w:val="00942C60"/>
    <w:rsid w:val="00942D30"/>
    <w:rsid w:val="00942D36"/>
    <w:rsid w:val="00942D90"/>
    <w:rsid w:val="00942E3B"/>
    <w:rsid w:val="00942ED1"/>
    <w:rsid w:val="00942FC5"/>
    <w:rsid w:val="00942FDC"/>
    <w:rsid w:val="00943051"/>
    <w:rsid w:val="009430AB"/>
    <w:rsid w:val="00943112"/>
    <w:rsid w:val="0094316F"/>
    <w:rsid w:val="00943189"/>
    <w:rsid w:val="009431AB"/>
    <w:rsid w:val="009431E3"/>
    <w:rsid w:val="0094321D"/>
    <w:rsid w:val="00943275"/>
    <w:rsid w:val="00943310"/>
    <w:rsid w:val="00943332"/>
    <w:rsid w:val="0094335D"/>
    <w:rsid w:val="00943383"/>
    <w:rsid w:val="009433E7"/>
    <w:rsid w:val="00943444"/>
    <w:rsid w:val="00943471"/>
    <w:rsid w:val="009434D7"/>
    <w:rsid w:val="00943503"/>
    <w:rsid w:val="009435CC"/>
    <w:rsid w:val="009435E6"/>
    <w:rsid w:val="0094366F"/>
    <w:rsid w:val="0094373D"/>
    <w:rsid w:val="00943776"/>
    <w:rsid w:val="00943783"/>
    <w:rsid w:val="009437C8"/>
    <w:rsid w:val="009437DA"/>
    <w:rsid w:val="00943861"/>
    <w:rsid w:val="009439BE"/>
    <w:rsid w:val="009439EF"/>
    <w:rsid w:val="00943A1A"/>
    <w:rsid w:val="00943A2F"/>
    <w:rsid w:val="00943A48"/>
    <w:rsid w:val="00943A83"/>
    <w:rsid w:val="00943A87"/>
    <w:rsid w:val="00943B14"/>
    <w:rsid w:val="00943B21"/>
    <w:rsid w:val="00943B42"/>
    <w:rsid w:val="00943B55"/>
    <w:rsid w:val="00943B56"/>
    <w:rsid w:val="00943BDF"/>
    <w:rsid w:val="00943C64"/>
    <w:rsid w:val="00943CDA"/>
    <w:rsid w:val="00943D4A"/>
    <w:rsid w:val="00943D5F"/>
    <w:rsid w:val="00943D76"/>
    <w:rsid w:val="00943D8D"/>
    <w:rsid w:val="00943E5B"/>
    <w:rsid w:val="00943E7D"/>
    <w:rsid w:val="00943EE1"/>
    <w:rsid w:val="00943F66"/>
    <w:rsid w:val="00943F70"/>
    <w:rsid w:val="00943FC8"/>
    <w:rsid w:val="00943FF4"/>
    <w:rsid w:val="00944002"/>
    <w:rsid w:val="00944094"/>
    <w:rsid w:val="009440B2"/>
    <w:rsid w:val="009440C9"/>
    <w:rsid w:val="009442A3"/>
    <w:rsid w:val="00944334"/>
    <w:rsid w:val="00944439"/>
    <w:rsid w:val="00944493"/>
    <w:rsid w:val="009444BB"/>
    <w:rsid w:val="00944503"/>
    <w:rsid w:val="00944545"/>
    <w:rsid w:val="009445F6"/>
    <w:rsid w:val="00944632"/>
    <w:rsid w:val="0094464B"/>
    <w:rsid w:val="0094469E"/>
    <w:rsid w:val="009446BD"/>
    <w:rsid w:val="009446FF"/>
    <w:rsid w:val="00944752"/>
    <w:rsid w:val="00944763"/>
    <w:rsid w:val="00944779"/>
    <w:rsid w:val="00944793"/>
    <w:rsid w:val="009448A9"/>
    <w:rsid w:val="009448F8"/>
    <w:rsid w:val="00944A39"/>
    <w:rsid w:val="00944B33"/>
    <w:rsid w:val="00944B4D"/>
    <w:rsid w:val="00944BA1"/>
    <w:rsid w:val="00944C2B"/>
    <w:rsid w:val="00944C61"/>
    <w:rsid w:val="00944CF2"/>
    <w:rsid w:val="00944CF3"/>
    <w:rsid w:val="00944CF6"/>
    <w:rsid w:val="00944D02"/>
    <w:rsid w:val="00944D26"/>
    <w:rsid w:val="00944DEC"/>
    <w:rsid w:val="00944E58"/>
    <w:rsid w:val="00944FAC"/>
    <w:rsid w:val="00944FCB"/>
    <w:rsid w:val="00945011"/>
    <w:rsid w:val="00945027"/>
    <w:rsid w:val="009450C1"/>
    <w:rsid w:val="00945185"/>
    <w:rsid w:val="0094523E"/>
    <w:rsid w:val="0094524C"/>
    <w:rsid w:val="00945339"/>
    <w:rsid w:val="00945345"/>
    <w:rsid w:val="00945374"/>
    <w:rsid w:val="009453F5"/>
    <w:rsid w:val="0094543D"/>
    <w:rsid w:val="00945446"/>
    <w:rsid w:val="0094544C"/>
    <w:rsid w:val="009454AC"/>
    <w:rsid w:val="009454C0"/>
    <w:rsid w:val="00945511"/>
    <w:rsid w:val="009455B6"/>
    <w:rsid w:val="009455CE"/>
    <w:rsid w:val="0094560B"/>
    <w:rsid w:val="0094564B"/>
    <w:rsid w:val="00945664"/>
    <w:rsid w:val="0094567A"/>
    <w:rsid w:val="00945737"/>
    <w:rsid w:val="00945779"/>
    <w:rsid w:val="00945800"/>
    <w:rsid w:val="009458BD"/>
    <w:rsid w:val="009458E5"/>
    <w:rsid w:val="00945905"/>
    <w:rsid w:val="0094593D"/>
    <w:rsid w:val="0094599F"/>
    <w:rsid w:val="009459CD"/>
    <w:rsid w:val="009459D9"/>
    <w:rsid w:val="009459EA"/>
    <w:rsid w:val="00945A16"/>
    <w:rsid w:val="00945AA1"/>
    <w:rsid w:val="00945B66"/>
    <w:rsid w:val="00945B84"/>
    <w:rsid w:val="00945BA7"/>
    <w:rsid w:val="00945BB7"/>
    <w:rsid w:val="00945BC3"/>
    <w:rsid w:val="00945BEE"/>
    <w:rsid w:val="00945D8E"/>
    <w:rsid w:val="00945E7C"/>
    <w:rsid w:val="00945E9F"/>
    <w:rsid w:val="00945EB9"/>
    <w:rsid w:val="00945EFD"/>
    <w:rsid w:val="00945EFF"/>
    <w:rsid w:val="00945F14"/>
    <w:rsid w:val="00945F87"/>
    <w:rsid w:val="00945F9D"/>
    <w:rsid w:val="00945FFC"/>
    <w:rsid w:val="009461C7"/>
    <w:rsid w:val="0094622F"/>
    <w:rsid w:val="00946234"/>
    <w:rsid w:val="0094624A"/>
    <w:rsid w:val="0094626D"/>
    <w:rsid w:val="009462B6"/>
    <w:rsid w:val="009462CA"/>
    <w:rsid w:val="009462F2"/>
    <w:rsid w:val="00946307"/>
    <w:rsid w:val="0094632B"/>
    <w:rsid w:val="0094638F"/>
    <w:rsid w:val="009463E6"/>
    <w:rsid w:val="0094649A"/>
    <w:rsid w:val="009464B6"/>
    <w:rsid w:val="00946519"/>
    <w:rsid w:val="00946598"/>
    <w:rsid w:val="0094664F"/>
    <w:rsid w:val="009466C5"/>
    <w:rsid w:val="009466F7"/>
    <w:rsid w:val="009467F7"/>
    <w:rsid w:val="009468E0"/>
    <w:rsid w:val="00946910"/>
    <w:rsid w:val="00946936"/>
    <w:rsid w:val="00946955"/>
    <w:rsid w:val="00946A47"/>
    <w:rsid w:val="00946AB1"/>
    <w:rsid w:val="00946ABD"/>
    <w:rsid w:val="00946B11"/>
    <w:rsid w:val="00946B53"/>
    <w:rsid w:val="00946BD2"/>
    <w:rsid w:val="00946BD4"/>
    <w:rsid w:val="00946C1D"/>
    <w:rsid w:val="00946C63"/>
    <w:rsid w:val="00946CCE"/>
    <w:rsid w:val="00946D06"/>
    <w:rsid w:val="00946D09"/>
    <w:rsid w:val="00946D4F"/>
    <w:rsid w:val="00946D63"/>
    <w:rsid w:val="00946DBC"/>
    <w:rsid w:val="00946E2B"/>
    <w:rsid w:val="00947082"/>
    <w:rsid w:val="0094718C"/>
    <w:rsid w:val="009471B6"/>
    <w:rsid w:val="009471C4"/>
    <w:rsid w:val="009471EC"/>
    <w:rsid w:val="00947269"/>
    <w:rsid w:val="009472F7"/>
    <w:rsid w:val="00947399"/>
    <w:rsid w:val="009473D9"/>
    <w:rsid w:val="00947457"/>
    <w:rsid w:val="009474B1"/>
    <w:rsid w:val="00947505"/>
    <w:rsid w:val="0094755B"/>
    <w:rsid w:val="0094756B"/>
    <w:rsid w:val="009475EF"/>
    <w:rsid w:val="0094762C"/>
    <w:rsid w:val="00947664"/>
    <w:rsid w:val="00947683"/>
    <w:rsid w:val="0094768B"/>
    <w:rsid w:val="00947715"/>
    <w:rsid w:val="0094773D"/>
    <w:rsid w:val="0094773E"/>
    <w:rsid w:val="00947778"/>
    <w:rsid w:val="0094780A"/>
    <w:rsid w:val="0094781A"/>
    <w:rsid w:val="0094782A"/>
    <w:rsid w:val="00947885"/>
    <w:rsid w:val="00947899"/>
    <w:rsid w:val="009478F4"/>
    <w:rsid w:val="0094792F"/>
    <w:rsid w:val="00947936"/>
    <w:rsid w:val="00947A20"/>
    <w:rsid w:val="00947A3F"/>
    <w:rsid w:val="00947A77"/>
    <w:rsid w:val="00947B02"/>
    <w:rsid w:val="00947B20"/>
    <w:rsid w:val="00947B78"/>
    <w:rsid w:val="00947B7A"/>
    <w:rsid w:val="00947B81"/>
    <w:rsid w:val="00947C1B"/>
    <w:rsid w:val="00947CB7"/>
    <w:rsid w:val="00947CBB"/>
    <w:rsid w:val="00947D39"/>
    <w:rsid w:val="00947E43"/>
    <w:rsid w:val="00947E70"/>
    <w:rsid w:val="00947EB3"/>
    <w:rsid w:val="00947F10"/>
    <w:rsid w:val="00947F7D"/>
    <w:rsid w:val="0095002B"/>
    <w:rsid w:val="00950082"/>
    <w:rsid w:val="00950192"/>
    <w:rsid w:val="009501B7"/>
    <w:rsid w:val="009502FC"/>
    <w:rsid w:val="0095032B"/>
    <w:rsid w:val="0095037D"/>
    <w:rsid w:val="00950386"/>
    <w:rsid w:val="009503C7"/>
    <w:rsid w:val="00950462"/>
    <w:rsid w:val="00950467"/>
    <w:rsid w:val="00950470"/>
    <w:rsid w:val="009504AD"/>
    <w:rsid w:val="00950520"/>
    <w:rsid w:val="009505A0"/>
    <w:rsid w:val="009505B5"/>
    <w:rsid w:val="00950704"/>
    <w:rsid w:val="00950705"/>
    <w:rsid w:val="00950812"/>
    <w:rsid w:val="00950829"/>
    <w:rsid w:val="00950884"/>
    <w:rsid w:val="009508C1"/>
    <w:rsid w:val="009508DE"/>
    <w:rsid w:val="00950910"/>
    <w:rsid w:val="00950AB3"/>
    <w:rsid w:val="00950ABC"/>
    <w:rsid w:val="00950B22"/>
    <w:rsid w:val="00950C0F"/>
    <w:rsid w:val="00950C40"/>
    <w:rsid w:val="00950C57"/>
    <w:rsid w:val="00950D43"/>
    <w:rsid w:val="00950DC0"/>
    <w:rsid w:val="00950E14"/>
    <w:rsid w:val="00950E3C"/>
    <w:rsid w:val="00950E82"/>
    <w:rsid w:val="00950FAE"/>
    <w:rsid w:val="00950FEF"/>
    <w:rsid w:val="0095103C"/>
    <w:rsid w:val="00951169"/>
    <w:rsid w:val="00951210"/>
    <w:rsid w:val="009512D5"/>
    <w:rsid w:val="0095132F"/>
    <w:rsid w:val="0095139F"/>
    <w:rsid w:val="009513F9"/>
    <w:rsid w:val="00951464"/>
    <w:rsid w:val="009514E7"/>
    <w:rsid w:val="00951505"/>
    <w:rsid w:val="00951519"/>
    <w:rsid w:val="00951577"/>
    <w:rsid w:val="0095157D"/>
    <w:rsid w:val="009515AE"/>
    <w:rsid w:val="009515F2"/>
    <w:rsid w:val="00951689"/>
    <w:rsid w:val="009516A5"/>
    <w:rsid w:val="009516D3"/>
    <w:rsid w:val="009517C9"/>
    <w:rsid w:val="0095180E"/>
    <w:rsid w:val="00951831"/>
    <w:rsid w:val="009518A6"/>
    <w:rsid w:val="009518B8"/>
    <w:rsid w:val="009518D5"/>
    <w:rsid w:val="0095191A"/>
    <w:rsid w:val="00951A11"/>
    <w:rsid w:val="00951AF3"/>
    <w:rsid w:val="00951B4D"/>
    <w:rsid w:val="00951B9D"/>
    <w:rsid w:val="00951BE1"/>
    <w:rsid w:val="00951C2B"/>
    <w:rsid w:val="00951C2E"/>
    <w:rsid w:val="00951C42"/>
    <w:rsid w:val="00951C67"/>
    <w:rsid w:val="00951C69"/>
    <w:rsid w:val="00951D2B"/>
    <w:rsid w:val="00951D93"/>
    <w:rsid w:val="00951E53"/>
    <w:rsid w:val="00951EA0"/>
    <w:rsid w:val="0095202C"/>
    <w:rsid w:val="00952035"/>
    <w:rsid w:val="0095207B"/>
    <w:rsid w:val="009520B8"/>
    <w:rsid w:val="009520C2"/>
    <w:rsid w:val="009520FD"/>
    <w:rsid w:val="00952205"/>
    <w:rsid w:val="0095224E"/>
    <w:rsid w:val="00952278"/>
    <w:rsid w:val="0095227B"/>
    <w:rsid w:val="00952297"/>
    <w:rsid w:val="009522B4"/>
    <w:rsid w:val="009522C0"/>
    <w:rsid w:val="00952309"/>
    <w:rsid w:val="00952360"/>
    <w:rsid w:val="00952394"/>
    <w:rsid w:val="009523C0"/>
    <w:rsid w:val="009523F1"/>
    <w:rsid w:val="00952406"/>
    <w:rsid w:val="00952446"/>
    <w:rsid w:val="0095252A"/>
    <w:rsid w:val="009525C0"/>
    <w:rsid w:val="0095264E"/>
    <w:rsid w:val="00952681"/>
    <w:rsid w:val="009526B4"/>
    <w:rsid w:val="009528C2"/>
    <w:rsid w:val="009528F9"/>
    <w:rsid w:val="00952969"/>
    <w:rsid w:val="009529F3"/>
    <w:rsid w:val="00952A00"/>
    <w:rsid w:val="00952AB8"/>
    <w:rsid w:val="00952BE8"/>
    <w:rsid w:val="00952C64"/>
    <w:rsid w:val="00952D2B"/>
    <w:rsid w:val="00952DBA"/>
    <w:rsid w:val="00952EC0"/>
    <w:rsid w:val="00952EEA"/>
    <w:rsid w:val="00952F5E"/>
    <w:rsid w:val="00952FC9"/>
    <w:rsid w:val="00953029"/>
    <w:rsid w:val="0095304B"/>
    <w:rsid w:val="00953054"/>
    <w:rsid w:val="00953061"/>
    <w:rsid w:val="00953168"/>
    <w:rsid w:val="0095316A"/>
    <w:rsid w:val="009531DF"/>
    <w:rsid w:val="00953238"/>
    <w:rsid w:val="00953247"/>
    <w:rsid w:val="00953281"/>
    <w:rsid w:val="00953318"/>
    <w:rsid w:val="009533A9"/>
    <w:rsid w:val="009533DC"/>
    <w:rsid w:val="00953405"/>
    <w:rsid w:val="0095345D"/>
    <w:rsid w:val="009534B4"/>
    <w:rsid w:val="00953571"/>
    <w:rsid w:val="00953644"/>
    <w:rsid w:val="00953684"/>
    <w:rsid w:val="00953699"/>
    <w:rsid w:val="009536C7"/>
    <w:rsid w:val="009536CB"/>
    <w:rsid w:val="009536F9"/>
    <w:rsid w:val="0095371A"/>
    <w:rsid w:val="00953736"/>
    <w:rsid w:val="00953814"/>
    <w:rsid w:val="009538AB"/>
    <w:rsid w:val="0095395A"/>
    <w:rsid w:val="0095397E"/>
    <w:rsid w:val="00953A79"/>
    <w:rsid w:val="00953A8D"/>
    <w:rsid w:val="00953B29"/>
    <w:rsid w:val="00953BA2"/>
    <w:rsid w:val="00953CC0"/>
    <w:rsid w:val="00953CD1"/>
    <w:rsid w:val="00953D41"/>
    <w:rsid w:val="00953D66"/>
    <w:rsid w:val="00953DAD"/>
    <w:rsid w:val="00953DDC"/>
    <w:rsid w:val="00953E16"/>
    <w:rsid w:val="00953E47"/>
    <w:rsid w:val="00953F20"/>
    <w:rsid w:val="009540C9"/>
    <w:rsid w:val="009540CC"/>
    <w:rsid w:val="0095417C"/>
    <w:rsid w:val="009541E0"/>
    <w:rsid w:val="009542EB"/>
    <w:rsid w:val="00954307"/>
    <w:rsid w:val="009544A9"/>
    <w:rsid w:val="009544C1"/>
    <w:rsid w:val="00954545"/>
    <w:rsid w:val="0095454F"/>
    <w:rsid w:val="0095457A"/>
    <w:rsid w:val="009545B3"/>
    <w:rsid w:val="009545E3"/>
    <w:rsid w:val="009545EA"/>
    <w:rsid w:val="0095462D"/>
    <w:rsid w:val="009546E6"/>
    <w:rsid w:val="00954788"/>
    <w:rsid w:val="00954936"/>
    <w:rsid w:val="00954990"/>
    <w:rsid w:val="00954AA8"/>
    <w:rsid w:val="00954AAA"/>
    <w:rsid w:val="00954AB4"/>
    <w:rsid w:val="00954AD8"/>
    <w:rsid w:val="00954B24"/>
    <w:rsid w:val="00954B51"/>
    <w:rsid w:val="00954BC5"/>
    <w:rsid w:val="00954BDB"/>
    <w:rsid w:val="00954C09"/>
    <w:rsid w:val="00954C1D"/>
    <w:rsid w:val="00954CAC"/>
    <w:rsid w:val="00954EED"/>
    <w:rsid w:val="00954EFA"/>
    <w:rsid w:val="00954F87"/>
    <w:rsid w:val="00955013"/>
    <w:rsid w:val="0095508B"/>
    <w:rsid w:val="00955227"/>
    <w:rsid w:val="009552DC"/>
    <w:rsid w:val="0095530D"/>
    <w:rsid w:val="00955371"/>
    <w:rsid w:val="009553A8"/>
    <w:rsid w:val="00955405"/>
    <w:rsid w:val="00955437"/>
    <w:rsid w:val="0095545D"/>
    <w:rsid w:val="00955564"/>
    <w:rsid w:val="009555BE"/>
    <w:rsid w:val="00955617"/>
    <w:rsid w:val="009556B7"/>
    <w:rsid w:val="009556DD"/>
    <w:rsid w:val="00955831"/>
    <w:rsid w:val="0095584F"/>
    <w:rsid w:val="00955989"/>
    <w:rsid w:val="009559B9"/>
    <w:rsid w:val="00955A91"/>
    <w:rsid w:val="00955B55"/>
    <w:rsid w:val="00955C80"/>
    <w:rsid w:val="00955CA6"/>
    <w:rsid w:val="00955D35"/>
    <w:rsid w:val="00955D4A"/>
    <w:rsid w:val="00955E07"/>
    <w:rsid w:val="00955E5C"/>
    <w:rsid w:val="00955EC8"/>
    <w:rsid w:val="00955EFA"/>
    <w:rsid w:val="00955F01"/>
    <w:rsid w:val="00955F27"/>
    <w:rsid w:val="00955FEF"/>
    <w:rsid w:val="00956083"/>
    <w:rsid w:val="00956249"/>
    <w:rsid w:val="00956284"/>
    <w:rsid w:val="00956408"/>
    <w:rsid w:val="0095644D"/>
    <w:rsid w:val="009564A2"/>
    <w:rsid w:val="009564C0"/>
    <w:rsid w:val="009564CD"/>
    <w:rsid w:val="009564D8"/>
    <w:rsid w:val="00956531"/>
    <w:rsid w:val="009565FA"/>
    <w:rsid w:val="0095668A"/>
    <w:rsid w:val="009566AA"/>
    <w:rsid w:val="009566E9"/>
    <w:rsid w:val="00956703"/>
    <w:rsid w:val="0095678E"/>
    <w:rsid w:val="009567EA"/>
    <w:rsid w:val="00956820"/>
    <w:rsid w:val="00956847"/>
    <w:rsid w:val="009568CD"/>
    <w:rsid w:val="00956909"/>
    <w:rsid w:val="0095692C"/>
    <w:rsid w:val="009569E1"/>
    <w:rsid w:val="00956A8E"/>
    <w:rsid w:val="00956ABF"/>
    <w:rsid w:val="00956B65"/>
    <w:rsid w:val="00956BC1"/>
    <w:rsid w:val="00956BEC"/>
    <w:rsid w:val="00956E19"/>
    <w:rsid w:val="00956E39"/>
    <w:rsid w:val="00956E6D"/>
    <w:rsid w:val="00956EB5"/>
    <w:rsid w:val="00956EC5"/>
    <w:rsid w:val="00956FB3"/>
    <w:rsid w:val="00956FC0"/>
    <w:rsid w:val="00956FDC"/>
    <w:rsid w:val="00957066"/>
    <w:rsid w:val="009570A1"/>
    <w:rsid w:val="009570FB"/>
    <w:rsid w:val="0095711F"/>
    <w:rsid w:val="009571A4"/>
    <w:rsid w:val="009571AA"/>
    <w:rsid w:val="0095720C"/>
    <w:rsid w:val="00957368"/>
    <w:rsid w:val="009573DF"/>
    <w:rsid w:val="009573F0"/>
    <w:rsid w:val="0095742A"/>
    <w:rsid w:val="0095743C"/>
    <w:rsid w:val="00957472"/>
    <w:rsid w:val="00957544"/>
    <w:rsid w:val="0095758B"/>
    <w:rsid w:val="009575FA"/>
    <w:rsid w:val="0095761F"/>
    <w:rsid w:val="00957695"/>
    <w:rsid w:val="00957705"/>
    <w:rsid w:val="0095786B"/>
    <w:rsid w:val="00957891"/>
    <w:rsid w:val="009578E5"/>
    <w:rsid w:val="00957901"/>
    <w:rsid w:val="00957A1E"/>
    <w:rsid w:val="00957B26"/>
    <w:rsid w:val="00957B7B"/>
    <w:rsid w:val="00957B92"/>
    <w:rsid w:val="00957BF2"/>
    <w:rsid w:val="00957C1C"/>
    <w:rsid w:val="00957C3C"/>
    <w:rsid w:val="00957C6A"/>
    <w:rsid w:val="00957DA7"/>
    <w:rsid w:val="00957DC6"/>
    <w:rsid w:val="00957DD9"/>
    <w:rsid w:val="00957E2D"/>
    <w:rsid w:val="0095E0AD"/>
    <w:rsid w:val="00960059"/>
    <w:rsid w:val="0096010B"/>
    <w:rsid w:val="0096012C"/>
    <w:rsid w:val="00960184"/>
    <w:rsid w:val="009601AC"/>
    <w:rsid w:val="009601B3"/>
    <w:rsid w:val="009601C0"/>
    <w:rsid w:val="00960218"/>
    <w:rsid w:val="00960257"/>
    <w:rsid w:val="009602D5"/>
    <w:rsid w:val="0096034F"/>
    <w:rsid w:val="009603D6"/>
    <w:rsid w:val="009603D8"/>
    <w:rsid w:val="00960471"/>
    <w:rsid w:val="009604C1"/>
    <w:rsid w:val="009604C7"/>
    <w:rsid w:val="0096052A"/>
    <w:rsid w:val="009605E3"/>
    <w:rsid w:val="009605FB"/>
    <w:rsid w:val="00960640"/>
    <w:rsid w:val="009607CA"/>
    <w:rsid w:val="009607CE"/>
    <w:rsid w:val="00960867"/>
    <w:rsid w:val="00960880"/>
    <w:rsid w:val="00960889"/>
    <w:rsid w:val="0096089E"/>
    <w:rsid w:val="00960902"/>
    <w:rsid w:val="00960911"/>
    <w:rsid w:val="00960916"/>
    <w:rsid w:val="0096096D"/>
    <w:rsid w:val="009609BF"/>
    <w:rsid w:val="009609EA"/>
    <w:rsid w:val="00960B0C"/>
    <w:rsid w:val="00960C6F"/>
    <w:rsid w:val="00960CE3"/>
    <w:rsid w:val="00960D8C"/>
    <w:rsid w:val="00960DAA"/>
    <w:rsid w:val="00960DCD"/>
    <w:rsid w:val="00960EA3"/>
    <w:rsid w:val="00960EF0"/>
    <w:rsid w:val="00960EF1"/>
    <w:rsid w:val="00960F82"/>
    <w:rsid w:val="00960FB9"/>
    <w:rsid w:val="00960FE4"/>
    <w:rsid w:val="0096101A"/>
    <w:rsid w:val="00961167"/>
    <w:rsid w:val="00961197"/>
    <w:rsid w:val="009611AB"/>
    <w:rsid w:val="009611C8"/>
    <w:rsid w:val="00961220"/>
    <w:rsid w:val="00961289"/>
    <w:rsid w:val="009612B7"/>
    <w:rsid w:val="009612E6"/>
    <w:rsid w:val="00961385"/>
    <w:rsid w:val="009613C3"/>
    <w:rsid w:val="00961477"/>
    <w:rsid w:val="0096147E"/>
    <w:rsid w:val="00961841"/>
    <w:rsid w:val="0096186E"/>
    <w:rsid w:val="00961874"/>
    <w:rsid w:val="009618B0"/>
    <w:rsid w:val="009618B1"/>
    <w:rsid w:val="009618E7"/>
    <w:rsid w:val="00961902"/>
    <w:rsid w:val="00961930"/>
    <w:rsid w:val="00961938"/>
    <w:rsid w:val="00961A04"/>
    <w:rsid w:val="00961A10"/>
    <w:rsid w:val="00961AA7"/>
    <w:rsid w:val="00961B10"/>
    <w:rsid w:val="00961D00"/>
    <w:rsid w:val="00961D86"/>
    <w:rsid w:val="00961DBB"/>
    <w:rsid w:val="00961DFB"/>
    <w:rsid w:val="00961E23"/>
    <w:rsid w:val="00961E5B"/>
    <w:rsid w:val="00961F01"/>
    <w:rsid w:val="00962021"/>
    <w:rsid w:val="00962038"/>
    <w:rsid w:val="009620B3"/>
    <w:rsid w:val="0096218D"/>
    <w:rsid w:val="009621C6"/>
    <w:rsid w:val="009621EC"/>
    <w:rsid w:val="0096226B"/>
    <w:rsid w:val="0096233E"/>
    <w:rsid w:val="0096240E"/>
    <w:rsid w:val="00962509"/>
    <w:rsid w:val="00962576"/>
    <w:rsid w:val="0096257E"/>
    <w:rsid w:val="009625A1"/>
    <w:rsid w:val="009626F3"/>
    <w:rsid w:val="00962723"/>
    <w:rsid w:val="0096276D"/>
    <w:rsid w:val="0096279C"/>
    <w:rsid w:val="009628BB"/>
    <w:rsid w:val="009628F6"/>
    <w:rsid w:val="00962A64"/>
    <w:rsid w:val="00962A84"/>
    <w:rsid w:val="00962B0C"/>
    <w:rsid w:val="00962B74"/>
    <w:rsid w:val="00962B83"/>
    <w:rsid w:val="00962BE8"/>
    <w:rsid w:val="00962C14"/>
    <w:rsid w:val="00962C58"/>
    <w:rsid w:val="00962C5D"/>
    <w:rsid w:val="00962CBA"/>
    <w:rsid w:val="00962CCD"/>
    <w:rsid w:val="00962CE4"/>
    <w:rsid w:val="00962D24"/>
    <w:rsid w:val="00962D32"/>
    <w:rsid w:val="00962D9F"/>
    <w:rsid w:val="00962E3A"/>
    <w:rsid w:val="00962E49"/>
    <w:rsid w:val="00962E71"/>
    <w:rsid w:val="00962E7C"/>
    <w:rsid w:val="00962E83"/>
    <w:rsid w:val="00962ECB"/>
    <w:rsid w:val="00962F0C"/>
    <w:rsid w:val="00962F14"/>
    <w:rsid w:val="00962F3C"/>
    <w:rsid w:val="00962F42"/>
    <w:rsid w:val="00962F4B"/>
    <w:rsid w:val="00962F7C"/>
    <w:rsid w:val="00962FE4"/>
    <w:rsid w:val="00962FFB"/>
    <w:rsid w:val="009630DD"/>
    <w:rsid w:val="0096311D"/>
    <w:rsid w:val="00963180"/>
    <w:rsid w:val="009631B3"/>
    <w:rsid w:val="009631D0"/>
    <w:rsid w:val="0096321E"/>
    <w:rsid w:val="00963260"/>
    <w:rsid w:val="00963301"/>
    <w:rsid w:val="00963304"/>
    <w:rsid w:val="00963361"/>
    <w:rsid w:val="0096356C"/>
    <w:rsid w:val="009635F3"/>
    <w:rsid w:val="009636C2"/>
    <w:rsid w:val="00963722"/>
    <w:rsid w:val="00963756"/>
    <w:rsid w:val="009637D2"/>
    <w:rsid w:val="00963883"/>
    <w:rsid w:val="009638C8"/>
    <w:rsid w:val="009638DD"/>
    <w:rsid w:val="00963903"/>
    <w:rsid w:val="00963944"/>
    <w:rsid w:val="0096396C"/>
    <w:rsid w:val="00963A3C"/>
    <w:rsid w:val="00963A87"/>
    <w:rsid w:val="00963AEB"/>
    <w:rsid w:val="00963B0E"/>
    <w:rsid w:val="00963BE2"/>
    <w:rsid w:val="00963C03"/>
    <w:rsid w:val="00963CB7"/>
    <w:rsid w:val="00963D2C"/>
    <w:rsid w:val="00963D70"/>
    <w:rsid w:val="00963D85"/>
    <w:rsid w:val="00963D87"/>
    <w:rsid w:val="00963DE2"/>
    <w:rsid w:val="00963E09"/>
    <w:rsid w:val="00963E85"/>
    <w:rsid w:val="00963EEC"/>
    <w:rsid w:val="00963F3A"/>
    <w:rsid w:val="009641D7"/>
    <w:rsid w:val="0096428C"/>
    <w:rsid w:val="00964360"/>
    <w:rsid w:val="0096437D"/>
    <w:rsid w:val="00964414"/>
    <w:rsid w:val="00964442"/>
    <w:rsid w:val="0096445F"/>
    <w:rsid w:val="00964465"/>
    <w:rsid w:val="0096450D"/>
    <w:rsid w:val="009645D7"/>
    <w:rsid w:val="00964726"/>
    <w:rsid w:val="009647CE"/>
    <w:rsid w:val="00964807"/>
    <w:rsid w:val="00964832"/>
    <w:rsid w:val="00964870"/>
    <w:rsid w:val="00964898"/>
    <w:rsid w:val="00964A7E"/>
    <w:rsid w:val="00964B29"/>
    <w:rsid w:val="00964BC2"/>
    <w:rsid w:val="00964BC9"/>
    <w:rsid w:val="00964C49"/>
    <w:rsid w:val="00964D04"/>
    <w:rsid w:val="00964D0F"/>
    <w:rsid w:val="00964D3C"/>
    <w:rsid w:val="00964D7E"/>
    <w:rsid w:val="00964D9B"/>
    <w:rsid w:val="00964DE7"/>
    <w:rsid w:val="00964E19"/>
    <w:rsid w:val="00964E39"/>
    <w:rsid w:val="00964E3C"/>
    <w:rsid w:val="00964E3F"/>
    <w:rsid w:val="00964F7E"/>
    <w:rsid w:val="00964FE8"/>
    <w:rsid w:val="009650F8"/>
    <w:rsid w:val="00965128"/>
    <w:rsid w:val="0096513B"/>
    <w:rsid w:val="0096515B"/>
    <w:rsid w:val="0096516C"/>
    <w:rsid w:val="00965170"/>
    <w:rsid w:val="009652B0"/>
    <w:rsid w:val="00965380"/>
    <w:rsid w:val="00965485"/>
    <w:rsid w:val="0096548A"/>
    <w:rsid w:val="009654F6"/>
    <w:rsid w:val="00965563"/>
    <w:rsid w:val="00965583"/>
    <w:rsid w:val="009655BD"/>
    <w:rsid w:val="00965614"/>
    <w:rsid w:val="00965654"/>
    <w:rsid w:val="009656B9"/>
    <w:rsid w:val="009656C1"/>
    <w:rsid w:val="00965735"/>
    <w:rsid w:val="00965743"/>
    <w:rsid w:val="00965768"/>
    <w:rsid w:val="009657D8"/>
    <w:rsid w:val="00965867"/>
    <w:rsid w:val="00965955"/>
    <w:rsid w:val="0096597F"/>
    <w:rsid w:val="0096598D"/>
    <w:rsid w:val="009659DF"/>
    <w:rsid w:val="00965A37"/>
    <w:rsid w:val="00965B0B"/>
    <w:rsid w:val="00965C3C"/>
    <w:rsid w:val="00965CE9"/>
    <w:rsid w:val="00965D19"/>
    <w:rsid w:val="00965D7A"/>
    <w:rsid w:val="00965DE2"/>
    <w:rsid w:val="00965DEB"/>
    <w:rsid w:val="00965F1D"/>
    <w:rsid w:val="00965F90"/>
    <w:rsid w:val="00965FDB"/>
    <w:rsid w:val="00965FE2"/>
    <w:rsid w:val="009660C0"/>
    <w:rsid w:val="00966100"/>
    <w:rsid w:val="00966144"/>
    <w:rsid w:val="00966180"/>
    <w:rsid w:val="009661EA"/>
    <w:rsid w:val="00966246"/>
    <w:rsid w:val="009662BF"/>
    <w:rsid w:val="009662D9"/>
    <w:rsid w:val="009662F6"/>
    <w:rsid w:val="00966329"/>
    <w:rsid w:val="0096635D"/>
    <w:rsid w:val="00966397"/>
    <w:rsid w:val="009663A2"/>
    <w:rsid w:val="009663B5"/>
    <w:rsid w:val="009663F8"/>
    <w:rsid w:val="0096643B"/>
    <w:rsid w:val="00966451"/>
    <w:rsid w:val="00966479"/>
    <w:rsid w:val="00966537"/>
    <w:rsid w:val="00966543"/>
    <w:rsid w:val="009665A0"/>
    <w:rsid w:val="009665C8"/>
    <w:rsid w:val="009665CC"/>
    <w:rsid w:val="009665F5"/>
    <w:rsid w:val="0096660D"/>
    <w:rsid w:val="00966667"/>
    <w:rsid w:val="0096674A"/>
    <w:rsid w:val="0096676B"/>
    <w:rsid w:val="009667F4"/>
    <w:rsid w:val="00966804"/>
    <w:rsid w:val="00966879"/>
    <w:rsid w:val="00966891"/>
    <w:rsid w:val="0096698E"/>
    <w:rsid w:val="009669CA"/>
    <w:rsid w:val="00966A74"/>
    <w:rsid w:val="00966B8D"/>
    <w:rsid w:val="00966C48"/>
    <w:rsid w:val="00966CED"/>
    <w:rsid w:val="00966DDC"/>
    <w:rsid w:val="00966E27"/>
    <w:rsid w:val="00966E32"/>
    <w:rsid w:val="00966E56"/>
    <w:rsid w:val="00966E95"/>
    <w:rsid w:val="00966EB1"/>
    <w:rsid w:val="00966F65"/>
    <w:rsid w:val="0096702C"/>
    <w:rsid w:val="0096708F"/>
    <w:rsid w:val="009670A9"/>
    <w:rsid w:val="0096713D"/>
    <w:rsid w:val="009671AC"/>
    <w:rsid w:val="009671BF"/>
    <w:rsid w:val="00967283"/>
    <w:rsid w:val="00967299"/>
    <w:rsid w:val="009672DC"/>
    <w:rsid w:val="00967302"/>
    <w:rsid w:val="0096732F"/>
    <w:rsid w:val="0096737D"/>
    <w:rsid w:val="0096741D"/>
    <w:rsid w:val="0096747B"/>
    <w:rsid w:val="009674BE"/>
    <w:rsid w:val="009674F8"/>
    <w:rsid w:val="0096753A"/>
    <w:rsid w:val="00967564"/>
    <w:rsid w:val="00967570"/>
    <w:rsid w:val="00967583"/>
    <w:rsid w:val="0096767F"/>
    <w:rsid w:val="009677BE"/>
    <w:rsid w:val="009677E2"/>
    <w:rsid w:val="00967802"/>
    <w:rsid w:val="00967811"/>
    <w:rsid w:val="00967839"/>
    <w:rsid w:val="009678BF"/>
    <w:rsid w:val="00967A04"/>
    <w:rsid w:val="00967A3E"/>
    <w:rsid w:val="00967A92"/>
    <w:rsid w:val="00967B86"/>
    <w:rsid w:val="00967BB4"/>
    <w:rsid w:val="00967C17"/>
    <w:rsid w:val="00967C6F"/>
    <w:rsid w:val="00967C71"/>
    <w:rsid w:val="00967C72"/>
    <w:rsid w:val="00967D2F"/>
    <w:rsid w:val="00967D97"/>
    <w:rsid w:val="00967DAD"/>
    <w:rsid w:val="00967E1D"/>
    <w:rsid w:val="00967E52"/>
    <w:rsid w:val="00967E64"/>
    <w:rsid w:val="00967EBC"/>
    <w:rsid w:val="00967EDC"/>
    <w:rsid w:val="009700B1"/>
    <w:rsid w:val="00970165"/>
    <w:rsid w:val="009701BA"/>
    <w:rsid w:val="009701BB"/>
    <w:rsid w:val="00970277"/>
    <w:rsid w:val="00970299"/>
    <w:rsid w:val="0097030A"/>
    <w:rsid w:val="0097034A"/>
    <w:rsid w:val="00970386"/>
    <w:rsid w:val="009703E3"/>
    <w:rsid w:val="00970461"/>
    <w:rsid w:val="009704CD"/>
    <w:rsid w:val="0097051D"/>
    <w:rsid w:val="00970582"/>
    <w:rsid w:val="00970588"/>
    <w:rsid w:val="009705E0"/>
    <w:rsid w:val="00970606"/>
    <w:rsid w:val="00970661"/>
    <w:rsid w:val="00970724"/>
    <w:rsid w:val="0097072E"/>
    <w:rsid w:val="009707BC"/>
    <w:rsid w:val="00970938"/>
    <w:rsid w:val="00970973"/>
    <w:rsid w:val="009709F7"/>
    <w:rsid w:val="00970AA5"/>
    <w:rsid w:val="00970ACC"/>
    <w:rsid w:val="00970AD8"/>
    <w:rsid w:val="00970B61"/>
    <w:rsid w:val="00970B7A"/>
    <w:rsid w:val="00970BDA"/>
    <w:rsid w:val="00970D4A"/>
    <w:rsid w:val="00970E37"/>
    <w:rsid w:val="00970E61"/>
    <w:rsid w:val="00970F9F"/>
    <w:rsid w:val="00970FAB"/>
    <w:rsid w:val="00970FC8"/>
    <w:rsid w:val="00970FE2"/>
    <w:rsid w:val="00971008"/>
    <w:rsid w:val="00971024"/>
    <w:rsid w:val="009710B5"/>
    <w:rsid w:val="009710CB"/>
    <w:rsid w:val="00971106"/>
    <w:rsid w:val="0097118A"/>
    <w:rsid w:val="009711A3"/>
    <w:rsid w:val="009711E3"/>
    <w:rsid w:val="00971281"/>
    <w:rsid w:val="00971284"/>
    <w:rsid w:val="00971320"/>
    <w:rsid w:val="00971324"/>
    <w:rsid w:val="00971364"/>
    <w:rsid w:val="00971634"/>
    <w:rsid w:val="00971649"/>
    <w:rsid w:val="0097164F"/>
    <w:rsid w:val="00971673"/>
    <w:rsid w:val="00971680"/>
    <w:rsid w:val="0097169F"/>
    <w:rsid w:val="0097170B"/>
    <w:rsid w:val="00971736"/>
    <w:rsid w:val="00971744"/>
    <w:rsid w:val="00971790"/>
    <w:rsid w:val="009717A8"/>
    <w:rsid w:val="009718EE"/>
    <w:rsid w:val="0097196F"/>
    <w:rsid w:val="009719E0"/>
    <w:rsid w:val="009719FB"/>
    <w:rsid w:val="00971A8C"/>
    <w:rsid w:val="00971BC6"/>
    <w:rsid w:val="00971C0E"/>
    <w:rsid w:val="00971D6B"/>
    <w:rsid w:val="00971DCC"/>
    <w:rsid w:val="00971E88"/>
    <w:rsid w:val="00971F04"/>
    <w:rsid w:val="00971F69"/>
    <w:rsid w:val="00971F9B"/>
    <w:rsid w:val="00971FE5"/>
    <w:rsid w:val="0097200A"/>
    <w:rsid w:val="0097202A"/>
    <w:rsid w:val="00972097"/>
    <w:rsid w:val="009720B5"/>
    <w:rsid w:val="009720E1"/>
    <w:rsid w:val="00972168"/>
    <w:rsid w:val="00972205"/>
    <w:rsid w:val="00972208"/>
    <w:rsid w:val="00972249"/>
    <w:rsid w:val="00972319"/>
    <w:rsid w:val="009723F5"/>
    <w:rsid w:val="00972416"/>
    <w:rsid w:val="00972457"/>
    <w:rsid w:val="00972460"/>
    <w:rsid w:val="009725AC"/>
    <w:rsid w:val="009725D9"/>
    <w:rsid w:val="0097260B"/>
    <w:rsid w:val="00972639"/>
    <w:rsid w:val="009726B8"/>
    <w:rsid w:val="0097273D"/>
    <w:rsid w:val="0097275A"/>
    <w:rsid w:val="009727F9"/>
    <w:rsid w:val="0097282B"/>
    <w:rsid w:val="009728BE"/>
    <w:rsid w:val="009728C5"/>
    <w:rsid w:val="009729E1"/>
    <w:rsid w:val="00972A6E"/>
    <w:rsid w:val="00972A71"/>
    <w:rsid w:val="00972AA8"/>
    <w:rsid w:val="00972ACA"/>
    <w:rsid w:val="00972ACC"/>
    <w:rsid w:val="00972BD4"/>
    <w:rsid w:val="00972C40"/>
    <w:rsid w:val="00972C6B"/>
    <w:rsid w:val="00972C8B"/>
    <w:rsid w:val="00972D1B"/>
    <w:rsid w:val="00972ECD"/>
    <w:rsid w:val="00972F05"/>
    <w:rsid w:val="00972F24"/>
    <w:rsid w:val="00972F44"/>
    <w:rsid w:val="00972F91"/>
    <w:rsid w:val="00972FDE"/>
    <w:rsid w:val="0097300C"/>
    <w:rsid w:val="0097318D"/>
    <w:rsid w:val="009731AC"/>
    <w:rsid w:val="009731D6"/>
    <w:rsid w:val="009731E1"/>
    <w:rsid w:val="0097322A"/>
    <w:rsid w:val="0097326E"/>
    <w:rsid w:val="00973347"/>
    <w:rsid w:val="009733A2"/>
    <w:rsid w:val="009733F1"/>
    <w:rsid w:val="00973433"/>
    <w:rsid w:val="0097355F"/>
    <w:rsid w:val="00973620"/>
    <w:rsid w:val="00973623"/>
    <w:rsid w:val="00973625"/>
    <w:rsid w:val="0097365F"/>
    <w:rsid w:val="00973692"/>
    <w:rsid w:val="009736B7"/>
    <w:rsid w:val="0097371D"/>
    <w:rsid w:val="009737BE"/>
    <w:rsid w:val="009738DB"/>
    <w:rsid w:val="009738FF"/>
    <w:rsid w:val="0097391D"/>
    <w:rsid w:val="00973989"/>
    <w:rsid w:val="009739D8"/>
    <w:rsid w:val="00973A73"/>
    <w:rsid w:val="00973A85"/>
    <w:rsid w:val="00973AE1"/>
    <w:rsid w:val="00973DDF"/>
    <w:rsid w:val="00973E16"/>
    <w:rsid w:val="00973E64"/>
    <w:rsid w:val="00973E76"/>
    <w:rsid w:val="00973F13"/>
    <w:rsid w:val="00973F65"/>
    <w:rsid w:val="00974013"/>
    <w:rsid w:val="00974089"/>
    <w:rsid w:val="0097413C"/>
    <w:rsid w:val="00974183"/>
    <w:rsid w:val="0097427B"/>
    <w:rsid w:val="0097440C"/>
    <w:rsid w:val="00974449"/>
    <w:rsid w:val="0097445A"/>
    <w:rsid w:val="0097445D"/>
    <w:rsid w:val="00974508"/>
    <w:rsid w:val="00974511"/>
    <w:rsid w:val="00974598"/>
    <w:rsid w:val="009745A9"/>
    <w:rsid w:val="009746BE"/>
    <w:rsid w:val="009746C0"/>
    <w:rsid w:val="00974702"/>
    <w:rsid w:val="0097473F"/>
    <w:rsid w:val="009747A3"/>
    <w:rsid w:val="00974843"/>
    <w:rsid w:val="009748B1"/>
    <w:rsid w:val="009748E2"/>
    <w:rsid w:val="009748FD"/>
    <w:rsid w:val="009749C6"/>
    <w:rsid w:val="00974A48"/>
    <w:rsid w:val="00974ADC"/>
    <w:rsid w:val="00974B09"/>
    <w:rsid w:val="00974B48"/>
    <w:rsid w:val="00974BAB"/>
    <w:rsid w:val="00974BB1"/>
    <w:rsid w:val="00974BF4"/>
    <w:rsid w:val="00974C6B"/>
    <w:rsid w:val="00974D51"/>
    <w:rsid w:val="00974E2A"/>
    <w:rsid w:val="00974E44"/>
    <w:rsid w:val="00974E67"/>
    <w:rsid w:val="00974EBB"/>
    <w:rsid w:val="00974F5B"/>
    <w:rsid w:val="00974FDB"/>
    <w:rsid w:val="0097505E"/>
    <w:rsid w:val="009750A7"/>
    <w:rsid w:val="009750CF"/>
    <w:rsid w:val="009750FC"/>
    <w:rsid w:val="0097519F"/>
    <w:rsid w:val="009751FB"/>
    <w:rsid w:val="0097526F"/>
    <w:rsid w:val="0097537C"/>
    <w:rsid w:val="0097539F"/>
    <w:rsid w:val="00975413"/>
    <w:rsid w:val="0097541C"/>
    <w:rsid w:val="009754BA"/>
    <w:rsid w:val="0097562B"/>
    <w:rsid w:val="0097564E"/>
    <w:rsid w:val="00975675"/>
    <w:rsid w:val="00975689"/>
    <w:rsid w:val="00975696"/>
    <w:rsid w:val="00975712"/>
    <w:rsid w:val="009757A4"/>
    <w:rsid w:val="009757A6"/>
    <w:rsid w:val="009757BC"/>
    <w:rsid w:val="009757FD"/>
    <w:rsid w:val="00975864"/>
    <w:rsid w:val="00975871"/>
    <w:rsid w:val="00975897"/>
    <w:rsid w:val="00975921"/>
    <w:rsid w:val="0097593E"/>
    <w:rsid w:val="009759DC"/>
    <w:rsid w:val="009759ED"/>
    <w:rsid w:val="00975A79"/>
    <w:rsid w:val="00975AB0"/>
    <w:rsid w:val="00975B04"/>
    <w:rsid w:val="00975C18"/>
    <w:rsid w:val="00975C1C"/>
    <w:rsid w:val="00975C24"/>
    <w:rsid w:val="00975D54"/>
    <w:rsid w:val="00975DA5"/>
    <w:rsid w:val="00975E26"/>
    <w:rsid w:val="00975E3B"/>
    <w:rsid w:val="00975E5B"/>
    <w:rsid w:val="00975F2B"/>
    <w:rsid w:val="00975F45"/>
    <w:rsid w:val="00975F65"/>
    <w:rsid w:val="00975F68"/>
    <w:rsid w:val="00975FAF"/>
    <w:rsid w:val="00976004"/>
    <w:rsid w:val="00976083"/>
    <w:rsid w:val="00976104"/>
    <w:rsid w:val="009761B1"/>
    <w:rsid w:val="009761B2"/>
    <w:rsid w:val="0097627E"/>
    <w:rsid w:val="009763E0"/>
    <w:rsid w:val="0097662A"/>
    <w:rsid w:val="00976651"/>
    <w:rsid w:val="00976659"/>
    <w:rsid w:val="0097668A"/>
    <w:rsid w:val="009766D7"/>
    <w:rsid w:val="0097673C"/>
    <w:rsid w:val="00976789"/>
    <w:rsid w:val="009767AA"/>
    <w:rsid w:val="009767B5"/>
    <w:rsid w:val="0097684C"/>
    <w:rsid w:val="00976890"/>
    <w:rsid w:val="009768F7"/>
    <w:rsid w:val="009769E2"/>
    <w:rsid w:val="009769F6"/>
    <w:rsid w:val="00976A2A"/>
    <w:rsid w:val="00976ABB"/>
    <w:rsid w:val="00976AFE"/>
    <w:rsid w:val="00976BBC"/>
    <w:rsid w:val="00976C21"/>
    <w:rsid w:val="00976D0E"/>
    <w:rsid w:val="00976D37"/>
    <w:rsid w:val="00976D7F"/>
    <w:rsid w:val="00976DF0"/>
    <w:rsid w:val="00976DF9"/>
    <w:rsid w:val="00976E3D"/>
    <w:rsid w:val="00976E54"/>
    <w:rsid w:val="00976E56"/>
    <w:rsid w:val="00976EDA"/>
    <w:rsid w:val="0097704D"/>
    <w:rsid w:val="00977078"/>
    <w:rsid w:val="009770D0"/>
    <w:rsid w:val="009770E4"/>
    <w:rsid w:val="00977106"/>
    <w:rsid w:val="0097710F"/>
    <w:rsid w:val="00977194"/>
    <w:rsid w:val="009771CB"/>
    <w:rsid w:val="00977225"/>
    <w:rsid w:val="00977252"/>
    <w:rsid w:val="009772E4"/>
    <w:rsid w:val="00977393"/>
    <w:rsid w:val="0097749C"/>
    <w:rsid w:val="0097761C"/>
    <w:rsid w:val="009776BC"/>
    <w:rsid w:val="009776C9"/>
    <w:rsid w:val="009776E7"/>
    <w:rsid w:val="00977735"/>
    <w:rsid w:val="00977796"/>
    <w:rsid w:val="009777C2"/>
    <w:rsid w:val="009777F2"/>
    <w:rsid w:val="00977835"/>
    <w:rsid w:val="009778A9"/>
    <w:rsid w:val="009778AB"/>
    <w:rsid w:val="009778BA"/>
    <w:rsid w:val="009779E8"/>
    <w:rsid w:val="00977A3A"/>
    <w:rsid w:val="00977A49"/>
    <w:rsid w:val="00977B21"/>
    <w:rsid w:val="00977B61"/>
    <w:rsid w:val="00977BEF"/>
    <w:rsid w:val="00977C27"/>
    <w:rsid w:val="00977C38"/>
    <w:rsid w:val="00977C45"/>
    <w:rsid w:val="00977C72"/>
    <w:rsid w:val="00977CA8"/>
    <w:rsid w:val="00977D0B"/>
    <w:rsid w:val="00977D60"/>
    <w:rsid w:val="00977E81"/>
    <w:rsid w:val="0098012E"/>
    <w:rsid w:val="009801B8"/>
    <w:rsid w:val="009801D0"/>
    <w:rsid w:val="0098021A"/>
    <w:rsid w:val="0098026C"/>
    <w:rsid w:val="0098027E"/>
    <w:rsid w:val="009802A8"/>
    <w:rsid w:val="009802EF"/>
    <w:rsid w:val="009802FF"/>
    <w:rsid w:val="0098037F"/>
    <w:rsid w:val="00980394"/>
    <w:rsid w:val="009803BF"/>
    <w:rsid w:val="009803EF"/>
    <w:rsid w:val="00980474"/>
    <w:rsid w:val="00980482"/>
    <w:rsid w:val="00980495"/>
    <w:rsid w:val="00980563"/>
    <w:rsid w:val="00980566"/>
    <w:rsid w:val="0098059B"/>
    <w:rsid w:val="009806B6"/>
    <w:rsid w:val="0098075A"/>
    <w:rsid w:val="0098087A"/>
    <w:rsid w:val="009809B0"/>
    <w:rsid w:val="00980A73"/>
    <w:rsid w:val="00980A7C"/>
    <w:rsid w:val="00980BAA"/>
    <w:rsid w:val="00980BAB"/>
    <w:rsid w:val="00980BD9"/>
    <w:rsid w:val="00980CB4"/>
    <w:rsid w:val="00980E9E"/>
    <w:rsid w:val="00980F46"/>
    <w:rsid w:val="00980F6B"/>
    <w:rsid w:val="00981045"/>
    <w:rsid w:val="0098107D"/>
    <w:rsid w:val="00981166"/>
    <w:rsid w:val="0098117C"/>
    <w:rsid w:val="009811BB"/>
    <w:rsid w:val="009811EE"/>
    <w:rsid w:val="009812D4"/>
    <w:rsid w:val="00981320"/>
    <w:rsid w:val="00981336"/>
    <w:rsid w:val="0098135C"/>
    <w:rsid w:val="0098140A"/>
    <w:rsid w:val="0098142C"/>
    <w:rsid w:val="00981476"/>
    <w:rsid w:val="009814BD"/>
    <w:rsid w:val="009814D6"/>
    <w:rsid w:val="009814EF"/>
    <w:rsid w:val="009814F0"/>
    <w:rsid w:val="00981512"/>
    <w:rsid w:val="00981601"/>
    <w:rsid w:val="00981612"/>
    <w:rsid w:val="0098169B"/>
    <w:rsid w:val="009816D9"/>
    <w:rsid w:val="0098170B"/>
    <w:rsid w:val="009818FF"/>
    <w:rsid w:val="00981906"/>
    <w:rsid w:val="0098195E"/>
    <w:rsid w:val="00981996"/>
    <w:rsid w:val="00981C25"/>
    <w:rsid w:val="00981C4A"/>
    <w:rsid w:val="00981C78"/>
    <w:rsid w:val="00981CF0"/>
    <w:rsid w:val="00981DA8"/>
    <w:rsid w:val="00981E18"/>
    <w:rsid w:val="00981E31"/>
    <w:rsid w:val="00981E35"/>
    <w:rsid w:val="00981E5D"/>
    <w:rsid w:val="00981E7C"/>
    <w:rsid w:val="00981F5E"/>
    <w:rsid w:val="00982034"/>
    <w:rsid w:val="009820B6"/>
    <w:rsid w:val="009820D6"/>
    <w:rsid w:val="009820D7"/>
    <w:rsid w:val="009820D9"/>
    <w:rsid w:val="00982144"/>
    <w:rsid w:val="0098226B"/>
    <w:rsid w:val="009822DF"/>
    <w:rsid w:val="00982406"/>
    <w:rsid w:val="00982483"/>
    <w:rsid w:val="0098249A"/>
    <w:rsid w:val="009824D0"/>
    <w:rsid w:val="009825BD"/>
    <w:rsid w:val="00982640"/>
    <w:rsid w:val="009826A0"/>
    <w:rsid w:val="009826FE"/>
    <w:rsid w:val="0098279B"/>
    <w:rsid w:val="00982878"/>
    <w:rsid w:val="009828AD"/>
    <w:rsid w:val="009828ED"/>
    <w:rsid w:val="00982912"/>
    <w:rsid w:val="0098292D"/>
    <w:rsid w:val="00982960"/>
    <w:rsid w:val="009829CC"/>
    <w:rsid w:val="009829DD"/>
    <w:rsid w:val="00982A6A"/>
    <w:rsid w:val="00982ABB"/>
    <w:rsid w:val="00982B2E"/>
    <w:rsid w:val="00982BDE"/>
    <w:rsid w:val="00982C12"/>
    <w:rsid w:val="00982CDF"/>
    <w:rsid w:val="00982CE4"/>
    <w:rsid w:val="00982D2C"/>
    <w:rsid w:val="00982D39"/>
    <w:rsid w:val="00982E20"/>
    <w:rsid w:val="00982EA1"/>
    <w:rsid w:val="00982EA6"/>
    <w:rsid w:val="00982EB2"/>
    <w:rsid w:val="00982F04"/>
    <w:rsid w:val="00982F62"/>
    <w:rsid w:val="00982FA5"/>
    <w:rsid w:val="00982FE3"/>
    <w:rsid w:val="009830D0"/>
    <w:rsid w:val="00983147"/>
    <w:rsid w:val="0098318F"/>
    <w:rsid w:val="00983286"/>
    <w:rsid w:val="00983319"/>
    <w:rsid w:val="0098336A"/>
    <w:rsid w:val="00983387"/>
    <w:rsid w:val="00983445"/>
    <w:rsid w:val="00983467"/>
    <w:rsid w:val="0098347B"/>
    <w:rsid w:val="00983503"/>
    <w:rsid w:val="0098359B"/>
    <w:rsid w:val="0098359D"/>
    <w:rsid w:val="00983695"/>
    <w:rsid w:val="009836B4"/>
    <w:rsid w:val="00983719"/>
    <w:rsid w:val="009837FB"/>
    <w:rsid w:val="009837FC"/>
    <w:rsid w:val="00983804"/>
    <w:rsid w:val="00983881"/>
    <w:rsid w:val="0098390F"/>
    <w:rsid w:val="0098393B"/>
    <w:rsid w:val="00983B57"/>
    <w:rsid w:val="00983BC8"/>
    <w:rsid w:val="00983C32"/>
    <w:rsid w:val="00983C3F"/>
    <w:rsid w:val="00983C4C"/>
    <w:rsid w:val="00983C51"/>
    <w:rsid w:val="00983D71"/>
    <w:rsid w:val="00983DBF"/>
    <w:rsid w:val="00983E67"/>
    <w:rsid w:val="00983EEE"/>
    <w:rsid w:val="00983F5B"/>
    <w:rsid w:val="00983F77"/>
    <w:rsid w:val="00983FAC"/>
    <w:rsid w:val="00983FBA"/>
    <w:rsid w:val="0098406F"/>
    <w:rsid w:val="009840A0"/>
    <w:rsid w:val="0098411B"/>
    <w:rsid w:val="00984151"/>
    <w:rsid w:val="0098416C"/>
    <w:rsid w:val="009841AC"/>
    <w:rsid w:val="009841D2"/>
    <w:rsid w:val="009841F5"/>
    <w:rsid w:val="00984246"/>
    <w:rsid w:val="00984253"/>
    <w:rsid w:val="009842FF"/>
    <w:rsid w:val="0098437A"/>
    <w:rsid w:val="009843A7"/>
    <w:rsid w:val="009843D7"/>
    <w:rsid w:val="0098443F"/>
    <w:rsid w:val="009844AC"/>
    <w:rsid w:val="00984507"/>
    <w:rsid w:val="0098453A"/>
    <w:rsid w:val="009845FD"/>
    <w:rsid w:val="00984615"/>
    <w:rsid w:val="0098469E"/>
    <w:rsid w:val="0098472D"/>
    <w:rsid w:val="00984860"/>
    <w:rsid w:val="0098490D"/>
    <w:rsid w:val="0098493F"/>
    <w:rsid w:val="009849CC"/>
    <w:rsid w:val="009849FB"/>
    <w:rsid w:val="00984A20"/>
    <w:rsid w:val="00984A62"/>
    <w:rsid w:val="00984AC0"/>
    <w:rsid w:val="00984AC4"/>
    <w:rsid w:val="00984B63"/>
    <w:rsid w:val="00984B7E"/>
    <w:rsid w:val="00984BB3"/>
    <w:rsid w:val="00984BC7"/>
    <w:rsid w:val="00984BE3"/>
    <w:rsid w:val="00984C5E"/>
    <w:rsid w:val="00984C6F"/>
    <w:rsid w:val="00984C83"/>
    <w:rsid w:val="00984CE0"/>
    <w:rsid w:val="00984D04"/>
    <w:rsid w:val="00984DEB"/>
    <w:rsid w:val="00984E0A"/>
    <w:rsid w:val="00984E15"/>
    <w:rsid w:val="00984ED1"/>
    <w:rsid w:val="00984F9F"/>
    <w:rsid w:val="00984FC4"/>
    <w:rsid w:val="00984FD0"/>
    <w:rsid w:val="009850FD"/>
    <w:rsid w:val="009851A5"/>
    <w:rsid w:val="009851B0"/>
    <w:rsid w:val="00985218"/>
    <w:rsid w:val="009852A0"/>
    <w:rsid w:val="009852A3"/>
    <w:rsid w:val="009852AD"/>
    <w:rsid w:val="009852C4"/>
    <w:rsid w:val="009852CA"/>
    <w:rsid w:val="009852E2"/>
    <w:rsid w:val="00985391"/>
    <w:rsid w:val="009853BA"/>
    <w:rsid w:val="009853BE"/>
    <w:rsid w:val="009853F5"/>
    <w:rsid w:val="009854DE"/>
    <w:rsid w:val="00985551"/>
    <w:rsid w:val="00985589"/>
    <w:rsid w:val="009855ED"/>
    <w:rsid w:val="009855F8"/>
    <w:rsid w:val="00985626"/>
    <w:rsid w:val="009856BB"/>
    <w:rsid w:val="009856FE"/>
    <w:rsid w:val="0098575C"/>
    <w:rsid w:val="009857AD"/>
    <w:rsid w:val="0098580E"/>
    <w:rsid w:val="009858BB"/>
    <w:rsid w:val="00985966"/>
    <w:rsid w:val="009859D2"/>
    <w:rsid w:val="009859EB"/>
    <w:rsid w:val="00985A72"/>
    <w:rsid w:val="00985A7A"/>
    <w:rsid w:val="00985A9D"/>
    <w:rsid w:val="00985AA6"/>
    <w:rsid w:val="00985AD9"/>
    <w:rsid w:val="00985B55"/>
    <w:rsid w:val="00985BE2"/>
    <w:rsid w:val="00985BF7"/>
    <w:rsid w:val="00985C1D"/>
    <w:rsid w:val="00985C58"/>
    <w:rsid w:val="00985C8A"/>
    <w:rsid w:val="00985C94"/>
    <w:rsid w:val="00985DFA"/>
    <w:rsid w:val="00985DFD"/>
    <w:rsid w:val="00985EAE"/>
    <w:rsid w:val="00985FF5"/>
    <w:rsid w:val="00986046"/>
    <w:rsid w:val="00986069"/>
    <w:rsid w:val="0098609D"/>
    <w:rsid w:val="009860C8"/>
    <w:rsid w:val="009860E4"/>
    <w:rsid w:val="00986104"/>
    <w:rsid w:val="00986156"/>
    <w:rsid w:val="0098615B"/>
    <w:rsid w:val="0098616B"/>
    <w:rsid w:val="0098620F"/>
    <w:rsid w:val="009862D8"/>
    <w:rsid w:val="009862E2"/>
    <w:rsid w:val="009862F9"/>
    <w:rsid w:val="00986309"/>
    <w:rsid w:val="00986484"/>
    <w:rsid w:val="00986494"/>
    <w:rsid w:val="00986531"/>
    <w:rsid w:val="00986579"/>
    <w:rsid w:val="00986650"/>
    <w:rsid w:val="0098665D"/>
    <w:rsid w:val="00986684"/>
    <w:rsid w:val="009867E9"/>
    <w:rsid w:val="009867FD"/>
    <w:rsid w:val="009868D5"/>
    <w:rsid w:val="00986923"/>
    <w:rsid w:val="00986940"/>
    <w:rsid w:val="0098696A"/>
    <w:rsid w:val="009869AC"/>
    <w:rsid w:val="009869CE"/>
    <w:rsid w:val="00986AB5"/>
    <w:rsid w:val="00986B60"/>
    <w:rsid w:val="00986B6A"/>
    <w:rsid w:val="00986CA7"/>
    <w:rsid w:val="00986D58"/>
    <w:rsid w:val="00986E86"/>
    <w:rsid w:val="00986EB4"/>
    <w:rsid w:val="00986F2B"/>
    <w:rsid w:val="00986F6D"/>
    <w:rsid w:val="00986F6E"/>
    <w:rsid w:val="00986F98"/>
    <w:rsid w:val="00986FD8"/>
    <w:rsid w:val="00987005"/>
    <w:rsid w:val="009870C6"/>
    <w:rsid w:val="009870EE"/>
    <w:rsid w:val="009871B4"/>
    <w:rsid w:val="00987228"/>
    <w:rsid w:val="00987270"/>
    <w:rsid w:val="00987283"/>
    <w:rsid w:val="00987292"/>
    <w:rsid w:val="009872AC"/>
    <w:rsid w:val="009872F3"/>
    <w:rsid w:val="00987340"/>
    <w:rsid w:val="009873E4"/>
    <w:rsid w:val="0098743B"/>
    <w:rsid w:val="0098749A"/>
    <w:rsid w:val="009874E6"/>
    <w:rsid w:val="0098754C"/>
    <w:rsid w:val="009875EC"/>
    <w:rsid w:val="00987630"/>
    <w:rsid w:val="00987655"/>
    <w:rsid w:val="009876AA"/>
    <w:rsid w:val="0098770A"/>
    <w:rsid w:val="0098771D"/>
    <w:rsid w:val="009877B2"/>
    <w:rsid w:val="00987838"/>
    <w:rsid w:val="009878C4"/>
    <w:rsid w:val="00987944"/>
    <w:rsid w:val="00987980"/>
    <w:rsid w:val="009879BC"/>
    <w:rsid w:val="00987AD6"/>
    <w:rsid w:val="00987B63"/>
    <w:rsid w:val="00987B64"/>
    <w:rsid w:val="00987BA6"/>
    <w:rsid w:val="00987BAD"/>
    <w:rsid w:val="00987BFD"/>
    <w:rsid w:val="00987C22"/>
    <w:rsid w:val="00987C42"/>
    <w:rsid w:val="00987C4F"/>
    <w:rsid w:val="00987CD9"/>
    <w:rsid w:val="00987D56"/>
    <w:rsid w:val="00987DA6"/>
    <w:rsid w:val="00987DB0"/>
    <w:rsid w:val="00987DF4"/>
    <w:rsid w:val="00987E12"/>
    <w:rsid w:val="00987E14"/>
    <w:rsid w:val="00987EA8"/>
    <w:rsid w:val="00987ED1"/>
    <w:rsid w:val="00987F26"/>
    <w:rsid w:val="00987F52"/>
    <w:rsid w:val="00987FBA"/>
    <w:rsid w:val="00987FD0"/>
    <w:rsid w:val="00990022"/>
    <w:rsid w:val="00990066"/>
    <w:rsid w:val="0099009D"/>
    <w:rsid w:val="009900AE"/>
    <w:rsid w:val="009900D5"/>
    <w:rsid w:val="009901BB"/>
    <w:rsid w:val="00990225"/>
    <w:rsid w:val="009903B6"/>
    <w:rsid w:val="00990419"/>
    <w:rsid w:val="0099046A"/>
    <w:rsid w:val="00990491"/>
    <w:rsid w:val="009904BC"/>
    <w:rsid w:val="009904FA"/>
    <w:rsid w:val="00990558"/>
    <w:rsid w:val="009905C7"/>
    <w:rsid w:val="009905F6"/>
    <w:rsid w:val="00990602"/>
    <w:rsid w:val="0099067F"/>
    <w:rsid w:val="00990696"/>
    <w:rsid w:val="009906A8"/>
    <w:rsid w:val="0099078E"/>
    <w:rsid w:val="009907C1"/>
    <w:rsid w:val="0099084C"/>
    <w:rsid w:val="00990852"/>
    <w:rsid w:val="0099087D"/>
    <w:rsid w:val="009908E2"/>
    <w:rsid w:val="00990911"/>
    <w:rsid w:val="00990923"/>
    <w:rsid w:val="0099099F"/>
    <w:rsid w:val="009909B6"/>
    <w:rsid w:val="00990A25"/>
    <w:rsid w:val="00990ACF"/>
    <w:rsid w:val="00990B05"/>
    <w:rsid w:val="00990B2D"/>
    <w:rsid w:val="00990BF0"/>
    <w:rsid w:val="00990CE8"/>
    <w:rsid w:val="00990DBD"/>
    <w:rsid w:val="00990E9B"/>
    <w:rsid w:val="0099110A"/>
    <w:rsid w:val="0099112B"/>
    <w:rsid w:val="0099115C"/>
    <w:rsid w:val="0099120E"/>
    <w:rsid w:val="0099122B"/>
    <w:rsid w:val="00991296"/>
    <w:rsid w:val="0099147C"/>
    <w:rsid w:val="00991503"/>
    <w:rsid w:val="00991588"/>
    <w:rsid w:val="009915CB"/>
    <w:rsid w:val="0099167E"/>
    <w:rsid w:val="00991682"/>
    <w:rsid w:val="00991725"/>
    <w:rsid w:val="00991733"/>
    <w:rsid w:val="0099173C"/>
    <w:rsid w:val="009917C8"/>
    <w:rsid w:val="0099181A"/>
    <w:rsid w:val="00991A09"/>
    <w:rsid w:val="00991A37"/>
    <w:rsid w:val="00991BA0"/>
    <w:rsid w:val="00991C7D"/>
    <w:rsid w:val="00991C80"/>
    <w:rsid w:val="00991CB4"/>
    <w:rsid w:val="00991CEC"/>
    <w:rsid w:val="00991CED"/>
    <w:rsid w:val="00991D00"/>
    <w:rsid w:val="00991D35"/>
    <w:rsid w:val="00991DA5"/>
    <w:rsid w:val="00991EA5"/>
    <w:rsid w:val="00991EFF"/>
    <w:rsid w:val="00991F34"/>
    <w:rsid w:val="00991F98"/>
    <w:rsid w:val="00991FE6"/>
    <w:rsid w:val="00992022"/>
    <w:rsid w:val="00992096"/>
    <w:rsid w:val="00992112"/>
    <w:rsid w:val="00992163"/>
    <w:rsid w:val="0099218D"/>
    <w:rsid w:val="00992191"/>
    <w:rsid w:val="009921A2"/>
    <w:rsid w:val="0099222E"/>
    <w:rsid w:val="009922CB"/>
    <w:rsid w:val="00992312"/>
    <w:rsid w:val="0099232D"/>
    <w:rsid w:val="0099236E"/>
    <w:rsid w:val="00992520"/>
    <w:rsid w:val="00992521"/>
    <w:rsid w:val="009925D8"/>
    <w:rsid w:val="00992603"/>
    <w:rsid w:val="0099264B"/>
    <w:rsid w:val="00992667"/>
    <w:rsid w:val="00992678"/>
    <w:rsid w:val="00992691"/>
    <w:rsid w:val="00992724"/>
    <w:rsid w:val="00992777"/>
    <w:rsid w:val="009927F9"/>
    <w:rsid w:val="0099287A"/>
    <w:rsid w:val="00992912"/>
    <w:rsid w:val="009929A5"/>
    <w:rsid w:val="00992B1E"/>
    <w:rsid w:val="00992B40"/>
    <w:rsid w:val="00992B7D"/>
    <w:rsid w:val="00992B8C"/>
    <w:rsid w:val="00992C59"/>
    <w:rsid w:val="00992CB6"/>
    <w:rsid w:val="00992D02"/>
    <w:rsid w:val="00992D8D"/>
    <w:rsid w:val="00992DB0"/>
    <w:rsid w:val="00992DF6"/>
    <w:rsid w:val="00992F06"/>
    <w:rsid w:val="00992F44"/>
    <w:rsid w:val="00992FB4"/>
    <w:rsid w:val="0099303E"/>
    <w:rsid w:val="009930C4"/>
    <w:rsid w:val="009930D4"/>
    <w:rsid w:val="0099313F"/>
    <w:rsid w:val="009931DE"/>
    <w:rsid w:val="00993279"/>
    <w:rsid w:val="00993291"/>
    <w:rsid w:val="0099329C"/>
    <w:rsid w:val="009932DD"/>
    <w:rsid w:val="00993347"/>
    <w:rsid w:val="0099337E"/>
    <w:rsid w:val="009933A6"/>
    <w:rsid w:val="009933AD"/>
    <w:rsid w:val="00993489"/>
    <w:rsid w:val="009934E7"/>
    <w:rsid w:val="009934F8"/>
    <w:rsid w:val="0099350A"/>
    <w:rsid w:val="00993596"/>
    <w:rsid w:val="00993646"/>
    <w:rsid w:val="0099365D"/>
    <w:rsid w:val="009937B7"/>
    <w:rsid w:val="0099384C"/>
    <w:rsid w:val="0099389A"/>
    <w:rsid w:val="0099391F"/>
    <w:rsid w:val="00993966"/>
    <w:rsid w:val="0099398A"/>
    <w:rsid w:val="00993A1E"/>
    <w:rsid w:val="00993A64"/>
    <w:rsid w:val="00993A75"/>
    <w:rsid w:val="00993AC3"/>
    <w:rsid w:val="00993AED"/>
    <w:rsid w:val="00993B07"/>
    <w:rsid w:val="00993B5F"/>
    <w:rsid w:val="00993BA8"/>
    <w:rsid w:val="00993C2F"/>
    <w:rsid w:val="00993C4C"/>
    <w:rsid w:val="00993C83"/>
    <w:rsid w:val="00993CCE"/>
    <w:rsid w:val="00993D0C"/>
    <w:rsid w:val="00993D46"/>
    <w:rsid w:val="00993DB2"/>
    <w:rsid w:val="00993E18"/>
    <w:rsid w:val="00993E58"/>
    <w:rsid w:val="00993EB4"/>
    <w:rsid w:val="00993F85"/>
    <w:rsid w:val="00993FA5"/>
    <w:rsid w:val="00993FE8"/>
    <w:rsid w:val="00993FEC"/>
    <w:rsid w:val="00993FF6"/>
    <w:rsid w:val="00994013"/>
    <w:rsid w:val="00994062"/>
    <w:rsid w:val="0099406B"/>
    <w:rsid w:val="009940B4"/>
    <w:rsid w:val="009940C1"/>
    <w:rsid w:val="00994204"/>
    <w:rsid w:val="00994207"/>
    <w:rsid w:val="0099422A"/>
    <w:rsid w:val="00994244"/>
    <w:rsid w:val="00994383"/>
    <w:rsid w:val="0099454A"/>
    <w:rsid w:val="00994563"/>
    <w:rsid w:val="0099456F"/>
    <w:rsid w:val="009945F1"/>
    <w:rsid w:val="00994642"/>
    <w:rsid w:val="0099465D"/>
    <w:rsid w:val="009946A0"/>
    <w:rsid w:val="009946A7"/>
    <w:rsid w:val="00994760"/>
    <w:rsid w:val="009947BD"/>
    <w:rsid w:val="0099480F"/>
    <w:rsid w:val="00994816"/>
    <w:rsid w:val="009948F7"/>
    <w:rsid w:val="0099494F"/>
    <w:rsid w:val="0099499C"/>
    <w:rsid w:val="009949A0"/>
    <w:rsid w:val="009949E2"/>
    <w:rsid w:val="00994A20"/>
    <w:rsid w:val="00994A56"/>
    <w:rsid w:val="00994B09"/>
    <w:rsid w:val="00994BB7"/>
    <w:rsid w:val="00994BB9"/>
    <w:rsid w:val="00994D2D"/>
    <w:rsid w:val="00994D33"/>
    <w:rsid w:val="00994D99"/>
    <w:rsid w:val="00994DDA"/>
    <w:rsid w:val="00994E38"/>
    <w:rsid w:val="00994EB3"/>
    <w:rsid w:val="00994EB5"/>
    <w:rsid w:val="00994F7D"/>
    <w:rsid w:val="00994F89"/>
    <w:rsid w:val="0099505A"/>
    <w:rsid w:val="009950F9"/>
    <w:rsid w:val="0099512E"/>
    <w:rsid w:val="009951E8"/>
    <w:rsid w:val="009951FD"/>
    <w:rsid w:val="00995375"/>
    <w:rsid w:val="009953EE"/>
    <w:rsid w:val="00995444"/>
    <w:rsid w:val="009954A2"/>
    <w:rsid w:val="0099563D"/>
    <w:rsid w:val="0099568C"/>
    <w:rsid w:val="009957A9"/>
    <w:rsid w:val="009957F4"/>
    <w:rsid w:val="00995973"/>
    <w:rsid w:val="00995B3A"/>
    <w:rsid w:val="00995B55"/>
    <w:rsid w:val="00995B85"/>
    <w:rsid w:val="00995B94"/>
    <w:rsid w:val="00995BD0"/>
    <w:rsid w:val="00995C42"/>
    <w:rsid w:val="00995C5C"/>
    <w:rsid w:val="00995E5C"/>
    <w:rsid w:val="00995ED6"/>
    <w:rsid w:val="00995F26"/>
    <w:rsid w:val="0099605B"/>
    <w:rsid w:val="0099609E"/>
    <w:rsid w:val="009960A8"/>
    <w:rsid w:val="0099613D"/>
    <w:rsid w:val="009961AD"/>
    <w:rsid w:val="009961CD"/>
    <w:rsid w:val="00996212"/>
    <w:rsid w:val="00996271"/>
    <w:rsid w:val="009964D0"/>
    <w:rsid w:val="00996633"/>
    <w:rsid w:val="00996664"/>
    <w:rsid w:val="009968CF"/>
    <w:rsid w:val="0099691B"/>
    <w:rsid w:val="00996969"/>
    <w:rsid w:val="0099699D"/>
    <w:rsid w:val="009969C0"/>
    <w:rsid w:val="00996ACF"/>
    <w:rsid w:val="00996B19"/>
    <w:rsid w:val="00996B85"/>
    <w:rsid w:val="00996BE9"/>
    <w:rsid w:val="00996BED"/>
    <w:rsid w:val="00996C06"/>
    <w:rsid w:val="00996C38"/>
    <w:rsid w:val="00996C39"/>
    <w:rsid w:val="00996C67"/>
    <w:rsid w:val="00996CBB"/>
    <w:rsid w:val="00996DFF"/>
    <w:rsid w:val="00996F12"/>
    <w:rsid w:val="00996FB9"/>
    <w:rsid w:val="00996FEF"/>
    <w:rsid w:val="00996FF1"/>
    <w:rsid w:val="00997023"/>
    <w:rsid w:val="00997037"/>
    <w:rsid w:val="009970AA"/>
    <w:rsid w:val="00997427"/>
    <w:rsid w:val="0099747C"/>
    <w:rsid w:val="00997585"/>
    <w:rsid w:val="0099758A"/>
    <w:rsid w:val="00997777"/>
    <w:rsid w:val="009977AC"/>
    <w:rsid w:val="00997840"/>
    <w:rsid w:val="00997863"/>
    <w:rsid w:val="00997884"/>
    <w:rsid w:val="009978FF"/>
    <w:rsid w:val="00997A1D"/>
    <w:rsid w:val="00997A21"/>
    <w:rsid w:val="00997A47"/>
    <w:rsid w:val="00997B09"/>
    <w:rsid w:val="00997B1C"/>
    <w:rsid w:val="00997DA9"/>
    <w:rsid w:val="00997DBF"/>
    <w:rsid w:val="00997DF7"/>
    <w:rsid w:val="00997E67"/>
    <w:rsid w:val="00997E98"/>
    <w:rsid w:val="00997F73"/>
    <w:rsid w:val="009A004B"/>
    <w:rsid w:val="009A0063"/>
    <w:rsid w:val="009A009D"/>
    <w:rsid w:val="009A0129"/>
    <w:rsid w:val="009A013C"/>
    <w:rsid w:val="009A0199"/>
    <w:rsid w:val="009A01D2"/>
    <w:rsid w:val="009A0225"/>
    <w:rsid w:val="009A026C"/>
    <w:rsid w:val="009A02F2"/>
    <w:rsid w:val="009A0381"/>
    <w:rsid w:val="009A04CF"/>
    <w:rsid w:val="009A0539"/>
    <w:rsid w:val="009A05D2"/>
    <w:rsid w:val="009A05E3"/>
    <w:rsid w:val="009A06EA"/>
    <w:rsid w:val="009A06FD"/>
    <w:rsid w:val="009A0728"/>
    <w:rsid w:val="009A0781"/>
    <w:rsid w:val="009A07CD"/>
    <w:rsid w:val="009A07D8"/>
    <w:rsid w:val="009A08A1"/>
    <w:rsid w:val="009A08C7"/>
    <w:rsid w:val="009A08DB"/>
    <w:rsid w:val="009A08E1"/>
    <w:rsid w:val="009A08F3"/>
    <w:rsid w:val="009A098C"/>
    <w:rsid w:val="009A0991"/>
    <w:rsid w:val="009A099A"/>
    <w:rsid w:val="009A0AE9"/>
    <w:rsid w:val="009A0B4B"/>
    <w:rsid w:val="009A0B5B"/>
    <w:rsid w:val="009A0C15"/>
    <w:rsid w:val="009A0C39"/>
    <w:rsid w:val="009A0C6E"/>
    <w:rsid w:val="009A0DA5"/>
    <w:rsid w:val="009A0E1D"/>
    <w:rsid w:val="009A0E6F"/>
    <w:rsid w:val="009A0EEE"/>
    <w:rsid w:val="009A0F3C"/>
    <w:rsid w:val="009A0FDD"/>
    <w:rsid w:val="009A101E"/>
    <w:rsid w:val="009A106A"/>
    <w:rsid w:val="009A106D"/>
    <w:rsid w:val="009A10D4"/>
    <w:rsid w:val="009A1101"/>
    <w:rsid w:val="009A114F"/>
    <w:rsid w:val="009A115F"/>
    <w:rsid w:val="009A11BF"/>
    <w:rsid w:val="009A1276"/>
    <w:rsid w:val="009A128E"/>
    <w:rsid w:val="009A1319"/>
    <w:rsid w:val="009A1340"/>
    <w:rsid w:val="009A135F"/>
    <w:rsid w:val="009A1376"/>
    <w:rsid w:val="009A1413"/>
    <w:rsid w:val="009A145C"/>
    <w:rsid w:val="009A149C"/>
    <w:rsid w:val="009A14EE"/>
    <w:rsid w:val="009A152A"/>
    <w:rsid w:val="009A15CF"/>
    <w:rsid w:val="009A15D9"/>
    <w:rsid w:val="009A15DE"/>
    <w:rsid w:val="009A1633"/>
    <w:rsid w:val="009A1635"/>
    <w:rsid w:val="009A1640"/>
    <w:rsid w:val="009A16E2"/>
    <w:rsid w:val="009A17BD"/>
    <w:rsid w:val="009A1814"/>
    <w:rsid w:val="009A1834"/>
    <w:rsid w:val="009A1875"/>
    <w:rsid w:val="009A1890"/>
    <w:rsid w:val="009A19B2"/>
    <w:rsid w:val="009A1A18"/>
    <w:rsid w:val="009A1ADE"/>
    <w:rsid w:val="009A1B43"/>
    <w:rsid w:val="009A1C98"/>
    <w:rsid w:val="009A1D0E"/>
    <w:rsid w:val="009A1DD2"/>
    <w:rsid w:val="009A1DDD"/>
    <w:rsid w:val="009A1E2F"/>
    <w:rsid w:val="009A1E68"/>
    <w:rsid w:val="009A1EBC"/>
    <w:rsid w:val="009A1EFA"/>
    <w:rsid w:val="009A1F11"/>
    <w:rsid w:val="009A1FAD"/>
    <w:rsid w:val="009A20DF"/>
    <w:rsid w:val="009A21AA"/>
    <w:rsid w:val="009A2278"/>
    <w:rsid w:val="009A2288"/>
    <w:rsid w:val="009A2290"/>
    <w:rsid w:val="009A235E"/>
    <w:rsid w:val="009A237B"/>
    <w:rsid w:val="009A2399"/>
    <w:rsid w:val="009A23A7"/>
    <w:rsid w:val="009A23C8"/>
    <w:rsid w:val="009A23FC"/>
    <w:rsid w:val="009A241F"/>
    <w:rsid w:val="009A24D9"/>
    <w:rsid w:val="009A24ED"/>
    <w:rsid w:val="009A257C"/>
    <w:rsid w:val="009A25A9"/>
    <w:rsid w:val="009A25B9"/>
    <w:rsid w:val="009A2600"/>
    <w:rsid w:val="009A26B7"/>
    <w:rsid w:val="009A2712"/>
    <w:rsid w:val="009A274C"/>
    <w:rsid w:val="009A27C6"/>
    <w:rsid w:val="009A2814"/>
    <w:rsid w:val="009A297E"/>
    <w:rsid w:val="009A2A1E"/>
    <w:rsid w:val="009A2A66"/>
    <w:rsid w:val="009A2A7A"/>
    <w:rsid w:val="009A2ACF"/>
    <w:rsid w:val="009A2B50"/>
    <w:rsid w:val="009A2B8B"/>
    <w:rsid w:val="009A2B98"/>
    <w:rsid w:val="009A2D66"/>
    <w:rsid w:val="009A2DEC"/>
    <w:rsid w:val="009A2E19"/>
    <w:rsid w:val="009A2E2D"/>
    <w:rsid w:val="009A2E3C"/>
    <w:rsid w:val="009A2EEA"/>
    <w:rsid w:val="009A2F4D"/>
    <w:rsid w:val="009A2FB4"/>
    <w:rsid w:val="009A2FD5"/>
    <w:rsid w:val="009A3010"/>
    <w:rsid w:val="009A3032"/>
    <w:rsid w:val="009A30E0"/>
    <w:rsid w:val="009A3129"/>
    <w:rsid w:val="009A3157"/>
    <w:rsid w:val="009A31D4"/>
    <w:rsid w:val="009A3227"/>
    <w:rsid w:val="009A3274"/>
    <w:rsid w:val="009A327C"/>
    <w:rsid w:val="009A32BA"/>
    <w:rsid w:val="009A3310"/>
    <w:rsid w:val="009A335E"/>
    <w:rsid w:val="009A3363"/>
    <w:rsid w:val="009A355A"/>
    <w:rsid w:val="009A3685"/>
    <w:rsid w:val="009A37A4"/>
    <w:rsid w:val="009A3806"/>
    <w:rsid w:val="009A388C"/>
    <w:rsid w:val="009A38DD"/>
    <w:rsid w:val="009A398B"/>
    <w:rsid w:val="009A39B7"/>
    <w:rsid w:val="009A39C3"/>
    <w:rsid w:val="009A3AD5"/>
    <w:rsid w:val="009A3B2A"/>
    <w:rsid w:val="009A3CA2"/>
    <w:rsid w:val="009A3CFA"/>
    <w:rsid w:val="009A3D02"/>
    <w:rsid w:val="009A3DA1"/>
    <w:rsid w:val="009A3E11"/>
    <w:rsid w:val="009A3EAA"/>
    <w:rsid w:val="009A3EF3"/>
    <w:rsid w:val="009A3F02"/>
    <w:rsid w:val="009A3F2E"/>
    <w:rsid w:val="009A4050"/>
    <w:rsid w:val="009A40D1"/>
    <w:rsid w:val="009A40EB"/>
    <w:rsid w:val="009A414A"/>
    <w:rsid w:val="009A418C"/>
    <w:rsid w:val="009A41A9"/>
    <w:rsid w:val="009A423F"/>
    <w:rsid w:val="009A428B"/>
    <w:rsid w:val="009A42DA"/>
    <w:rsid w:val="009A4307"/>
    <w:rsid w:val="009A4357"/>
    <w:rsid w:val="009A4369"/>
    <w:rsid w:val="009A43F0"/>
    <w:rsid w:val="009A442A"/>
    <w:rsid w:val="009A452C"/>
    <w:rsid w:val="009A453A"/>
    <w:rsid w:val="009A4543"/>
    <w:rsid w:val="009A45D5"/>
    <w:rsid w:val="009A4611"/>
    <w:rsid w:val="009A4632"/>
    <w:rsid w:val="009A472F"/>
    <w:rsid w:val="009A4817"/>
    <w:rsid w:val="009A48BC"/>
    <w:rsid w:val="009A48E2"/>
    <w:rsid w:val="009A4A15"/>
    <w:rsid w:val="009A4A74"/>
    <w:rsid w:val="009A4ABF"/>
    <w:rsid w:val="009A4AD8"/>
    <w:rsid w:val="009A4B17"/>
    <w:rsid w:val="009A4B9A"/>
    <w:rsid w:val="009A4CA4"/>
    <w:rsid w:val="009A4DAD"/>
    <w:rsid w:val="009A4DC2"/>
    <w:rsid w:val="009A4E4F"/>
    <w:rsid w:val="009A4EB5"/>
    <w:rsid w:val="009A4EBD"/>
    <w:rsid w:val="009A4EFF"/>
    <w:rsid w:val="009A4F04"/>
    <w:rsid w:val="009A4F62"/>
    <w:rsid w:val="009A4FA1"/>
    <w:rsid w:val="009A513A"/>
    <w:rsid w:val="009A515A"/>
    <w:rsid w:val="009A5239"/>
    <w:rsid w:val="009A530F"/>
    <w:rsid w:val="009A534F"/>
    <w:rsid w:val="009A53DC"/>
    <w:rsid w:val="009A551A"/>
    <w:rsid w:val="009A566E"/>
    <w:rsid w:val="009A569E"/>
    <w:rsid w:val="009A570B"/>
    <w:rsid w:val="009A57AB"/>
    <w:rsid w:val="009A57FB"/>
    <w:rsid w:val="009A5839"/>
    <w:rsid w:val="009A5883"/>
    <w:rsid w:val="009A58B1"/>
    <w:rsid w:val="009A58FE"/>
    <w:rsid w:val="009A5941"/>
    <w:rsid w:val="009A594A"/>
    <w:rsid w:val="009A5986"/>
    <w:rsid w:val="009A59F0"/>
    <w:rsid w:val="009A5A0E"/>
    <w:rsid w:val="009A5A5F"/>
    <w:rsid w:val="009A5AEC"/>
    <w:rsid w:val="009A5C99"/>
    <w:rsid w:val="009A5FDB"/>
    <w:rsid w:val="009A6129"/>
    <w:rsid w:val="009A615C"/>
    <w:rsid w:val="009A620F"/>
    <w:rsid w:val="009A6225"/>
    <w:rsid w:val="009A624B"/>
    <w:rsid w:val="009A635B"/>
    <w:rsid w:val="009A636D"/>
    <w:rsid w:val="009A640B"/>
    <w:rsid w:val="009A6428"/>
    <w:rsid w:val="009A6451"/>
    <w:rsid w:val="009A648F"/>
    <w:rsid w:val="009A65EF"/>
    <w:rsid w:val="009A6647"/>
    <w:rsid w:val="009A6653"/>
    <w:rsid w:val="009A66EF"/>
    <w:rsid w:val="009A6732"/>
    <w:rsid w:val="009A67F5"/>
    <w:rsid w:val="009A6818"/>
    <w:rsid w:val="009A686B"/>
    <w:rsid w:val="009A6929"/>
    <w:rsid w:val="009A6A96"/>
    <w:rsid w:val="009A6AEC"/>
    <w:rsid w:val="009A6AF3"/>
    <w:rsid w:val="009A6B01"/>
    <w:rsid w:val="009A6B30"/>
    <w:rsid w:val="009A6B4F"/>
    <w:rsid w:val="009A6B86"/>
    <w:rsid w:val="009A6C74"/>
    <w:rsid w:val="009A6C84"/>
    <w:rsid w:val="009A6C9F"/>
    <w:rsid w:val="009A6CA1"/>
    <w:rsid w:val="009A6D07"/>
    <w:rsid w:val="009A6D36"/>
    <w:rsid w:val="009A6D6A"/>
    <w:rsid w:val="009A6E0D"/>
    <w:rsid w:val="009A6E44"/>
    <w:rsid w:val="009A6E6D"/>
    <w:rsid w:val="009A6E79"/>
    <w:rsid w:val="009A6E8A"/>
    <w:rsid w:val="009A7079"/>
    <w:rsid w:val="009A70B2"/>
    <w:rsid w:val="009A7108"/>
    <w:rsid w:val="009A7242"/>
    <w:rsid w:val="009A7278"/>
    <w:rsid w:val="009A72F3"/>
    <w:rsid w:val="009A73A8"/>
    <w:rsid w:val="009A73EF"/>
    <w:rsid w:val="009A7401"/>
    <w:rsid w:val="009A744E"/>
    <w:rsid w:val="009A74DA"/>
    <w:rsid w:val="009A75C2"/>
    <w:rsid w:val="009A75E6"/>
    <w:rsid w:val="009A75FF"/>
    <w:rsid w:val="009A76DF"/>
    <w:rsid w:val="009A776F"/>
    <w:rsid w:val="009A7801"/>
    <w:rsid w:val="009A786C"/>
    <w:rsid w:val="009A78EA"/>
    <w:rsid w:val="009A7989"/>
    <w:rsid w:val="009A79A2"/>
    <w:rsid w:val="009A79F0"/>
    <w:rsid w:val="009A7A0A"/>
    <w:rsid w:val="009A7A11"/>
    <w:rsid w:val="009A7A25"/>
    <w:rsid w:val="009A7A33"/>
    <w:rsid w:val="009A7AB0"/>
    <w:rsid w:val="009A7AB6"/>
    <w:rsid w:val="009A7ADA"/>
    <w:rsid w:val="009A7AFF"/>
    <w:rsid w:val="009A7B05"/>
    <w:rsid w:val="009A7C0B"/>
    <w:rsid w:val="009A7C75"/>
    <w:rsid w:val="009A7D27"/>
    <w:rsid w:val="009A7D3C"/>
    <w:rsid w:val="009A7DDD"/>
    <w:rsid w:val="009A7E9C"/>
    <w:rsid w:val="009A7EA2"/>
    <w:rsid w:val="009A7EF5"/>
    <w:rsid w:val="009A7FF1"/>
    <w:rsid w:val="009B0055"/>
    <w:rsid w:val="009B00C6"/>
    <w:rsid w:val="009B00F0"/>
    <w:rsid w:val="009B01B7"/>
    <w:rsid w:val="009B02A7"/>
    <w:rsid w:val="009B02B3"/>
    <w:rsid w:val="009B0311"/>
    <w:rsid w:val="009B033E"/>
    <w:rsid w:val="009B0383"/>
    <w:rsid w:val="009B03B6"/>
    <w:rsid w:val="009B047F"/>
    <w:rsid w:val="009B04A5"/>
    <w:rsid w:val="009B04BF"/>
    <w:rsid w:val="009B057A"/>
    <w:rsid w:val="009B062F"/>
    <w:rsid w:val="009B06C5"/>
    <w:rsid w:val="009B0788"/>
    <w:rsid w:val="009B079D"/>
    <w:rsid w:val="009B07DB"/>
    <w:rsid w:val="009B07EC"/>
    <w:rsid w:val="009B08F7"/>
    <w:rsid w:val="009B0A1E"/>
    <w:rsid w:val="009B0A84"/>
    <w:rsid w:val="009B0B4D"/>
    <w:rsid w:val="009B0B94"/>
    <w:rsid w:val="009B0B9E"/>
    <w:rsid w:val="009B0BA2"/>
    <w:rsid w:val="009B0BFA"/>
    <w:rsid w:val="009B0C1D"/>
    <w:rsid w:val="009B0C2D"/>
    <w:rsid w:val="009B0C61"/>
    <w:rsid w:val="009B0C77"/>
    <w:rsid w:val="009B0CE2"/>
    <w:rsid w:val="009B0D74"/>
    <w:rsid w:val="009B0DF7"/>
    <w:rsid w:val="009B0E84"/>
    <w:rsid w:val="009B0EE4"/>
    <w:rsid w:val="009B0F8D"/>
    <w:rsid w:val="009B1187"/>
    <w:rsid w:val="009B1241"/>
    <w:rsid w:val="009B12EF"/>
    <w:rsid w:val="009B1356"/>
    <w:rsid w:val="009B1369"/>
    <w:rsid w:val="009B1393"/>
    <w:rsid w:val="009B13C3"/>
    <w:rsid w:val="009B13D1"/>
    <w:rsid w:val="009B14AA"/>
    <w:rsid w:val="009B14DE"/>
    <w:rsid w:val="009B15A0"/>
    <w:rsid w:val="009B15D4"/>
    <w:rsid w:val="009B1678"/>
    <w:rsid w:val="009B16C5"/>
    <w:rsid w:val="009B1712"/>
    <w:rsid w:val="009B172A"/>
    <w:rsid w:val="009B175D"/>
    <w:rsid w:val="009B17EB"/>
    <w:rsid w:val="009B18B0"/>
    <w:rsid w:val="009B19D9"/>
    <w:rsid w:val="009B1A16"/>
    <w:rsid w:val="009B1A54"/>
    <w:rsid w:val="009B1C09"/>
    <w:rsid w:val="009B1C53"/>
    <w:rsid w:val="009B1CA3"/>
    <w:rsid w:val="009B1DEA"/>
    <w:rsid w:val="009B1E37"/>
    <w:rsid w:val="009B1E6C"/>
    <w:rsid w:val="009B1EED"/>
    <w:rsid w:val="009B1EF5"/>
    <w:rsid w:val="009B1F70"/>
    <w:rsid w:val="009B1F76"/>
    <w:rsid w:val="009B1F7F"/>
    <w:rsid w:val="009B1FC3"/>
    <w:rsid w:val="009B2002"/>
    <w:rsid w:val="009B2010"/>
    <w:rsid w:val="009B215C"/>
    <w:rsid w:val="009B217A"/>
    <w:rsid w:val="009B21A5"/>
    <w:rsid w:val="009B21D2"/>
    <w:rsid w:val="009B23A4"/>
    <w:rsid w:val="009B2413"/>
    <w:rsid w:val="009B241A"/>
    <w:rsid w:val="009B2452"/>
    <w:rsid w:val="009B24C0"/>
    <w:rsid w:val="009B253E"/>
    <w:rsid w:val="009B25F2"/>
    <w:rsid w:val="009B25FB"/>
    <w:rsid w:val="009B275A"/>
    <w:rsid w:val="009B2796"/>
    <w:rsid w:val="009B27A5"/>
    <w:rsid w:val="009B27A7"/>
    <w:rsid w:val="009B287F"/>
    <w:rsid w:val="009B290C"/>
    <w:rsid w:val="009B29B6"/>
    <w:rsid w:val="009B2AAA"/>
    <w:rsid w:val="009B2C16"/>
    <w:rsid w:val="009B2CDC"/>
    <w:rsid w:val="009B2D15"/>
    <w:rsid w:val="009B2D35"/>
    <w:rsid w:val="009B2E33"/>
    <w:rsid w:val="009B2EF2"/>
    <w:rsid w:val="009B2EFD"/>
    <w:rsid w:val="009B2F2E"/>
    <w:rsid w:val="009B2F70"/>
    <w:rsid w:val="009B3098"/>
    <w:rsid w:val="009B30DE"/>
    <w:rsid w:val="009B3106"/>
    <w:rsid w:val="009B3191"/>
    <w:rsid w:val="009B31BE"/>
    <w:rsid w:val="009B3262"/>
    <w:rsid w:val="009B32D0"/>
    <w:rsid w:val="009B3314"/>
    <w:rsid w:val="009B335E"/>
    <w:rsid w:val="009B3382"/>
    <w:rsid w:val="009B3454"/>
    <w:rsid w:val="009B3458"/>
    <w:rsid w:val="009B346B"/>
    <w:rsid w:val="009B3518"/>
    <w:rsid w:val="009B3538"/>
    <w:rsid w:val="009B3591"/>
    <w:rsid w:val="009B364F"/>
    <w:rsid w:val="009B36EB"/>
    <w:rsid w:val="009B36FE"/>
    <w:rsid w:val="009B3709"/>
    <w:rsid w:val="009B373A"/>
    <w:rsid w:val="009B3767"/>
    <w:rsid w:val="009B37CB"/>
    <w:rsid w:val="009B3894"/>
    <w:rsid w:val="009B38A4"/>
    <w:rsid w:val="009B38E8"/>
    <w:rsid w:val="009B39CF"/>
    <w:rsid w:val="009B39EF"/>
    <w:rsid w:val="009B3A51"/>
    <w:rsid w:val="009B3A98"/>
    <w:rsid w:val="009B3B1A"/>
    <w:rsid w:val="009B3B3A"/>
    <w:rsid w:val="009B3BF4"/>
    <w:rsid w:val="009B3BFA"/>
    <w:rsid w:val="009B3C0F"/>
    <w:rsid w:val="009B3C62"/>
    <w:rsid w:val="009B3C6C"/>
    <w:rsid w:val="009B3CC0"/>
    <w:rsid w:val="009B3CC2"/>
    <w:rsid w:val="009B3D11"/>
    <w:rsid w:val="009B3D1A"/>
    <w:rsid w:val="009B3D8C"/>
    <w:rsid w:val="009B3DE8"/>
    <w:rsid w:val="009B3E52"/>
    <w:rsid w:val="009B3EC4"/>
    <w:rsid w:val="009B3EF5"/>
    <w:rsid w:val="009B3EF8"/>
    <w:rsid w:val="009B3F69"/>
    <w:rsid w:val="009B3F7B"/>
    <w:rsid w:val="009B3FD9"/>
    <w:rsid w:val="009B408E"/>
    <w:rsid w:val="009B40FB"/>
    <w:rsid w:val="009B414D"/>
    <w:rsid w:val="009B415B"/>
    <w:rsid w:val="009B41DF"/>
    <w:rsid w:val="009B4299"/>
    <w:rsid w:val="009B42E1"/>
    <w:rsid w:val="009B43B2"/>
    <w:rsid w:val="009B4565"/>
    <w:rsid w:val="009B457F"/>
    <w:rsid w:val="009B466F"/>
    <w:rsid w:val="009B467C"/>
    <w:rsid w:val="009B4731"/>
    <w:rsid w:val="009B474D"/>
    <w:rsid w:val="009B4823"/>
    <w:rsid w:val="009B484D"/>
    <w:rsid w:val="009B4856"/>
    <w:rsid w:val="009B487E"/>
    <w:rsid w:val="009B48FF"/>
    <w:rsid w:val="009B4915"/>
    <w:rsid w:val="009B492B"/>
    <w:rsid w:val="009B4956"/>
    <w:rsid w:val="009B4968"/>
    <w:rsid w:val="009B498F"/>
    <w:rsid w:val="009B4A3E"/>
    <w:rsid w:val="009B4A53"/>
    <w:rsid w:val="009B4A78"/>
    <w:rsid w:val="009B4B06"/>
    <w:rsid w:val="009B4B89"/>
    <w:rsid w:val="009B4C39"/>
    <w:rsid w:val="009B4C9C"/>
    <w:rsid w:val="009B4DFA"/>
    <w:rsid w:val="009B4E70"/>
    <w:rsid w:val="009B4EBF"/>
    <w:rsid w:val="009B4EF4"/>
    <w:rsid w:val="009B4FDA"/>
    <w:rsid w:val="009B51DF"/>
    <w:rsid w:val="009B51ED"/>
    <w:rsid w:val="009B5301"/>
    <w:rsid w:val="009B5316"/>
    <w:rsid w:val="009B5320"/>
    <w:rsid w:val="009B5368"/>
    <w:rsid w:val="009B53C6"/>
    <w:rsid w:val="009B5405"/>
    <w:rsid w:val="009B54DB"/>
    <w:rsid w:val="009B55EF"/>
    <w:rsid w:val="009B560F"/>
    <w:rsid w:val="009B569D"/>
    <w:rsid w:val="009B56D3"/>
    <w:rsid w:val="009B571F"/>
    <w:rsid w:val="009B57B8"/>
    <w:rsid w:val="009B57D1"/>
    <w:rsid w:val="009B57D9"/>
    <w:rsid w:val="009B57DE"/>
    <w:rsid w:val="009B5883"/>
    <w:rsid w:val="009B58F6"/>
    <w:rsid w:val="009B5984"/>
    <w:rsid w:val="009B59E5"/>
    <w:rsid w:val="009B59E8"/>
    <w:rsid w:val="009B5B38"/>
    <w:rsid w:val="009B5B39"/>
    <w:rsid w:val="009B5B45"/>
    <w:rsid w:val="009B5B84"/>
    <w:rsid w:val="009B5B8D"/>
    <w:rsid w:val="009B5BEC"/>
    <w:rsid w:val="009B5BFA"/>
    <w:rsid w:val="009B5C35"/>
    <w:rsid w:val="009B5C97"/>
    <w:rsid w:val="009B5CE8"/>
    <w:rsid w:val="009B5D08"/>
    <w:rsid w:val="009B5D75"/>
    <w:rsid w:val="009B5EA8"/>
    <w:rsid w:val="009B60FC"/>
    <w:rsid w:val="009B6142"/>
    <w:rsid w:val="009B61B4"/>
    <w:rsid w:val="009B61B6"/>
    <w:rsid w:val="009B6209"/>
    <w:rsid w:val="009B6227"/>
    <w:rsid w:val="009B622B"/>
    <w:rsid w:val="009B62C3"/>
    <w:rsid w:val="009B634D"/>
    <w:rsid w:val="009B63F4"/>
    <w:rsid w:val="009B6499"/>
    <w:rsid w:val="009B64E0"/>
    <w:rsid w:val="009B6519"/>
    <w:rsid w:val="009B656C"/>
    <w:rsid w:val="009B6594"/>
    <w:rsid w:val="009B6623"/>
    <w:rsid w:val="009B6678"/>
    <w:rsid w:val="009B6796"/>
    <w:rsid w:val="009B6839"/>
    <w:rsid w:val="009B6876"/>
    <w:rsid w:val="009B6886"/>
    <w:rsid w:val="009B6A4A"/>
    <w:rsid w:val="009B6A5D"/>
    <w:rsid w:val="009B6B0F"/>
    <w:rsid w:val="009B6B3C"/>
    <w:rsid w:val="009B6B46"/>
    <w:rsid w:val="009B6B57"/>
    <w:rsid w:val="009B6C10"/>
    <w:rsid w:val="009B6C35"/>
    <w:rsid w:val="009B6C47"/>
    <w:rsid w:val="009B6C83"/>
    <w:rsid w:val="009B6CBE"/>
    <w:rsid w:val="009B6CE0"/>
    <w:rsid w:val="009B6E0A"/>
    <w:rsid w:val="009B6F28"/>
    <w:rsid w:val="009B6FDB"/>
    <w:rsid w:val="009B7003"/>
    <w:rsid w:val="009B700B"/>
    <w:rsid w:val="009B703A"/>
    <w:rsid w:val="009B7064"/>
    <w:rsid w:val="009B70E7"/>
    <w:rsid w:val="009B70EA"/>
    <w:rsid w:val="009B719D"/>
    <w:rsid w:val="009B71E1"/>
    <w:rsid w:val="009B71E6"/>
    <w:rsid w:val="009B72F0"/>
    <w:rsid w:val="009B7330"/>
    <w:rsid w:val="009B7376"/>
    <w:rsid w:val="009B73CF"/>
    <w:rsid w:val="009B73DD"/>
    <w:rsid w:val="009B73E4"/>
    <w:rsid w:val="009B7422"/>
    <w:rsid w:val="009B757F"/>
    <w:rsid w:val="009B75AB"/>
    <w:rsid w:val="009B7615"/>
    <w:rsid w:val="009B76E4"/>
    <w:rsid w:val="009B7866"/>
    <w:rsid w:val="009B78BB"/>
    <w:rsid w:val="009B78E2"/>
    <w:rsid w:val="009B791C"/>
    <w:rsid w:val="009B7A0A"/>
    <w:rsid w:val="009B7A7F"/>
    <w:rsid w:val="009B7B28"/>
    <w:rsid w:val="009B7B55"/>
    <w:rsid w:val="009B7B72"/>
    <w:rsid w:val="009B7B9E"/>
    <w:rsid w:val="009B7C5B"/>
    <w:rsid w:val="009B7D08"/>
    <w:rsid w:val="009B7D09"/>
    <w:rsid w:val="009B7D4E"/>
    <w:rsid w:val="009B7D84"/>
    <w:rsid w:val="009B7DEA"/>
    <w:rsid w:val="009B7E11"/>
    <w:rsid w:val="009B7E59"/>
    <w:rsid w:val="009B7E5E"/>
    <w:rsid w:val="009B7E9A"/>
    <w:rsid w:val="009B7EB7"/>
    <w:rsid w:val="009B7F2C"/>
    <w:rsid w:val="009B7F6E"/>
    <w:rsid w:val="009C00D8"/>
    <w:rsid w:val="009C00F5"/>
    <w:rsid w:val="009C013B"/>
    <w:rsid w:val="009C019A"/>
    <w:rsid w:val="009C01F5"/>
    <w:rsid w:val="009C0236"/>
    <w:rsid w:val="009C023A"/>
    <w:rsid w:val="009C02B1"/>
    <w:rsid w:val="009C0314"/>
    <w:rsid w:val="009C03BB"/>
    <w:rsid w:val="009C046F"/>
    <w:rsid w:val="009C05D1"/>
    <w:rsid w:val="009C05F3"/>
    <w:rsid w:val="009C065E"/>
    <w:rsid w:val="009C066B"/>
    <w:rsid w:val="009C06BA"/>
    <w:rsid w:val="009C06EB"/>
    <w:rsid w:val="009C07D2"/>
    <w:rsid w:val="009C08B5"/>
    <w:rsid w:val="009C08E3"/>
    <w:rsid w:val="009C08E6"/>
    <w:rsid w:val="009C0A33"/>
    <w:rsid w:val="009C0A9F"/>
    <w:rsid w:val="009C0ABF"/>
    <w:rsid w:val="009C0ACA"/>
    <w:rsid w:val="009C0AED"/>
    <w:rsid w:val="009C0B13"/>
    <w:rsid w:val="009C0BE1"/>
    <w:rsid w:val="009C0BEB"/>
    <w:rsid w:val="009C0C41"/>
    <w:rsid w:val="009C0CDC"/>
    <w:rsid w:val="009C0DDE"/>
    <w:rsid w:val="009C0E0F"/>
    <w:rsid w:val="009C0E41"/>
    <w:rsid w:val="009C0E64"/>
    <w:rsid w:val="009C0E6D"/>
    <w:rsid w:val="009C0EC9"/>
    <w:rsid w:val="009C0F30"/>
    <w:rsid w:val="009C0F78"/>
    <w:rsid w:val="009C0F84"/>
    <w:rsid w:val="009C0F94"/>
    <w:rsid w:val="009C0FB3"/>
    <w:rsid w:val="009C0FDE"/>
    <w:rsid w:val="009C1002"/>
    <w:rsid w:val="009C1023"/>
    <w:rsid w:val="009C104B"/>
    <w:rsid w:val="009C1078"/>
    <w:rsid w:val="009C11B8"/>
    <w:rsid w:val="009C126D"/>
    <w:rsid w:val="009C12EF"/>
    <w:rsid w:val="009C135F"/>
    <w:rsid w:val="009C13E1"/>
    <w:rsid w:val="009C1564"/>
    <w:rsid w:val="009C15B6"/>
    <w:rsid w:val="009C1605"/>
    <w:rsid w:val="009C1689"/>
    <w:rsid w:val="009C16CC"/>
    <w:rsid w:val="009C16EF"/>
    <w:rsid w:val="009C16F1"/>
    <w:rsid w:val="009C1726"/>
    <w:rsid w:val="009C17AE"/>
    <w:rsid w:val="009C181A"/>
    <w:rsid w:val="009C1996"/>
    <w:rsid w:val="009C1A55"/>
    <w:rsid w:val="009C1A63"/>
    <w:rsid w:val="009C1B22"/>
    <w:rsid w:val="009C1B30"/>
    <w:rsid w:val="009C1B45"/>
    <w:rsid w:val="009C1B6E"/>
    <w:rsid w:val="009C1B90"/>
    <w:rsid w:val="009C1DF8"/>
    <w:rsid w:val="009C1E0E"/>
    <w:rsid w:val="009C1E36"/>
    <w:rsid w:val="009C1E44"/>
    <w:rsid w:val="009C1F61"/>
    <w:rsid w:val="009C1F6F"/>
    <w:rsid w:val="009C1FE9"/>
    <w:rsid w:val="009C2129"/>
    <w:rsid w:val="009C2183"/>
    <w:rsid w:val="009C232B"/>
    <w:rsid w:val="009C2443"/>
    <w:rsid w:val="009C2457"/>
    <w:rsid w:val="009C2460"/>
    <w:rsid w:val="009C246D"/>
    <w:rsid w:val="009C2483"/>
    <w:rsid w:val="009C24BE"/>
    <w:rsid w:val="009C2589"/>
    <w:rsid w:val="009C259F"/>
    <w:rsid w:val="009C25C0"/>
    <w:rsid w:val="009C25CA"/>
    <w:rsid w:val="009C2609"/>
    <w:rsid w:val="009C262B"/>
    <w:rsid w:val="009C26C2"/>
    <w:rsid w:val="009C26C5"/>
    <w:rsid w:val="009C270F"/>
    <w:rsid w:val="009C2737"/>
    <w:rsid w:val="009C27C2"/>
    <w:rsid w:val="009C290D"/>
    <w:rsid w:val="009C2A28"/>
    <w:rsid w:val="009C2B45"/>
    <w:rsid w:val="009C2C25"/>
    <w:rsid w:val="009C2C41"/>
    <w:rsid w:val="009C2CCA"/>
    <w:rsid w:val="009C2CCE"/>
    <w:rsid w:val="009C2DAA"/>
    <w:rsid w:val="009C2DC8"/>
    <w:rsid w:val="009C2DE0"/>
    <w:rsid w:val="009C2E57"/>
    <w:rsid w:val="009C2E8E"/>
    <w:rsid w:val="009C2F10"/>
    <w:rsid w:val="009C2F94"/>
    <w:rsid w:val="009C2FE1"/>
    <w:rsid w:val="009C301B"/>
    <w:rsid w:val="009C30E8"/>
    <w:rsid w:val="009C3121"/>
    <w:rsid w:val="009C317C"/>
    <w:rsid w:val="009C3218"/>
    <w:rsid w:val="009C326D"/>
    <w:rsid w:val="009C32B1"/>
    <w:rsid w:val="009C337E"/>
    <w:rsid w:val="009C349A"/>
    <w:rsid w:val="009C34FA"/>
    <w:rsid w:val="009C3506"/>
    <w:rsid w:val="009C3625"/>
    <w:rsid w:val="009C3784"/>
    <w:rsid w:val="009C3874"/>
    <w:rsid w:val="009C387C"/>
    <w:rsid w:val="009C38B7"/>
    <w:rsid w:val="009C395E"/>
    <w:rsid w:val="009C39B7"/>
    <w:rsid w:val="009C3AF0"/>
    <w:rsid w:val="009C3B14"/>
    <w:rsid w:val="009C3C29"/>
    <w:rsid w:val="009C3C90"/>
    <w:rsid w:val="009C3CD5"/>
    <w:rsid w:val="009C3D14"/>
    <w:rsid w:val="009C3DCD"/>
    <w:rsid w:val="009C3E00"/>
    <w:rsid w:val="009C3E1D"/>
    <w:rsid w:val="009C3E48"/>
    <w:rsid w:val="009C3E7B"/>
    <w:rsid w:val="009C3F3E"/>
    <w:rsid w:val="009C3F61"/>
    <w:rsid w:val="009C3F94"/>
    <w:rsid w:val="009C3FF1"/>
    <w:rsid w:val="009C4068"/>
    <w:rsid w:val="009C419E"/>
    <w:rsid w:val="009C41D6"/>
    <w:rsid w:val="009C4234"/>
    <w:rsid w:val="009C4250"/>
    <w:rsid w:val="009C435C"/>
    <w:rsid w:val="009C43B7"/>
    <w:rsid w:val="009C440A"/>
    <w:rsid w:val="009C442A"/>
    <w:rsid w:val="009C446E"/>
    <w:rsid w:val="009C4498"/>
    <w:rsid w:val="009C4509"/>
    <w:rsid w:val="009C4623"/>
    <w:rsid w:val="009C464D"/>
    <w:rsid w:val="009C46A2"/>
    <w:rsid w:val="009C46F6"/>
    <w:rsid w:val="009C46FB"/>
    <w:rsid w:val="009C47BF"/>
    <w:rsid w:val="009C4856"/>
    <w:rsid w:val="009C48D4"/>
    <w:rsid w:val="009C490F"/>
    <w:rsid w:val="009C494B"/>
    <w:rsid w:val="009C4A2A"/>
    <w:rsid w:val="009C4B85"/>
    <w:rsid w:val="009C4BC1"/>
    <w:rsid w:val="009C4BDF"/>
    <w:rsid w:val="009C4C12"/>
    <w:rsid w:val="009C4C1D"/>
    <w:rsid w:val="009C4CB4"/>
    <w:rsid w:val="009C4CFB"/>
    <w:rsid w:val="009C4D5E"/>
    <w:rsid w:val="009C4D7F"/>
    <w:rsid w:val="009C4DE2"/>
    <w:rsid w:val="009C4EAA"/>
    <w:rsid w:val="009C4EBB"/>
    <w:rsid w:val="009C4EEC"/>
    <w:rsid w:val="009C4F21"/>
    <w:rsid w:val="009C503B"/>
    <w:rsid w:val="009C5051"/>
    <w:rsid w:val="009C50FD"/>
    <w:rsid w:val="009C5124"/>
    <w:rsid w:val="009C5153"/>
    <w:rsid w:val="009C5171"/>
    <w:rsid w:val="009C5253"/>
    <w:rsid w:val="009C5272"/>
    <w:rsid w:val="009C5362"/>
    <w:rsid w:val="009C536E"/>
    <w:rsid w:val="009C5398"/>
    <w:rsid w:val="009C542A"/>
    <w:rsid w:val="009C5616"/>
    <w:rsid w:val="009C5638"/>
    <w:rsid w:val="009C5788"/>
    <w:rsid w:val="009C579E"/>
    <w:rsid w:val="009C57DC"/>
    <w:rsid w:val="009C57F2"/>
    <w:rsid w:val="009C586F"/>
    <w:rsid w:val="009C589E"/>
    <w:rsid w:val="009C58FF"/>
    <w:rsid w:val="009C5973"/>
    <w:rsid w:val="009C5A9A"/>
    <w:rsid w:val="009C5A9E"/>
    <w:rsid w:val="009C5AA0"/>
    <w:rsid w:val="009C5BD6"/>
    <w:rsid w:val="009C5C20"/>
    <w:rsid w:val="009C5D0E"/>
    <w:rsid w:val="009C5D48"/>
    <w:rsid w:val="009C5D87"/>
    <w:rsid w:val="009C5D8A"/>
    <w:rsid w:val="009C5EA7"/>
    <w:rsid w:val="009C5EB3"/>
    <w:rsid w:val="009C5F53"/>
    <w:rsid w:val="009C5F86"/>
    <w:rsid w:val="009C5FA8"/>
    <w:rsid w:val="009C5FE6"/>
    <w:rsid w:val="009C602C"/>
    <w:rsid w:val="009C60A0"/>
    <w:rsid w:val="009C611C"/>
    <w:rsid w:val="009C6129"/>
    <w:rsid w:val="009C6210"/>
    <w:rsid w:val="009C62A5"/>
    <w:rsid w:val="009C62A7"/>
    <w:rsid w:val="009C62AF"/>
    <w:rsid w:val="009C62D6"/>
    <w:rsid w:val="009C632A"/>
    <w:rsid w:val="009C63A6"/>
    <w:rsid w:val="009C63D5"/>
    <w:rsid w:val="009C6411"/>
    <w:rsid w:val="009C643B"/>
    <w:rsid w:val="009C6477"/>
    <w:rsid w:val="009C64D0"/>
    <w:rsid w:val="009C64D5"/>
    <w:rsid w:val="009C655D"/>
    <w:rsid w:val="009C65E1"/>
    <w:rsid w:val="009C65F2"/>
    <w:rsid w:val="009C6629"/>
    <w:rsid w:val="009C66D8"/>
    <w:rsid w:val="009C67D8"/>
    <w:rsid w:val="009C6849"/>
    <w:rsid w:val="009C6938"/>
    <w:rsid w:val="009C69EC"/>
    <w:rsid w:val="009C6A77"/>
    <w:rsid w:val="009C6B08"/>
    <w:rsid w:val="009C6C8A"/>
    <w:rsid w:val="009C6C8B"/>
    <w:rsid w:val="009C6C9C"/>
    <w:rsid w:val="009C6CFA"/>
    <w:rsid w:val="009C6DA1"/>
    <w:rsid w:val="009C6E2E"/>
    <w:rsid w:val="009C6E38"/>
    <w:rsid w:val="009C6E77"/>
    <w:rsid w:val="009C6EA7"/>
    <w:rsid w:val="009C6EB0"/>
    <w:rsid w:val="009C6F1D"/>
    <w:rsid w:val="009C7108"/>
    <w:rsid w:val="009C711B"/>
    <w:rsid w:val="009C71DA"/>
    <w:rsid w:val="009C726F"/>
    <w:rsid w:val="009C72B5"/>
    <w:rsid w:val="009C754D"/>
    <w:rsid w:val="009C7739"/>
    <w:rsid w:val="009C77CA"/>
    <w:rsid w:val="009C7810"/>
    <w:rsid w:val="009C7831"/>
    <w:rsid w:val="009C785B"/>
    <w:rsid w:val="009C78AC"/>
    <w:rsid w:val="009C78C2"/>
    <w:rsid w:val="009C78D7"/>
    <w:rsid w:val="009C78F3"/>
    <w:rsid w:val="009C799A"/>
    <w:rsid w:val="009C7AB1"/>
    <w:rsid w:val="009C7AE6"/>
    <w:rsid w:val="009C7B1D"/>
    <w:rsid w:val="009C7B72"/>
    <w:rsid w:val="009C7BAF"/>
    <w:rsid w:val="009C7C2C"/>
    <w:rsid w:val="009C7C7A"/>
    <w:rsid w:val="009C7D2D"/>
    <w:rsid w:val="009C7D4D"/>
    <w:rsid w:val="009C7D56"/>
    <w:rsid w:val="009C7D5A"/>
    <w:rsid w:val="009C7D6F"/>
    <w:rsid w:val="009C7DCA"/>
    <w:rsid w:val="009C7E16"/>
    <w:rsid w:val="009C7E51"/>
    <w:rsid w:val="009C7EA3"/>
    <w:rsid w:val="009C7EAF"/>
    <w:rsid w:val="009C7EB0"/>
    <w:rsid w:val="009C7EC3"/>
    <w:rsid w:val="009C7EC6"/>
    <w:rsid w:val="009C7F3B"/>
    <w:rsid w:val="009C7F57"/>
    <w:rsid w:val="009C7F72"/>
    <w:rsid w:val="009C7F8D"/>
    <w:rsid w:val="009D00CF"/>
    <w:rsid w:val="009D00DA"/>
    <w:rsid w:val="009D00EB"/>
    <w:rsid w:val="009D0145"/>
    <w:rsid w:val="009D01A5"/>
    <w:rsid w:val="009D01D2"/>
    <w:rsid w:val="009D02D3"/>
    <w:rsid w:val="009D0313"/>
    <w:rsid w:val="009D0314"/>
    <w:rsid w:val="009D034E"/>
    <w:rsid w:val="009D03B1"/>
    <w:rsid w:val="009D03DC"/>
    <w:rsid w:val="009D041B"/>
    <w:rsid w:val="009D045D"/>
    <w:rsid w:val="009D048A"/>
    <w:rsid w:val="009D04D0"/>
    <w:rsid w:val="009D0550"/>
    <w:rsid w:val="009D0662"/>
    <w:rsid w:val="009D0675"/>
    <w:rsid w:val="009D07F1"/>
    <w:rsid w:val="009D08F5"/>
    <w:rsid w:val="009D099B"/>
    <w:rsid w:val="009D0A52"/>
    <w:rsid w:val="009D0A97"/>
    <w:rsid w:val="009D0AA5"/>
    <w:rsid w:val="009D0B1A"/>
    <w:rsid w:val="009D0B49"/>
    <w:rsid w:val="009D0B4F"/>
    <w:rsid w:val="009D0B64"/>
    <w:rsid w:val="009D0B84"/>
    <w:rsid w:val="009D0BAE"/>
    <w:rsid w:val="009D0C4A"/>
    <w:rsid w:val="009D0CAE"/>
    <w:rsid w:val="009D0D5B"/>
    <w:rsid w:val="009D0DD3"/>
    <w:rsid w:val="009D0E0D"/>
    <w:rsid w:val="009D0E39"/>
    <w:rsid w:val="009D0E3D"/>
    <w:rsid w:val="009D0EF0"/>
    <w:rsid w:val="009D0F07"/>
    <w:rsid w:val="009D0F50"/>
    <w:rsid w:val="009D0FB1"/>
    <w:rsid w:val="009D10C9"/>
    <w:rsid w:val="009D10D2"/>
    <w:rsid w:val="009D1153"/>
    <w:rsid w:val="009D1326"/>
    <w:rsid w:val="009D13D7"/>
    <w:rsid w:val="009D13F8"/>
    <w:rsid w:val="009D160A"/>
    <w:rsid w:val="009D1784"/>
    <w:rsid w:val="009D1886"/>
    <w:rsid w:val="009D18AA"/>
    <w:rsid w:val="009D18C4"/>
    <w:rsid w:val="009D1927"/>
    <w:rsid w:val="009D1941"/>
    <w:rsid w:val="009D1957"/>
    <w:rsid w:val="009D199D"/>
    <w:rsid w:val="009D1B7B"/>
    <w:rsid w:val="009D1B88"/>
    <w:rsid w:val="009D1CD1"/>
    <w:rsid w:val="009D1D19"/>
    <w:rsid w:val="009D1DF6"/>
    <w:rsid w:val="009D1E08"/>
    <w:rsid w:val="009D1EE3"/>
    <w:rsid w:val="009D1F83"/>
    <w:rsid w:val="009D1FBA"/>
    <w:rsid w:val="009D1FE1"/>
    <w:rsid w:val="009D1FF1"/>
    <w:rsid w:val="009D1FF2"/>
    <w:rsid w:val="009D2013"/>
    <w:rsid w:val="009D201A"/>
    <w:rsid w:val="009D2064"/>
    <w:rsid w:val="009D2143"/>
    <w:rsid w:val="009D2150"/>
    <w:rsid w:val="009D218B"/>
    <w:rsid w:val="009D2283"/>
    <w:rsid w:val="009D22DE"/>
    <w:rsid w:val="009D2317"/>
    <w:rsid w:val="009D2376"/>
    <w:rsid w:val="009D23D6"/>
    <w:rsid w:val="009D23F2"/>
    <w:rsid w:val="009D2535"/>
    <w:rsid w:val="009D2543"/>
    <w:rsid w:val="009D2559"/>
    <w:rsid w:val="009D269A"/>
    <w:rsid w:val="009D28C9"/>
    <w:rsid w:val="009D2904"/>
    <w:rsid w:val="009D29B3"/>
    <w:rsid w:val="009D2A14"/>
    <w:rsid w:val="009D2B3C"/>
    <w:rsid w:val="009D2B81"/>
    <w:rsid w:val="009D2BB1"/>
    <w:rsid w:val="009D2BB7"/>
    <w:rsid w:val="009D2BDB"/>
    <w:rsid w:val="009D2BE4"/>
    <w:rsid w:val="009D2C0A"/>
    <w:rsid w:val="009D2CB7"/>
    <w:rsid w:val="009D2D0F"/>
    <w:rsid w:val="009D2D23"/>
    <w:rsid w:val="009D2D3E"/>
    <w:rsid w:val="009D2DE6"/>
    <w:rsid w:val="009D2DF9"/>
    <w:rsid w:val="009D2E12"/>
    <w:rsid w:val="009D2E58"/>
    <w:rsid w:val="009D2EAD"/>
    <w:rsid w:val="009D2F51"/>
    <w:rsid w:val="009D3082"/>
    <w:rsid w:val="009D30CA"/>
    <w:rsid w:val="009D30D0"/>
    <w:rsid w:val="009D3132"/>
    <w:rsid w:val="009D3171"/>
    <w:rsid w:val="009D319F"/>
    <w:rsid w:val="009D321B"/>
    <w:rsid w:val="009D321C"/>
    <w:rsid w:val="009D3262"/>
    <w:rsid w:val="009D3273"/>
    <w:rsid w:val="009D32C3"/>
    <w:rsid w:val="009D32D8"/>
    <w:rsid w:val="009D3382"/>
    <w:rsid w:val="009D34AF"/>
    <w:rsid w:val="009D34F7"/>
    <w:rsid w:val="009D35C3"/>
    <w:rsid w:val="009D35E6"/>
    <w:rsid w:val="009D3638"/>
    <w:rsid w:val="009D367A"/>
    <w:rsid w:val="009D375A"/>
    <w:rsid w:val="009D3772"/>
    <w:rsid w:val="009D37BC"/>
    <w:rsid w:val="009D37D3"/>
    <w:rsid w:val="009D3830"/>
    <w:rsid w:val="009D3890"/>
    <w:rsid w:val="009D3931"/>
    <w:rsid w:val="009D3984"/>
    <w:rsid w:val="009D39B0"/>
    <w:rsid w:val="009D39E9"/>
    <w:rsid w:val="009D3A0D"/>
    <w:rsid w:val="009D3A18"/>
    <w:rsid w:val="009D3A93"/>
    <w:rsid w:val="009D3AD8"/>
    <w:rsid w:val="009D3B33"/>
    <w:rsid w:val="009D3BDF"/>
    <w:rsid w:val="009D3C41"/>
    <w:rsid w:val="009D3CA4"/>
    <w:rsid w:val="009D3D19"/>
    <w:rsid w:val="009D3D3A"/>
    <w:rsid w:val="009D3D9E"/>
    <w:rsid w:val="009D3E03"/>
    <w:rsid w:val="009D3EEC"/>
    <w:rsid w:val="009D3F45"/>
    <w:rsid w:val="009D3F7A"/>
    <w:rsid w:val="009D4055"/>
    <w:rsid w:val="009D40CD"/>
    <w:rsid w:val="009D40E5"/>
    <w:rsid w:val="009D4140"/>
    <w:rsid w:val="009D4169"/>
    <w:rsid w:val="009D417D"/>
    <w:rsid w:val="009D41A8"/>
    <w:rsid w:val="009D41CB"/>
    <w:rsid w:val="009D4209"/>
    <w:rsid w:val="009D4378"/>
    <w:rsid w:val="009D43C0"/>
    <w:rsid w:val="009D43DC"/>
    <w:rsid w:val="009D4403"/>
    <w:rsid w:val="009D4441"/>
    <w:rsid w:val="009D4469"/>
    <w:rsid w:val="009D44A7"/>
    <w:rsid w:val="009D44F4"/>
    <w:rsid w:val="009D4550"/>
    <w:rsid w:val="009D45A2"/>
    <w:rsid w:val="009D45BA"/>
    <w:rsid w:val="009D4664"/>
    <w:rsid w:val="009D481A"/>
    <w:rsid w:val="009D48A5"/>
    <w:rsid w:val="009D49D5"/>
    <w:rsid w:val="009D4AEE"/>
    <w:rsid w:val="009D4B0D"/>
    <w:rsid w:val="009D4BED"/>
    <w:rsid w:val="009D4BF1"/>
    <w:rsid w:val="009D4C74"/>
    <w:rsid w:val="009D4D70"/>
    <w:rsid w:val="009D4E4F"/>
    <w:rsid w:val="009D4F3E"/>
    <w:rsid w:val="009D50FE"/>
    <w:rsid w:val="009D50FF"/>
    <w:rsid w:val="009D510B"/>
    <w:rsid w:val="009D512D"/>
    <w:rsid w:val="009D513B"/>
    <w:rsid w:val="009D5280"/>
    <w:rsid w:val="009D532E"/>
    <w:rsid w:val="009D5348"/>
    <w:rsid w:val="009D537E"/>
    <w:rsid w:val="009D53D0"/>
    <w:rsid w:val="009D543C"/>
    <w:rsid w:val="009D5455"/>
    <w:rsid w:val="009D545F"/>
    <w:rsid w:val="009D54A6"/>
    <w:rsid w:val="009D54AB"/>
    <w:rsid w:val="009D54D1"/>
    <w:rsid w:val="009D551A"/>
    <w:rsid w:val="009D5595"/>
    <w:rsid w:val="009D55BF"/>
    <w:rsid w:val="009D5661"/>
    <w:rsid w:val="009D566C"/>
    <w:rsid w:val="009D56F3"/>
    <w:rsid w:val="009D5709"/>
    <w:rsid w:val="009D5730"/>
    <w:rsid w:val="009D574D"/>
    <w:rsid w:val="009D577D"/>
    <w:rsid w:val="009D57C8"/>
    <w:rsid w:val="009D588D"/>
    <w:rsid w:val="009D58A5"/>
    <w:rsid w:val="009D592E"/>
    <w:rsid w:val="009D5948"/>
    <w:rsid w:val="009D597B"/>
    <w:rsid w:val="009D59F8"/>
    <w:rsid w:val="009D5A02"/>
    <w:rsid w:val="009D5A1A"/>
    <w:rsid w:val="009D5A35"/>
    <w:rsid w:val="009D5A6E"/>
    <w:rsid w:val="009D5C24"/>
    <w:rsid w:val="009D5C40"/>
    <w:rsid w:val="009D5DE5"/>
    <w:rsid w:val="009D5E22"/>
    <w:rsid w:val="009D5E41"/>
    <w:rsid w:val="009D5E94"/>
    <w:rsid w:val="009D5ED9"/>
    <w:rsid w:val="009D5F19"/>
    <w:rsid w:val="009D6079"/>
    <w:rsid w:val="009D60CB"/>
    <w:rsid w:val="009D60FF"/>
    <w:rsid w:val="009D62CA"/>
    <w:rsid w:val="009D634B"/>
    <w:rsid w:val="009D64EA"/>
    <w:rsid w:val="009D6507"/>
    <w:rsid w:val="009D653A"/>
    <w:rsid w:val="009D65DF"/>
    <w:rsid w:val="009D66F5"/>
    <w:rsid w:val="009D6785"/>
    <w:rsid w:val="009D679C"/>
    <w:rsid w:val="009D67D8"/>
    <w:rsid w:val="009D6808"/>
    <w:rsid w:val="009D68BA"/>
    <w:rsid w:val="009D69C8"/>
    <w:rsid w:val="009D6ABA"/>
    <w:rsid w:val="009D6AC3"/>
    <w:rsid w:val="009D6AC7"/>
    <w:rsid w:val="009D6B36"/>
    <w:rsid w:val="009D6B56"/>
    <w:rsid w:val="009D6C0B"/>
    <w:rsid w:val="009D6C46"/>
    <w:rsid w:val="009D6C7D"/>
    <w:rsid w:val="009D6CAF"/>
    <w:rsid w:val="009D6CBC"/>
    <w:rsid w:val="009D6D78"/>
    <w:rsid w:val="009D6D8D"/>
    <w:rsid w:val="009D6E4B"/>
    <w:rsid w:val="009D6EBF"/>
    <w:rsid w:val="009D6EC8"/>
    <w:rsid w:val="009D6F31"/>
    <w:rsid w:val="009D6F5E"/>
    <w:rsid w:val="009D703D"/>
    <w:rsid w:val="009D708E"/>
    <w:rsid w:val="009D70BC"/>
    <w:rsid w:val="009D71B3"/>
    <w:rsid w:val="009D7246"/>
    <w:rsid w:val="009D724F"/>
    <w:rsid w:val="009D7357"/>
    <w:rsid w:val="009D73A8"/>
    <w:rsid w:val="009D73C2"/>
    <w:rsid w:val="009D73D1"/>
    <w:rsid w:val="009D73F6"/>
    <w:rsid w:val="009D74FA"/>
    <w:rsid w:val="009D7580"/>
    <w:rsid w:val="009D7674"/>
    <w:rsid w:val="009D76A5"/>
    <w:rsid w:val="009D76CA"/>
    <w:rsid w:val="009D7719"/>
    <w:rsid w:val="009D7847"/>
    <w:rsid w:val="009D7870"/>
    <w:rsid w:val="009D7883"/>
    <w:rsid w:val="009D78FD"/>
    <w:rsid w:val="009D791F"/>
    <w:rsid w:val="009D7952"/>
    <w:rsid w:val="009D7A2D"/>
    <w:rsid w:val="009D7A99"/>
    <w:rsid w:val="009D7B7A"/>
    <w:rsid w:val="009D7BC5"/>
    <w:rsid w:val="009D7C14"/>
    <w:rsid w:val="009D7C3C"/>
    <w:rsid w:val="009D7C67"/>
    <w:rsid w:val="009D7CBE"/>
    <w:rsid w:val="009D7E70"/>
    <w:rsid w:val="009D7E93"/>
    <w:rsid w:val="009D7EF0"/>
    <w:rsid w:val="009D7F31"/>
    <w:rsid w:val="009D7F68"/>
    <w:rsid w:val="009D7F79"/>
    <w:rsid w:val="009D7FFD"/>
    <w:rsid w:val="009E0047"/>
    <w:rsid w:val="009E0078"/>
    <w:rsid w:val="009E00A5"/>
    <w:rsid w:val="009E0100"/>
    <w:rsid w:val="009E012B"/>
    <w:rsid w:val="009E0158"/>
    <w:rsid w:val="009E0194"/>
    <w:rsid w:val="009E01EE"/>
    <w:rsid w:val="009E0233"/>
    <w:rsid w:val="009E025C"/>
    <w:rsid w:val="009E0297"/>
    <w:rsid w:val="009E0340"/>
    <w:rsid w:val="009E0389"/>
    <w:rsid w:val="009E03D0"/>
    <w:rsid w:val="009E03F5"/>
    <w:rsid w:val="009E0435"/>
    <w:rsid w:val="009E04D7"/>
    <w:rsid w:val="009E053E"/>
    <w:rsid w:val="009E0585"/>
    <w:rsid w:val="009E058B"/>
    <w:rsid w:val="009E05E9"/>
    <w:rsid w:val="009E0610"/>
    <w:rsid w:val="009E061F"/>
    <w:rsid w:val="009E0623"/>
    <w:rsid w:val="009E06F9"/>
    <w:rsid w:val="009E07CB"/>
    <w:rsid w:val="009E0833"/>
    <w:rsid w:val="009E086C"/>
    <w:rsid w:val="009E08AF"/>
    <w:rsid w:val="009E090C"/>
    <w:rsid w:val="009E094A"/>
    <w:rsid w:val="009E09C7"/>
    <w:rsid w:val="009E0A32"/>
    <w:rsid w:val="009E0AE6"/>
    <w:rsid w:val="009E0AF6"/>
    <w:rsid w:val="009E0AFB"/>
    <w:rsid w:val="009E0B29"/>
    <w:rsid w:val="009E0C90"/>
    <w:rsid w:val="009E0CDC"/>
    <w:rsid w:val="009E0D0B"/>
    <w:rsid w:val="009E0D97"/>
    <w:rsid w:val="009E0E9B"/>
    <w:rsid w:val="009E0F4D"/>
    <w:rsid w:val="009E0F76"/>
    <w:rsid w:val="009E0F7F"/>
    <w:rsid w:val="009E0FA5"/>
    <w:rsid w:val="009E0FBC"/>
    <w:rsid w:val="009E0FCE"/>
    <w:rsid w:val="009E0FE3"/>
    <w:rsid w:val="009E1023"/>
    <w:rsid w:val="009E1027"/>
    <w:rsid w:val="009E10B5"/>
    <w:rsid w:val="009E10EB"/>
    <w:rsid w:val="009E122E"/>
    <w:rsid w:val="009E1284"/>
    <w:rsid w:val="009E12DC"/>
    <w:rsid w:val="009E135F"/>
    <w:rsid w:val="009E1482"/>
    <w:rsid w:val="009E148E"/>
    <w:rsid w:val="009E14EC"/>
    <w:rsid w:val="009E15A1"/>
    <w:rsid w:val="009E15D2"/>
    <w:rsid w:val="009E15EA"/>
    <w:rsid w:val="009E1618"/>
    <w:rsid w:val="009E166C"/>
    <w:rsid w:val="009E1675"/>
    <w:rsid w:val="009E170F"/>
    <w:rsid w:val="009E17C4"/>
    <w:rsid w:val="009E1874"/>
    <w:rsid w:val="009E18FD"/>
    <w:rsid w:val="009E1929"/>
    <w:rsid w:val="009E19A5"/>
    <w:rsid w:val="009E19F0"/>
    <w:rsid w:val="009E1B7B"/>
    <w:rsid w:val="009E1B80"/>
    <w:rsid w:val="009E1C2A"/>
    <w:rsid w:val="009E1C50"/>
    <w:rsid w:val="009E1C77"/>
    <w:rsid w:val="009E1CE1"/>
    <w:rsid w:val="009E1D4A"/>
    <w:rsid w:val="009E1D60"/>
    <w:rsid w:val="009E1D68"/>
    <w:rsid w:val="009E1D84"/>
    <w:rsid w:val="009E1D9A"/>
    <w:rsid w:val="009E1DBC"/>
    <w:rsid w:val="009E1EA1"/>
    <w:rsid w:val="009E1EA5"/>
    <w:rsid w:val="009E1EAD"/>
    <w:rsid w:val="009E1F8C"/>
    <w:rsid w:val="009E1FD1"/>
    <w:rsid w:val="009E2020"/>
    <w:rsid w:val="009E20DB"/>
    <w:rsid w:val="009E20E7"/>
    <w:rsid w:val="009E212B"/>
    <w:rsid w:val="009E215D"/>
    <w:rsid w:val="009E2169"/>
    <w:rsid w:val="009E2400"/>
    <w:rsid w:val="009E245D"/>
    <w:rsid w:val="009E2537"/>
    <w:rsid w:val="009E2573"/>
    <w:rsid w:val="009E25D1"/>
    <w:rsid w:val="009E260C"/>
    <w:rsid w:val="009E26C3"/>
    <w:rsid w:val="009E272E"/>
    <w:rsid w:val="009E274A"/>
    <w:rsid w:val="009E2764"/>
    <w:rsid w:val="009E281D"/>
    <w:rsid w:val="009E283F"/>
    <w:rsid w:val="009E2925"/>
    <w:rsid w:val="009E29C9"/>
    <w:rsid w:val="009E2AFE"/>
    <w:rsid w:val="009E2B22"/>
    <w:rsid w:val="009E2B53"/>
    <w:rsid w:val="009E2BA3"/>
    <w:rsid w:val="009E2BA4"/>
    <w:rsid w:val="009E2C80"/>
    <w:rsid w:val="009E2CF4"/>
    <w:rsid w:val="009E2CFE"/>
    <w:rsid w:val="009E2D04"/>
    <w:rsid w:val="009E2D2C"/>
    <w:rsid w:val="009E2DC3"/>
    <w:rsid w:val="009E2DCB"/>
    <w:rsid w:val="009E2F26"/>
    <w:rsid w:val="009E2F2F"/>
    <w:rsid w:val="009E2F58"/>
    <w:rsid w:val="009E2FFE"/>
    <w:rsid w:val="009E30DC"/>
    <w:rsid w:val="009E3103"/>
    <w:rsid w:val="009E3158"/>
    <w:rsid w:val="009E3168"/>
    <w:rsid w:val="009E3340"/>
    <w:rsid w:val="009E33EC"/>
    <w:rsid w:val="009E3416"/>
    <w:rsid w:val="009E345D"/>
    <w:rsid w:val="009E3518"/>
    <w:rsid w:val="009E36C9"/>
    <w:rsid w:val="009E372D"/>
    <w:rsid w:val="009E377F"/>
    <w:rsid w:val="009E37DF"/>
    <w:rsid w:val="009E386C"/>
    <w:rsid w:val="009E3884"/>
    <w:rsid w:val="009E38D5"/>
    <w:rsid w:val="009E396F"/>
    <w:rsid w:val="009E39AE"/>
    <w:rsid w:val="009E39C5"/>
    <w:rsid w:val="009E3A0E"/>
    <w:rsid w:val="009E3AA1"/>
    <w:rsid w:val="009E3B3D"/>
    <w:rsid w:val="009E3B67"/>
    <w:rsid w:val="009E3C2A"/>
    <w:rsid w:val="009E3C34"/>
    <w:rsid w:val="009E3C4E"/>
    <w:rsid w:val="009E3D32"/>
    <w:rsid w:val="009E3D57"/>
    <w:rsid w:val="009E3D68"/>
    <w:rsid w:val="009E3DB0"/>
    <w:rsid w:val="009E3E28"/>
    <w:rsid w:val="009E3E52"/>
    <w:rsid w:val="009E3EEB"/>
    <w:rsid w:val="009E3F13"/>
    <w:rsid w:val="009E3F51"/>
    <w:rsid w:val="009E3FBB"/>
    <w:rsid w:val="009E403D"/>
    <w:rsid w:val="009E4079"/>
    <w:rsid w:val="009E4160"/>
    <w:rsid w:val="009E4163"/>
    <w:rsid w:val="009E4164"/>
    <w:rsid w:val="009E41E9"/>
    <w:rsid w:val="009E41ED"/>
    <w:rsid w:val="009E422B"/>
    <w:rsid w:val="009E44C1"/>
    <w:rsid w:val="009E44D1"/>
    <w:rsid w:val="009E4505"/>
    <w:rsid w:val="009E45C0"/>
    <w:rsid w:val="009E45CB"/>
    <w:rsid w:val="009E4699"/>
    <w:rsid w:val="009E46CC"/>
    <w:rsid w:val="009E46F9"/>
    <w:rsid w:val="009E4764"/>
    <w:rsid w:val="009E4771"/>
    <w:rsid w:val="009E47B4"/>
    <w:rsid w:val="009E47E0"/>
    <w:rsid w:val="009E487A"/>
    <w:rsid w:val="009E48D3"/>
    <w:rsid w:val="009E49EB"/>
    <w:rsid w:val="009E49F2"/>
    <w:rsid w:val="009E4B36"/>
    <w:rsid w:val="009E4BCC"/>
    <w:rsid w:val="009E4C6A"/>
    <w:rsid w:val="009E4C6E"/>
    <w:rsid w:val="009E4CE0"/>
    <w:rsid w:val="009E4CE9"/>
    <w:rsid w:val="009E4DE0"/>
    <w:rsid w:val="009E4EAD"/>
    <w:rsid w:val="009E502F"/>
    <w:rsid w:val="009E50D6"/>
    <w:rsid w:val="009E5120"/>
    <w:rsid w:val="009E515A"/>
    <w:rsid w:val="009E5358"/>
    <w:rsid w:val="009E53DC"/>
    <w:rsid w:val="009E540A"/>
    <w:rsid w:val="009E548B"/>
    <w:rsid w:val="009E54E4"/>
    <w:rsid w:val="009E5570"/>
    <w:rsid w:val="009E557F"/>
    <w:rsid w:val="009E560A"/>
    <w:rsid w:val="009E5624"/>
    <w:rsid w:val="009E5641"/>
    <w:rsid w:val="009E5690"/>
    <w:rsid w:val="009E575C"/>
    <w:rsid w:val="009E5782"/>
    <w:rsid w:val="009E57AA"/>
    <w:rsid w:val="009E5851"/>
    <w:rsid w:val="009E589B"/>
    <w:rsid w:val="009E59DF"/>
    <w:rsid w:val="009E5A09"/>
    <w:rsid w:val="009E5A52"/>
    <w:rsid w:val="009E5A70"/>
    <w:rsid w:val="009E5A8C"/>
    <w:rsid w:val="009E5AAE"/>
    <w:rsid w:val="009E5AD3"/>
    <w:rsid w:val="009E5AF4"/>
    <w:rsid w:val="009E5B98"/>
    <w:rsid w:val="009E5BFD"/>
    <w:rsid w:val="009E5D55"/>
    <w:rsid w:val="009E5EAB"/>
    <w:rsid w:val="009E5ECE"/>
    <w:rsid w:val="009E5F78"/>
    <w:rsid w:val="009E5FE9"/>
    <w:rsid w:val="009E600B"/>
    <w:rsid w:val="009E6082"/>
    <w:rsid w:val="009E63D9"/>
    <w:rsid w:val="009E643C"/>
    <w:rsid w:val="009E6516"/>
    <w:rsid w:val="009E654C"/>
    <w:rsid w:val="009E658C"/>
    <w:rsid w:val="009E65CC"/>
    <w:rsid w:val="009E6602"/>
    <w:rsid w:val="009E662D"/>
    <w:rsid w:val="009E6673"/>
    <w:rsid w:val="009E67E6"/>
    <w:rsid w:val="009E67FD"/>
    <w:rsid w:val="009E6805"/>
    <w:rsid w:val="009E6813"/>
    <w:rsid w:val="009E6853"/>
    <w:rsid w:val="009E697A"/>
    <w:rsid w:val="009E6A03"/>
    <w:rsid w:val="009E6A18"/>
    <w:rsid w:val="009E6AA2"/>
    <w:rsid w:val="009E6B4E"/>
    <w:rsid w:val="009E6C79"/>
    <w:rsid w:val="009E6CAA"/>
    <w:rsid w:val="009E6CEE"/>
    <w:rsid w:val="009E6D9C"/>
    <w:rsid w:val="009E6DB0"/>
    <w:rsid w:val="009E6E0B"/>
    <w:rsid w:val="009E70DF"/>
    <w:rsid w:val="009E70EC"/>
    <w:rsid w:val="009E717E"/>
    <w:rsid w:val="009E7194"/>
    <w:rsid w:val="009E71ED"/>
    <w:rsid w:val="009E7257"/>
    <w:rsid w:val="009E730D"/>
    <w:rsid w:val="009E7342"/>
    <w:rsid w:val="009E741B"/>
    <w:rsid w:val="009E745A"/>
    <w:rsid w:val="009E74D3"/>
    <w:rsid w:val="009E74DB"/>
    <w:rsid w:val="009E755E"/>
    <w:rsid w:val="009E7575"/>
    <w:rsid w:val="009E75A9"/>
    <w:rsid w:val="009E766E"/>
    <w:rsid w:val="009E76BA"/>
    <w:rsid w:val="009E773A"/>
    <w:rsid w:val="009E77E4"/>
    <w:rsid w:val="009E77FE"/>
    <w:rsid w:val="009E78E9"/>
    <w:rsid w:val="009E7922"/>
    <w:rsid w:val="009E7A7B"/>
    <w:rsid w:val="009E7B11"/>
    <w:rsid w:val="009E7B1B"/>
    <w:rsid w:val="009E7B79"/>
    <w:rsid w:val="009E7D43"/>
    <w:rsid w:val="009E7D4F"/>
    <w:rsid w:val="009E7EA7"/>
    <w:rsid w:val="009E7EE9"/>
    <w:rsid w:val="009E7EEA"/>
    <w:rsid w:val="009E7F67"/>
    <w:rsid w:val="009E7FE1"/>
    <w:rsid w:val="009F0068"/>
    <w:rsid w:val="009F00A3"/>
    <w:rsid w:val="009F00A7"/>
    <w:rsid w:val="009F00A9"/>
    <w:rsid w:val="009F00D4"/>
    <w:rsid w:val="009F01BB"/>
    <w:rsid w:val="009F0204"/>
    <w:rsid w:val="009F032E"/>
    <w:rsid w:val="009F0377"/>
    <w:rsid w:val="009F039D"/>
    <w:rsid w:val="009F04E2"/>
    <w:rsid w:val="009F05A2"/>
    <w:rsid w:val="009F05D2"/>
    <w:rsid w:val="009F0604"/>
    <w:rsid w:val="009F068C"/>
    <w:rsid w:val="009F06F5"/>
    <w:rsid w:val="009F0723"/>
    <w:rsid w:val="009F0749"/>
    <w:rsid w:val="009F079C"/>
    <w:rsid w:val="009F07B3"/>
    <w:rsid w:val="009F08A5"/>
    <w:rsid w:val="009F0946"/>
    <w:rsid w:val="009F09E5"/>
    <w:rsid w:val="009F0A1D"/>
    <w:rsid w:val="009F0A45"/>
    <w:rsid w:val="009F0A5B"/>
    <w:rsid w:val="009F0A82"/>
    <w:rsid w:val="009F0A93"/>
    <w:rsid w:val="009F0B77"/>
    <w:rsid w:val="009F0BA2"/>
    <w:rsid w:val="009F0C47"/>
    <w:rsid w:val="009F0C6D"/>
    <w:rsid w:val="009F0D84"/>
    <w:rsid w:val="009F0E23"/>
    <w:rsid w:val="009F0E5A"/>
    <w:rsid w:val="009F0E79"/>
    <w:rsid w:val="009F0ECA"/>
    <w:rsid w:val="009F0FA1"/>
    <w:rsid w:val="009F0FAB"/>
    <w:rsid w:val="009F1175"/>
    <w:rsid w:val="009F12BB"/>
    <w:rsid w:val="009F12F4"/>
    <w:rsid w:val="009F1342"/>
    <w:rsid w:val="009F1399"/>
    <w:rsid w:val="009F13D2"/>
    <w:rsid w:val="009F145F"/>
    <w:rsid w:val="009F1493"/>
    <w:rsid w:val="009F14F7"/>
    <w:rsid w:val="009F1519"/>
    <w:rsid w:val="009F1557"/>
    <w:rsid w:val="009F159D"/>
    <w:rsid w:val="009F15B6"/>
    <w:rsid w:val="009F1728"/>
    <w:rsid w:val="009F173B"/>
    <w:rsid w:val="009F1755"/>
    <w:rsid w:val="009F180C"/>
    <w:rsid w:val="009F18A9"/>
    <w:rsid w:val="009F18E4"/>
    <w:rsid w:val="009F190C"/>
    <w:rsid w:val="009F1980"/>
    <w:rsid w:val="009F1A72"/>
    <w:rsid w:val="009F1AF0"/>
    <w:rsid w:val="009F1B31"/>
    <w:rsid w:val="009F1B9C"/>
    <w:rsid w:val="009F1BBF"/>
    <w:rsid w:val="009F1BF5"/>
    <w:rsid w:val="009F1C41"/>
    <w:rsid w:val="009F1C7E"/>
    <w:rsid w:val="009F1D1C"/>
    <w:rsid w:val="009F1D1E"/>
    <w:rsid w:val="009F1D4B"/>
    <w:rsid w:val="009F1D80"/>
    <w:rsid w:val="009F1D9C"/>
    <w:rsid w:val="009F1E1E"/>
    <w:rsid w:val="009F1E38"/>
    <w:rsid w:val="009F1F12"/>
    <w:rsid w:val="009F1F29"/>
    <w:rsid w:val="009F2025"/>
    <w:rsid w:val="009F2082"/>
    <w:rsid w:val="009F21BC"/>
    <w:rsid w:val="009F238A"/>
    <w:rsid w:val="009F2438"/>
    <w:rsid w:val="009F25B6"/>
    <w:rsid w:val="009F2602"/>
    <w:rsid w:val="009F2743"/>
    <w:rsid w:val="009F29D9"/>
    <w:rsid w:val="009F2AEA"/>
    <w:rsid w:val="009F2B20"/>
    <w:rsid w:val="009F2B72"/>
    <w:rsid w:val="009F2B73"/>
    <w:rsid w:val="009F2BC5"/>
    <w:rsid w:val="009F2BC7"/>
    <w:rsid w:val="009F2C43"/>
    <w:rsid w:val="009F2C83"/>
    <w:rsid w:val="009F2CD0"/>
    <w:rsid w:val="009F2CDB"/>
    <w:rsid w:val="009F2D2B"/>
    <w:rsid w:val="009F2DA7"/>
    <w:rsid w:val="009F2E60"/>
    <w:rsid w:val="009F2E62"/>
    <w:rsid w:val="009F2F3B"/>
    <w:rsid w:val="009F2F70"/>
    <w:rsid w:val="009F2FCA"/>
    <w:rsid w:val="009F2FCE"/>
    <w:rsid w:val="009F3080"/>
    <w:rsid w:val="009F30FE"/>
    <w:rsid w:val="009F3141"/>
    <w:rsid w:val="009F3207"/>
    <w:rsid w:val="009F32BD"/>
    <w:rsid w:val="009F335B"/>
    <w:rsid w:val="009F3376"/>
    <w:rsid w:val="009F339B"/>
    <w:rsid w:val="009F33F8"/>
    <w:rsid w:val="009F345C"/>
    <w:rsid w:val="009F34D2"/>
    <w:rsid w:val="009F34E2"/>
    <w:rsid w:val="009F350D"/>
    <w:rsid w:val="009F352D"/>
    <w:rsid w:val="009F35A2"/>
    <w:rsid w:val="009F35E8"/>
    <w:rsid w:val="009F3632"/>
    <w:rsid w:val="009F3636"/>
    <w:rsid w:val="009F369B"/>
    <w:rsid w:val="009F36A4"/>
    <w:rsid w:val="009F36F5"/>
    <w:rsid w:val="009F3887"/>
    <w:rsid w:val="009F38DE"/>
    <w:rsid w:val="009F3906"/>
    <w:rsid w:val="009F394C"/>
    <w:rsid w:val="009F3970"/>
    <w:rsid w:val="009F39A1"/>
    <w:rsid w:val="009F3A29"/>
    <w:rsid w:val="009F3A46"/>
    <w:rsid w:val="009F3A4E"/>
    <w:rsid w:val="009F3AAF"/>
    <w:rsid w:val="009F3AE4"/>
    <w:rsid w:val="009F3AF1"/>
    <w:rsid w:val="009F3C2C"/>
    <w:rsid w:val="009F3CB9"/>
    <w:rsid w:val="009F3D46"/>
    <w:rsid w:val="009F3D65"/>
    <w:rsid w:val="009F3DB3"/>
    <w:rsid w:val="009F3EE3"/>
    <w:rsid w:val="009F3F43"/>
    <w:rsid w:val="009F3F5D"/>
    <w:rsid w:val="009F3FB2"/>
    <w:rsid w:val="009F4015"/>
    <w:rsid w:val="009F40DF"/>
    <w:rsid w:val="009F40FC"/>
    <w:rsid w:val="009F4103"/>
    <w:rsid w:val="009F413D"/>
    <w:rsid w:val="009F4142"/>
    <w:rsid w:val="009F414C"/>
    <w:rsid w:val="009F4159"/>
    <w:rsid w:val="009F41CF"/>
    <w:rsid w:val="009F42F1"/>
    <w:rsid w:val="009F4320"/>
    <w:rsid w:val="009F4388"/>
    <w:rsid w:val="009F44A3"/>
    <w:rsid w:val="009F44A6"/>
    <w:rsid w:val="009F44BF"/>
    <w:rsid w:val="009F44C0"/>
    <w:rsid w:val="009F4623"/>
    <w:rsid w:val="009F4646"/>
    <w:rsid w:val="009F46BF"/>
    <w:rsid w:val="009F4731"/>
    <w:rsid w:val="009F47BE"/>
    <w:rsid w:val="009F4882"/>
    <w:rsid w:val="009F496A"/>
    <w:rsid w:val="009F49DA"/>
    <w:rsid w:val="009F4A19"/>
    <w:rsid w:val="009F4A3A"/>
    <w:rsid w:val="009F4AE5"/>
    <w:rsid w:val="009F4AED"/>
    <w:rsid w:val="009F4B1F"/>
    <w:rsid w:val="009F4B99"/>
    <w:rsid w:val="009F4C36"/>
    <w:rsid w:val="009F4D57"/>
    <w:rsid w:val="009F4DA5"/>
    <w:rsid w:val="009F4DEB"/>
    <w:rsid w:val="009F4E80"/>
    <w:rsid w:val="009F4E94"/>
    <w:rsid w:val="009F4EA1"/>
    <w:rsid w:val="009F4FC7"/>
    <w:rsid w:val="009F4FEC"/>
    <w:rsid w:val="009F5074"/>
    <w:rsid w:val="009F5086"/>
    <w:rsid w:val="009F50AC"/>
    <w:rsid w:val="009F50BF"/>
    <w:rsid w:val="009F50D5"/>
    <w:rsid w:val="009F50D7"/>
    <w:rsid w:val="009F5127"/>
    <w:rsid w:val="009F516D"/>
    <w:rsid w:val="009F5197"/>
    <w:rsid w:val="009F51BD"/>
    <w:rsid w:val="009F533E"/>
    <w:rsid w:val="009F53AF"/>
    <w:rsid w:val="009F53C6"/>
    <w:rsid w:val="009F53D1"/>
    <w:rsid w:val="009F54B0"/>
    <w:rsid w:val="009F5588"/>
    <w:rsid w:val="009F55F6"/>
    <w:rsid w:val="009F5689"/>
    <w:rsid w:val="009F56FD"/>
    <w:rsid w:val="009F582B"/>
    <w:rsid w:val="009F5834"/>
    <w:rsid w:val="009F583B"/>
    <w:rsid w:val="009F5A0A"/>
    <w:rsid w:val="009F5A3E"/>
    <w:rsid w:val="009F5B21"/>
    <w:rsid w:val="009F5C15"/>
    <w:rsid w:val="009F5C37"/>
    <w:rsid w:val="009F5C3C"/>
    <w:rsid w:val="009F5C53"/>
    <w:rsid w:val="009F5C83"/>
    <w:rsid w:val="009F5CF2"/>
    <w:rsid w:val="009F5DEF"/>
    <w:rsid w:val="009F5E78"/>
    <w:rsid w:val="009F5EB2"/>
    <w:rsid w:val="009F5EF6"/>
    <w:rsid w:val="009F5FDD"/>
    <w:rsid w:val="009F6047"/>
    <w:rsid w:val="009F6180"/>
    <w:rsid w:val="009F61C2"/>
    <w:rsid w:val="009F621A"/>
    <w:rsid w:val="009F6253"/>
    <w:rsid w:val="009F636C"/>
    <w:rsid w:val="009F637E"/>
    <w:rsid w:val="009F647C"/>
    <w:rsid w:val="009F6510"/>
    <w:rsid w:val="009F6532"/>
    <w:rsid w:val="009F6617"/>
    <w:rsid w:val="009F6639"/>
    <w:rsid w:val="009F668C"/>
    <w:rsid w:val="009F66F5"/>
    <w:rsid w:val="009F6750"/>
    <w:rsid w:val="009F6783"/>
    <w:rsid w:val="009F6791"/>
    <w:rsid w:val="009F67AA"/>
    <w:rsid w:val="009F67C9"/>
    <w:rsid w:val="009F6843"/>
    <w:rsid w:val="009F6859"/>
    <w:rsid w:val="009F6984"/>
    <w:rsid w:val="009F69C0"/>
    <w:rsid w:val="009F6A31"/>
    <w:rsid w:val="009F6BC1"/>
    <w:rsid w:val="009F6C38"/>
    <w:rsid w:val="009F6CD9"/>
    <w:rsid w:val="009F6D8D"/>
    <w:rsid w:val="009F6DCF"/>
    <w:rsid w:val="009F6E12"/>
    <w:rsid w:val="009F6E3F"/>
    <w:rsid w:val="009F6E71"/>
    <w:rsid w:val="009F6EA8"/>
    <w:rsid w:val="009F6F43"/>
    <w:rsid w:val="009F6F44"/>
    <w:rsid w:val="009F6F9F"/>
    <w:rsid w:val="009F6FCC"/>
    <w:rsid w:val="009F70B6"/>
    <w:rsid w:val="009F70EC"/>
    <w:rsid w:val="009F71FB"/>
    <w:rsid w:val="009F7436"/>
    <w:rsid w:val="009F7462"/>
    <w:rsid w:val="009F7562"/>
    <w:rsid w:val="009F75E2"/>
    <w:rsid w:val="009F7601"/>
    <w:rsid w:val="009F767C"/>
    <w:rsid w:val="009F771B"/>
    <w:rsid w:val="009F775F"/>
    <w:rsid w:val="009F77FA"/>
    <w:rsid w:val="009F7909"/>
    <w:rsid w:val="009F793B"/>
    <w:rsid w:val="009F796B"/>
    <w:rsid w:val="009F79C4"/>
    <w:rsid w:val="009F7A00"/>
    <w:rsid w:val="009F7A35"/>
    <w:rsid w:val="009F7B16"/>
    <w:rsid w:val="009F7B6C"/>
    <w:rsid w:val="009F7B8D"/>
    <w:rsid w:val="009F7C1A"/>
    <w:rsid w:val="009F7C1E"/>
    <w:rsid w:val="009F7C45"/>
    <w:rsid w:val="009F7C80"/>
    <w:rsid w:val="009F7C9B"/>
    <w:rsid w:val="009F7CD8"/>
    <w:rsid w:val="009F7D0E"/>
    <w:rsid w:val="009F7D7F"/>
    <w:rsid w:val="009F7D83"/>
    <w:rsid w:val="009F7E92"/>
    <w:rsid w:val="009F7EBB"/>
    <w:rsid w:val="009F7ECD"/>
    <w:rsid w:val="009F7EE7"/>
    <w:rsid w:val="009F7FC0"/>
    <w:rsid w:val="009F7FD3"/>
    <w:rsid w:val="009F7FF4"/>
    <w:rsid w:val="00A000A4"/>
    <w:rsid w:val="00A000E9"/>
    <w:rsid w:val="00A000FB"/>
    <w:rsid w:val="00A0016E"/>
    <w:rsid w:val="00A001F2"/>
    <w:rsid w:val="00A001FF"/>
    <w:rsid w:val="00A002B9"/>
    <w:rsid w:val="00A00360"/>
    <w:rsid w:val="00A00382"/>
    <w:rsid w:val="00A0039E"/>
    <w:rsid w:val="00A003A8"/>
    <w:rsid w:val="00A003F7"/>
    <w:rsid w:val="00A003FD"/>
    <w:rsid w:val="00A00553"/>
    <w:rsid w:val="00A00571"/>
    <w:rsid w:val="00A005D2"/>
    <w:rsid w:val="00A00651"/>
    <w:rsid w:val="00A00690"/>
    <w:rsid w:val="00A006CB"/>
    <w:rsid w:val="00A006CF"/>
    <w:rsid w:val="00A006FF"/>
    <w:rsid w:val="00A00714"/>
    <w:rsid w:val="00A00724"/>
    <w:rsid w:val="00A007BB"/>
    <w:rsid w:val="00A00852"/>
    <w:rsid w:val="00A00928"/>
    <w:rsid w:val="00A0094C"/>
    <w:rsid w:val="00A00955"/>
    <w:rsid w:val="00A0096D"/>
    <w:rsid w:val="00A0099D"/>
    <w:rsid w:val="00A00B61"/>
    <w:rsid w:val="00A00C72"/>
    <w:rsid w:val="00A00ED2"/>
    <w:rsid w:val="00A00EF0"/>
    <w:rsid w:val="00A00EFB"/>
    <w:rsid w:val="00A00F16"/>
    <w:rsid w:val="00A00F1C"/>
    <w:rsid w:val="00A00FE4"/>
    <w:rsid w:val="00A01080"/>
    <w:rsid w:val="00A01081"/>
    <w:rsid w:val="00A010DE"/>
    <w:rsid w:val="00A01100"/>
    <w:rsid w:val="00A01184"/>
    <w:rsid w:val="00A011D6"/>
    <w:rsid w:val="00A01212"/>
    <w:rsid w:val="00A01243"/>
    <w:rsid w:val="00A01253"/>
    <w:rsid w:val="00A012B9"/>
    <w:rsid w:val="00A01301"/>
    <w:rsid w:val="00A01403"/>
    <w:rsid w:val="00A0143F"/>
    <w:rsid w:val="00A01446"/>
    <w:rsid w:val="00A0149C"/>
    <w:rsid w:val="00A014AE"/>
    <w:rsid w:val="00A0164C"/>
    <w:rsid w:val="00A01722"/>
    <w:rsid w:val="00A01745"/>
    <w:rsid w:val="00A017D4"/>
    <w:rsid w:val="00A01863"/>
    <w:rsid w:val="00A0187E"/>
    <w:rsid w:val="00A0190D"/>
    <w:rsid w:val="00A0191F"/>
    <w:rsid w:val="00A01A25"/>
    <w:rsid w:val="00A01ACF"/>
    <w:rsid w:val="00A01AD7"/>
    <w:rsid w:val="00A01B4B"/>
    <w:rsid w:val="00A01C36"/>
    <w:rsid w:val="00A01C7C"/>
    <w:rsid w:val="00A01C88"/>
    <w:rsid w:val="00A01DD1"/>
    <w:rsid w:val="00A01EBE"/>
    <w:rsid w:val="00A01F9C"/>
    <w:rsid w:val="00A01FA2"/>
    <w:rsid w:val="00A02031"/>
    <w:rsid w:val="00A0208F"/>
    <w:rsid w:val="00A020B7"/>
    <w:rsid w:val="00A02108"/>
    <w:rsid w:val="00A02110"/>
    <w:rsid w:val="00A02133"/>
    <w:rsid w:val="00A0217D"/>
    <w:rsid w:val="00A021DC"/>
    <w:rsid w:val="00A0224D"/>
    <w:rsid w:val="00A0224E"/>
    <w:rsid w:val="00A022B2"/>
    <w:rsid w:val="00A022B5"/>
    <w:rsid w:val="00A022C1"/>
    <w:rsid w:val="00A023D0"/>
    <w:rsid w:val="00A02470"/>
    <w:rsid w:val="00A024C4"/>
    <w:rsid w:val="00A024CA"/>
    <w:rsid w:val="00A0250A"/>
    <w:rsid w:val="00A02532"/>
    <w:rsid w:val="00A02667"/>
    <w:rsid w:val="00A0279C"/>
    <w:rsid w:val="00A027F4"/>
    <w:rsid w:val="00A02849"/>
    <w:rsid w:val="00A028D0"/>
    <w:rsid w:val="00A028F1"/>
    <w:rsid w:val="00A02A10"/>
    <w:rsid w:val="00A02AD8"/>
    <w:rsid w:val="00A02ADA"/>
    <w:rsid w:val="00A02BC2"/>
    <w:rsid w:val="00A02C0F"/>
    <w:rsid w:val="00A02C75"/>
    <w:rsid w:val="00A02CD7"/>
    <w:rsid w:val="00A02D3F"/>
    <w:rsid w:val="00A02DA8"/>
    <w:rsid w:val="00A02DBE"/>
    <w:rsid w:val="00A02E24"/>
    <w:rsid w:val="00A02EEC"/>
    <w:rsid w:val="00A02EF0"/>
    <w:rsid w:val="00A0307D"/>
    <w:rsid w:val="00A030BC"/>
    <w:rsid w:val="00A030FA"/>
    <w:rsid w:val="00A03192"/>
    <w:rsid w:val="00A031E9"/>
    <w:rsid w:val="00A03227"/>
    <w:rsid w:val="00A0322B"/>
    <w:rsid w:val="00A03290"/>
    <w:rsid w:val="00A032FC"/>
    <w:rsid w:val="00A033B6"/>
    <w:rsid w:val="00A034AE"/>
    <w:rsid w:val="00A034C0"/>
    <w:rsid w:val="00A0353C"/>
    <w:rsid w:val="00A0357B"/>
    <w:rsid w:val="00A03596"/>
    <w:rsid w:val="00A035D6"/>
    <w:rsid w:val="00A03699"/>
    <w:rsid w:val="00A03752"/>
    <w:rsid w:val="00A037BC"/>
    <w:rsid w:val="00A037FF"/>
    <w:rsid w:val="00A03880"/>
    <w:rsid w:val="00A03921"/>
    <w:rsid w:val="00A039EF"/>
    <w:rsid w:val="00A03BDF"/>
    <w:rsid w:val="00A03C51"/>
    <w:rsid w:val="00A03CF4"/>
    <w:rsid w:val="00A03DC7"/>
    <w:rsid w:val="00A03E29"/>
    <w:rsid w:val="00A03E9F"/>
    <w:rsid w:val="00A03ED2"/>
    <w:rsid w:val="00A03FA5"/>
    <w:rsid w:val="00A03FFC"/>
    <w:rsid w:val="00A0404A"/>
    <w:rsid w:val="00A040BA"/>
    <w:rsid w:val="00A040F3"/>
    <w:rsid w:val="00A04158"/>
    <w:rsid w:val="00A0433E"/>
    <w:rsid w:val="00A04385"/>
    <w:rsid w:val="00A04471"/>
    <w:rsid w:val="00A0451A"/>
    <w:rsid w:val="00A0464D"/>
    <w:rsid w:val="00A04654"/>
    <w:rsid w:val="00A04958"/>
    <w:rsid w:val="00A0496A"/>
    <w:rsid w:val="00A0496F"/>
    <w:rsid w:val="00A04A91"/>
    <w:rsid w:val="00A04A95"/>
    <w:rsid w:val="00A04AA0"/>
    <w:rsid w:val="00A04AC3"/>
    <w:rsid w:val="00A04CC1"/>
    <w:rsid w:val="00A04CDF"/>
    <w:rsid w:val="00A04D0E"/>
    <w:rsid w:val="00A04D1D"/>
    <w:rsid w:val="00A04D20"/>
    <w:rsid w:val="00A04D64"/>
    <w:rsid w:val="00A04DED"/>
    <w:rsid w:val="00A04DF6"/>
    <w:rsid w:val="00A04E10"/>
    <w:rsid w:val="00A04E5A"/>
    <w:rsid w:val="00A04E90"/>
    <w:rsid w:val="00A04EE9"/>
    <w:rsid w:val="00A04EEE"/>
    <w:rsid w:val="00A04F47"/>
    <w:rsid w:val="00A04FF7"/>
    <w:rsid w:val="00A04FFF"/>
    <w:rsid w:val="00A0503D"/>
    <w:rsid w:val="00A0509F"/>
    <w:rsid w:val="00A05193"/>
    <w:rsid w:val="00A051B1"/>
    <w:rsid w:val="00A051F5"/>
    <w:rsid w:val="00A051F7"/>
    <w:rsid w:val="00A05291"/>
    <w:rsid w:val="00A052EF"/>
    <w:rsid w:val="00A05355"/>
    <w:rsid w:val="00A0540C"/>
    <w:rsid w:val="00A0543A"/>
    <w:rsid w:val="00A0544C"/>
    <w:rsid w:val="00A05451"/>
    <w:rsid w:val="00A05456"/>
    <w:rsid w:val="00A05462"/>
    <w:rsid w:val="00A054DE"/>
    <w:rsid w:val="00A05573"/>
    <w:rsid w:val="00A05604"/>
    <w:rsid w:val="00A05606"/>
    <w:rsid w:val="00A05642"/>
    <w:rsid w:val="00A056E5"/>
    <w:rsid w:val="00A056F2"/>
    <w:rsid w:val="00A0579B"/>
    <w:rsid w:val="00A057E4"/>
    <w:rsid w:val="00A0580A"/>
    <w:rsid w:val="00A059AA"/>
    <w:rsid w:val="00A05A54"/>
    <w:rsid w:val="00A05A6A"/>
    <w:rsid w:val="00A05A78"/>
    <w:rsid w:val="00A05AE3"/>
    <w:rsid w:val="00A05AE8"/>
    <w:rsid w:val="00A05BEB"/>
    <w:rsid w:val="00A05C01"/>
    <w:rsid w:val="00A05C37"/>
    <w:rsid w:val="00A05C64"/>
    <w:rsid w:val="00A05D6E"/>
    <w:rsid w:val="00A05DAB"/>
    <w:rsid w:val="00A05DBC"/>
    <w:rsid w:val="00A05DCD"/>
    <w:rsid w:val="00A05E11"/>
    <w:rsid w:val="00A05E70"/>
    <w:rsid w:val="00A05F14"/>
    <w:rsid w:val="00A05F19"/>
    <w:rsid w:val="00A05F9D"/>
    <w:rsid w:val="00A05FEC"/>
    <w:rsid w:val="00A0604E"/>
    <w:rsid w:val="00A060C2"/>
    <w:rsid w:val="00A06147"/>
    <w:rsid w:val="00A0617A"/>
    <w:rsid w:val="00A061CD"/>
    <w:rsid w:val="00A06311"/>
    <w:rsid w:val="00A06370"/>
    <w:rsid w:val="00A0640F"/>
    <w:rsid w:val="00A064FE"/>
    <w:rsid w:val="00A06510"/>
    <w:rsid w:val="00A0653D"/>
    <w:rsid w:val="00A065FB"/>
    <w:rsid w:val="00A06702"/>
    <w:rsid w:val="00A06752"/>
    <w:rsid w:val="00A069A0"/>
    <w:rsid w:val="00A06AA4"/>
    <w:rsid w:val="00A06AD4"/>
    <w:rsid w:val="00A06B03"/>
    <w:rsid w:val="00A06B2F"/>
    <w:rsid w:val="00A06B8F"/>
    <w:rsid w:val="00A06BA1"/>
    <w:rsid w:val="00A06BEF"/>
    <w:rsid w:val="00A06C0C"/>
    <w:rsid w:val="00A06C7E"/>
    <w:rsid w:val="00A06C84"/>
    <w:rsid w:val="00A06C91"/>
    <w:rsid w:val="00A06D0E"/>
    <w:rsid w:val="00A06D98"/>
    <w:rsid w:val="00A06E1C"/>
    <w:rsid w:val="00A06E33"/>
    <w:rsid w:val="00A06E97"/>
    <w:rsid w:val="00A06ED8"/>
    <w:rsid w:val="00A06F4E"/>
    <w:rsid w:val="00A07080"/>
    <w:rsid w:val="00A0709D"/>
    <w:rsid w:val="00A070C1"/>
    <w:rsid w:val="00A070DF"/>
    <w:rsid w:val="00A07103"/>
    <w:rsid w:val="00A0710A"/>
    <w:rsid w:val="00A0717A"/>
    <w:rsid w:val="00A07292"/>
    <w:rsid w:val="00A072EE"/>
    <w:rsid w:val="00A07308"/>
    <w:rsid w:val="00A073EB"/>
    <w:rsid w:val="00A074E5"/>
    <w:rsid w:val="00A0751C"/>
    <w:rsid w:val="00A075F0"/>
    <w:rsid w:val="00A0760D"/>
    <w:rsid w:val="00A07624"/>
    <w:rsid w:val="00A07625"/>
    <w:rsid w:val="00A0770F"/>
    <w:rsid w:val="00A077A8"/>
    <w:rsid w:val="00A07813"/>
    <w:rsid w:val="00A078BB"/>
    <w:rsid w:val="00A078EC"/>
    <w:rsid w:val="00A0798F"/>
    <w:rsid w:val="00A079C1"/>
    <w:rsid w:val="00A079E6"/>
    <w:rsid w:val="00A079ED"/>
    <w:rsid w:val="00A07A76"/>
    <w:rsid w:val="00A07A7A"/>
    <w:rsid w:val="00A07A83"/>
    <w:rsid w:val="00A07B34"/>
    <w:rsid w:val="00A07B88"/>
    <w:rsid w:val="00A07B89"/>
    <w:rsid w:val="00A07C55"/>
    <w:rsid w:val="00A07CA4"/>
    <w:rsid w:val="00A07D7C"/>
    <w:rsid w:val="00A07DAD"/>
    <w:rsid w:val="00A07DD0"/>
    <w:rsid w:val="00A07E1D"/>
    <w:rsid w:val="00A07E3E"/>
    <w:rsid w:val="00A07EC0"/>
    <w:rsid w:val="00A07EE9"/>
    <w:rsid w:val="00A07F4A"/>
    <w:rsid w:val="00A07FDB"/>
    <w:rsid w:val="00A07FDF"/>
    <w:rsid w:val="00A1004B"/>
    <w:rsid w:val="00A100BD"/>
    <w:rsid w:val="00A100C1"/>
    <w:rsid w:val="00A100DA"/>
    <w:rsid w:val="00A100F6"/>
    <w:rsid w:val="00A1013D"/>
    <w:rsid w:val="00A10160"/>
    <w:rsid w:val="00A101D3"/>
    <w:rsid w:val="00A10227"/>
    <w:rsid w:val="00A10228"/>
    <w:rsid w:val="00A103FC"/>
    <w:rsid w:val="00A1040F"/>
    <w:rsid w:val="00A10460"/>
    <w:rsid w:val="00A104B5"/>
    <w:rsid w:val="00A104D4"/>
    <w:rsid w:val="00A10510"/>
    <w:rsid w:val="00A1052C"/>
    <w:rsid w:val="00A10539"/>
    <w:rsid w:val="00A1054C"/>
    <w:rsid w:val="00A10646"/>
    <w:rsid w:val="00A10649"/>
    <w:rsid w:val="00A10687"/>
    <w:rsid w:val="00A106A3"/>
    <w:rsid w:val="00A10825"/>
    <w:rsid w:val="00A1086C"/>
    <w:rsid w:val="00A10896"/>
    <w:rsid w:val="00A108C8"/>
    <w:rsid w:val="00A10907"/>
    <w:rsid w:val="00A1092F"/>
    <w:rsid w:val="00A10956"/>
    <w:rsid w:val="00A1095A"/>
    <w:rsid w:val="00A1098A"/>
    <w:rsid w:val="00A109A9"/>
    <w:rsid w:val="00A10A3A"/>
    <w:rsid w:val="00A10A97"/>
    <w:rsid w:val="00A10B09"/>
    <w:rsid w:val="00A10C8D"/>
    <w:rsid w:val="00A10CE3"/>
    <w:rsid w:val="00A10D2D"/>
    <w:rsid w:val="00A10D87"/>
    <w:rsid w:val="00A10E26"/>
    <w:rsid w:val="00A10EED"/>
    <w:rsid w:val="00A10F2D"/>
    <w:rsid w:val="00A10FA8"/>
    <w:rsid w:val="00A10FC3"/>
    <w:rsid w:val="00A1103A"/>
    <w:rsid w:val="00A11157"/>
    <w:rsid w:val="00A11177"/>
    <w:rsid w:val="00A11266"/>
    <w:rsid w:val="00A112A9"/>
    <w:rsid w:val="00A11331"/>
    <w:rsid w:val="00A11463"/>
    <w:rsid w:val="00A11513"/>
    <w:rsid w:val="00A1156B"/>
    <w:rsid w:val="00A115C6"/>
    <w:rsid w:val="00A1163B"/>
    <w:rsid w:val="00A1177C"/>
    <w:rsid w:val="00A11797"/>
    <w:rsid w:val="00A117A0"/>
    <w:rsid w:val="00A117DA"/>
    <w:rsid w:val="00A1183A"/>
    <w:rsid w:val="00A1183D"/>
    <w:rsid w:val="00A11878"/>
    <w:rsid w:val="00A11884"/>
    <w:rsid w:val="00A1195A"/>
    <w:rsid w:val="00A11972"/>
    <w:rsid w:val="00A119B3"/>
    <w:rsid w:val="00A119E8"/>
    <w:rsid w:val="00A11AA3"/>
    <w:rsid w:val="00A11B34"/>
    <w:rsid w:val="00A11C03"/>
    <w:rsid w:val="00A11D26"/>
    <w:rsid w:val="00A11E4B"/>
    <w:rsid w:val="00A11E89"/>
    <w:rsid w:val="00A11EB7"/>
    <w:rsid w:val="00A11EC7"/>
    <w:rsid w:val="00A11F58"/>
    <w:rsid w:val="00A11F8C"/>
    <w:rsid w:val="00A1204D"/>
    <w:rsid w:val="00A120EE"/>
    <w:rsid w:val="00A1224F"/>
    <w:rsid w:val="00A1241B"/>
    <w:rsid w:val="00A1243E"/>
    <w:rsid w:val="00A124C4"/>
    <w:rsid w:val="00A124CF"/>
    <w:rsid w:val="00A12569"/>
    <w:rsid w:val="00A125C5"/>
    <w:rsid w:val="00A125D1"/>
    <w:rsid w:val="00A126ED"/>
    <w:rsid w:val="00A12798"/>
    <w:rsid w:val="00A128AF"/>
    <w:rsid w:val="00A128C1"/>
    <w:rsid w:val="00A128E2"/>
    <w:rsid w:val="00A1290C"/>
    <w:rsid w:val="00A1290D"/>
    <w:rsid w:val="00A1299D"/>
    <w:rsid w:val="00A129C7"/>
    <w:rsid w:val="00A12A57"/>
    <w:rsid w:val="00A12ACD"/>
    <w:rsid w:val="00A12B25"/>
    <w:rsid w:val="00A12BDE"/>
    <w:rsid w:val="00A12C05"/>
    <w:rsid w:val="00A12C5E"/>
    <w:rsid w:val="00A12CA6"/>
    <w:rsid w:val="00A12D42"/>
    <w:rsid w:val="00A12DD6"/>
    <w:rsid w:val="00A12E43"/>
    <w:rsid w:val="00A12E45"/>
    <w:rsid w:val="00A12E4A"/>
    <w:rsid w:val="00A12E52"/>
    <w:rsid w:val="00A12E7C"/>
    <w:rsid w:val="00A12E7D"/>
    <w:rsid w:val="00A12E80"/>
    <w:rsid w:val="00A12FE6"/>
    <w:rsid w:val="00A1307F"/>
    <w:rsid w:val="00A13158"/>
    <w:rsid w:val="00A131BD"/>
    <w:rsid w:val="00A131E0"/>
    <w:rsid w:val="00A1333C"/>
    <w:rsid w:val="00A13391"/>
    <w:rsid w:val="00A133DB"/>
    <w:rsid w:val="00A133F3"/>
    <w:rsid w:val="00A13489"/>
    <w:rsid w:val="00A1348A"/>
    <w:rsid w:val="00A13492"/>
    <w:rsid w:val="00A13545"/>
    <w:rsid w:val="00A135A6"/>
    <w:rsid w:val="00A13637"/>
    <w:rsid w:val="00A13838"/>
    <w:rsid w:val="00A13839"/>
    <w:rsid w:val="00A1384D"/>
    <w:rsid w:val="00A13894"/>
    <w:rsid w:val="00A138BA"/>
    <w:rsid w:val="00A1390F"/>
    <w:rsid w:val="00A13922"/>
    <w:rsid w:val="00A1398C"/>
    <w:rsid w:val="00A139AF"/>
    <w:rsid w:val="00A139B0"/>
    <w:rsid w:val="00A13A07"/>
    <w:rsid w:val="00A13A17"/>
    <w:rsid w:val="00A13A2C"/>
    <w:rsid w:val="00A13B42"/>
    <w:rsid w:val="00A13B49"/>
    <w:rsid w:val="00A13BAC"/>
    <w:rsid w:val="00A13C20"/>
    <w:rsid w:val="00A13C45"/>
    <w:rsid w:val="00A13CAA"/>
    <w:rsid w:val="00A13CDA"/>
    <w:rsid w:val="00A13DC3"/>
    <w:rsid w:val="00A13DDE"/>
    <w:rsid w:val="00A13E34"/>
    <w:rsid w:val="00A13F44"/>
    <w:rsid w:val="00A13F6D"/>
    <w:rsid w:val="00A13F74"/>
    <w:rsid w:val="00A13FA0"/>
    <w:rsid w:val="00A13FB2"/>
    <w:rsid w:val="00A140DD"/>
    <w:rsid w:val="00A14163"/>
    <w:rsid w:val="00A141F9"/>
    <w:rsid w:val="00A14242"/>
    <w:rsid w:val="00A14265"/>
    <w:rsid w:val="00A1429D"/>
    <w:rsid w:val="00A142B3"/>
    <w:rsid w:val="00A14313"/>
    <w:rsid w:val="00A14381"/>
    <w:rsid w:val="00A14390"/>
    <w:rsid w:val="00A14486"/>
    <w:rsid w:val="00A145A9"/>
    <w:rsid w:val="00A147D3"/>
    <w:rsid w:val="00A147FE"/>
    <w:rsid w:val="00A14889"/>
    <w:rsid w:val="00A148C3"/>
    <w:rsid w:val="00A148DE"/>
    <w:rsid w:val="00A14918"/>
    <w:rsid w:val="00A14A76"/>
    <w:rsid w:val="00A14BAD"/>
    <w:rsid w:val="00A14BBB"/>
    <w:rsid w:val="00A14C0E"/>
    <w:rsid w:val="00A14C21"/>
    <w:rsid w:val="00A14DA3"/>
    <w:rsid w:val="00A14E4D"/>
    <w:rsid w:val="00A15047"/>
    <w:rsid w:val="00A15071"/>
    <w:rsid w:val="00A151D3"/>
    <w:rsid w:val="00A151FD"/>
    <w:rsid w:val="00A15259"/>
    <w:rsid w:val="00A15288"/>
    <w:rsid w:val="00A15309"/>
    <w:rsid w:val="00A15320"/>
    <w:rsid w:val="00A1533A"/>
    <w:rsid w:val="00A153C0"/>
    <w:rsid w:val="00A153C5"/>
    <w:rsid w:val="00A153E6"/>
    <w:rsid w:val="00A154A4"/>
    <w:rsid w:val="00A154E3"/>
    <w:rsid w:val="00A15582"/>
    <w:rsid w:val="00A155AE"/>
    <w:rsid w:val="00A155D9"/>
    <w:rsid w:val="00A15641"/>
    <w:rsid w:val="00A15694"/>
    <w:rsid w:val="00A156A1"/>
    <w:rsid w:val="00A156FD"/>
    <w:rsid w:val="00A15763"/>
    <w:rsid w:val="00A15766"/>
    <w:rsid w:val="00A157C4"/>
    <w:rsid w:val="00A15817"/>
    <w:rsid w:val="00A1583E"/>
    <w:rsid w:val="00A15859"/>
    <w:rsid w:val="00A1586A"/>
    <w:rsid w:val="00A15899"/>
    <w:rsid w:val="00A1595A"/>
    <w:rsid w:val="00A15A28"/>
    <w:rsid w:val="00A15A9C"/>
    <w:rsid w:val="00A15AAC"/>
    <w:rsid w:val="00A15ADB"/>
    <w:rsid w:val="00A15B88"/>
    <w:rsid w:val="00A15BC0"/>
    <w:rsid w:val="00A15BF2"/>
    <w:rsid w:val="00A15C13"/>
    <w:rsid w:val="00A15C65"/>
    <w:rsid w:val="00A15D3E"/>
    <w:rsid w:val="00A15D63"/>
    <w:rsid w:val="00A15E0D"/>
    <w:rsid w:val="00A15E2E"/>
    <w:rsid w:val="00A15E5F"/>
    <w:rsid w:val="00A15E6F"/>
    <w:rsid w:val="00A15E81"/>
    <w:rsid w:val="00A15EC6"/>
    <w:rsid w:val="00A15EDA"/>
    <w:rsid w:val="00A15EDF"/>
    <w:rsid w:val="00A15EEF"/>
    <w:rsid w:val="00A15F0D"/>
    <w:rsid w:val="00A15F25"/>
    <w:rsid w:val="00A15FDE"/>
    <w:rsid w:val="00A16027"/>
    <w:rsid w:val="00A160F9"/>
    <w:rsid w:val="00A160FE"/>
    <w:rsid w:val="00A16125"/>
    <w:rsid w:val="00A161AB"/>
    <w:rsid w:val="00A1624C"/>
    <w:rsid w:val="00A1624E"/>
    <w:rsid w:val="00A16299"/>
    <w:rsid w:val="00A16332"/>
    <w:rsid w:val="00A1634A"/>
    <w:rsid w:val="00A16384"/>
    <w:rsid w:val="00A163A8"/>
    <w:rsid w:val="00A16488"/>
    <w:rsid w:val="00A1648C"/>
    <w:rsid w:val="00A16536"/>
    <w:rsid w:val="00A16545"/>
    <w:rsid w:val="00A16575"/>
    <w:rsid w:val="00A165B2"/>
    <w:rsid w:val="00A1667B"/>
    <w:rsid w:val="00A166F2"/>
    <w:rsid w:val="00A16707"/>
    <w:rsid w:val="00A16737"/>
    <w:rsid w:val="00A167D4"/>
    <w:rsid w:val="00A16871"/>
    <w:rsid w:val="00A168BB"/>
    <w:rsid w:val="00A168D4"/>
    <w:rsid w:val="00A168E3"/>
    <w:rsid w:val="00A168E8"/>
    <w:rsid w:val="00A169DF"/>
    <w:rsid w:val="00A16AB7"/>
    <w:rsid w:val="00A16ADA"/>
    <w:rsid w:val="00A16B3F"/>
    <w:rsid w:val="00A16B7E"/>
    <w:rsid w:val="00A16BD0"/>
    <w:rsid w:val="00A16BFA"/>
    <w:rsid w:val="00A16C9D"/>
    <w:rsid w:val="00A16CA2"/>
    <w:rsid w:val="00A16CE0"/>
    <w:rsid w:val="00A16CE2"/>
    <w:rsid w:val="00A16DA5"/>
    <w:rsid w:val="00A16DF7"/>
    <w:rsid w:val="00A16E21"/>
    <w:rsid w:val="00A16E98"/>
    <w:rsid w:val="00A16F18"/>
    <w:rsid w:val="00A16FA7"/>
    <w:rsid w:val="00A16FA8"/>
    <w:rsid w:val="00A17033"/>
    <w:rsid w:val="00A17053"/>
    <w:rsid w:val="00A170B7"/>
    <w:rsid w:val="00A170C5"/>
    <w:rsid w:val="00A1710F"/>
    <w:rsid w:val="00A1711E"/>
    <w:rsid w:val="00A17196"/>
    <w:rsid w:val="00A171B5"/>
    <w:rsid w:val="00A17232"/>
    <w:rsid w:val="00A1733B"/>
    <w:rsid w:val="00A17350"/>
    <w:rsid w:val="00A1737C"/>
    <w:rsid w:val="00A173A2"/>
    <w:rsid w:val="00A173B4"/>
    <w:rsid w:val="00A173C2"/>
    <w:rsid w:val="00A17471"/>
    <w:rsid w:val="00A17495"/>
    <w:rsid w:val="00A17528"/>
    <w:rsid w:val="00A175D3"/>
    <w:rsid w:val="00A1766F"/>
    <w:rsid w:val="00A1774E"/>
    <w:rsid w:val="00A1776A"/>
    <w:rsid w:val="00A17799"/>
    <w:rsid w:val="00A17840"/>
    <w:rsid w:val="00A17895"/>
    <w:rsid w:val="00A178A8"/>
    <w:rsid w:val="00A179A8"/>
    <w:rsid w:val="00A179AE"/>
    <w:rsid w:val="00A179C0"/>
    <w:rsid w:val="00A179C7"/>
    <w:rsid w:val="00A179D4"/>
    <w:rsid w:val="00A179D5"/>
    <w:rsid w:val="00A17A06"/>
    <w:rsid w:val="00A17AAC"/>
    <w:rsid w:val="00A17B00"/>
    <w:rsid w:val="00A17B17"/>
    <w:rsid w:val="00A17BFC"/>
    <w:rsid w:val="00A17CB1"/>
    <w:rsid w:val="00A17CC0"/>
    <w:rsid w:val="00A17D82"/>
    <w:rsid w:val="00A17DF8"/>
    <w:rsid w:val="00A17E0F"/>
    <w:rsid w:val="00A17E20"/>
    <w:rsid w:val="00A17E79"/>
    <w:rsid w:val="00A17EA0"/>
    <w:rsid w:val="00A17EF2"/>
    <w:rsid w:val="00A200A4"/>
    <w:rsid w:val="00A2015D"/>
    <w:rsid w:val="00A201A1"/>
    <w:rsid w:val="00A201CD"/>
    <w:rsid w:val="00A2022F"/>
    <w:rsid w:val="00A2026B"/>
    <w:rsid w:val="00A203C0"/>
    <w:rsid w:val="00A20430"/>
    <w:rsid w:val="00A204E6"/>
    <w:rsid w:val="00A20519"/>
    <w:rsid w:val="00A207B0"/>
    <w:rsid w:val="00A207D3"/>
    <w:rsid w:val="00A207FF"/>
    <w:rsid w:val="00A2085C"/>
    <w:rsid w:val="00A2087F"/>
    <w:rsid w:val="00A208C7"/>
    <w:rsid w:val="00A209AB"/>
    <w:rsid w:val="00A209C6"/>
    <w:rsid w:val="00A20A33"/>
    <w:rsid w:val="00A20A68"/>
    <w:rsid w:val="00A20AB3"/>
    <w:rsid w:val="00A20B6C"/>
    <w:rsid w:val="00A20B90"/>
    <w:rsid w:val="00A20C9A"/>
    <w:rsid w:val="00A20D33"/>
    <w:rsid w:val="00A20D9C"/>
    <w:rsid w:val="00A20DA1"/>
    <w:rsid w:val="00A20DCD"/>
    <w:rsid w:val="00A20E6D"/>
    <w:rsid w:val="00A20F7C"/>
    <w:rsid w:val="00A20FB7"/>
    <w:rsid w:val="00A2103A"/>
    <w:rsid w:val="00A2107F"/>
    <w:rsid w:val="00A2109A"/>
    <w:rsid w:val="00A21128"/>
    <w:rsid w:val="00A2112B"/>
    <w:rsid w:val="00A21161"/>
    <w:rsid w:val="00A2128F"/>
    <w:rsid w:val="00A212E9"/>
    <w:rsid w:val="00A2130E"/>
    <w:rsid w:val="00A213AC"/>
    <w:rsid w:val="00A213DB"/>
    <w:rsid w:val="00A21499"/>
    <w:rsid w:val="00A2150B"/>
    <w:rsid w:val="00A2157D"/>
    <w:rsid w:val="00A21682"/>
    <w:rsid w:val="00A21749"/>
    <w:rsid w:val="00A21808"/>
    <w:rsid w:val="00A21819"/>
    <w:rsid w:val="00A21877"/>
    <w:rsid w:val="00A21890"/>
    <w:rsid w:val="00A218A8"/>
    <w:rsid w:val="00A21946"/>
    <w:rsid w:val="00A219BE"/>
    <w:rsid w:val="00A21A18"/>
    <w:rsid w:val="00A21AC4"/>
    <w:rsid w:val="00A21B8C"/>
    <w:rsid w:val="00A21BD7"/>
    <w:rsid w:val="00A21C86"/>
    <w:rsid w:val="00A21C91"/>
    <w:rsid w:val="00A21E1F"/>
    <w:rsid w:val="00A21E2D"/>
    <w:rsid w:val="00A21EDA"/>
    <w:rsid w:val="00A21F1A"/>
    <w:rsid w:val="00A21F7C"/>
    <w:rsid w:val="00A22015"/>
    <w:rsid w:val="00A2209F"/>
    <w:rsid w:val="00A220CC"/>
    <w:rsid w:val="00A220CE"/>
    <w:rsid w:val="00A220E7"/>
    <w:rsid w:val="00A221F7"/>
    <w:rsid w:val="00A22230"/>
    <w:rsid w:val="00A2227B"/>
    <w:rsid w:val="00A222AA"/>
    <w:rsid w:val="00A222B3"/>
    <w:rsid w:val="00A222BF"/>
    <w:rsid w:val="00A2236B"/>
    <w:rsid w:val="00A22373"/>
    <w:rsid w:val="00A22408"/>
    <w:rsid w:val="00A22520"/>
    <w:rsid w:val="00A2259E"/>
    <w:rsid w:val="00A225D9"/>
    <w:rsid w:val="00A226A6"/>
    <w:rsid w:val="00A227D1"/>
    <w:rsid w:val="00A227F2"/>
    <w:rsid w:val="00A228A9"/>
    <w:rsid w:val="00A228E1"/>
    <w:rsid w:val="00A2291A"/>
    <w:rsid w:val="00A22932"/>
    <w:rsid w:val="00A229B3"/>
    <w:rsid w:val="00A22AD3"/>
    <w:rsid w:val="00A22B5F"/>
    <w:rsid w:val="00A22BCC"/>
    <w:rsid w:val="00A22D42"/>
    <w:rsid w:val="00A22D49"/>
    <w:rsid w:val="00A22D8E"/>
    <w:rsid w:val="00A22DC2"/>
    <w:rsid w:val="00A22E4F"/>
    <w:rsid w:val="00A22E55"/>
    <w:rsid w:val="00A22EC7"/>
    <w:rsid w:val="00A22F27"/>
    <w:rsid w:val="00A22F47"/>
    <w:rsid w:val="00A22F6F"/>
    <w:rsid w:val="00A22F80"/>
    <w:rsid w:val="00A22FF5"/>
    <w:rsid w:val="00A230FA"/>
    <w:rsid w:val="00A23139"/>
    <w:rsid w:val="00A23178"/>
    <w:rsid w:val="00A23185"/>
    <w:rsid w:val="00A23270"/>
    <w:rsid w:val="00A23415"/>
    <w:rsid w:val="00A234D7"/>
    <w:rsid w:val="00A23511"/>
    <w:rsid w:val="00A23512"/>
    <w:rsid w:val="00A23622"/>
    <w:rsid w:val="00A2365F"/>
    <w:rsid w:val="00A236CE"/>
    <w:rsid w:val="00A236EC"/>
    <w:rsid w:val="00A238B0"/>
    <w:rsid w:val="00A238C6"/>
    <w:rsid w:val="00A2391F"/>
    <w:rsid w:val="00A23930"/>
    <w:rsid w:val="00A23986"/>
    <w:rsid w:val="00A23A66"/>
    <w:rsid w:val="00A23A89"/>
    <w:rsid w:val="00A23A93"/>
    <w:rsid w:val="00A23A9D"/>
    <w:rsid w:val="00A23B28"/>
    <w:rsid w:val="00A23B2B"/>
    <w:rsid w:val="00A23B48"/>
    <w:rsid w:val="00A23B56"/>
    <w:rsid w:val="00A23BDD"/>
    <w:rsid w:val="00A23C09"/>
    <w:rsid w:val="00A23C69"/>
    <w:rsid w:val="00A23C7F"/>
    <w:rsid w:val="00A23D1F"/>
    <w:rsid w:val="00A23E0B"/>
    <w:rsid w:val="00A23E42"/>
    <w:rsid w:val="00A23E68"/>
    <w:rsid w:val="00A23E7A"/>
    <w:rsid w:val="00A23EC1"/>
    <w:rsid w:val="00A23F55"/>
    <w:rsid w:val="00A24018"/>
    <w:rsid w:val="00A24024"/>
    <w:rsid w:val="00A2406C"/>
    <w:rsid w:val="00A240C3"/>
    <w:rsid w:val="00A24119"/>
    <w:rsid w:val="00A24187"/>
    <w:rsid w:val="00A241F3"/>
    <w:rsid w:val="00A24212"/>
    <w:rsid w:val="00A24243"/>
    <w:rsid w:val="00A2424B"/>
    <w:rsid w:val="00A24276"/>
    <w:rsid w:val="00A2427B"/>
    <w:rsid w:val="00A24302"/>
    <w:rsid w:val="00A2430F"/>
    <w:rsid w:val="00A24495"/>
    <w:rsid w:val="00A24503"/>
    <w:rsid w:val="00A245E8"/>
    <w:rsid w:val="00A24645"/>
    <w:rsid w:val="00A2466A"/>
    <w:rsid w:val="00A246DC"/>
    <w:rsid w:val="00A24757"/>
    <w:rsid w:val="00A2485F"/>
    <w:rsid w:val="00A24902"/>
    <w:rsid w:val="00A24B3B"/>
    <w:rsid w:val="00A24B4B"/>
    <w:rsid w:val="00A24B55"/>
    <w:rsid w:val="00A24B7C"/>
    <w:rsid w:val="00A24B81"/>
    <w:rsid w:val="00A24BE7"/>
    <w:rsid w:val="00A24C09"/>
    <w:rsid w:val="00A24CA6"/>
    <w:rsid w:val="00A24CC4"/>
    <w:rsid w:val="00A24D34"/>
    <w:rsid w:val="00A24E08"/>
    <w:rsid w:val="00A24E8F"/>
    <w:rsid w:val="00A24EAE"/>
    <w:rsid w:val="00A24F1A"/>
    <w:rsid w:val="00A2502D"/>
    <w:rsid w:val="00A25054"/>
    <w:rsid w:val="00A25066"/>
    <w:rsid w:val="00A2512E"/>
    <w:rsid w:val="00A251A8"/>
    <w:rsid w:val="00A25206"/>
    <w:rsid w:val="00A252BF"/>
    <w:rsid w:val="00A252F6"/>
    <w:rsid w:val="00A25307"/>
    <w:rsid w:val="00A253E3"/>
    <w:rsid w:val="00A2547F"/>
    <w:rsid w:val="00A25487"/>
    <w:rsid w:val="00A254E3"/>
    <w:rsid w:val="00A25623"/>
    <w:rsid w:val="00A256A4"/>
    <w:rsid w:val="00A256AF"/>
    <w:rsid w:val="00A256E0"/>
    <w:rsid w:val="00A25756"/>
    <w:rsid w:val="00A25787"/>
    <w:rsid w:val="00A2580D"/>
    <w:rsid w:val="00A25817"/>
    <w:rsid w:val="00A25841"/>
    <w:rsid w:val="00A25851"/>
    <w:rsid w:val="00A258CE"/>
    <w:rsid w:val="00A25958"/>
    <w:rsid w:val="00A259E1"/>
    <w:rsid w:val="00A25AB3"/>
    <w:rsid w:val="00A25B1A"/>
    <w:rsid w:val="00A25B46"/>
    <w:rsid w:val="00A25BFC"/>
    <w:rsid w:val="00A25C32"/>
    <w:rsid w:val="00A25C37"/>
    <w:rsid w:val="00A25CA9"/>
    <w:rsid w:val="00A25D05"/>
    <w:rsid w:val="00A25DB5"/>
    <w:rsid w:val="00A25DCC"/>
    <w:rsid w:val="00A25E59"/>
    <w:rsid w:val="00A25F6A"/>
    <w:rsid w:val="00A25F90"/>
    <w:rsid w:val="00A25FC8"/>
    <w:rsid w:val="00A26023"/>
    <w:rsid w:val="00A2607C"/>
    <w:rsid w:val="00A2609E"/>
    <w:rsid w:val="00A260F0"/>
    <w:rsid w:val="00A2611D"/>
    <w:rsid w:val="00A26123"/>
    <w:rsid w:val="00A26174"/>
    <w:rsid w:val="00A26197"/>
    <w:rsid w:val="00A261F7"/>
    <w:rsid w:val="00A2622F"/>
    <w:rsid w:val="00A26255"/>
    <w:rsid w:val="00A262BE"/>
    <w:rsid w:val="00A2633B"/>
    <w:rsid w:val="00A263C9"/>
    <w:rsid w:val="00A2640A"/>
    <w:rsid w:val="00A26496"/>
    <w:rsid w:val="00A26598"/>
    <w:rsid w:val="00A265D1"/>
    <w:rsid w:val="00A26680"/>
    <w:rsid w:val="00A266D9"/>
    <w:rsid w:val="00A266F3"/>
    <w:rsid w:val="00A26888"/>
    <w:rsid w:val="00A268C7"/>
    <w:rsid w:val="00A2699C"/>
    <w:rsid w:val="00A269CE"/>
    <w:rsid w:val="00A269F7"/>
    <w:rsid w:val="00A26A32"/>
    <w:rsid w:val="00A26A8B"/>
    <w:rsid w:val="00A26A97"/>
    <w:rsid w:val="00A26ABF"/>
    <w:rsid w:val="00A26BF4"/>
    <w:rsid w:val="00A26C89"/>
    <w:rsid w:val="00A26D73"/>
    <w:rsid w:val="00A26D99"/>
    <w:rsid w:val="00A26DA3"/>
    <w:rsid w:val="00A26DFC"/>
    <w:rsid w:val="00A26E5A"/>
    <w:rsid w:val="00A26EE0"/>
    <w:rsid w:val="00A26EF1"/>
    <w:rsid w:val="00A26F4E"/>
    <w:rsid w:val="00A26FC4"/>
    <w:rsid w:val="00A270C5"/>
    <w:rsid w:val="00A272CA"/>
    <w:rsid w:val="00A2735C"/>
    <w:rsid w:val="00A2744D"/>
    <w:rsid w:val="00A2745C"/>
    <w:rsid w:val="00A274A7"/>
    <w:rsid w:val="00A274B4"/>
    <w:rsid w:val="00A27503"/>
    <w:rsid w:val="00A27599"/>
    <w:rsid w:val="00A275CF"/>
    <w:rsid w:val="00A2761D"/>
    <w:rsid w:val="00A2769A"/>
    <w:rsid w:val="00A276F3"/>
    <w:rsid w:val="00A2770B"/>
    <w:rsid w:val="00A27735"/>
    <w:rsid w:val="00A27745"/>
    <w:rsid w:val="00A277FC"/>
    <w:rsid w:val="00A27827"/>
    <w:rsid w:val="00A278D6"/>
    <w:rsid w:val="00A2790F"/>
    <w:rsid w:val="00A27969"/>
    <w:rsid w:val="00A279FE"/>
    <w:rsid w:val="00A27A0E"/>
    <w:rsid w:val="00A27A62"/>
    <w:rsid w:val="00A27A92"/>
    <w:rsid w:val="00A27AE4"/>
    <w:rsid w:val="00A27B44"/>
    <w:rsid w:val="00A27C5C"/>
    <w:rsid w:val="00A27C60"/>
    <w:rsid w:val="00A27D23"/>
    <w:rsid w:val="00A27E1D"/>
    <w:rsid w:val="00A27EEB"/>
    <w:rsid w:val="00A27F55"/>
    <w:rsid w:val="00A27FF6"/>
    <w:rsid w:val="00A3001C"/>
    <w:rsid w:val="00A30035"/>
    <w:rsid w:val="00A30144"/>
    <w:rsid w:val="00A3019F"/>
    <w:rsid w:val="00A30259"/>
    <w:rsid w:val="00A30380"/>
    <w:rsid w:val="00A3039B"/>
    <w:rsid w:val="00A30454"/>
    <w:rsid w:val="00A30487"/>
    <w:rsid w:val="00A30490"/>
    <w:rsid w:val="00A30515"/>
    <w:rsid w:val="00A30566"/>
    <w:rsid w:val="00A30574"/>
    <w:rsid w:val="00A305B1"/>
    <w:rsid w:val="00A305B9"/>
    <w:rsid w:val="00A306AE"/>
    <w:rsid w:val="00A306E5"/>
    <w:rsid w:val="00A30739"/>
    <w:rsid w:val="00A30742"/>
    <w:rsid w:val="00A307A0"/>
    <w:rsid w:val="00A307DC"/>
    <w:rsid w:val="00A307F1"/>
    <w:rsid w:val="00A307F3"/>
    <w:rsid w:val="00A3084C"/>
    <w:rsid w:val="00A30876"/>
    <w:rsid w:val="00A308AC"/>
    <w:rsid w:val="00A3097E"/>
    <w:rsid w:val="00A309D9"/>
    <w:rsid w:val="00A30A4C"/>
    <w:rsid w:val="00A30A91"/>
    <w:rsid w:val="00A30AB4"/>
    <w:rsid w:val="00A30ADC"/>
    <w:rsid w:val="00A30AF4"/>
    <w:rsid w:val="00A30AFA"/>
    <w:rsid w:val="00A30B94"/>
    <w:rsid w:val="00A30C41"/>
    <w:rsid w:val="00A30C44"/>
    <w:rsid w:val="00A30C65"/>
    <w:rsid w:val="00A30D8D"/>
    <w:rsid w:val="00A30DFA"/>
    <w:rsid w:val="00A30E0E"/>
    <w:rsid w:val="00A30E21"/>
    <w:rsid w:val="00A30EAC"/>
    <w:rsid w:val="00A30EAD"/>
    <w:rsid w:val="00A30EFA"/>
    <w:rsid w:val="00A30F31"/>
    <w:rsid w:val="00A30F64"/>
    <w:rsid w:val="00A30F8A"/>
    <w:rsid w:val="00A30FD3"/>
    <w:rsid w:val="00A31054"/>
    <w:rsid w:val="00A31163"/>
    <w:rsid w:val="00A3117E"/>
    <w:rsid w:val="00A31187"/>
    <w:rsid w:val="00A311F9"/>
    <w:rsid w:val="00A31243"/>
    <w:rsid w:val="00A3129A"/>
    <w:rsid w:val="00A312A6"/>
    <w:rsid w:val="00A312AD"/>
    <w:rsid w:val="00A312D3"/>
    <w:rsid w:val="00A31403"/>
    <w:rsid w:val="00A3152D"/>
    <w:rsid w:val="00A3163D"/>
    <w:rsid w:val="00A3174F"/>
    <w:rsid w:val="00A317B9"/>
    <w:rsid w:val="00A31840"/>
    <w:rsid w:val="00A31A22"/>
    <w:rsid w:val="00A31A34"/>
    <w:rsid w:val="00A31A42"/>
    <w:rsid w:val="00A31ACC"/>
    <w:rsid w:val="00A31AE6"/>
    <w:rsid w:val="00A31B16"/>
    <w:rsid w:val="00A31BF1"/>
    <w:rsid w:val="00A31CD4"/>
    <w:rsid w:val="00A31D48"/>
    <w:rsid w:val="00A31E0C"/>
    <w:rsid w:val="00A31E47"/>
    <w:rsid w:val="00A31E70"/>
    <w:rsid w:val="00A31ECB"/>
    <w:rsid w:val="00A31EF4"/>
    <w:rsid w:val="00A320BC"/>
    <w:rsid w:val="00A3214D"/>
    <w:rsid w:val="00A3216E"/>
    <w:rsid w:val="00A32195"/>
    <w:rsid w:val="00A3222A"/>
    <w:rsid w:val="00A32245"/>
    <w:rsid w:val="00A3234B"/>
    <w:rsid w:val="00A3234C"/>
    <w:rsid w:val="00A323CC"/>
    <w:rsid w:val="00A32475"/>
    <w:rsid w:val="00A3254E"/>
    <w:rsid w:val="00A32560"/>
    <w:rsid w:val="00A325C6"/>
    <w:rsid w:val="00A325E4"/>
    <w:rsid w:val="00A3262B"/>
    <w:rsid w:val="00A32687"/>
    <w:rsid w:val="00A3268F"/>
    <w:rsid w:val="00A32725"/>
    <w:rsid w:val="00A3286F"/>
    <w:rsid w:val="00A328E1"/>
    <w:rsid w:val="00A32A58"/>
    <w:rsid w:val="00A32ABF"/>
    <w:rsid w:val="00A32BB5"/>
    <w:rsid w:val="00A32BB7"/>
    <w:rsid w:val="00A32BC7"/>
    <w:rsid w:val="00A32BE2"/>
    <w:rsid w:val="00A32C22"/>
    <w:rsid w:val="00A32C43"/>
    <w:rsid w:val="00A32C6F"/>
    <w:rsid w:val="00A32CAE"/>
    <w:rsid w:val="00A32DF7"/>
    <w:rsid w:val="00A32E4B"/>
    <w:rsid w:val="00A32E7A"/>
    <w:rsid w:val="00A32EB0"/>
    <w:rsid w:val="00A32EDA"/>
    <w:rsid w:val="00A32F29"/>
    <w:rsid w:val="00A32F63"/>
    <w:rsid w:val="00A32FD8"/>
    <w:rsid w:val="00A330C4"/>
    <w:rsid w:val="00A33137"/>
    <w:rsid w:val="00A33150"/>
    <w:rsid w:val="00A3318E"/>
    <w:rsid w:val="00A3319C"/>
    <w:rsid w:val="00A3322D"/>
    <w:rsid w:val="00A33243"/>
    <w:rsid w:val="00A33244"/>
    <w:rsid w:val="00A33247"/>
    <w:rsid w:val="00A333A4"/>
    <w:rsid w:val="00A33427"/>
    <w:rsid w:val="00A334A5"/>
    <w:rsid w:val="00A3355E"/>
    <w:rsid w:val="00A33589"/>
    <w:rsid w:val="00A3358A"/>
    <w:rsid w:val="00A335A9"/>
    <w:rsid w:val="00A335B6"/>
    <w:rsid w:val="00A33713"/>
    <w:rsid w:val="00A3377A"/>
    <w:rsid w:val="00A33791"/>
    <w:rsid w:val="00A337A0"/>
    <w:rsid w:val="00A337AE"/>
    <w:rsid w:val="00A3389C"/>
    <w:rsid w:val="00A338E8"/>
    <w:rsid w:val="00A3391E"/>
    <w:rsid w:val="00A339E9"/>
    <w:rsid w:val="00A339FA"/>
    <w:rsid w:val="00A33A03"/>
    <w:rsid w:val="00A33B57"/>
    <w:rsid w:val="00A33B5E"/>
    <w:rsid w:val="00A33B79"/>
    <w:rsid w:val="00A33BA7"/>
    <w:rsid w:val="00A33BBA"/>
    <w:rsid w:val="00A33C3D"/>
    <w:rsid w:val="00A33C6C"/>
    <w:rsid w:val="00A33CA6"/>
    <w:rsid w:val="00A33D81"/>
    <w:rsid w:val="00A33E2C"/>
    <w:rsid w:val="00A33E2F"/>
    <w:rsid w:val="00A33EC6"/>
    <w:rsid w:val="00A33F00"/>
    <w:rsid w:val="00A33F14"/>
    <w:rsid w:val="00A33F55"/>
    <w:rsid w:val="00A33F9D"/>
    <w:rsid w:val="00A33FFF"/>
    <w:rsid w:val="00A34152"/>
    <w:rsid w:val="00A34177"/>
    <w:rsid w:val="00A341FB"/>
    <w:rsid w:val="00A342FD"/>
    <w:rsid w:val="00A34302"/>
    <w:rsid w:val="00A34386"/>
    <w:rsid w:val="00A343E0"/>
    <w:rsid w:val="00A343FC"/>
    <w:rsid w:val="00A3450C"/>
    <w:rsid w:val="00A3455E"/>
    <w:rsid w:val="00A34632"/>
    <w:rsid w:val="00A34655"/>
    <w:rsid w:val="00A34698"/>
    <w:rsid w:val="00A346CE"/>
    <w:rsid w:val="00A3474C"/>
    <w:rsid w:val="00A349ED"/>
    <w:rsid w:val="00A34A9F"/>
    <w:rsid w:val="00A34AE2"/>
    <w:rsid w:val="00A34B46"/>
    <w:rsid w:val="00A34B86"/>
    <w:rsid w:val="00A34BF7"/>
    <w:rsid w:val="00A34C84"/>
    <w:rsid w:val="00A34CC9"/>
    <w:rsid w:val="00A34D76"/>
    <w:rsid w:val="00A34DD5"/>
    <w:rsid w:val="00A34DE1"/>
    <w:rsid w:val="00A34DEC"/>
    <w:rsid w:val="00A34E0B"/>
    <w:rsid w:val="00A34FC8"/>
    <w:rsid w:val="00A35002"/>
    <w:rsid w:val="00A351D6"/>
    <w:rsid w:val="00A35222"/>
    <w:rsid w:val="00A35371"/>
    <w:rsid w:val="00A35492"/>
    <w:rsid w:val="00A354B1"/>
    <w:rsid w:val="00A354CE"/>
    <w:rsid w:val="00A35577"/>
    <w:rsid w:val="00A3562E"/>
    <w:rsid w:val="00A35659"/>
    <w:rsid w:val="00A356EA"/>
    <w:rsid w:val="00A3571A"/>
    <w:rsid w:val="00A35745"/>
    <w:rsid w:val="00A3574C"/>
    <w:rsid w:val="00A35755"/>
    <w:rsid w:val="00A3576B"/>
    <w:rsid w:val="00A357A2"/>
    <w:rsid w:val="00A35830"/>
    <w:rsid w:val="00A359DE"/>
    <w:rsid w:val="00A35A88"/>
    <w:rsid w:val="00A35A9A"/>
    <w:rsid w:val="00A35B27"/>
    <w:rsid w:val="00A35B3D"/>
    <w:rsid w:val="00A35CB8"/>
    <w:rsid w:val="00A35D61"/>
    <w:rsid w:val="00A35DB1"/>
    <w:rsid w:val="00A35DD5"/>
    <w:rsid w:val="00A35E08"/>
    <w:rsid w:val="00A35E67"/>
    <w:rsid w:val="00A35E8F"/>
    <w:rsid w:val="00A35E9B"/>
    <w:rsid w:val="00A35F29"/>
    <w:rsid w:val="00A3600B"/>
    <w:rsid w:val="00A36042"/>
    <w:rsid w:val="00A360A7"/>
    <w:rsid w:val="00A360B3"/>
    <w:rsid w:val="00A36169"/>
    <w:rsid w:val="00A361A5"/>
    <w:rsid w:val="00A3627A"/>
    <w:rsid w:val="00A362E9"/>
    <w:rsid w:val="00A3637E"/>
    <w:rsid w:val="00A3644F"/>
    <w:rsid w:val="00A3648F"/>
    <w:rsid w:val="00A36490"/>
    <w:rsid w:val="00A36576"/>
    <w:rsid w:val="00A3658E"/>
    <w:rsid w:val="00A3667A"/>
    <w:rsid w:val="00A36731"/>
    <w:rsid w:val="00A36736"/>
    <w:rsid w:val="00A36751"/>
    <w:rsid w:val="00A36755"/>
    <w:rsid w:val="00A3680B"/>
    <w:rsid w:val="00A36810"/>
    <w:rsid w:val="00A36909"/>
    <w:rsid w:val="00A36997"/>
    <w:rsid w:val="00A36AA5"/>
    <w:rsid w:val="00A36AF6"/>
    <w:rsid w:val="00A36B15"/>
    <w:rsid w:val="00A36B54"/>
    <w:rsid w:val="00A36B68"/>
    <w:rsid w:val="00A36BED"/>
    <w:rsid w:val="00A36C4E"/>
    <w:rsid w:val="00A36C64"/>
    <w:rsid w:val="00A36CD0"/>
    <w:rsid w:val="00A36E5B"/>
    <w:rsid w:val="00A36EF2"/>
    <w:rsid w:val="00A36FB7"/>
    <w:rsid w:val="00A36FE7"/>
    <w:rsid w:val="00A370F5"/>
    <w:rsid w:val="00A37125"/>
    <w:rsid w:val="00A3717A"/>
    <w:rsid w:val="00A371B4"/>
    <w:rsid w:val="00A371BE"/>
    <w:rsid w:val="00A371C6"/>
    <w:rsid w:val="00A3720C"/>
    <w:rsid w:val="00A3725F"/>
    <w:rsid w:val="00A37288"/>
    <w:rsid w:val="00A372DD"/>
    <w:rsid w:val="00A373AC"/>
    <w:rsid w:val="00A37409"/>
    <w:rsid w:val="00A3741E"/>
    <w:rsid w:val="00A37452"/>
    <w:rsid w:val="00A3746F"/>
    <w:rsid w:val="00A3751C"/>
    <w:rsid w:val="00A3752E"/>
    <w:rsid w:val="00A3758E"/>
    <w:rsid w:val="00A3759E"/>
    <w:rsid w:val="00A37604"/>
    <w:rsid w:val="00A37625"/>
    <w:rsid w:val="00A37798"/>
    <w:rsid w:val="00A3779D"/>
    <w:rsid w:val="00A377A8"/>
    <w:rsid w:val="00A3781E"/>
    <w:rsid w:val="00A37860"/>
    <w:rsid w:val="00A378F6"/>
    <w:rsid w:val="00A37903"/>
    <w:rsid w:val="00A37A71"/>
    <w:rsid w:val="00A37A9F"/>
    <w:rsid w:val="00A37ACD"/>
    <w:rsid w:val="00A37AD1"/>
    <w:rsid w:val="00A37B31"/>
    <w:rsid w:val="00A37C0F"/>
    <w:rsid w:val="00A37DA8"/>
    <w:rsid w:val="00A37F02"/>
    <w:rsid w:val="00A37F17"/>
    <w:rsid w:val="00A37F39"/>
    <w:rsid w:val="00A37F70"/>
    <w:rsid w:val="00A37FA2"/>
    <w:rsid w:val="00A400E3"/>
    <w:rsid w:val="00A40120"/>
    <w:rsid w:val="00A40191"/>
    <w:rsid w:val="00A40217"/>
    <w:rsid w:val="00A40287"/>
    <w:rsid w:val="00A4033F"/>
    <w:rsid w:val="00A403A0"/>
    <w:rsid w:val="00A40401"/>
    <w:rsid w:val="00A4047D"/>
    <w:rsid w:val="00A40486"/>
    <w:rsid w:val="00A404EE"/>
    <w:rsid w:val="00A4053E"/>
    <w:rsid w:val="00A40599"/>
    <w:rsid w:val="00A4062E"/>
    <w:rsid w:val="00A4069E"/>
    <w:rsid w:val="00A406F4"/>
    <w:rsid w:val="00A4075D"/>
    <w:rsid w:val="00A40802"/>
    <w:rsid w:val="00A4081A"/>
    <w:rsid w:val="00A40860"/>
    <w:rsid w:val="00A40892"/>
    <w:rsid w:val="00A408D3"/>
    <w:rsid w:val="00A40923"/>
    <w:rsid w:val="00A40960"/>
    <w:rsid w:val="00A409BA"/>
    <w:rsid w:val="00A40A35"/>
    <w:rsid w:val="00A40A37"/>
    <w:rsid w:val="00A40AC7"/>
    <w:rsid w:val="00A40AFD"/>
    <w:rsid w:val="00A40B07"/>
    <w:rsid w:val="00A40B16"/>
    <w:rsid w:val="00A40B62"/>
    <w:rsid w:val="00A40B80"/>
    <w:rsid w:val="00A40B85"/>
    <w:rsid w:val="00A40BD8"/>
    <w:rsid w:val="00A40C4E"/>
    <w:rsid w:val="00A40CAB"/>
    <w:rsid w:val="00A40D54"/>
    <w:rsid w:val="00A40D83"/>
    <w:rsid w:val="00A40DB4"/>
    <w:rsid w:val="00A40E02"/>
    <w:rsid w:val="00A40E51"/>
    <w:rsid w:val="00A40E7F"/>
    <w:rsid w:val="00A40EC1"/>
    <w:rsid w:val="00A40F3E"/>
    <w:rsid w:val="00A40F7E"/>
    <w:rsid w:val="00A40F9D"/>
    <w:rsid w:val="00A40FCF"/>
    <w:rsid w:val="00A41077"/>
    <w:rsid w:val="00A410D4"/>
    <w:rsid w:val="00A41184"/>
    <w:rsid w:val="00A411C1"/>
    <w:rsid w:val="00A411D1"/>
    <w:rsid w:val="00A411F7"/>
    <w:rsid w:val="00A41225"/>
    <w:rsid w:val="00A41232"/>
    <w:rsid w:val="00A412DD"/>
    <w:rsid w:val="00A4135A"/>
    <w:rsid w:val="00A413B7"/>
    <w:rsid w:val="00A41443"/>
    <w:rsid w:val="00A41445"/>
    <w:rsid w:val="00A41480"/>
    <w:rsid w:val="00A414A6"/>
    <w:rsid w:val="00A41545"/>
    <w:rsid w:val="00A4157D"/>
    <w:rsid w:val="00A41729"/>
    <w:rsid w:val="00A4172B"/>
    <w:rsid w:val="00A41767"/>
    <w:rsid w:val="00A4179D"/>
    <w:rsid w:val="00A417CA"/>
    <w:rsid w:val="00A4180C"/>
    <w:rsid w:val="00A41937"/>
    <w:rsid w:val="00A419A2"/>
    <w:rsid w:val="00A419D4"/>
    <w:rsid w:val="00A419FB"/>
    <w:rsid w:val="00A41A0F"/>
    <w:rsid w:val="00A41A16"/>
    <w:rsid w:val="00A41A5B"/>
    <w:rsid w:val="00A41B12"/>
    <w:rsid w:val="00A41B15"/>
    <w:rsid w:val="00A41B8B"/>
    <w:rsid w:val="00A41BB4"/>
    <w:rsid w:val="00A41BBE"/>
    <w:rsid w:val="00A41C16"/>
    <w:rsid w:val="00A41C55"/>
    <w:rsid w:val="00A41D5A"/>
    <w:rsid w:val="00A41DB0"/>
    <w:rsid w:val="00A41DF7"/>
    <w:rsid w:val="00A41EB1"/>
    <w:rsid w:val="00A41EC0"/>
    <w:rsid w:val="00A41F04"/>
    <w:rsid w:val="00A41FB6"/>
    <w:rsid w:val="00A4203D"/>
    <w:rsid w:val="00A4206D"/>
    <w:rsid w:val="00A420B2"/>
    <w:rsid w:val="00A4213A"/>
    <w:rsid w:val="00A42161"/>
    <w:rsid w:val="00A421FB"/>
    <w:rsid w:val="00A4220F"/>
    <w:rsid w:val="00A4224A"/>
    <w:rsid w:val="00A422D4"/>
    <w:rsid w:val="00A42364"/>
    <w:rsid w:val="00A42416"/>
    <w:rsid w:val="00A42506"/>
    <w:rsid w:val="00A42566"/>
    <w:rsid w:val="00A4259D"/>
    <w:rsid w:val="00A425EC"/>
    <w:rsid w:val="00A425F2"/>
    <w:rsid w:val="00A42626"/>
    <w:rsid w:val="00A42729"/>
    <w:rsid w:val="00A427D4"/>
    <w:rsid w:val="00A42893"/>
    <w:rsid w:val="00A428B4"/>
    <w:rsid w:val="00A42963"/>
    <w:rsid w:val="00A42AE1"/>
    <w:rsid w:val="00A42AEC"/>
    <w:rsid w:val="00A42B28"/>
    <w:rsid w:val="00A42B51"/>
    <w:rsid w:val="00A42B97"/>
    <w:rsid w:val="00A42C33"/>
    <w:rsid w:val="00A42C39"/>
    <w:rsid w:val="00A42CAF"/>
    <w:rsid w:val="00A42CC9"/>
    <w:rsid w:val="00A42CDA"/>
    <w:rsid w:val="00A42CFF"/>
    <w:rsid w:val="00A42D09"/>
    <w:rsid w:val="00A42D27"/>
    <w:rsid w:val="00A42D47"/>
    <w:rsid w:val="00A42D65"/>
    <w:rsid w:val="00A42DD4"/>
    <w:rsid w:val="00A42DEB"/>
    <w:rsid w:val="00A42E8A"/>
    <w:rsid w:val="00A42ED0"/>
    <w:rsid w:val="00A42EEA"/>
    <w:rsid w:val="00A42F42"/>
    <w:rsid w:val="00A42FD8"/>
    <w:rsid w:val="00A43021"/>
    <w:rsid w:val="00A4303E"/>
    <w:rsid w:val="00A4327D"/>
    <w:rsid w:val="00A432BD"/>
    <w:rsid w:val="00A432CF"/>
    <w:rsid w:val="00A4338D"/>
    <w:rsid w:val="00A433FE"/>
    <w:rsid w:val="00A43401"/>
    <w:rsid w:val="00A434BC"/>
    <w:rsid w:val="00A4353D"/>
    <w:rsid w:val="00A43564"/>
    <w:rsid w:val="00A435AC"/>
    <w:rsid w:val="00A435B0"/>
    <w:rsid w:val="00A435D2"/>
    <w:rsid w:val="00A43609"/>
    <w:rsid w:val="00A43652"/>
    <w:rsid w:val="00A43679"/>
    <w:rsid w:val="00A43699"/>
    <w:rsid w:val="00A438C0"/>
    <w:rsid w:val="00A4393E"/>
    <w:rsid w:val="00A43973"/>
    <w:rsid w:val="00A439D0"/>
    <w:rsid w:val="00A439F5"/>
    <w:rsid w:val="00A43B1C"/>
    <w:rsid w:val="00A43B7F"/>
    <w:rsid w:val="00A43B8A"/>
    <w:rsid w:val="00A43BD1"/>
    <w:rsid w:val="00A43C49"/>
    <w:rsid w:val="00A43CAD"/>
    <w:rsid w:val="00A43D1D"/>
    <w:rsid w:val="00A43D30"/>
    <w:rsid w:val="00A43D53"/>
    <w:rsid w:val="00A43D8D"/>
    <w:rsid w:val="00A43E14"/>
    <w:rsid w:val="00A43E20"/>
    <w:rsid w:val="00A43E51"/>
    <w:rsid w:val="00A43F12"/>
    <w:rsid w:val="00A43F7F"/>
    <w:rsid w:val="00A43F8F"/>
    <w:rsid w:val="00A44039"/>
    <w:rsid w:val="00A440A6"/>
    <w:rsid w:val="00A440FD"/>
    <w:rsid w:val="00A44121"/>
    <w:rsid w:val="00A44271"/>
    <w:rsid w:val="00A442B2"/>
    <w:rsid w:val="00A44343"/>
    <w:rsid w:val="00A44356"/>
    <w:rsid w:val="00A44358"/>
    <w:rsid w:val="00A444AD"/>
    <w:rsid w:val="00A444E4"/>
    <w:rsid w:val="00A444EB"/>
    <w:rsid w:val="00A44593"/>
    <w:rsid w:val="00A445A1"/>
    <w:rsid w:val="00A445B3"/>
    <w:rsid w:val="00A44607"/>
    <w:rsid w:val="00A4466C"/>
    <w:rsid w:val="00A446A6"/>
    <w:rsid w:val="00A447C8"/>
    <w:rsid w:val="00A4486F"/>
    <w:rsid w:val="00A448DD"/>
    <w:rsid w:val="00A448FD"/>
    <w:rsid w:val="00A44915"/>
    <w:rsid w:val="00A4496D"/>
    <w:rsid w:val="00A449B5"/>
    <w:rsid w:val="00A44ABC"/>
    <w:rsid w:val="00A44B32"/>
    <w:rsid w:val="00A44BC6"/>
    <w:rsid w:val="00A44CEE"/>
    <w:rsid w:val="00A44D0B"/>
    <w:rsid w:val="00A44EAF"/>
    <w:rsid w:val="00A45017"/>
    <w:rsid w:val="00A45179"/>
    <w:rsid w:val="00A451AD"/>
    <w:rsid w:val="00A451C1"/>
    <w:rsid w:val="00A45269"/>
    <w:rsid w:val="00A45290"/>
    <w:rsid w:val="00A45322"/>
    <w:rsid w:val="00A45331"/>
    <w:rsid w:val="00A4534F"/>
    <w:rsid w:val="00A453F8"/>
    <w:rsid w:val="00A45478"/>
    <w:rsid w:val="00A454AB"/>
    <w:rsid w:val="00A454C0"/>
    <w:rsid w:val="00A45513"/>
    <w:rsid w:val="00A4554F"/>
    <w:rsid w:val="00A45579"/>
    <w:rsid w:val="00A4559E"/>
    <w:rsid w:val="00A455C3"/>
    <w:rsid w:val="00A4567F"/>
    <w:rsid w:val="00A456A5"/>
    <w:rsid w:val="00A456AC"/>
    <w:rsid w:val="00A456FB"/>
    <w:rsid w:val="00A4571E"/>
    <w:rsid w:val="00A45844"/>
    <w:rsid w:val="00A45848"/>
    <w:rsid w:val="00A45985"/>
    <w:rsid w:val="00A459DA"/>
    <w:rsid w:val="00A45B32"/>
    <w:rsid w:val="00A45C51"/>
    <w:rsid w:val="00A45D12"/>
    <w:rsid w:val="00A45D16"/>
    <w:rsid w:val="00A45D20"/>
    <w:rsid w:val="00A45DDB"/>
    <w:rsid w:val="00A45E65"/>
    <w:rsid w:val="00A45F0C"/>
    <w:rsid w:val="00A45FF9"/>
    <w:rsid w:val="00A46033"/>
    <w:rsid w:val="00A46047"/>
    <w:rsid w:val="00A4608C"/>
    <w:rsid w:val="00A460CE"/>
    <w:rsid w:val="00A4616C"/>
    <w:rsid w:val="00A4619B"/>
    <w:rsid w:val="00A461B9"/>
    <w:rsid w:val="00A461C0"/>
    <w:rsid w:val="00A461E3"/>
    <w:rsid w:val="00A462DD"/>
    <w:rsid w:val="00A462E7"/>
    <w:rsid w:val="00A46357"/>
    <w:rsid w:val="00A463E3"/>
    <w:rsid w:val="00A464BF"/>
    <w:rsid w:val="00A46528"/>
    <w:rsid w:val="00A46560"/>
    <w:rsid w:val="00A4658C"/>
    <w:rsid w:val="00A465DA"/>
    <w:rsid w:val="00A465F0"/>
    <w:rsid w:val="00A46628"/>
    <w:rsid w:val="00A46643"/>
    <w:rsid w:val="00A46691"/>
    <w:rsid w:val="00A46820"/>
    <w:rsid w:val="00A4682D"/>
    <w:rsid w:val="00A46851"/>
    <w:rsid w:val="00A469C9"/>
    <w:rsid w:val="00A46A82"/>
    <w:rsid w:val="00A46AAE"/>
    <w:rsid w:val="00A46C31"/>
    <w:rsid w:val="00A46D19"/>
    <w:rsid w:val="00A46DCD"/>
    <w:rsid w:val="00A46EAB"/>
    <w:rsid w:val="00A46EBF"/>
    <w:rsid w:val="00A46F80"/>
    <w:rsid w:val="00A46FA9"/>
    <w:rsid w:val="00A47016"/>
    <w:rsid w:val="00A4708A"/>
    <w:rsid w:val="00A47137"/>
    <w:rsid w:val="00A47159"/>
    <w:rsid w:val="00A471C3"/>
    <w:rsid w:val="00A4725A"/>
    <w:rsid w:val="00A472C7"/>
    <w:rsid w:val="00A47362"/>
    <w:rsid w:val="00A4741A"/>
    <w:rsid w:val="00A4743D"/>
    <w:rsid w:val="00A4757D"/>
    <w:rsid w:val="00A47596"/>
    <w:rsid w:val="00A475C8"/>
    <w:rsid w:val="00A47606"/>
    <w:rsid w:val="00A47685"/>
    <w:rsid w:val="00A4774F"/>
    <w:rsid w:val="00A4785A"/>
    <w:rsid w:val="00A4786B"/>
    <w:rsid w:val="00A478B9"/>
    <w:rsid w:val="00A47935"/>
    <w:rsid w:val="00A4798D"/>
    <w:rsid w:val="00A479E7"/>
    <w:rsid w:val="00A47EDE"/>
    <w:rsid w:val="00A47F4C"/>
    <w:rsid w:val="00A47F6A"/>
    <w:rsid w:val="00A4C7EC"/>
    <w:rsid w:val="00A500D7"/>
    <w:rsid w:val="00A501CA"/>
    <w:rsid w:val="00A5022F"/>
    <w:rsid w:val="00A5024B"/>
    <w:rsid w:val="00A50266"/>
    <w:rsid w:val="00A5035A"/>
    <w:rsid w:val="00A503AD"/>
    <w:rsid w:val="00A503FF"/>
    <w:rsid w:val="00A50492"/>
    <w:rsid w:val="00A50494"/>
    <w:rsid w:val="00A504A0"/>
    <w:rsid w:val="00A50514"/>
    <w:rsid w:val="00A506C5"/>
    <w:rsid w:val="00A5080C"/>
    <w:rsid w:val="00A5096B"/>
    <w:rsid w:val="00A50975"/>
    <w:rsid w:val="00A50A5A"/>
    <w:rsid w:val="00A50AC9"/>
    <w:rsid w:val="00A50B06"/>
    <w:rsid w:val="00A50BDA"/>
    <w:rsid w:val="00A50BF8"/>
    <w:rsid w:val="00A50C3F"/>
    <w:rsid w:val="00A50CA9"/>
    <w:rsid w:val="00A50D52"/>
    <w:rsid w:val="00A50DF9"/>
    <w:rsid w:val="00A50E4E"/>
    <w:rsid w:val="00A50EDC"/>
    <w:rsid w:val="00A50EDD"/>
    <w:rsid w:val="00A50EF4"/>
    <w:rsid w:val="00A5108B"/>
    <w:rsid w:val="00A510F3"/>
    <w:rsid w:val="00A5117A"/>
    <w:rsid w:val="00A511BF"/>
    <w:rsid w:val="00A511F5"/>
    <w:rsid w:val="00A51250"/>
    <w:rsid w:val="00A51313"/>
    <w:rsid w:val="00A513D4"/>
    <w:rsid w:val="00A513E3"/>
    <w:rsid w:val="00A514A4"/>
    <w:rsid w:val="00A514AD"/>
    <w:rsid w:val="00A514C7"/>
    <w:rsid w:val="00A514F5"/>
    <w:rsid w:val="00A515EB"/>
    <w:rsid w:val="00A51601"/>
    <w:rsid w:val="00A51680"/>
    <w:rsid w:val="00A51685"/>
    <w:rsid w:val="00A517AF"/>
    <w:rsid w:val="00A5180F"/>
    <w:rsid w:val="00A51811"/>
    <w:rsid w:val="00A5188D"/>
    <w:rsid w:val="00A51937"/>
    <w:rsid w:val="00A51A3E"/>
    <w:rsid w:val="00A51A71"/>
    <w:rsid w:val="00A51AAF"/>
    <w:rsid w:val="00A51BB5"/>
    <w:rsid w:val="00A51BB9"/>
    <w:rsid w:val="00A51BEB"/>
    <w:rsid w:val="00A51CA8"/>
    <w:rsid w:val="00A51EE5"/>
    <w:rsid w:val="00A51F47"/>
    <w:rsid w:val="00A51FF1"/>
    <w:rsid w:val="00A52072"/>
    <w:rsid w:val="00A52079"/>
    <w:rsid w:val="00A52139"/>
    <w:rsid w:val="00A5227B"/>
    <w:rsid w:val="00A52294"/>
    <w:rsid w:val="00A522CB"/>
    <w:rsid w:val="00A522F1"/>
    <w:rsid w:val="00A52358"/>
    <w:rsid w:val="00A52458"/>
    <w:rsid w:val="00A524E9"/>
    <w:rsid w:val="00A52575"/>
    <w:rsid w:val="00A525B4"/>
    <w:rsid w:val="00A52669"/>
    <w:rsid w:val="00A52694"/>
    <w:rsid w:val="00A52759"/>
    <w:rsid w:val="00A52811"/>
    <w:rsid w:val="00A528B1"/>
    <w:rsid w:val="00A528C5"/>
    <w:rsid w:val="00A528CA"/>
    <w:rsid w:val="00A52916"/>
    <w:rsid w:val="00A52927"/>
    <w:rsid w:val="00A5292D"/>
    <w:rsid w:val="00A52935"/>
    <w:rsid w:val="00A52A10"/>
    <w:rsid w:val="00A52BF1"/>
    <w:rsid w:val="00A52C8C"/>
    <w:rsid w:val="00A52CD1"/>
    <w:rsid w:val="00A52CFF"/>
    <w:rsid w:val="00A52D12"/>
    <w:rsid w:val="00A52D15"/>
    <w:rsid w:val="00A52D91"/>
    <w:rsid w:val="00A52E9B"/>
    <w:rsid w:val="00A52FD2"/>
    <w:rsid w:val="00A5302F"/>
    <w:rsid w:val="00A53092"/>
    <w:rsid w:val="00A53105"/>
    <w:rsid w:val="00A5310E"/>
    <w:rsid w:val="00A5312C"/>
    <w:rsid w:val="00A53177"/>
    <w:rsid w:val="00A53199"/>
    <w:rsid w:val="00A532E6"/>
    <w:rsid w:val="00A532FC"/>
    <w:rsid w:val="00A53345"/>
    <w:rsid w:val="00A53379"/>
    <w:rsid w:val="00A53400"/>
    <w:rsid w:val="00A534DF"/>
    <w:rsid w:val="00A534FF"/>
    <w:rsid w:val="00A5351A"/>
    <w:rsid w:val="00A53551"/>
    <w:rsid w:val="00A535A0"/>
    <w:rsid w:val="00A53634"/>
    <w:rsid w:val="00A536EE"/>
    <w:rsid w:val="00A537BD"/>
    <w:rsid w:val="00A537C3"/>
    <w:rsid w:val="00A537D9"/>
    <w:rsid w:val="00A5384C"/>
    <w:rsid w:val="00A538B4"/>
    <w:rsid w:val="00A538E1"/>
    <w:rsid w:val="00A539CB"/>
    <w:rsid w:val="00A53A33"/>
    <w:rsid w:val="00A53B1D"/>
    <w:rsid w:val="00A53B84"/>
    <w:rsid w:val="00A53BE0"/>
    <w:rsid w:val="00A53BFA"/>
    <w:rsid w:val="00A53D4E"/>
    <w:rsid w:val="00A53D7E"/>
    <w:rsid w:val="00A53DEA"/>
    <w:rsid w:val="00A53E6F"/>
    <w:rsid w:val="00A53E89"/>
    <w:rsid w:val="00A53E92"/>
    <w:rsid w:val="00A53FA7"/>
    <w:rsid w:val="00A5405D"/>
    <w:rsid w:val="00A5407F"/>
    <w:rsid w:val="00A540A4"/>
    <w:rsid w:val="00A540B4"/>
    <w:rsid w:val="00A540BF"/>
    <w:rsid w:val="00A54127"/>
    <w:rsid w:val="00A54187"/>
    <w:rsid w:val="00A5421B"/>
    <w:rsid w:val="00A54329"/>
    <w:rsid w:val="00A54404"/>
    <w:rsid w:val="00A5449E"/>
    <w:rsid w:val="00A544BD"/>
    <w:rsid w:val="00A54528"/>
    <w:rsid w:val="00A54531"/>
    <w:rsid w:val="00A54549"/>
    <w:rsid w:val="00A5455F"/>
    <w:rsid w:val="00A54623"/>
    <w:rsid w:val="00A546BF"/>
    <w:rsid w:val="00A546D4"/>
    <w:rsid w:val="00A546E1"/>
    <w:rsid w:val="00A546FE"/>
    <w:rsid w:val="00A54749"/>
    <w:rsid w:val="00A547B8"/>
    <w:rsid w:val="00A5484C"/>
    <w:rsid w:val="00A5498C"/>
    <w:rsid w:val="00A54994"/>
    <w:rsid w:val="00A54A14"/>
    <w:rsid w:val="00A54AC2"/>
    <w:rsid w:val="00A54C12"/>
    <w:rsid w:val="00A54C1A"/>
    <w:rsid w:val="00A54CDE"/>
    <w:rsid w:val="00A54DEF"/>
    <w:rsid w:val="00A54DF4"/>
    <w:rsid w:val="00A54EB7"/>
    <w:rsid w:val="00A54EF1"/>
    <w:rsid w:val="00A54F12"/>
    <w:rsid w:val="00A54F41"/>
    <w:rsid w:val="00A54FA8"/>
    <w:rsid w:val="00A55014"/>
    <w:rsid w:val="00A550A1"/>
    <w:rsid w:val="00A55160"/>
    <w:rsid w:val="00A551C2"/>
    <w:rsid w:val="00A55255"/>
    <w:rsid w:val="00A55271"/>
    <w:rsid w:val="00A5529C"/>
    <w:rsid w:val="00A552D2"/>
    <w:rsid w:val="00A5531C"/>
    <w:rsid w:val="00A55322"/>
    <w:rsid w:val="00A5534C"/>
    <w:rsid w:val="00A553A2"/>
    <w:rsid w:val="00A5545A"/>
    <w:rsid w:val="00A5557C"/>
    <w:rsid w:val="00A555C6"/>
    <w:rsid w:val="00A555CD"/>
    <w:rsid w:val="00A555FF"/>
    <w:rsid w:val="00A55637"/>
    <w:rsid w:val="00A55666"/>
    <w:rsid w:val="00A556A1"/>
    <w:rsid w:val="00A556ED"/>
    <w:rsid w:val="00A55743"/>
    <w:rsid w:val="00A55774"/>
    <w:rsid w:val="00A55779"/>
    <w:rsid w:val="00A557A7"/>
    <w:rsid w:val="00A557B6"/>
    <w:rsid w:val="00A557BD"/>
    <w:rsid w:val="00A557CC"/>
    <w:rsid w:val="00A557D4"/>
    <w:rsid w:val="00A557F4"/>
    <w:rsid w:val="00A558A0"/>
    <w:rsid w:val="00A55917"/>
    <w:rsid w:val="00A55928"/>
    <w:rsid w:val="00A55939"/>
    <w:rsid w:val="00A55950"/>
    <w:rsid w:val="00A559AB"/>
    <w:rsid w:val="00A55B0D"/>
    <w:rsid w:val="00A55B17"/>
    <w:rsid w:val="00A55C1B"/>
    <w:rsid w:val="00A55C20"/>
    <w:rsid w:val="00A55C2B"/>
    <w:rsid w:val="00A55CCB"/>
    <w:rsid w:val="00A55E4E"/>
    <w:rsid w:val="00A55E6D"/>
    <w:rsid w:val="00A55F22"/>
    <w:rsid w:val="00A55F61"/>
    <w:rsid w:val="00A55FE0"/>
    <w:rsid w:val="00A5606A"/>
    <w:rsid w:val="00A5611F"/>
    <w:rsid w:val="00A5619D"/>
    <w:rsid w:val="00A5619E"/>
    <w:rsid w:val="00A561B3"/>
    <w:rsid w:val="00A561B8"/>
    <w:rsid w:val="00A561EA"/>
    <w:rsid w:val="00A5620F"/>
    <w:rsid w:val="00A56224"/>
    <w:rsid w:val="00A56258"/>
    <w:rsid w:val="00A5627F"/>
    <w:rsid w:val="00A56354"/>
    <w:rsid w:val="00A563C2"/>
    <w:rsid w:val="00A56427"/>
    <w:rsid w:val="00A56448"/>
    <w:rsid w:val="00A564D2"/>
    <w:rsid w:val="00A56514"/>
    <w:rsid w:val="00A56592"/>
    <w:rsid w:val="00A565EA"/>
    <w:rsid w:val="00A56668"/>
    <w:rsid w:val="00A567E7"/>
    <w:rsid w:val="00A56846"/>
    <w:rsid w:val="00A5686C"/>
    <w:rsid w:val="00A568B1"/>
    <w:rsid w:val="00A569DB"/>
    <w:rsid w:val="00A56A20"/>
    <w:rsid w:val="00A56A25"/>
    <w:rsid w:val="00A56A26"/>
    <w:rsid w:val="00A56AA1"/>
    <w:rsid w:val="00A56B30"/>
    <w:rsid w:val="00A56B54"/>
    <w:rsid w:val="00A56C1D"/>
    <w:rsid w:val="00A56CB7"/>
    <w:rsid w:val="00A56CF8"/>
    <w:rsid w:val="00A56D5F"/>
    <w:rsid w:val="00A56DA9"/>
    <w:rsid w:val="00A56DF7"/>
    <w:rsid w:val="00A56E83"/>
    <w:rsid w:val="00A56EA1"/>
    <w:rsid w:val="00A56EA4"/>
    <w:rsid w:val="00A56F47"/>
    <w:rsid w:val="00A56F51"/>
    <w:rsid w:val="00A56F74"/>
    <w:rsid w:val="00A57061"/>
    <w:rsid w:val="00A5706D"/>
    <w:rsid w:val="00A570A1"/>
    <w:rsid w:val="00A570DE"/>
    <w:rsid w:val="00A57182"/>
    <w:rsid w:val="00A57265"/>
    <w:rsid w:val="00A57347"/>
    <w:rsid w:val="00A573D3"/>
    <w:rsid w:val="00A574B3"/>
    <w:rsid w:val="00A574D4"/>
    <w:rsid w:val="00A574E0"/>
    <w:rsid w:val="00A575B6"/>
    <w:rsid w:val="00A575BD"/>
    <w:rsid w:val="00A5760B"/>
    <w:rsid w:val="00A57690"/>
    <w:rsid w:val="00A57761"/>
    <w:rsid w:val="00A57769"/>
    <w:rsid w:val="00A577D8"/>
    <w:rsid w:val="00A57842"/>
    <w:rsid w:val="00A5792F"/>
    <w:rsid w:val="00A57969"/>
    <w:rsid w:val="00A57995"/>
    <w:rsid w:val="00A579ED"/>
    <w:rsid w:val="00A57AAA"/>
    <w:rsid w:val="00A57B0A"/>
    <w:rsid w:val="00A57B6A"/>
    <w:rsid w:val="00A57B89"/>
    <w:rsid w:val="00A57C90"/>
    <w:rsid w:val="00A57CA8"/>
    <w:rsid w:val="00A57D88"/>
    <w:rsid w:val="00A57D9A"/>
    <w:rsid w:val="00A57F02"/>
    <w:rsid w:val="00A57F98"/>
    <w:rsid w:val="00A60005"/>
    <w:rsid w:val="00A60022"/>
    <w:rsid w:val="00A60047"/>
    <w:rsid w:val="00A60050"/>
    <w:rsid w:val="00A600B7"/>
    <w:rsid w:val="00A60134"/>
    <w:rsid w:val="00A601EF"/>
    <w:rsid w:val="00A60229"/>
    <w:rsid w:val="00A602EF"/>
    <w:rsid w:val="00A60386"/>
    <w:rsid w:val="00A603DD"/>
    <w:rsid w:val="00A6040F"/>
    <w:rsid w:val="00A6042A"/>
    <w:rsid w:val="00A60472"/>
    <w:rsid w:val="00A6047B"/>
    <w:rsid w:val="00A604CF"/>
    <w:rsid w:val="00A6054D"/>
    <w:rsid w:val="00A60695"/>
    <w:rsid w:val="00A606AB"/>
    <w:rsid w:val="00A606B8"/>
    <w:rsid w:val="00A606EB"/>
    <w:rsid w:val="00A606ED"/>
    <w:rsid w:val="00A6073A"/>
    <w:rsid w:val="00A60790"/>
    <w:rsid w:val="00A607A2"/>
    <w:rsid w:val="00A60820"/>
    <w:rsid w:val="00A608AF"/>
    <w:rsid w:val="00A608DF"/>
    <w:rsid w:val="00A608F0"/>
    <w:rsid w:val="00A6098F"/>
    <w:rsid w:val="00A609A9"/>
    <w:rsid w:val="00A609D7"/>
    <w:rsid w:val="00A609F5"/>
    <w:rsid w:val="00A60A20"/>
    <w:rsid w:val="00A60AF0"/>
    <w:rsid w:val="00A60C24"/>
    <w:rsid w:val="00A60C9C"/>
    <w:rsid w:val="00A60CEB"/>
    <w:rsid w:val="00A60D6A"/>
    <w:rsid w:val="00A60D77"/>
    <w:rsid w:val="00A60DB3"/>
    <w:rsid w:val="00A60DD0"/>
    <w:rsid w:val="00A60DE1"/>
    <w:rsid w:val="00A60DEC"/>
    <w:rsid w:val="00A60DF3"/>
    <w:rsid w:val="00A60E2B"/>
    <w:rsid w:val="00A60E81"/>
    <w:rsid w:val="00A60EFB"/>
    <w:rsid w:val="00A60F0F"/>
    <w:rsid w:val="00A60F9C"/>
    <w:rsid w:val="00A60FA7"/>
    <w:rsid w:val="00A60FE4"/>
    <w:rsid w:val="00A6106F"/>
    <w:rsid w:val="00A610A6"/>
    <w:rsid w:val="00A61119"/>
    <w:rsid w:val="00A6114A"/>
    <w:rsid w:val="00A611C3"/>
    <w:rsid w:val="00A6121D"/>
    <w:rsid w:val="00A61263"/>
    <w:rsid w:val="00A6146F"/>
    <w:rsid w:val="00A61497"/>
    <w:rsid w:val="00A61512"/>
    <w:rsid w:val="00A61516"/>
    <w:rsid w:val="00A61527"/>
    <w:rsid w:val="00A61592"/>
    <w:rsid w:val="00A615FE"/>
    <w:rsid w:val="00A615FF"/>
    <w:rsid w:val="00A61667"/>
    <w:rsid w:val="00A61678"/>
    <w:rsid w:val="00A6168E"/>
    <w:rsid w:val="00A6172A"/>
    <w:rsid w:val="00A61730"/>
    <w:rsid w:val="00A61779"/>
    <w:rsid w:val="00A61790"/>
    <w:rsid w:val="00A617AF"/>
    <w:rsid w:val="00A617C7"/>
    <w:rsid w:val="00A617FA"/>
    <w:rsid w:val="00A6191E"/>
    <w:rsid w:val="00A619A1"/>
    <w:rsid w:val="00A619BE"/>
    <w:rsid w:val="00A61A42"/>
    <w:rsid w:val="00A61B62"/>
    <w:rsid w:val="00A61CB1"/>
    <w:rsid w:val="00A61CBC"/>
    <w:rsid w:val="00A61DB5"/>
    <w:rsid w:val="00A61DE7"/>
    <w:rsid w:val="00A61E0C"/>
    <w:rsid w:val="00A61E2B"/>
    <w:rsid w:val="00A61F2A"/>
    <w:rsid w:val="00A61FED"/>
    <w:rsid w:val="00A62061"/>
    <w:rsid w:val="00A62070"/>
    <w:rsid w:val="00A6208C"/>
    <w:rsid w:val="00A620A5"/>
    <w:rsid w:val="00A62153"/>
    <w:rsid w:val="00A62163"/>
    <w:rsid w:val="00A621C7"/>
    <w:rsid w:val="00A621CA"/>
    <w:rsid w:val="00A621DF"/>
    <w:rsid w:val="00A62269"/>
    <w:rsid w:val="00A6228A"/>
    <w:rsid w:val="00A62341"/>
    <w:rsid w:val="00A62368"/>
    <w:rsid w:val="00A6237D"/>
    <w:rsid w:val="00A6240B"/>
    <w:rsid w:val="00A6248D"/>
    <w:rsid w:val="00A625A6"/>
    <w:rsid w:val="00A625BA"/>
    <w:rsid w:val="00A625C0"/>
    <w:rsid w:val="00A625D8"/>
    <w:rsid w:val="00A62607"/>
    <w:rsid w:val="00A6264D"/>
    <w:rsid w:val="00A62693"/>
    <w:rsid w:val="00A627D9"/>
    <w:rsid w:val="00A6287A"/>
    <w:rsid w:val="00A628D1"/>
    <w:rsid w:val="00A628ED"/>
    <w:rsid w:val="00A629A3"/>
    <w:rsid w:val="00A629EB"/>
    <w:rsid w:val="00A62A07"/>
    <w:rsid w:val="00A62A2F"/>
    <w:rsid w:val="00A62A90"/>
    <w:rsid w:val="00A62ACF"/>
    <w:rsid w:val="00A62B75"/>
    <w:rsid w:val="00A62B86"/>
    <w:rsid w:val="00A62BBF"/>
    <w:rsid w:val="00A62C33"/>
    <w:rsid w:val="00A62CC6"/>
    <w:rsid w:val="00A62CCB"/>
    <w:rsid w:val="00A62CD5"/>
    <w:rsid w:val="00A62D0D"/>
    <w:rsid w:val="00A62D2E"/>
    <w:rsid w:val="00A62D30"/>
    <w:rsid w:val="00A62D7A"/>
    <w:rsid w:val="00A62D90"/>
    <w:rsid w:val="00A62D93"/>
    <w:rsid w:val="00A62DA1"/>
    <w:rsid w:val="00A62DBE"/>
    <w:rsid w:val="00A62DC8"/>
    <w:rsid w:val="00A62E6A"/>
    <w:rsid w:val="00A62EA8"/>
    <w:rsid w:val="00A62EAD"/>
    <w:rsid w:val="00A62EE8"/>
    <w:rsid w:val="00A62F39"/>
    <w:rsid w:val="00A62F47"/>
    <w:rsid w:val="00A62FB6"/>
    <w:rsid w:val="00A62FEB"/>
    <w:rsid w:val="00A63124"/>
    <w:rsid w:val="00A63163"/>
    <w:rsid w:val="00A6323B"/>
    <w:rsid w:val="00A6325F"/>
    <w:rsid w:val="00A63321"/>
    <w:rsid w:val="00A63325"/>
    <w:rsid w:val="00A6337B"/>
    <w:rsid w:val="00A6343D"/>
    <w:rsid w:val="00A6347C"/>
    <w:rsid w:val="00A635C4"/>
    <w:rsid w:val="00A63628"/>
    <w:rsid w:val="00A63693"/>
    <w:rsid w:val="00A63754"/>
    <w:rsid w:val="00A6375D"/>
    <w:rsid w:val="00A637A4"/>
    <w:rsid w:val="00A637BB"/>
    <w:rsid w:val="00A6381E"/>
    <w:rsid w:val="00A63895"/>
    <w:rsid w:val="00A638E6"/>
    <w:rsid w:val="00A63923"/>
    <w:rsid w:val="00A6397F"/>
    <w:rsid w:val="00A639C8"/>
    <w:rsid w:val="00A63A8F"/>
    <w:rsid w:val="00A63AAE"/>
    <w:rsid w:val="00A63B72"/>
    <w:rsid w:val="00A63B74"/>
    <w:rsid w:val="00A63C44"/>
    <w:rsid w:val="00A63CBD"/>
    <w:rsid w:val="00A63D19"/>
    <w:rsid w:val="00A63D26"/>
    <w:rsid w:val="00A63D2D"/>
    <w:rsid w:val="00A63D75"/>
    <w:rsid w:val="00A63E4A"/>
    <w:rsid w:val="00A63E7A"/>
    <w:rsid w:val="00A63E81"/>
    <w:rsid w:val="00A63ECC"/>
    <w:rsid w:val="00A63F62"/>
    <w:rsid w:val="00A63FB0"/>
    <w:rsid w:val="00A63FCD"/>
    <w:rsid w:val="00A63FD2"/>
    <w:rsid w:val="00A63FF8"/>
    <w:rsid w:val="00A640E6"/>
    <w:rsid w:val="00A64106"/>
    <w:rsid w:val="00A64166"/>
    <w:rsid w:val="00A64168"/>
    <w:rsid w:val="00A6417F"/>
    <w:rsid w:val="00A641E7"/>
    <w:rsid w:val="00A643CA"/>
    <w:rsid w:val="00A64415"/>
    <w:rsid w:val="00A6442A"/>
    <w:rsid w:val="00A64464"/>
    <w:rsid w:val="00A644B8"/>
    <w:rsid w:val="00A64506"/>
    <w:rsid w:val="00A64528"/>
    <w:rsid w:val="00A645DC"/>
    <w:rsid w:val="00A6463B"/>
    <w:rsid w:val="00A64660"/>
    <w:rsid w:val="00A64679"/>
    <w:rsid w:val="00A646F4"/>
    <w:rsid w:val="00A64818"/>
    <w:rsid w:val="00A6483D"/>
    <w:rsid w:val="00A64852"/>
    <w:rsid w:val="00A64A30"/>
    <w:rsid w:val="00A64A46"/>
    <w:rsid w:val="00A64AC7"/>
    <w:rsid w:val="00A64B54"/>
    <w:rsid w:val="00A64B73"/>
    <w:rsid w:val="00A64C09"/>
    <w:rsid w:val="00A64C23"/>
    <w:rsid w:val="00A64C45"/>
    <w:rsid w:val="00A64FC5"/>
    <w:rsid w:val="00A64FF5"/>
    <w:rsid w:val="00A6500D"/>
    <w:rsid w:val="00A65126"/>
    <w:rsid w:val="00A651A9"/>
    <w:rsid w:val="00A651EE"/>
    <w:rsid w:val="00A6524C"/>
    <w:rsid w:val="00A6528A"/>
    <w:rsid w:val="00A65331"/>
    <w:rsid w:val="00A6537C"/>
    <w:rsid w:val="00A653AA"/>
    <w:rsid w:val="00A65524"/>
    <w:rsid w:val="00A655D0"/>
    <w:rsid w:val="00A65635"/>
    <w:rsid w:val="00A656D0"/>
    <w:rsid w:val="00A6572B"/>
    <w:rsid w:val="00A65753"/>
    <w:rsid w:val="00A65797"/>
    <w:rsid w:val="00A65799"/>
    <w:rsid w:val="00A65870"/>
    <w:rsid w:val="00A6588D"/>
    <w:rsid w:val="00A658BB"/>
    <w:rsid w:val="00A6595A"/>
    <w:rsid w:val="00A6598D"/>
    <w:rsid w:val="00A659E6"/>
    <w:rsid w:val="00A65AD6"/>
    <w:rsid w:val="00A65BCF"/>
    <w:rsid w:val="00A65C14"/>
    <w:rsid w:val="00A65CC3"/>
    <w:rsid w:val="00A65CD0"/>
    <w:rsid w:val="00A65D14"/>
    <w:rsid w:val="00A65D6F"/>
    <w:rsid w:val="00A65D8E"/>
    <w:rsid w:val="00A65DC2"/>
    <w:rsid w:val="00A65E2B"/>
    <w:rsid w:val="00A65F26"/>
    <w:rsid w:val="00A65F31"/>
    <w:rsid w:val="00A6605F"/>
    <w:rsid w:val="00A6609C"/>
    <w:rsid w:val="00A660AC"/>
    <w:rsid w:val="00A66154"/>
    <w:rsid w:val="00A661C6"/>
    <w:rsid w:val="00A66207"/>
    <w:rsid w:val="00A6632A"/>
    <w:rsid w:val="00A66333"/>
    <w:rsid w:val="00A66388"/>
    <w:rsid w:val="00A663AF"/>
    <w:rsid w:val="00A663F3"/>
    <w:rsid w:val="00A66414"/>
    <w:rsid w:val="00A6647B"/>
    <w:rsid w:val="00A664A6"/>
    <w:rsid w:val="00A664AB"/>
    <w:rsid w:val="00A664D7"/>
    <w:rsid w:val="00A664E9"/>
    <w:rsid w:val="00A66546"/>
    <w:rsid w:val="00A66586"/>
    <w:rsid w:val="00A665F1"/>
    <w:rsid w:val="00A6670D"/>
    <w:rsid w:val="00A6672F"/>
    <w:rsid w:val="00A66774"/>
    <w:rsid w:val="00A667D6"/>
    <w:rsid w:val="00A667E6"/>
    <w:rsid w:val="00A66816"/>
    <w:rsid w:val="00A66856"/>
    <w:rsid w:val="00A66859"/>
    <w:rsid w:val="00A6692F"/>
    <w:rsid w:val="00A669E6"/>
    <w:rsid w:val="00A669F0"/>
    <w:rsid w:val="00A66A0C"/>
    <w:rsid w:val="00A66A6E"/>
    <w:rsid w:val="00A66AC8"/>
    <w:rsid w:val="00A66C0D"/>
    <w:rsid w:val="00A66C22"/>
    <w:rsid w:val="00A66D71"/>
    <w:rsid w:val="00A66D9B"/>
    <w:rsid w:val="00A66DE7"/>
    <w:rsid w:val="00A66E0C"/>
    <w:rsid w:val="00A66E23"/>
    <w:rsid w:val="00A66EA1"/>
    <w:rsid w:val="00A66F3A"/>
    <w:rsid w:val="00A66FE4"/>
    <w:rsid w:val="00A67069"/>
    <w:rsid w:val="00A6707F"/>
    <w:rsid w:val="00A670B2"/>
    <w:rsid w:val="00A67112"/>
    <w:rsid w:val="00A67179"/>
    <w:rsid w:val="00A6724A"/>
    <w:rsid w:val="00A673D9"/>
    <w:rsid w:val="00A67404"/>
    <w:rsid w:val="00A6749C"/>
    <w:rsid w:val="00A674ED"/>
    <w:rsid w:val="00A67523"/>
    <w:rsid w:val="00A67551"/>
    <w:rsid w:val="00A67578"/>
    <w:rsid w:val="00A67582"/>
    <w:rsid w:val="00A67633"/>
    <w:rsid w:val="00A676DA"/>
    <w:rsid w:val="00A676E5"/>
    <w:rsid w:val="00A6780F"/>
    <w:rsid w:val="00A67814"/>
    <w:rsid w:val="00A678B7"/>
    <w:rsid w:val="00A6792C"/>
    <w:rsid w:val="00A67986"/>
    <w:rsid w:val="00A67A14"/>
    <w:rsid w:val="00A67ABC"/>
    <w:rsid w:val="00A67AFE"/>
    <w:rsid w:val="00A67B2E"/>
    <w:rsid w:val="00A67BD1"/>
    <w:rsid w:val="00A67C2C"/>
    <w:rsid w:val="00A67D02"/>
    <w:rsid w:val="00A67DBA"/>
    <w:rsid w:val="00A67E90"/>
    <w:rsid w:val="00A67F32"/>
    <w:rsid w:val="00A67FA0"/>
    <w:rsid w:val="00A67FAA"/>
    <w:rsid w:val="00A67FD8"/>
    <w:rsid w:val="00A67FE6"/>
    <w:rsid w:val="00A7000B"/>
    <w:rsid w:val="00A70021"/>
    <w:rsid w:val="00A70041"/>
    <w:rsid w:val="00A70049"/>
    <w:rsid w:val="00A7009E"/>
    <w:rsid w:val="00A70115"/>
    <w:rsid w:val="00A7022D"/>
    <w:rsid w:val="00A7028F"/>
    <w:rsid w:val="00A702A5"/>
    <w:rsid w:val="00A7034F"/>
    <w:rsid w:val="00A703AA"/>
    <w:rsid w:val="00A703E4"/>
    <w:rsid w:val="00A7044D"/>
    <w:rsid w:val="00A704BA"/>
    <w:rsid w:val="00A70509"/>
    <w:rsid w:val="00A70524"/>
    <w:rsid w:val="00A7054C"/>
    <w:rsid w:val="00A7057F"/>
    <w:rsid w:val="00A7058B"/>
    <w:rsid w:val="00A705E5"/>
    <w:rsid w:val="00A70712"/>
    <w:rsid w:val="00A70797"/>
    <w:rsid w:val="00A707AB"/>
    <w:rsid w:val="00A70814"/>
    <w:rsid w:val="00A7084E"/>
    <w:rsid w:val="00A708D6"/>
    <w:rsid w:val="00A708E7"/>
    <w:rsid w:val="00A7099E"/>
    <w:rsid w:val="00A70A20"/>
    <w:rsid w:val="00A70AFF"/>
    <w:rsid w:val="00A70C4B"/>
    <w:rsid w:val="00A70CC7"/>
    <w:rsid w:val="00A70DC1"/>
    <w:rsid w:val="00A70EAF"/>
    <w:rsid w:val="00A70F39"/>
    <w:rsid w:val="00A70F3F"/>
    <w:rsid w:val="00A70FEB"/>
    <w:rsid w:val="00A71013"/>
    <w:rsid w:val="00A7101C"/>
    <w:rsid w:val="00A7112B"/>
    <w:rsid w:val="00A71164"/>
    <w:rsid w:val="00A71200"/>
    <w:rsid w:val="00A7125B"/>
    <w:rsid w:val="00A71278"/>
    <w:rsid w:val="00A71324"/>
    <w:rsid w:val="00A71375"/>
    <w:rsid w:val="00A713FD"/>
    <w:rsid w:val="00A7144B"/>
    <w:rsid w:val="00A7150E"/>
    <w:rsid w:val="00A715FD"/>
    <w:rsid w:val="00A7167D"/>
    <w:rsid w:val="00A71685"/>
    <w:rsid w:val="00A71687"/>
    <w:rsid w:val="00A716C5"/>
    <w:rsid w:val="00A7174E"/>
    <w:rsid w:val="00A71782"/>
    <w:rsid w:val="00A7186F"/>
    <w:rsid w:val="00A71873"/>
    <w:rsid w:val="00A7187A"/>
    <w:rsid w:val="00A71A63"/>
    <w:rsid w:val="00A71BDB"/>
    <w:rsid w:val="00A71BE0"/>
    <w:rsid w:val="00A71C42"/>
    <w:rsid w:val="00A71C5C"/>
    <w:rsid w:val="00A71C77"/>
    <w:rsid w:val="00A71CC0"/>
    <w:rsid w:val="00A71CD3"/>
    <w:rsid w:val="00A71D17"/>
    <w:rsid w:val="00A71D7D"/>
    <w:rsid w:val="00A71DB9"/>
    <w:rsid w:val="00A71DFA"/>
    <w:rsid w:val="00A71E87"/>
    <w:rsid w:val="00A71EE4"/>
    <w:rsid w:val="00A71F21"/>
    <w:rsid w:val="00A71F24"/>
    <w:rsid w:val="00A71F84"/>
    <w:rsid w:val="00A7200C"/>
    <w:rsid w:val="00A72012"/>
    <w:rsid w:val="00A72042"/>
    <w:rsid w:val="00A72094"/>
    <w:rsid w:val="00A720A2"/>
    <w:rsid w:val="00A720FB"/>
    <w:rsid w:val="00A72129"/>
    <w:rsid w:val="00A72163"/>
    <w:rsid w:val="00A7219D"/>
    <w:rsid w:val="00A721E3"/>
    <w:rsid w:val="00A7222A"/>
    <w:rsid w:val="00A7223E"/>
    <w:rsid w:val="00A7225A"/>
    <w:rsid w:val="00A72331"/>
    <w:rsid w:val="00A7235E"/>
    <w:rsid w:val="00A72364"/>
    <w:rsid w:val="00A7239E"/>
    <w:rsid w:val="00A723AC"/>
    <w:rsid w:val="00A723BA"/>
    <w:rsid w:val="00A72408"/>
    <w:rsid w:val="00A72421"/>
    <w:rsid w:val="00A724A7"/>
    <w:rsid w:val="00A724D1"/>
    <w:rsid w:val="00A725B1"/>
    <w:rsid w:val="00A72602"/>
    <w:rsid w:val="00A72639"/>
    <w:rsid w:val="00A72666"/>
    <w:rsid w:val="00A72688"/>
    <w:rsid w:val="00A726BE"/>
    <w:rsid w:val="00A727D0"/>
    <w:rsid w:val="00A727ED"/>
    <w:rsid w:val="00A7281B"/>
    <w:rsid w:val="00A7289E"/>
    <w:rsid w:val="00A728B7"/>
    <w:rsid w:val="00A72917"/>
    <w:rsid w:val="00A72A2D"/>
    <w:rsid w:val="00A72A34"/>
    <w:rsid w:val="00A72A38"/>
    <w:rsid w:val="00A72AF8"/>
    <w:rsid w:val="00A72B63"/>
    <w:rsid w:val="00A72C4B"/>
    <w:rsid w:val="00A72CCC"/>
    <w:rsid w:val="00A72D03"/>
    <w:rsid w:val="00A72D14"/>
    <w:rsid w:val="00A72D65"/>
    <w:rsid w:val="00A72D93"/>
    <w:rsid w:val="00A72DEA"/>
    <w:rsid w:val="00A72EFA"/>
    <w:rsid w:val="00A72F22"/>
    <w:rsid w:val="00A73114"/>
    <w:rsid w:val="00A73149"/>
    <w:rsid w:val="00A73310"/>
    <w:rsid w:val="00A73471"/>
    <w:rsid w:val="00A73491"/>
    <w:rsid w:val="00A7349E"/>
    <w:rsid w:val="00A734E1"/>
    <w:rsid w:val="00A7350F"/>
    <w:rsid w:val="00A73511"/>
    <w:rsid w:val="00A735B9"/>
    <w:rsid w:val="00A73635"/>
    <w:rsid w:val="00A737F9"/>
    <w:rsid w:val="00A73881"/>
    <w:rsid w:val="00A738CE"/>
    <w:rsid w:val="00A738F7"/>
    <w:rsid w:val="00A73959"/>
    <w:rsid w:val="00A739FC"/>
    <w:rsid w:val="00A739FD"/>
    <w:rsid w:val="00A73A65"/>
    <w:rsid w:val="00A73A74"/>
    <w:rsid w:val="00A73A9C"/>
    <w:rsid w:val="00A73AA9"/>
    <w:rsid w:val="00A73AB1"/>
    <w:rsid w:val="00A73B25"/>
    <w:rsid w:val="00A73C18"/>
    <w:rsid w:val="00A73C4E"/>
    <w:rsid w:val="00A73C70"/>
    <w:rsid w:val="00A73CB5"/>
    <w:rsid w:val="00A73CC7"/>
    <w:rsid w:val="00A73D73"/>
    <w:rsid w:val="00A73DCB"/>
    <w:rsid w:val="00A73DD4"/>
    <w:rsid w:val="00A73E24"/>
    <w:rsid w:val="00A73E38"/>
    <w:rsid w:val="00A73E82"/>
    <w:rsid w:val="00A73E98"/>
    <w:rsid w:val="00A73ECB"/>
    <w:rsid w:val="00A73F15"/>
    <w:rsid w:val="00A7401B"/>
    <w:rsid w:val="00A74033"/>
    <w:rsid w:val="00A74058"/>
    <w:rsid w:val="00A74078"/>
    <w:rsid w:val="00A7417B"/>
    <w:rsid w:val="00A7418B"/>
    <w:rsid w:val="00A74198"/>
    <w:rsid w:val="00A74199"/>
    <w:rsid w:val="00A7421E"/>
    <w:rsid w:val="00A7429D"/>
    <w:rsid w:val="00A742A3"/>
    <w:rsid w:val="00A742CF"/>
    <w:rsid w:val="00A742FC"/>
    <w:rsid w:val="00A7433C"/>
    <w:rsid w:val="00A74345"/>
    <w:rsid w:val="00A74374"/>
    <w:rsid w:val="00A743CD"/>
    <w:rsid w:val="00A7442B"/>
    <w:rsid w:val="00A7451E"/>
    <w:rsid w:val="00A74628"/>
    <w:rsid w:val="00A74701"/>
    <w:rsid w:val="00A74770"/>
    <w:rsid w:val="00A74799"/>
    <w:rsid w:val="00A74834"/>
    <w:rsid w:val="00A7486D"/>
    <w:rsid w:val="00A74909"/>
    <w:rsid w:val="00A74929"/>
    <w:rsid w:val="00A74941"/>
    <w:rsid w:val="00A7494C"/>
    <w:rsid w:val="00A74957"/>
    <w:rsid w:val="00A74981"/>
    <w:rsid w:val="00A749AF"/>
    <w:rsid w:val="00A749FE"/>
    <w:rsid w:val="00A74B07"/>
    <w:rsid w:val="00A74B23"/>
    <w:rsid w:val="00A74B30"/>
    <w:rsid w:val="00A74B3E"/>
    <w:rsid w:val="00A74B43"/>
    <w:rsid w:val="00A74B48"/>
    <w:rsid w:val="00A74C54"/>
    <w:rsid w:val="00A74C82"/>
    <w:rsid w:val="00A74D83"/>
    <w:rsid w:val="00A74E3E"/>
    <w:rsid w:val="00A74E9D"/>
    <w:rsid w:val="00A74EBE"/>
    <w:rsid w:val="00A74F04"/>
    <w:rsid w:val="00A74F67"/>
    <w:rsid w:val="00A74F7A"/>
    <w:rsid w:val="00A74F84"/>
    <w:rsid w:val="00A74FAD"/>
    <w:rsid w:val="00A74FC7"/>
    <w:rsid w:val="00A74FC8"/>
    <w:rsid w:val="00A7503F"/>
    <w:rsid w:val="00A75052"/>
    <w:rsid w:val="00A751F8"/>
    <w:rsid w:val="00A7525B"/>
    <w:rsid w:val="00A752F0"/>
    <w:rsid w:val="00A75395"/>
    <w:rsid w:val="00A753BA"/>
    <w:rsid w:val="00A75525"/>
    <w:rsid w:val="00A7555E"/>
    <w:rsid w:val="00A7556C"/>
    <w:rsid w:val="00A7564C"/>
    <w:rsid w:val="00A75661"/>
    <w:rsid w:val="00A7569B"/>
    <w:rsid w:val="00A756AD"/>
    <w:rsid w:val="00A75762"/>
    <w:rsid w:val="00A75830"/>
    <w:rsid w:val="00A758B5"/>
    <w:rsid w:val="00A75982"/>
    <w:rsid w:val="00A75A64"/>
    <w:rsid w:val="00A75A8F"/>
    <w:rsid w:val="00A75B16"/>
    <w:rsid w:val="00A75B55"/>
    <w:rsid w:val="00A75C03"/>
    <w:rsid w:val="00A75C4A"/>
    <w:rsid w:val="00A75D2A"/>
    <w:rsid w:val="00A75D2E"/>
    <w:rsid w:val="00A75D87"/>
    <w:rsid w:val="00A75DB7"/>
    <w:rsid w:val="00A75DF6"/>
    <w:rsid w:val="00A75F0C"/>
    <w:rsid w:val="00A75FE1"/>
    <w:rsid w:val="00A760F3"/>
    <w:rsid w:val="00A7612B"/>
    <w:rsid w:val="00A76178"/>
    <w:rsid w:val="00A761D5"/>
    <w:rsid w:val="00A762E4"/>
    <w:rsid w:val="00A7634F"/>
    <w:rsid w:val="00A763B7"/>
    <w:rsid w:val="00A763BC"/>
    <w:rsid w:val="00A763E4"/>
    <w:rsid w:val="00A76406"/>
    <w:rsid w:val="00A76413"/>
    <w:rsid w:val="00A764E9"/>
    <w:rsid w:val="00A76569"/>
    <w:rsid w:val="00A765B4"/>
    <w:rsid w:val="00A7668E"/>
    <w:rsid w:val="00A766AE"/>
    <w:rsid w:val="00A766C4"/>
    <w:rsid w:val="00A766F0"/>
    <w:rsid w:val="00A76753"/>
    <w:rsid w:val="00A76791"/>
    <w:rsid w:val="00A767AF"/>
    <w:rsid w:val="00A767D4"/>
    <w:rsid w:val="00A7687A"/>
    <w:rsid w:val="00A768CD"/>
    <w:rsid w:val="00A768DF"/>
    <w:rsid w:val="00A76925"/>
    <w:rsid w:val="00A7694B"/>
    <w:rsid w:val="00A76992"/>
    <w:rsid w:val="00A76ACF"/>
    <w:rsid w:val="00A76B05"/>
    <w:rsid w:val="00A76B3B"/>
    <w:rsid w:val="00A76B49"/>
    <w:rsid w:val="00A76B60"/>
    <w:rsid w:val="00A76CB5"/>
    <w:rsid w:val="00A76D0D"/>
    <w:rsid w:val="00A76DCA"/>
    <w:rsid w:val="00A76E4D"/>
    <w:rsid w:val="00A76F06"/>
    <w:rsid w:val="00A76F4E"/>
    <w:rsid w:val="00A76FC2"/>
    <w:rsid w:val="00A7700E"/>
    <w:rsid w:val="00A77024"/>
    <w:rsid w:val="00A7703F"/>
    <w:rsid w:val="00A7716D"/>
    <w:rsid w:val="00A77179"/>
    <w:rsid w:val="00A77199"/>
    <w:rsid w:val="00A77237"/>
    <w:rsid w:val="00A7728E"/>
    <w:rsid w:val="00A772F8"/>
    <w:rsid w:val="00A773C5"/>
    <w:rsid w:val="00A77400"/>
    <w:rsid w:val="00A77408"/>
    <w:rsid w:val="00A77411"/>
    <w:rsid w:val="00A77425"/>
    <w:rsid w:val="00A7748C"/>
    <w:rsid w:val="00A77498"/>
    <w:rsid w:val="00A7749B"/>
    <w:rsid w:val="00A774B0"/>
    <w:rsid w:val="00A774CB"/>
    <w:rsid w:val="00A775CA"/>
    <w:rsid w:val="00A776EC"/>
    <w:rsid w:val="00A77797"/>
    <w:rsid w:val="00A7780E"/>
    <w:rsid w:val="00A77871"/>
    <w:rsid w:val="00A7789A"/>
    <w:rsid w:val="00A778FD"/>
    <w:rsid w:val="00A7792C"/>
    <w:rsid w:val="00A77951"/>
    <w:rsid w:val="00A77A02"/>
    <w:rsid w:val="00A77A9F"/>
    <w:rsid w:val="00A77ABD"/>
    <w:rsid w:val="00A77AC1"/>
    <w:rsid w:val="00A77BA3"/>
    <w:rsid w:val="00A77C91"/>
    <w:rsid w:val="00A77D03"/>
    <w:rsid w:val="00A77DF8"/>
    <w:rsid w:val="00A77EFD"/>
    <w:rsid w:val="00A77F4C"/>
    <w:rsid w:val="00A77FB2"/>
    <w:rsid w:val="00A77FE5"/>
    <w:rsid w:val="00A8000F"/>
    <w:rsid w:val="00A80054"/>
    <w:rsid w:val="00A80082"/>
    <w:rsid w:val="00A8019C"/>
    <w:rsid w:val="00A801AA"/>
    <w:rsid w:val="00A801EF"/>
    <w:rsid w:val="00A802DC"/>
    <w:rsid w:val="00A802DE"/>
    <w:rsid w:val="00A8035A"/>
    <w:rsid w:val="00A8038D"/>
    <w:rsid w:val="00A8039C"/>
    <w:rsid w:val="00A803FC"/>
    <w:rsid w:val="00A80451"/>
    <w:rsid w:val="00A804AE"/>
    <w:rsid w:val="00A8050F"/>
    <w:rsid w:val="00A80551"/>
    <w:rsid w:val="00A8055D"/>
    <w:rsid w:val="00A805EF"/>
    <w:rsid w:val="00A80637"/>
    <w:rsid w:val="00A80724"/>
    <w:rsid w:val="00A80780"/>
    <w:rsid w:val="00A80894"/>
    <w:rsid w:val="00A80952"/>
    <w:rsid w:val="00A809B6"/>
    <w:rsid w:val="00A809E3"/>
    <w:rsid w:val="00A80A3A"/>
    <w:rsid w:val="00A80A57"/>
    <w:rsid w:val="00A80AD2"/>
    <w:rsid w:val="00A80C0E"/>
    <w:rsid w:val="00A80CC9"/>
    <w:rsid w:val="00A80D46"/>
    <w:rsid w:val="00A80D6C"/>
    <w:rsid w:val="00A80DBE"/>
    <w:rsid w:val="00A80DF7"/>
    <w:rsid w:val="00A80E2B"/>
    <w:rsid w:val="00A80E5E"/>
    <w:rsid w:val="00A80ECD"/>
    <w:rsid w:val="00A81100"/>
    <w:rsid w:val="00A81149"/>
    <w:rsid w:val="00A8119D"/>
    <w:rsid w:val="00A81286"/>
    <w:rsid w:val="00A81361"/>
    <w:rsid w:val="00A8136A"/>
    <w:rsid w:val="00A8137F"/>
    <w:rsid w:val="00A8138D"/>
    <w:rsid w:val="00A813F0"/>
    <w:rsid w:val="00A81444"/>
    <w:rsid w:val="00A81540"/>
    <w:rsid w:val="00A81545"/>
    <w:rsid w:val="00A81611"/>
    <w:rsid w:val="00A81626"/>
    <w:rsid w:val="00A81641"/>
    <w:rsid w:val="00A81650"/>
    <w:rsid w:val="00A8169F"/>
    <w:rsid w:val="00A8174F"/>
    <w:rsid w:val="00A8177C"/>
    <w:rsid w:val="00A817F9"/>
    <w:rsid w:val="00A81866"/>
    <w:rsid w:val="00A81886"/>
    <w:rsid w:val="00A818A3"/>
    <w:rsid w:val="00A818A7"/>
    <w:rsid w:val="00A8192F"/>
    <w:rsid w:val="00A81A00"/>
    <w:rsid w:val="00A81A75"/>
    <w:rsid w:val="00A81ACA"/>
    <w:rsid w:val="00A81ADD"/>
    <w:rsid w:val="00A81B3E"/>
    <w:rsid w:val="00A81B70"/>
    <w:rsid w:val="00A81B8E"/>
    <w:rsid w:val="00A81C0E"/>
    <w:rsid w:val="00A81C3B"/>
    <w:rsid w:val="00A81C65"/>
    <w:rsid w:val="00A81D3F"/>
    <w:rsid w:val="00A81D4B"/>
    <w:rsid w:val="00A81DB4"/>
    <w:rsid w:val="00A81E48"/>
    <w:rsid w:val="00A81E81"/>
    <w:rsid w:val="00A81EEC"/>
    <w:rsid w:val="00A820AB"/>
    <w:rsid w:val="00A820D8"/>
    <w:rsid w:val="00A820F6"/>
    <w:rsid w:val="00A8210A"/>
    <w:rsid w:val="00A821D9"/>
    <w:rsid w:val="00A8230A"/>
    <w:rsid w:val="00A823A9"/>
    <w:rsid w:val="00A824B1"/>
    <w:rsid w:val="00A824B9"/>
    <w:rsid w:val="00A824C9"/>
    <w:rsid w:val="00A82503"/>
    <w:rsid w:val="00A82659"/>
    <w:rsid w:val="00A8271C"/>
    <w:rsid w:val="00A827E4"/>
    <w:rsid w:val="00A8280A"/>
    <w:rsid w:val="00A82818"/>
    <w:rsid w:val="00A82860"/>
    <w:rsid w:val="00A82916"/>
    <w:rsid w:val="00A82AF7"/>
    <w:rsid w:val="00A82B65"/>
    <w:rsid w:val="00A82C2D"/>
    <w:rsid w:val="00A82C32"/>
    <w:rsid w:val="00A82C4D"/>
    <w:rsid w:val="00A82CD0"/>
    <w:rsid w:val="00A82CF7"/>
    <w:rsid w:val="00A82D6A"/>
    <w:rsid w:val="00A82DE3"/>
    <w:rsid w:val="00A82F86"/>
    <w:rsid w:val="00A830A8"/>
    <w:rsid w:val="00A830E2"/>
    <w:rsid w:val="00A831DB"/>
    <w:rsid w:val="00A831E5"/>
    <w:rsid w:val="00A83200"/>
    <w:rsid w:val="00A83207"/>
    <w:rsid w:val="00A8326E"/>
    <w:rsid w:val="00A83291"/>
    <w:rsid w:val="00A832C0"/>
    <w:rsid w:val="00A83316"/>
    <w:rsid w:val="00A8331A"/>
    <w:rsid w:val="00A83336"/>
    <w:rsid w:val="00A8333D"/>
    <w:rsid w:val="00A833C1"/>
    <w:rsid w:val="00A833E1"/>
    <w:rsid w:val="00A83411"/>
    <w:rsid w:val="00A8342A"/>
    <w:rsid w:val="00A834AB"/>
    <w:rsid w:val="00A83506"/>
    <w:rsid w:val="00A83529"/>
    <w:rsid w:val="00A8353D"/>
    <w:rsid w:val="00A8355E"/>
    <w:rsid w:val="00A83563"/>
    <w:rsid w:val="00A83617"/>
    <w:rsid w:val="00A83657"/>
    <w:rsid w:val="00A83676"/>
    <w:rsid w:val="00A83684"/>
    <w:rsid w:val="00A8369F"/>
    <w:rsid w:val="00A836BF"/>
    <w:rsid w:val="00A83785"/>
    <w:rsid w:val="00A8379E"/>
    <w:rsid w:val="00A8382B"/>
    <w:rsid w:val="00A838C3"/>
    <w:rsid w:val="00A838CF"/>
    <w:rsid w:val="00A8394E"/>
    <w:rsid w:val="00A8396B"/>
    <w:rsid w:val="00A83A81"/>
    <w:rsid w:val="00A83AD9"/>
    <w:rsid w:val="00A83B85"/>
    <w:rsid w:val="00A83C09"/>
    <w:rsid w:val="00A83DC0"/>
    <w:rsid w:val="00A83DF1"/>
    <w:rsid w:val="00A83E68"/>
    <w:rsid w:val="00A83EF5"/>
    <w:rsid w:val="00A83F4E"/>
    <w:rsid w:val="00A83F72"/>
    <w:rsid w:val="00A83F85"/>
    <w:rsid w:val="00A83F94"/>
    <w:rsid w:val="00A84018"/>
    <w:rsid w:val="00A8405E"/>
    <w:rsid w:val="00A8409B"/>
    <w:rsid w:val="00A84143"/>
    <w:rsid w:val="00A8414A"/>
    <w:rsid w:val="00A8419D"/>
    <w:rsid w:val="00A8425F"/>
    <w:rsid w:val="00A84291"/>
    <w:rsid w:val="00A84366"/>
    <w:rsid w:val="00A84434"/>
    <w:rsid w:val="00A8453B"/>
    <w:rsid w:val="00A84583"/>
    <w:rsid w:val="00A845AB"/>
    <w:rsid w:val="00A845D6"/>
    <w:rsid w:val="00A845E4"/>
    <w:rsid w:val="00A84698"/>
    <w:rsid w:val="00A8469A"/>
    <w:rsid w:val="00A84721"/>
    <w:rsid w:val="00A8472B"/>
    <w:rsid w:val="00A847A7"/>
    <w:rsid w:val="00A84804"/>
    <w:rsid w:val="00A8486B"/>
    <w:rsid w:val="00A84966"/>
    <w:rsid w:val="00A849C4"/>
    <w:rsid w:val="00A849CD"/>
    <w:rsid w:val="00A84A22"/>
    <w:rsid w:val="00A84A85"/>
    <w:rsid w:val="00A84A8A"/>
    <w:rsid w:val="00A84AA8"/>
    <w:rsid w:val="00A84B29"/>
    <w:rsid w:val="00A84C54"/>
    <w:rsid w:val="00A84C69"/>
    <w:rsid w:val="00A84CDB"/>
    <w:rsid w:val="00A84CDF"/>
    <w:rsid w:val="00A84D2D"/>
    <w:rsid w:val="00A84D78"/>
    <w:rsid w:val="00A84DC5"/>
    <w:rsid w:val="00A84E0D"/>
    <w:rsid w:val="00A84E1F"/>
    <w:rsid w:val="00A84E3B"/>
    <w:rsid w:val="00A84E79"/>
    <w:rsid w:val="00A84E90"/>
    <w:rsid w:val="00A84E94"/>
    <w:rsid w:val="00A84ECE"/>
    <w:rsid w:val="00A84ED6"/>
    <w:rsid w:val="00A8501F"/>
    <w:rsid w:val="00A850D7"/>
    <w:rsid w:val="00A850F7"/>
    <w:rsid w:val="00A8512A"/>
    <w:rsid w:val="00A851B0"/>
    <w:rsid w:val="00A8522A"/>
    <w:rsid w:val="00A85275"/>
    <w:rsid w:val="00A852E1"/>
    <w:rsid w:val="00A85302"/>
    <w:rsid w:val="00A85313"/>
    <w:rsid w:val="00A85387"/>
    <w:rsid w:val="00A8540B"/>
    <w:rsid w:val="00A8545B"/>
    <w:rsid w:val="00A85496"/>
    <w:rsid w:val="00A85512"/>
    <w:rsid w:val="00A8552E"/>
    <w:rsid w:val="00A8554A"/>
    <w:rsid w:val="00A855DC"/>
    <w:rsid w:val="00A85626"/>
    <w:rsid w:val="00A8565F"/>
    <w:rsid w:val="00A85666"/>
    <w:rsid w:val="00A856D6"/>
    <w:rsid w:val="00A856FB"/>
    <w:rsid w:val="00A85881"/>
    <w:rsid w:val="00A8588A"/>
    <w:rsid w:val="00A858C9"/>
    <w:rsid w:val="00A858FC"/>
    <w:rsid w:val="00A8599F"/>
    <w:rsid w:val="00A85AA1"/>
    <w:rsid w:val="00A85AD0"/>
    <w:rsid w:val="00A85ADC"/>
    <w:rsid w:val="00A85B77"/>
    <w:rsid w:val="00A85C2B"/>
    <w:rsid w:val="00A85C85"/>
    <w:rsid w:val="00A85C91"/>
    <w:rsid w:val="00A85E7D"/>
    <w:rsid w:val="00A85EA1"/>
    <w:rsid w:val="00A85F62"/>
    <w:rsid w:val="00A85FDC"/>
    <w:rsid w:val="00A86083"/>
    <w:rsid w:val="00A860E5"/>
    <w:rsid w:val="00A8613A"/>
    <w:rsid w:val="00A8625B"/>
    <w:rsid w:val="00A86310"/>
    <w:rsid w:val="00A8635C"/>
    <w:rsid w:val="00A86406"/>
    <w:rsid w:val="00A86433"/>
    <w:rsid w:val="00A8652F"/>
    <w:rsid w:val="00A86532"/>
    <w:rsid w:val="00A86694"/>
    <w:rsid w:val="00A867C9"/>
    <w:rsid w:val="00A867F6"/>
    <w:rsid w:val="00A8688A"/>
    <w:rsid w:val="00A868C2"/>
    <w:rsid w:val="00A86912"/>
    <w:rsid w:val="00A86914"/>
    <w:rsid w:val="00A86955"/>
    <w:rsid w:val="00A869B7"/>
    <w:rsid w:val="00A869B8"/>
    <w:rsid w:val="00A869C9"/>
    <w:rsid w:val="00A86A15"/>
    <w:rsid w:val="00A86A7A"/>
    <w:rsid w:val="00A86B2B"/>
    <w:rsid w:val="00A86C5D"/>
    <w:rsid w:val="00A86CE8"/>
    <w:rsid w:val="00A86CF5"/>
    <w:rsid w:val="00A86D3F"/>
    <w:rsid w:val="00A86DA9"/>
    <w:rsid w:val="00A86E94"/>
    <w:rsid w:val="00A86F98"/>
    <w:rsid w:val="00A86FBD"/>
    <w:rsid w:val="00A87022"/>
    <w:rsid w:val="00A87089"/>
    <w:rsid w:val="00A87092"/>
    <w:rsid w:val="00A87224"/>
    <w:rsid w:val="00A872B1"/>
    <w:rsid w:val="00A872C3"/>
    <w:rsid w:val="00A872CF"/>
    <w:rsid w:val="00A872D5"/>
    <w:rsid w:val="00A872E7"/>
    <w:rsid w:val="00A872FD"/>
    <w:rsid w:val="00A8735F"/>
    <w:rsid w:val="00A87381"/>
    <w:rsid w:val="00A8739C"/>
    <w:rsid w:val="00A873BF"/>
    <w:rsid w:val="00A87422"/>
    <w:rsid w:val="00A87523"/>
    <w:rsid w:val="00A8754A"/>
    <w:rsid w:val="00A87615"/>
    <w:rsid w:val="00A876BB"/>
    <w:rsid w:val="00A876CA"/>
    <w:rsid w:val="00A876DD"/>
    <w:rsid w:val="00A877EB"/>
    <w:rsid w:val="00A87850"/>
    <w:rsid w:val="00A878C4"/>
    <w:rsid w:val="00A878CF"/>
    <w:rsid w:val="00A8799C"/>
    <w:rsid w:val="00A87A5E"/>
    <w:rsid w:val="00A87B90"/>
    <w:rsid w:val="00A87BB1"/>
    <w:rsid w:val="00A87C35"/>
    <w:rsid w:val="00A87C92"/>
    <w:rsid w:val="00A87C9E"/>
    <w:rsid w:val="00A87DB6"/>
    <w:rsid w:val="00A87DCC"/>
    <w:rsid w:val="00A87E0A"/>
    <w:rsid w:val="00A87E22"/>
    <w:rsid w:val="00A87E76"/>
    <w:rsid w:val="00A87E96"/>
    <w:rsid w:val="00A87EFA"/>
    <w:rsid w:val="00A87FDB"/>
    <w:rsid w:val="00A90089"/>
    <w:rsid w:val="00A900C9"/>
    <w:rsid w:val="00A90107"/>
    <w:rsid w:val="00A90134"/>
    <w:rsid w:val="00A9015E"/>
    <w:rsid w:val="00A901A9"/>
    <w:rsid w:val="00A90238"/>
    <w:rsid w:val="00A902C0"/>
    <w:rsid w:val="00A902D1"/>
    <w:rsid w:val="00A90462"/>
    <w:rsid w:val="00A9048E"/>
    <w:rsid w:val="00A90514"/>
    <w:rsid w:val="00A9053A"/>
    <w:rsid w:val="00A905C7"/>
    <w:rsid w:val="00A906A8"/>
    <w:rsid w:val="00A9074E"/>
    <w:rsid w:val="00A907A1"/>
    <w:rsid w:val="00A907D1"/>
    <w:rsid w:val="00A907D2"/>
    <w:rsid w:val="00A90848"/>
    <w:rsid w:val="00A90876"/>
    <w:rsid w:val="00A9087B"/>
    <w:rsid w:val="00A908A2"/>
    <w:rsid w:val="00A90925"/>
    <w:rsid w:val="00A9093B"/>
    <w:rsid w:val="00A9094A"/>
    <w:rsid w:val="00A909C0"/>
    <w:rsid w:val="00A909CD"/>
    <w:rsid w:val="00A909FB"/>
    <w:rsid w:val="00A90A0A"/>
    <w:rsid w:val="00A90A58"/>
    <w:rsid w:val="00A90AB9"/>
    <w:rsid w:val="00A90AC2"/>
    <w:rsid w:val="00A90B6A"/>
    <w:rsid w:val="00A90C18"/>
    <w:rsid w:val="00A90C71"/>
    <w:rsid w:val="00A90CB2"/>
    <w:rsid w:val="00A90CB7"/>
    <w:rsid w:val="00A90D1D"/>
    <w:rsid w:val="00A90D61"/>
    <w:rsid w:val="00A90D7F"/>
    <w:rsid w:val="00A90E6B"/>
    <w:rsid w:val="00A90F08"/>
    <w:rsid w:val="00A90FC4"/>
    <w:rsid w:val="00A90FFA"/>
    <w:rsid w:val="00A9101D"/>
    <w:rsid w:val="00A91076"/>
    <w:rsid w:val="00A91078"/>
    <w:rsid w:val="00A910A6"/>
    <w:rsid w:val="00A910FE"/>
    <w:rsid w:val="00A9125F"/>
    <w:rsid w:val="00A91296"/>
    <w:rsid w:val="00A913BD"/>
    <w:rsid w:val="00A9141B"/>
    <w:rsid w:val="00A915BF"/>
    <w:rsid w:val="00A9161E"/>
    <w:rsid w:val="00A91621"/>
    <w:rsid w:val="00A916E9"/>
    <w:rsid w:val="00A916FA"/>
    <w:rsid w:val="00A91714"/>
    <w:rsid w:val="00A917F1"/>
    <w:rsid w:val="00A9189A"/>
    <w:rsid w:val="00A9190E"/>
    <w:rsid w:val="00A91995"/>
    <w:rsid w:val="00A919B5"/>
    <w:rsid w:val="00A919C2"/>
    <w:rsid w:val="00A919E0"/>
    <w:rsid w:val="00A91A1A"/>
    <w:rsid w:val="00A91A69"/>
    <w:rsid w:val="00A91ABD"/>
    <w:rsid w:val="00A91AC0"/>
    <w:rsid w:val="00A91B33"/>
    <w:rsid w:val="00A91B68"/>
    <w:rsid w:val="00A91B7B"/>
    <w:rsid w:val="00A91C0F"/>
    <w:rsid w:val="00A91C72"/>
    <w:rsid w:val="00A91D46"/>
    <w:rsid w:val="00A91D65"/>
    <w:rsid w:val="00A91D6D"/>
    <w:rsid w:val="00A91DC7"/>
    <w:rsid w:val="00A91E05"/>
    <w:rsid w:val="00A91E2B"/>
    <w:rsid w:val="00A91E7C"/>
    <w:rsid w:val="00A91F45"/>
    <w:rsid w:val="00A91F76"/>
    <w:rsid w:val="00A92110"/>
    <w:rsid w:val="00A92123"/>
    <w:rsid w:val="00A9214F"/>
    <w:rsid w:val="00A92184"/>
    <w:rsid w:val="00A921BC"/>
    <w:rsid w:val="00A921F9"/>
    <w:rsid w:val="00A9224E"/>
    <w:rsid w:val="00A9225E"/>
    <w:rsid w:val="00A922B1"/>
    <w:rsid w:val="00A92367"/>
    <w:rsid w:val="00A92398"/>
    <w:rsid w:val="00A923B5"/>
    <w:rsid w:val="00A9240E"/>
    <w:rsid w:val="00A9243A"/>
    <w:rsid w:val="00A9246E"/>
    <w:rsid w:val="00A924C2"/>
    <w:rsid w:val="00A925C7"/>
    <w:rsid w:val="00A925F6"/>
    <w:rsid w:val="00A925FA"/>
    <w:rsid w:val="00A926BB"/>
    <w:rsid w:val="00A92726"/>
    <w:rsid w:val="00A9275A"/>
    <w:rsid w:val="00A92841"/>
    <w:rsid w:val="00A92873"/>
    <w:rsid w:val="00A92998"/>
    <w:rsid w:val="00A929A8"/>
    <w:rsid w:val="00A92A2B"/>
    <w:rsid w:val="00A92A47"/>
    <w:rsid w:val="00A92A71"/>
    <w:rsid w:val="00A92AA4"/>
    <w:rsid w:val="00A92BD0"/>
    <w:rsid w:val="00A92C6B"/>
    <w:rsid w:val="00A92C74"/>
    <w:rsid w:val="00A92D07"/>
    <w:rsid w:val="00A92D45"/>
    <w:rsid w:val="00A92D9A"/>
    <w:rsid w:val="00A92DFA"/>
    <w:rsid w:val="00A92EBA"/>
    <w:rsid w:val="00A92EEA"/>
    <w:rsid w:val="00A92F06"/>
    <w:rsid w:val="00A92F2D"/>
    <w:rsid w:val="00A92F2F"/>
    <w:rsid w:val="00A93006"/>
    <w:rsid w:val="00A93011"/>
    <w:rsid w:val="00A930DC"/>
    <w:rsid w:val="00A9311C"/>
    <w:rsid w:val="00A93221"/>
    <w:rsid w:val="00A93255"/>
    <w:rsid w:val="00A93299"/>
    <w:rsid w:val="00A9330A"/>
    <w:rsid w:val="00A9336A"/>
    <w:rsid w:val="00A93384"/>
    <w:rsid w:val="00A933EC"/>
    <w:rsid w:val="00A93432"/>
    <w:rsid w:val="00A93442"/>
    <w:rsid w:val="00A9345F"/>
    <w:rsid w:val="00A93461"/>
    <w:rsid w:val="00A93535"/>
    <w:rsid w:val="00A93581"/>
    <w:rsid w:val="00A935C8"/>
    <w:rsid w:val="00A935D7"/>
    <w:rsid w:val="00A935F7"/>
    <w:rsid w:val="00A9374C"/>
    <w:rsid w:val="00A937AC"/>
    <w:rsid w:val="00A9381A"/>
    <w:rsid w:val="00A938B0"/>
    <w:rsid w:val="00A93939"/>
    <w:rsid w:val="00A9399C"/>
    <w:rsid w:val="00A93A03"/>
    <w:rsid w:val="00A93A0B"/>
    <w:rsid w:val="00A93A68"/>
    <w:rsid w:val="00A93A6E"/>
    <w:rsid w:val="00A93A71"/>
    <w:rsid w:val="00A93A8A"/>
    <w:rsid w:val="00A93AB0"/>
    <w:rsid w:val="00A93B25"/>
    <w:rsid w:val="00A93B3A"/>
    <w:rsid w:val="00A93BF3"/>
    <w:rsid w:val="00A93C3B"/>
    <w:rsid w:val="00A93C53"/>
    <w:rsid w:val="00A93C6A"/>
    <w:rsid w:val="00A93CB1"/>
    <w:rsid w:val="00A93E3B"/>
    <w:rsid w:val="00A93EC8"/>
    <w:rsid w:val="00A93F14"/>
    <w:rsid w:val="00A93FBF"/>
    <w:rsid w:val="00A94042"/>
    <w:rsid w:val="00A9405B"/>
    <w:rsid w:val="00A940B6"/>
    <w:rsid w:val="00A94126"/>
    <w:rsid w:val="00A94168"/>
    <w:rsid w:val="00A941BA"/>
    <w:rsid w:val="00A94227"/>
    <w:rsid w:val="00A9424B"/>
    <w:rsid w:val="00A94296"/>
    <w:rsid w:val="00A942C2"/>
    <w:rsid w:val="00A94307"/>
    <w:rsid w:val="00A94309"/>
    <w:rsid w:val="00A94338"/>
    <w:rsid w:val="00A943D5"/>
    <w:rsid w:val="00A943F4"/>
    <w:rsid w:val="00A94457"/>
    <w:rsid w:val="00A944FE"/>
    <w:rsid w:val="00A9455B"/>
    <w:rsid w:val="00A945AF"/>
    <w:rsid w:val="00A94603"/>
    <w:rsid w:val="00A9463F"/>
    <w:rsid w:val="00A946C9"/>
    <w:rsid w:val="00A946F3"/>
    <w:rsid w:val="00A9470A"/>
    <w:rsid w:val="00A94713"/>
    <w:rsid w:val="00A9478E"/>
    <w:rsid w:val="00A947C2"/>
    <w:rsid w:val="00A94808"/>
    <w:rsid w:val="00A9481B"/>
    <w:rsid w:val="00A9487D"/>
    <w:rsid w:val="00A948BD"/>
    <w:rsid w:val="00A948D7"/>
    <w:rsid w:val="00A948EB"/>
    <w:rsid w:val="00A94971"/>
    <w:rsid w:val="00A949E2"/>
    <w:rsid w:val="00A94A99"/>
    <w:rsid w:val="00A94B1E"/>
    <w:rsid w:val="00A94B99"/>
    <w:rsid w:val="00A94C34"/>
    <w:rsid w:val="00A94D5D"/>
    <w:rsid w:val="00A94DC2"/>
    <w:rsid w:val="00A94DFB"/>
    <w:rsid w:val="00A94E4D"/>
    <w:rsid w:val="00A94E68"/>
    <w:rsid w:val="00A94E89"/>
    <w:rsid w:val="00A94EBA"/>
    <w:rsid w:val="00A95060"/>
    <w:rsid w:val="00A95068"/>
    <w:rsid w:val="00A950FF"/>
    <w:rsid w:val="00A95162"/>
    <w:rsid w:val="00A95313"/>
    <w:rsid w:val="00A95322"/>
    <w:rsid w:val="00A95324"/>
    <w:rsid w:val="00A95349"/>
    <w:rsid w:val="00A953BA"/>
    <w:rsid w:val="00A953FD"/>
    <w:rsid w:val="00A9542B"/>
    <w:rsid w:val="00A954D6"/>
    <w:rsid w:val="00A954E4"/>
    <w:rsid w:val="00A95504"/>
    <w:rsid w:val="00A9558F"/>
    <w:rsid w:val="00A9559A"/>
    <w:rsid w:val="00A95605"/>
    <w:rsid w:val="00A9562C"/>
    <w:rsid w:val="00A9562F"/>
    <w:rsid w:val="00A9567A"/>
    <w:rsid w:val="00A956A4"/>
    <w:rsid w:val="00A956A8"/>
    <w:rsid w:val="00A956E8"/>
    <w:rsid w:val="00A95730"/>
    <w:rsid w:val="00A959A0"/>
    <w:rsid w:val="00A959C8"/>
    <w:rsid w:val="00A95A2C"/>
    <w:rsid w:val="00A95A40"/>
    <w:rsid w:val="00A95ABD"/>
    <w:rsid w:val="00A95AF1"/>
    <w:rsid w:val="00A95B8C"/>
    <w:rsid w:val="00A95BD0"/>
    <w:rsid w:val="00A95C13"/>
    <w:rsid w:val="00A95C6A"/>
    <w:rsid w:val="00A95CAA"/>
    <w:rsid w:val="00A95CD6"/>
    <w:rsid w:val="00A95D47"/>
    <w:rsid w:val="00A95D5C"/>
    <w:rsid w:val="00A95D7B"/>
    <w:rsid w:val="00A95DA6"/>
    <w:rsid w:val="00A95E0F"/>
    <w:rsid w:val="00A95EA8"/>
    <w:rsid w:val="00A95F43"/>
    <w:rsid w:val="00A960B0"/>
    <w:rsid w:val="00A960BD"/>
    <w:rsid w:val="00A962A4"/>
    <w:rsid w:val="00A962ED"/>
    <w:rsid w:val="00A96356"/>
    <w:rsid w:val="00A9644A"/>
    <w:rsid w:val="00A964D1"/>
    <w:rsid w:val="00A9651B"/>
    <w:rsid w:val="00A9658B"/>
    <w:rsid w:val="00A965A8"/>
    <w:rsid w:val="00A965DD"/>
    <w:rsid w:val="00A965FA"/>
    <w:rsid w:val="00A96618"/>
    <w:rsid w:val="00A96649"/>
    <w:rsid w:val="00A96673"/>
    <w:rsid w:val="00A966B0"/>
    <w:rsid w:val="00A966BB"/>
    <w:rsid w:val="00A966D1"/>
    <w:rsid w:val="00A96737"/>
    <w:rsid w:val="00A9673F"/>
    <w:rsid w:val="00A9675B"/>
    <w:rsid w:val="00A96766"/>
    <w:rsid w:val="00A967A0"/>
    <w:rsid w:val="00A967FC"/>
    <w:rsid w:val="00A967FF"/>
    <w:rsid w:val="00A96A2C"/>
    <w:rsid w:val="00A96B73"/>
    <w:rsid w:val="00A96BB0"/>
    <w:rsid w:val="00A96BC7"/>
    <w:rsid w:val="00A96C0B"/>
    <w:rsid w:val="00A96C16"/>
    <w:rsid w:val="00A96C93"/>
    <w:rsid w:val="00A96CB5"/>
    <w:rsid w:val="00A96D58"/>
    <w:rsid w:val="00A96D69"/>
    <w:rsid w:val="00A96D96"/>
    <w:rsid w:val="00A96E29"/>
    <w:rsid w:val="00A96E5A"/>
    <w:rsid w:val="00A96F9D"/>
    <w:rsid w:val="00A96FB1"/>
    <w:rsid w:val="00A97033"/>
    <w:rsid w:val="00A9708F"/>
    <w:rsid w:val="00A97118"/>
    <w:rsid w:val="00A9711A"/>
    <w:rsid w:val="00A97155"/>
    <w:rsid w:val="00A971A3"/>
    <w:rsid w:val="00A971A8"/>
    <w:rsid w:val="00A9720F"/>
    <w:rsid w:val="00A9724B"/>
    <w:rsid w:val="00A9724F"/>
    <w:rsid w:val="00A97282"/>
    <w:rsid w:val="00A973A8"/>
    <w:rsid w:val="00A973E9"/>
    <w:rsid w:val="00A9745E"/>
    <w:rsid w:val="00A97517"/>
    <w:rsid w:val="00A9758F"/>
    <w:rsid w:val="00A9759C"/>
    <w:rsid w:val="00A975BE"/>
    <w:rsid w:val="00A97629"/>
    <w:rsid w:val="00A97633"/>
    <w:rsid w:val="00A9763F"/>
    <w:rsid w:val="00A976F1"/>
    <w:rsid w:val="00A97719"/>
    <w:rsid w:val="00A9777E"/>
    <w:rsid w:val="00A977AD"/>
    <w:rsid w:val="00A977BE"/>
    <w:rsid w:val="00A977E5"/>
    <w:rsid w:val="00A9789E"/>
    <w:rsid w:val="00A9797A"/>
    <w:rsid w:val="00A979DC"/>
    <w:rsid w:val="00A979F0"/>
    <w:rsid w:val="00A97A0B"/>
    <w:rsid w:val="00A97AC0"/>
    <w:rsid w:val="00A97AE2"/>
    <w:rsid w:val="00A97AF0"/>
    <w:rsid w:val="00A97B35"/>
    <w:rsid w:val="00A97D04"/>
    <w:rsid w:val="00A97D30"/>
    <w:rsid w:val="00A97D6D"/>
    <w:rsid w:val="00A97DEB"/>
    <w:rsid w:val="00A97E01"/>
    <w:rsid w:val="00A97E63"/>
    <w:rsid w:val="00A97F01"/>
    <w:rsid w:val="00A97F2A"/>
    <w:rsid w:val="00A97F52"/>
    <w:rsid w:val="00A97FBE"/>
    <w:rsid w:val="00AA0015"/>
    <w:rsid w:val="00AA0177"/>
    <w:rsid w:val="00AA021E"/>
    <w:rsid w:val="00AA0241"/>
    <w:rsid w:val="00AA0310"/>
    <w:rsid w:val="00AA0357"/>
    <w:rsid w:val="00AA04E1"/>
    <w:rsid w:val="00AA05F7"/>
    <w:rsid w:val="00AA0634"/>
    <w:rsid w:val="00AA075C"/>
    <w:rsid w:val="00AA0860"/>
    <w:rsid w:val="00AA0868"/>
    <w:rsid w:val="00AA0875"/>
    <w:rsid w:val="00AA0877"/>
    <w:rsid w:val="00AA09DE"/>
    <w:rsid w:val="00AA0AE8"/>
    <w:rsid w:val="00AA0B2B"/>
    <w:rsid w:val="00AA0B34"/>
    <w:rsid w:val="00AA0B41"/>
    <w:rsid w:val="00AA0B71"/>
    <w:rsid w:val="00AA0C1C"/>
    <w:rsid w:val="00AA0CE7"/>
    <w:rsid w:val="00AA0D0D"/>
    <w:rsid w:val="00AA0D28"/>
    <w:rsid w:val="00AA0D2E"/>
    <w:rsid w:val="00AA0E42"/>
    <w:rsid w:val="00AA0E4E"/>
    <w:rsid w:val="00AA0EC0"/>
    <w:rsid w:val="00AA0F1C"/>
    <w:rsid w:val="00AA0F92"/>
    <w:rsid w:val="00AA0F9B"/>
    <w:rsid w:val="00AA0FE6"/>
    <w:rsid w:val="00AA1086"/>
    <w:rsid w:val="00AA10C7"/>
    <w:rsid w:val="00AA1126"/>
    <w:rsid w:val="00AA1130"/>
    <w:rsid w:val="00AA1140"/>
    <w:rsid w:val="00AA1174"/>
    <w:rsid w:val="00AA11C3"/>
    <w:rsid w:val="00AA11F6"/>
    <w:rsid w:val="00AA1342"/>
    <w:rsid w:val="00AA137F"/>
    <w:rsid w:val="00AA13ED"/>
    <w:rsid w:val="00AA15A6"/>
    <w:rsid w:val="00AA15BD"/>
    <w:rsid w:val="00AA15C5"/>
    <w:rsid w:val="00AA15F9"/>
    <w:rsid w:val="00AA1634"/>
    <w:rsid w:val="00AA1658"/>
    <w:rsid w:val="00AA1765"/>
    <w:rsid w:val="00AA1799"/>
    <w:rsid w:val="00AA18A7"/>
    <w:rsid w:val="00AA18BD"/>
    <w:rsid w:val="00AA192B"/>
    <w:rsid w:val="00AA1952"/>
    <w:rsid w:val="00AA19A6"/>
    <w:rsid w:val="00AA1A34"/>
    <w:rsid w:val="00AA1A69"/>
    <w:rsid w:val="00AA1A94"/>
    <w:rsid w:val="00AA1AA6"/>
    <w:rsid w:val="00AA1AC2"/>
    <w:rsid w:val="00AA1BA3"/>
    <w:rsid w:val="00AA1BB3"/>
    <w:rsid w:val="00AA1D08"/>
    <w:rsid w:val="00AA1D16"/>
    <w:rsid w:val="00AA1DC1"/>
    <w:rsid w:val="00AA1E14"/>
    <w:rsid w:val="00AA1F35"/>
    <w:rsid w:val="00AA2086"/>
    <w:rsid w:val="00AA2162"/>
    <w:rsid w:val="00AA21C6"/>
    <w:rsid w:val="00AA2250"/>
    <w:rsid w:val="00AA2333"/>
    <w:rsid w:val="00AA2342"/>
    <w:rsid w:val="00AA234D"/>
    <w:rsid w:val="00AA2362"/>
    <w:rsid w:val="00AA246D"/>
    <w:rsid w:val="00AA2483"/>
    <w:rsid w:val="00AA24DD"/>
    <w:rsid w:val="00AA252C"/>
    <w:rsid w:val="00AA2553"/>
    <w:rsid w:val="00AA2584"/>
    <w:rsid w:val="00AA260D"/>
    <w:rsid w:val="00AA2622"/>
    <w:rsid w:val="00AA262F"/>
    <w:rsid w:val="00AA264C"/>
    <w:rsid w:val="00AA2741"/>
    <w:rsid w:val="00AA2891"/>
    <w:rsid w:val="00AA28FC"/>
    <w:rsid w:val="00AA2946"/>
    <w:rsid w:val="00AA2A0A"/>
    <w:rsid w:val="00AA2A4F"/>
    <w:rsid w:val="00AA2A95"/>
    <w:rsid w:val="00AA2AAB"/>
    <w:rsid w:val="00AA2AF9"/>
    <w:rsid w:val="00AA2B89"/>
    <w:rsid w:val="00AA2BE4"/>
    <w:rsid w:val="00AA2BEF"/>
    <w:rsid w:val="00AA2C46"/>
    <w:rsid w:val="00AA2CBB"/>
    <w:rsid w:val="00AA2D3E"/>
    <w:rsid w:val="00AA2E28"/>
    <w:rsid w:val="00AA2EEB"/>
    <w:rsid w:val="00AA2EF7"/>
    <w:rsid w:val="00AA2F19"/>
    <w:rsid w:val="00AA2F4C"/>
    <w:rsid w:val="00AA2F90"/>
    <w:rsid w:val="00AA3028"/>
    <w:rsid w:val="00AA307A"/>
    <w:rsid w:val="00AA307E"/>
    <w:rsid w:val="00AA3094"/>
    <w:rsid w:val="00AA30F3"/>
    <w:rsid w:val="00AA31C4"/>
    <w:rsid w:val="00AA31CA"/>
    <w:rsid w:val="00AA3216"/>
    <w:rsid w:val="00AA3298"/>
    <w:rsid w:val="00AA3334"/>
    <w:rsid w:val="00AA352E"/>
    <w:rsid w:val="00AA35C5"/>
    <w:rsid w:val="00AA3686"/>
    <w:rsid w:val="00AA3892"/>
    <w:rsid w:val="00AA395B"/>
    <w:rsid w:val="00AA3962"/>
    <w:rsid w:val="00AA398C"/>
    <w:rsid w:val="00AA3A05"/>
    <w:rsid w:val="00AA3A94"/>
    <w:rsid w:val="00AA3B1F"/>
    <w:rsid w:val="00AA3B96"/>
    <w:rsid w:val="00AA3B9B"/>
    <w:rsid w:val="00AA3C54"/>
    <w:rsid w:val="00AA3CFB"/>
    <w:rsid w:val="00AA3D2D"/>
    <w:rsid w:val="00AA3D51"/>
    <w:rsid w:val="00AA3DEA"/>
    <w:rsid w:val="00AA3E76"/>
    <w:rsid w:val="00AA3F4F"/>
    <w:rsid w:val="00AA3F7E"/>
    <w:rsid w:val="00AA3FB5"/>
    <w:rsid w:val="00AA401A"/>
    <w:rsid w:val="00AA405F"/>
    <w:rsid w:val="00AA4078"/>
    <w:rsid w:val="00AA4087"/>
    <w:rsid w:val="00AA40D9"/>
    <w:rsid w:val="00AA4182"/>
    <w:rsid w:val="00AA41B7"/>
    <w:rsid w:val="00AA42B6"/>
    <w:rsid w:val="00AA42D5"/>
    <w:rsid w:val="00AA4336"/>
    <w:rsid w:val="00AA4340"/>
    <w:rsid w:val="00AA4363"/>
    <w:rsid w:val="00AA4372"/>
    <w:rsid w:val="00AA4380"/>
    <w:rsid w:val="00AA440A"/>
    <w:rsid w:val="00AA4432"/>
    <w:rsid w:val="00AA44E9"/>
    <w:rsid w:val="00AA45C0"/>
    <w:rsid w:val="00AA45D8"/>
    <w:rsid w:val="00AA45FA"/>
    <w:rsid w:val="00AA4608"/>
    <w:rsid w:val="00AA4664"/>
    <w:rsid w:val="00AA46B2"/>
    <w:rsid w:val="00AA46BB"/>
    <w:rsid w:val="00AA46D1"/>
    <w:rsid w:val="00AA4715"/>
    <w:rsid w:val="00AA4761"/>
    <w:rsid w:val="00AA47E5"/>
    <w:rsid w:val="00AA498F"/>
    <w:rsid w:val="00AA4A20"/>
    <w:rsid w:val="00AA4A55"/>
    <w:rsid w:val="00AA4ACA"/>
    <w:rsid w:val="00AA4C22"/>
    <w:rsid w:val="00AA4C44"/>
    <w:rsid w:val="00AA4D1A"/>
    <w:rsid w:val="00AA4D3B"/>
    <w:rsid w:val="00AA4DBB"/>
    <w:rsid w:val="00AA4DC0"/>
    <w:rsid w:val="00AA4EA9"/>
    <w:rsid w:val="00AA4F91"/>
    <w:rsid w:val="00AA5022"/>
    <w:rsid w:val="00AA504C"/>
    <w:rsid w:val="00AA5108"/>
    <w:rsid w:val="00AA5133"/>
    <w:rsid w:val="00AA51CF"/>
    <w:rsid w:val="00AA5214"/>
    <w:rsid w:val="00AA5219"/>
    <w:rsid w:val="00AA524E"/>
    <w:rsid w:val="00AA5299"/>
    <w:rsid w:val="00AA5349"/>
    <w:rsid w:val="00AA5364"/>
    <w:rsid w:val="00AA5436"/>
    <w:rsid w:val="00AA544C"/>
    <w:rsid w:val="00AA5489"/>
    <w:rsid w:val="00AA5498"/>
    <w:rsid w:val="00AA549C"/>
    <w:rsid w:val="00AA54D5"/>
    <w:rsid w:val="00AA54F6"/>
    <w:rsid w:val="00AA5516"/>
    <w:rsid w:val="00AA5520"/>
    <w:rsid w:val="00AA55E9"/>
    <w:rsid w:val="00AA5602"/>
    <w:rsid w:val="00AA564C"/>
    <w:rsid w:val="00AA56DF"/>
    <w:rsid w:val="00AA56E2"/>
    <w:rsid w:val="00AA5784"/>
    <w:rsid w:val="00AA5794"/>
    <w:rsid w:val="00AA584C"/>
    <w:rsid w:val="00AA585C"/>
    <w:rsid w:val="00AA5887"/>
    <w:rsid w:val="00AA598E"/>
    <w:rsid w:val="00AA5992"/>
    <w:rsid w:val="00AA59A4"/>
    <w:rsid w:val="00AA5ADF"/>
    <w:rsid w:val="00AA5B61"/>
    <w:rsid w:val="00AA5B75"/>
    <w:rsid w:val="00AA5CF5"/>
    <w:rsid w:val="00AA5D28"/>
    <w:rsid w:val="00AA5D88"/>
    <w:rsid w:val="00AA5DAA"/>
    <w:rsid w:val="00AA5DF7"/>
    <w:rsid w:val="00AA5E52"/>
    <w:rsid w:val="00AA5ED4"/>
    <w:rsid w:val="00AA5F15"/>
    <w:rsid w:val="00AA6004"/>
    <w:rsid w:val="00AA602D"/>
    <w:rsid w:val="00AA60D0"/>
    <w:rsid w:val="00AA613D"/>
    <w:rsid w:val="00AA61A3"/>
    <w:rsid w:val="00AA6202"/>
    <w:rsid w:val="00AA6284"/>
    <w:rsid w:val="00AA6289"/>
    <w:rsid w:val="00AA632F"/>
    <w:rsid w:val="00AA6430"/>
    <w:rsid w:val="00AA64E2"/>
    <w:rsid w:val="00AA64FE"/>
    <w:rsid w:val="00AA6521"/>
    <w:rsid w:val="00AA656B"/>
    <w:rsid w:val="00AA65A1"/>
    <w:rsid w:val="00AA65C7"/>
    <w:rsid w:val="00AA6651"/>
    <w:rsid w:val="00AA6690"/>
    <w:rsid w:val="00AA6747"/>
    <w:rsid w:val="00AA6807"/>
    <w:rsid w:val="00AA680C"/>
    <w:rsid w:val="00AA6849"/>
    <w:rsid w:val="00AA68FD"/>
    <w:rsid w:val="00AA6A79"/>
    <w:rsid w:val="00AA6A7C"/>
    <w:rsid w:val="00AA6A83"/>
    <w:rsid w:val="00AA6A89"/>
    <w:rsid w:val="00AA6AD1"/>
    <w:rsid w:val="00AA6B1D"/>
    <w:rsid w:val="00AA6BEF"/>
    <w:rsid w:val="00AA6C22"/>
    <w:rsid w:val="00AA6C38"/>
    <w:rsid w:val="00AA6C40"/>
    <w:rsid w:val="00AA6C45"/>
    <w:rsid w:val="00AA6CB3"/>
    <w:rsid w:val="00AA6D2A"/>
    <w:rsid w:val="00AA6DF6"/>
    <w:rsid w:val="00AA6E03"/>
    <w:rsid w:val="00AA6E22"/>
    <w:rsid w:val="00AA6E25"/>
    <w:rsid w:val="00AA6E8D"/>
    <w:rsid w:val="00AA6EC6"/>
    <w:rsid w:val="00AA6F04"/>
    <w:rsid w:val="00AA6F1C"/>
    <w:rsid w:val="00AA6F50"/>
    <w:rsid w:val="00AA6F91"/>
    <w:rsid w:val="00AA705A"/>
    <w:rsid w:val="00AA7211"/>
    <w:rsid w:val="00AA7279"/>
    <w:rsid w:val="00AA730A"/>
    <w:rsid w:val="00AA734F"/>
    <w:rsid w:val="00AA7379"/>
    <w:rsid w:val="00AA7419"/>
    <w:rsid w:val="00AA742A"/>
    <w:rsid w:val="00AA74A6"/>
    <w:rsid w:val="00AA750F"/>
    <w:rsid w:val="00AA7531"/>
    <w:rsid w:val="00AA755C"/>
    <w:rsid w:val="00AA75F6"/>
    <w:rsid w:val="00AA76DE"/>
    <w:rsid w:val="00AA76EB"/>
    <w:rsid w:val="00AA771C"/>
    <w:rsid w:val="00AA77E1"/>
    <w:rsid w:val="00AA7827"/>
    <w:rsid w:val="00AA7966"/>
    <w:rsid w:val="00AA796F"/>
    <w:rsid w:val="00AA79EA"/>
    <w:rsid w:val="00AA79F2"/>
    <w:rsid w:val="00AA7A4E"/>
    <w:rsid w:val="00AA7B66"/>
    <w:rsid w:val="00AA7BA6"/>
    <w:rsid w:val="00AA7C84"/>
    <w:rsid w:val="00AA7CF0"/>
    <w:rsid w:val="00AA7D7F"/>
    <w:rsid w:val="00AA7E0E"/>
    <w:rsid w:val="00AA7E10"/>
    <w:rsid w:val="00AA7EA2"/>
    <w:rsid w:val="00AA7F0D"/>
    <w:rsid w:val="00AA7FE4"/>
    <w:rsid w:val="00AB0193"/>
    <w:rsid w:val="00AB0195"/>
    <w:rsid w:val="00AB01E0"/>
    <w:rsid w:val="00AB0213"/>
    <w:rsid w:val="00AB0328"/>
    <w:rsid w:val="00AB0341"/>
    <w:rsid w:val="00AB0462"/>
    <w:rsid w:val="00AB04D3"/>
    <w:rsid w:val="00AB05E3"/>
    <w:rsid w:val="00AB0681"/>
    <w:rsid w:val="00AB06A1"/>
    <w:rsid w:val="00AB06B9"/>
    <w:rsid w:val="00AB0710"/>
    <w:rsid w:val="00AB0750"/>
    <w:rsid w:val="00AB0850"/>
    <w:rsid w:val="00AB0851"/>
    <w:rsid w:val="00AB08DD"/>
    <w:rsid w:val="00AB08DE"/>
    <w:rsid w:val="00AB091F"/>
    <w:rsid w:val="00AB0950"/>
    <w:rsid w:val="00AB0A38"/>
    <w:rsid w:val="00AB0A4D"/>
    <w:rsid w:val="00AB0BD4"/>
    <w:rsid w:val="00AB0BEC"/>
    <w:rsid w:val="00AB0C58"/>
    <w:rsid w:val="00AB0C63"/>
    <w:rsid w:val="00AB0C66"/>
    <w:rsid w:val="00AB0CD8"/>
    <w:rsid w:val="00AB0DCD"/>
    <w:rsid w:val="00AB0DED"/>
    <w:rsid w:val="00AB0DEF"/>
    <w:rsid w:val="00AB0E56"/>
    <w:rsid w:val="00AB103D"/>
    <w:rsid w:val="00AB1062"/>
    <w:rsid w:val="00AB10A7"/>
    <w:rsid w:val="00AB1137"/>
    <w:rsid w:val="00AB113C"/>
    <w:rsid w:val="00AB117C"/>
    <w:rsid w:val="00AB11C2"/>
    <w:rsid w:val="00AB12DE"/>
    <w:rsid w:val="00AB1399"/>
    <w:rsid w:val="00AB139E"/>
    <w:rsid w:val="00AB13B8"/>
    <w:rsid w:val="00AB13BD"/>
    <w:rsid w:val="00AB13C8"/>
    <w:rsid w:val="00AB148E"/>
    <w:rsid w:val="00AB1499"/>
    <w:rsid w:val="00AB1513"/>
    <w:rsid w:val="00AB1554"/>
    <w:rsid w:val="00AB15B5"/>
    <w:rsid w:val="00AB1615"/>
    <w:rsid w:val="00AB161D"/>
    <w:rsid w:val="00AB163E"/>
    <w:rsid w:val="00AB16B7"/>
    <w:rsid w:val="00AB16F5"/>
    <w:rsid w:val="00AB17DD"/>
    <w:rsid w:val="00AB17E1"/>
    <w:rsid w:val="00AB182C"/>
    <w:rsid w:val="00AB183F"/>
    <w:rsid w:val="00AB18AE"/>
    <w:rsid w:val="00AB18DD"/>
    <w:rsid w:val="00AB18E8"/>
    <w:rsid w:val="00AB190B"/>
    <w:rsid w:val="00AB1943"/>
    <w:rsid w:val="00AB19DC"/>
    <w:rsid w:val="00AB19F5"/>
    <w:rsid w:val="00AB1AB4"/>
    <w:rsid w:val="00AB1ABC"/>
    <w:rsid w:val="00AB1C0D"/>
    <w:rsid w:val="00AB1C56"/>
    <w:rsid w:val="00AB1CE3"/>
    <w:rsid w:val="00AB203A"/>
    <w:rsid w:val="00AB207A"/>
    <w:rsid w:val="00AB21F7"/>
    <w:rsid w:val="00AB235C"/>
    <w:rsid w:val="00AB24A7"/>
    <w:rsid w:val="00AB24EA"/>
    <w:rsid w:val="00AB24EB"/>
    <w:rsid w:val="00AB263C"/>
    <w:rsid w:val="00AB26B2"/>
    <w:rsid w:val="00AB2716"/>
    <w:rsid w:val="00AB2739"/>
    <w:rsid w:val="00AB278C"/>
    <w:rsid w:val="00AB27A1"/>
    <w:rsid w:val="00AB27C6"/>
    <w:rsid w:val="00AB280B"/>
    <w:rsid w:val="00AB281F"/>
    <w:rsid w:val="00AB2841"/>
    <w:rsid w:val="00AB28BA"/>
    <w:rsid w:val="00AB29DE"/>
    <w:rsid w:val="00AB2A4E"/>
    <w:rsid w:val="00AB2A65"/>
    <w:rsid w:val="00AB2A68"/>
    <w:rsid w:val="00AB2AC6"/>
    <w:rsid w:val="00AB2B09"/>
    <w:rsid w:val="00AB2C8C"/>
    <w:rsid w:val="00AB2CAC"/>
    <w:rsid w:val="00AB2E51"/>
    <w:rsid w:val="00AB2F30"/>
    <w:rsid w:val="00AB2F4D"/>
    <w:rsid w:val="00AB2F59"/>
    <w:rsid w:val="00AB2FC2"/>
    <w:rsid w:val="00AB303E"/>
    <w:rsid w:val="00AB3095"/>
    <w:rsid w:val="00AB30E9"/>
    <w:rsid w:val="00AB315F"/>
    <w:rsid w:val="00AB319C"/>
    <w:rsid w:val="00AB31A8"/>
    <w:rsid w:val="00AB31CD"/>
    <w:rsid w:val="00AB320B"/>
    <w:rsid w:val="00AB32BB"/>
    <w:rsid w:val="00AB32E8"/>
    <w:rsid w:val="00AB3311"/>
    <w:rsid w:val="00AB3377"/>
    <w:rsid w:val="00AB3385"/>
    <w:rsid w:val="00AB33AA"/>
    <w:rsid w:val="00AB33D4"/>
    <w:rsid w:val="00AB33FF"/>
    <w:rsid w:val="00AB342C"/>
    <w:rsid w:val="00AB3677"/>
    <w:rsid w:val="00AB36C8"/>
    <w:rsid w:val="00AB36C9"/>
    <w:rsid w:val="00AB36ED"/>
    <w:rsid w:val="00AB3762"/>
    <w:rsid w:val="00AB383A"/>
    <w:rsid w:val="00AB38A9"/>
    <w:rsid w:val="00AB3A35"/>
    <w:rsid w:val="00AB3A38"/>
    <w:rsid w:val="00AB3AB5"/>
    <w:rsid w:val="00AB3AD2"/>
    <w:rsid w:val="00AB3B65"/>
    <w:rsid w:val="00AB3B83"/>
    <w:rsid w:val="00AB3B95"/>
    <w:rsid w:val="00AB3B9C"/>
    <w:rsid w:val="00AB3CBE"/>
    <w:rsid w:val="00AB3CE5"/>
    <w:rsid w:val="00AB3CF8"/>
    <w:rsid w:val="00AB3D06"/>
    <w:rsid w:val="00AB3D63"/>
    <w:rsid w:val="00AB3D6F"/>
    <w:rsid w:val="00AB3DF3"/>
    <w:rsid w:val="00AB3E3B"/>
    <w:rsid w:val="00AB3E62"/>
    <w:rsid w:val="00AB3EAF"/>
    <w:rsid w:val="00AB3EF3"/>
    <w:rsid w:val="00AB3F45"/>
    <w:rsid w:val="00AB3F56"/>
    <w:rsid w:val="00AB3F70"/>
    <w:rsid w:val="00AB3F7D"/>
    <w:rsid w:val="00AB3FB0"/>
    <w:rsid w:val="00AB3FEA"/>
    <w:rsid w:val="00AB4075"/>
    <w:rsid w:val="00AB4084"/>
    <w:rsid w:val="00AB40D3"/>
    <w:rsid w:val="00AB4117"/>
    <w:rsid w:val="00AB4173"/>
    <w:rsid w:val="00AB41BC"/>
    <w:rsid w:val="00AB4201"/>
    <w:rsid w:val="00AB4220"/>
    <w:rsid w:val="00AB42F5"/>
    <w:rsid w:val="00AB43E4"/>
    <w:rsid w:val="00AB4432"/>
    <w:rsid w:val="00AB44E4"/>
    <w:rsid w:val="00AB45A4"/>
    <w:rsid w:val="00AB45C7"/>
    <w:rsid w:val="00AB45CF"/>
    <w:rsid w:val="00AB45F8"/>
    <w:rsid w:val="00AB467A"/>
    <w:rsid w:val="00AB4683"/>
    <w:rsid w:val="00AB4688"/>
    <w:rsid w:val="00AB46EC"/>
    <w:rsid w:val="00AB47AC"/>
    <w:rsid w:val="00AB47F2"/>
    <w:rsid w:val="00AB482F"/>
    <w:rsid w:val="00AB4856"/>
    <w:rsid w:val="00AB486F"/>
    <w:rsid w:val="00AB489E"/>
    <w:rsid w:val="00AB4909"/>
    <w:rsid w:val="00AB490F"/>
    <w:rsid w:val="00AB497C"/>
    <w:rsid w:val="00AB49C8"/>
    <w:rsid w:val="00AB49D9"/>
    <w:rsid w:val="00AB4A1A"/>
    <w:rsid w:val="00AB4AFE"/>
    <w:rsid w:val="00AB4C0E"/>
    <w:rsid w:val="00AB4C37"/>
    <w:rsid w:val="00AB4C72"/>
    <w:rsid w:val="00AB4CCC"/>
    <w:rsid w:val="00AB4D10"/>
    <w:rsid w:val="00AB4DA3"/>
    <w:rsid w:val="00AB4DB4"/>
    <w:rsid w:val="00AB4DDB"/>
    <w:rsid w:val="00AB4E37"/>
    <w:rsid w:val="00AB4E60"/>
    <w:rsid w:val="00AB4E92"/>
    <w:rsid w:val="00AB4EE9"/>
    <w:rsid w:val="00AB4F53"/>
    <w:rsid w:val="00AB50E0"/>
    <w:rsid w:val="00AB52C8"/>
    <w:rsid w:val="00AB530A"/>
    <w:rsid w:val="00AB5387"/>
    <w:rsid w:val="00AB53C6"/>
    <w:rsid w:val="00AB5440"/>
    <w:rsid w:val="00AB5462"/>
    <w:rsid w:val="00AB5536"/>
    <w:rsid w:val="00AB55D6"/>
    <w:rsid w:val="00AB55F3"/>
    <w:rsid w:val="00AB5675"/>
    <w:rsid w:val="00AB5769"/>
    <w:rsid w:val="00AB576F"/>
    <w:rsid w:val="00AB5793"/>
    <w:rsid w:val="00AB583B"/>
    <w:rsid w:val="00AB5884"/>
    <w:rsid w:val="00AB58FC"/>
    <w:rsid w:val="00AB5903"/>
    <w:rsid w:val="00AB5966"/>
    <w:rsid w:val="00AB597A"/>
    <w:rsid w:val="00AB5A2E"/>
    <w:rsid w:val="00AB5A9F"/>
    <w:rsid w:val="00AB5ABD"/>
    <w:rsid w:val="00AB5AC4"/>
    <w:rsid w:val="00AB5AD9"/>
    <w:rsid w:val="00AB5B0A"/>
    <w:rsid w:val="00AB5BF6"/>
    <w:rsid w:val="00AB5C53"/>
    <w:rsid w:val="00AB5D81"/>
    <w:rsid w:val="00AB5DAB"/>
    <w:rsid w:val="00AB5DAE"/>
    <w:rsid w:val="00AB5DF1"/>
    <w:rsid w:val="00AB5DF9"/>
    <w:rsid w:val="00AB5E23"/>
    <w:rsid w:val="00AB5E9E"/>
    <w:rsid w:val="00AB5EDE"/>
    <w:rsid w:val="00AB6065"/>
    <w:rsid w:val="00AB607D"/>
    <w:rsid w:val="00AB610C"/>
    <w:rsid w:val="00AB6117"/>
    <w:rsid w:val="00AB61B1"/>
    <w:rsid w:val="00AB61E5"/>
    <w:rsid w:val="00AB61FA"/>
    <w:rsid w:val="00AB628C"/>
    <w:rsid w:val="00AB653C"/>
    <w:rsid w:val="00AB654D"/>
    <w:rsid w:val="00AB65C5"/>
    <w:rsid w:val="00AB65C9"/>
    <w:rsid w:val="00AB660B"/>
    <w:rsid w:val="00AB6625"/>
    <w:rsid w:val="00AB66E4"/>
    <w:rsid w:val="00AB6800"/>
    <w:rsid w:val="00AB6842"/>
    <w:rsid w:val="00AB686C"/>
    <w:rsid w:val="00AB6895"/>
    <w:rsid w:val="00AB699A"/>
    <w:rsid w:val="00AB6AC4"/>
    <w:rsid w:val="00AB6AD8"/>
    <w:rsid w:val="00AB6C3F"/>
    <w:rsid w:val="00AB6C6A"/>
    <w:rsid w:val="00AB6C96"/>
    <w:rsid w:val="00AB6CB6"/>
    <w:rsid w:val="00AB6CC4"/>
    <w:rsid w:val="00AB6D32"/>
    <w:rsid w:val="00AB6EDF"/>
    <w:rsid w:val="00AB6F15"/>
    <w:rsid w:val="00AB7000"/>
    <w:rsid w:val="00AB7069"/>
    <w:rsid w:val="00AB70E3"/>
    <w:rsid w:val="00AB714E"/>
    <w:rsid w:val="00AB71AC"/>
    <w:rsid w:val="00AB721B"/>
    <w:rsid w:val="00AB7299"/>
    <w:rsid w:val="00AB72B9"/>
    <w:rsid w:val="00AB731D"/>
    <w:rsid w:val="00AB738D"/>
    <w:rsid w:val="00AB7502"/>
    <w:rsid w:val="00AB7531"/>
    <w:rsid w:val="00AB753D"/>
    <w:rsid w:val="00AB75FC"/>
    <w:rsid w:val="00AB7659"/>
    <w:rsid w:val="00AB767C"/>
    <w:rsid w:val="00AB76C0"/>
    <w:rsid w:val="00AB76D6"/>
    <w:rsid w:val="00AB77D1"/>
    <w:rsid w:val="00AB77D3"/>
    <w:rsid w:val="00AB7806"/>
    <w:rsid w:val="00AB7811"/>
    <w:rsid w:val="00AB7844"/>
    <w:rsid w:val="00AB78CE"/>
    <w:rsid w:val="00AB79C5"/>
    <w:rsid w:val="00AB7A37"/>
    <w:rsid w:val="00AB7ACA"/>
    <w:rsid w:val="00AB7ACD"/>
    <w:rsid w:val="00AB7AFC"/>
    <w:rsid w:val="00AB7B14"/>
    <w:rsid w:val="00AB7B7C"/>
    <w:rsid w:val="00AB7C03"/>
    <w:rsid w:val="00AB7C38"/>
    <w:rsid w:val="00AB7C74"/>
    <w:rsid w:val="00AB7D87"/>
    <w:rsid w:val="00AB7DB7"/>
    <w:rsid w:val="00AB7E23"/>
    <w:rsid w:val="00AB7E6C"/>
    <w:rsid w:val="00AB7E9A"/>
    <w:rsid w:val="00AB7EE9"/>
    <w:rsid w:val="00AB7FDC"/>
    <w:rsid w:val="00AC006C"/>
    <w:rsid w:val="00AC007B"/>
    <w:rsid w:val="00AC0086"/>
    <w:rsid w:val="00AC00B8"/>
    <w:rsid w:val="00AC0149"/>
    <w:rsid w:val="00AC0205"/>
    <w:rsid w:val="00AC0239"/>
    <w:rsid w:val="00AC025B"/>
    <w:rsid w:val="00AC02BA"/>
    <w:rsid w:val="00AC02DC"/>
    <w:rsid w:val="00AC02F2"/>
    <w:rsid w:val="00AC0311"/>
    <w:rsid w:val="00AC0375"/>
    <w:rsid w:val="00AC0388"/>
    <w:rsid w:val="00AC03D6"/>
    <w:rsid w:val="00AC040B"/>
    <w:rsid w:val="00AC04C8"/>
    <w:rsid w:val="00AC05CF"/>
    <w:rsid w:val="00AC0617"/>
    <w:rsid w:val="00AC061D"/>
    <w:rsid w:val="00AC0695"/>
    <w:rsid w:val="00AC0794"/>
    <w:rsid w:val="00AC07AA"/>
    <w:rsid w:val="00AC07B1"/>
    <w:rsid w:val="00AC07C1"/>
    <w:rsid w:val="00AC081D"/>
    <w:rsid w:val="00AC092F"/>
    <w:rsid w:val="00AC09DD"/>
    <w:rsid w:val="00AC0A6A"/>
    <w:rsid w:val="00AC0A89"/>
    <w:rsid w:val="00AC0ACC"/>
    <w:rsid w:val="00AC0AE9"/>
    <w:rsid w:val="00AC0AED"/>
    <w:rsid w:val="00AC0B3A"/>
    <w:rsid w:val="00AC0B72"/>
    <w:rsid w:val="00AC0BA8"/>
    <w:rsid w:val="00AC0C0D"/>
    <w:rsid w:val="00AC0C50"/>
    <w:rsid w:val="00AC0D3E"/>
    <w:rsid w:val="00AC0E67"/>
    <w:rsid w:val="00AC0E6B"/>
    <w:rsid w:val="00AC0E92"/>
    <w:rsid w:val="00AC0F07"/>
    <w:rsid w:val="00AC0F20"/>
    <w:rsid w:val="00AC0F25"/>
    <w:rsid w:val="00AC0F49"/>
    <w:rsid w:val="00AC0FBF"/>
    <w:rsid w:val="00AC11B1"/>
    <w:rsid w:val="00AC11C2"/>
    <w:rsid w:val="00AC11DB"/>
    <w:rsid w:val="00AC1260"/>
    <w:rsid w:val="00AC12B5"/>
    <w:rsid w:val="00AC13C5"/>
    <w:rsid w:val="00AC1483"/>
    <w:rsid w:val="00AC14CE"/>
    <w:rsid w:val="00AC1506"/>
    <w:rsid w:val="00AC153A"/>
    <w:rsid w:val="00AC1545"/>
    <w:rsid w:val="00AC15FA"/>
    <w:rsid w:val="00AC1600"/>
    <w:rsid w:val="00AC168E"/>
    <w:rsid w:val="00AC180D"/>
    <w:rsid w:val="00AC185C"/>
    <w:rsid w:val="00AC1869"/>
    <w:rsid w:val="00AC189B"/>
    <w:rsid w:val="00AC19C2"/>
    <w:rsid w:val="00AC1A08"/>
    <w:rsid w:val="00AC1A64"/>
    <w:rsid w:val="00AC1A88"/>
    <w:rsid w:val="00AC1AA0"/>
    <w:rsid w:val="00AC1AF9"/>
    <w:rsid w:val="00AC1B7A"/>
    <w:rsid w:val="00AC1BC2"/>
    <w:rsid w:val="00AC1C02"/>
    <w:rsid w:val="00AC1C28"/>
    <w:rsid w:val="00AC1DF6"/>
    <w:rsid w:val="00AC1E1C"/>
    <w:rsid w:val="00AC1E95"/>
    <w:rsid w:val="00AC1FDA"/>
    <w:rsid w:val="00AC205E"/>
    <w:rsid w:val="00AC20D2"/>
    <w:rsid w:val="00AC2162"/>
    <w:rsid w:val="00AC2233"/>
    <w:rsid w:val="00AC22A1"/>
    <w:rsid w:val="00AC232C"/>
    <w:rsid w:val="00AC236B"/>
    <w:rsid w:val="00AC238B"/>
    <w:rsid w:val="00AC23BC"/>
    <w:rsid w:val="00AC248C"/>
    <w:rsid w:val="00AC24BD"/>
    <w:rsid w:val="00AC2546"/>
    <w:rsid w:val="00AC2690"/>
    <w:rsid w:val="00AC275C"/>
    <w:rsid w:val="00AC2781"/>
    <w:rsid w:val="00AC27A4"/>
    <w:rsid w:val="00AC284B"/>
    <w:rsid w:val="00AC28EB"/>
    <w:rsid w:val="00AC2904"/>
    <w:rsid w:val="00AC2952"/>
    <w:rsid w:val="00AC2A17"/>
    <w:rsid w:val="00AC2A8F"/>
    <w:rsid w:val="00AC2ADC"/>
    <w:rsid w:val="00AC2B0E"/>
    <w:rsid w:val="00AC2B1C"/>
    <w:rsid w:val="00AC2B22"/>
    <w:rsid w:val="00AC2B49"/>
    <w:rsid w:val="00AC2BB3"/>
    <w:rsid w:val="00AC2C13"/>
    <w:rsid w:val="00AC2C44"/>
    <w:rsid w:val="00AC2C97"/>
    <w:rsid w:val="00AC2CA9"/>
    <w:rsid w:val="00AC2D39"/>
    <w:rsid w:val="00AC2D4C"/>
    <w:rsid w:val="00AC2D53"/>
    <w:rsid w:val="00AC2D9B"/>
    <w:rsid w:val="00AC2F21"/>
    <w:rsid w:val="00AC2F5C"/>
    <w:rsid w:val="00AC2F66"/>
    <w:rsid w:val="00AC2FB8"/>
    <w:rsid w:val="00AC2FD4"/>
    <w:rsid w:val="00AC2FDF"/>
    <w:rsid w:val="00AC30FA"/>
    <w:rsid w:val="00AC310F"/>
    <w:rsid w:val="00AC318C"/>
    <w:rsid w:val="00AC3245"/>
    <w:rsid w:val="00AC324D"/>
    <w:rsid w:val="00AC3266"/>
    <w:rsid w:val="00AC3284"/>
    <w:rsid w:val="00AC3289"/>
    <w:rsid w:val="00AC32AC"/>
    <w:rsid w:val="00AC32DD"/>
    <w:rsid w:val="00AC32E6"/>
    <w:rsid w:val="00AC3303"/>
    <w:rsid w:val="00AC330C"/>
    <w:rsid w:val="00AC3328"/>
    <w:rsid w:val="00AC33CB"/>
    <w:rsid w:val="00AC33DA"/>
    <w:rsid w:val="00AC33EB"/>
    <w:rsid w:val="00AC341A"/>
    <w:rsid w:val="00AC34CA"/>
    <w:rsid w:val="00AC35AB"/>
    <w:rsid w:val="00AC35BF"/>
    <w:rsid w:val="00AC3733"/>
    <w:rsid w:val="00AC37C6"/>
    <w:rsid w:val="00AC37FE"/>
    <w:rsid w:val="00AC3861"/>
    <w:rsid w:val="00AC38AA"/>
    <w:rsid w:val="00AC39F1"/>
    <w:rsid w:val="00AC3A0B"/>
    <w:rsid w:val="00AC3ABA"/>
    <w:rsid w:val="00AC3AD2"/>
    <w:rsid w:val="00AC3AF9"/>
    <w:rsid w:val="00AC3B1F"/>
    <w:rsid w:val="00AC3BCD"/>
    <w:rsid w:val="00AC3BD2"/>
    <w:rsid w:val="00AC3BE6"/>
    <w:rsid w:val="00AC3C66"/>
    <w:rsid w:val="00AC3CDF"/>
    <w:rsid w:val="00AC3CFF"/>
    <w:rsid w:val="00AC3D13"/>
    <w:rsid w:val="00AC3D37"/>
    <w:rsid w:val="00AC3D87"/>
    <w:rsid w:val="00AC3DB9"/>
    <w:rsid w:val="00AC3E6F"/>
    <w:rsid w:val="00AC3EB9"/>
    <w:rsid w:val="00AC3FF2"/>
    <w:rsid w:val="00AC4055"/>
    <w:rsid w:val="00AC4067"/>
    <w:rsid w:val="00AC4078"/>
    <w:rsid w:val="00AC407C"/>
    <w:rsid w:val="00AC412E"/>
    <w:rsid w:val="00AC414C"/>
    <w:rsid w:val="00AC419A"/>
    <w:rsid w:val="00AC41E9"/>
    <w:rsid w:val="00AC4220"/>
    <w:rsid w:val="00AC422B"/>
    <w:rsid w:val="00AC4287"/>
    <w:rsid w:val="00AC4347"/>
    <w:rsid w:val="00AC43E1"/>
    <w:rsid w:val="00AC43FA"/>
    <w:rsid w:val="00AC43FD"/>
    <w:rsid w:val="00AC445F"/>
    <w:rsid w:val="00AC4479"/>
    <w:rsid w:val="00AC450B"/>
    <w:rsid w:val="00AC4510"/>
    <w:rsid w:val="00AC45E5"/>
    <w:rsid w:val="00AC4650"/>
    <w:rsid w:val="00AC468A"/>
    <w:rsid w:val="00AC4871"/>
    <w:rsid w:val="00AC488F"/>
    <w:rsid w:val="00AC48D5"/>
    <w:rsid w:val="00AC4919"/>
    <w:rsid w:val="00AC4931"/>
    <w:rsid w:val="00AC4967"/>
    <w:rsid w:val="00AC49F7"/>
    <w:rsid w:val="00AC4ADC"/>
    <w:rsid w:val="00AC4B08"/>
    <w:rsid w:val="00AC4BA3"/>
    <w:rsid w:val="00AC4BB3"/>
    <w:rsid w:val="00AC4C40"/>
    <w:rsid w:val="00AC4C86"/>
    <w:rsid w:val="00AC4CB0"/>
    <w:rsid w:val="00AC4CE5"/>
    <w:rsid w:val="00AC4CFF"/>
    <w:rsid w:val="00AC4D44"/>
    <w:rsid w:val="00AC4E4D"/>
    <w:rsid w:val="00AC4E6F"/>
    <w:rsid w:val="00AC4EAB"/>
    <w:rsid w:val="00AC4EC1"/>
    <w:rsid w:val="00AC4F76"/>
    <w:rsid w:val="00AC50D2"/>
    <w:rsid w:val="00AC517A"/>
    <w:rsid w:val="00AC5201"/>
    <w:rsid w:val="00AC52F7"/>
    <w:rsid w:val="00AC538E"/>
    <w:rsid w:val="00AC5449"/>
    <w:rsid w:val="00AC546E"/>
    <w:rsid w:val="00AC54AE"/>
    <w:rsid w:val="00AC54D2"/>
    <w:rsid w:val="00AC54DA"/>
    <w:rsid w:val="00AC54E1"/>
    <w:rsid w:val="00AC5508"/>
    <w:rsid w:val="00AC5522"/>
    <w:rsid w:val="00AC55B1"/>
    <w:rsid w:val="00AC55CD"/>
    <w:rsid w:val="00AC5602"/>
    <w:rsid w:val="00AC5654"/>
    <w:rsid w:val="00AC565B"/>
    <w:rsid w:val="00AC565E"/>
    <w:rsid w:val="00AC5707"/>
    <w:rsid w:val="00AC571C"/>
    <w:rsid w:val="00AC579A"/>
    <w:rsid w:val="00AC57F7"/>
    <w:rsid w:val="00AC5821"/>
    <w:rsid w:val="00AC5868"/>
    <w:rsid w:val="00AC588C"/>
    <w:rsid w:val="00AC591C"/>
    <w:rsid w:val="00AC5978"/>
    <w:rsid w:val="00AC5995"/>
    <w:rsid w:val="00AC59DB"/>
    <w:rsid w:val="00AC5A16"/>
    <w:rsid w:val="00AC5AFD"/>
    <w:rsid w:val="00AC5B32"/>
    <w:rsid w:val="00AC5DF8"/>
    <w:rsid w:val="00AC5E27"/>
    <w:rsid w:val="00AC5E48"/>
    <w:rsid w:val="00AC5EAB"/>
    <w:rsid w:val="00AC5EC3"/>
    <w:rsid w:val="00AC5F42"/>
    <w:rsid w:val="00AC5F53"/>
    <w:rsid w:val="00AC6130"/>
    <w:rsid w:val="00AC614D"/>
    <w:rsid w:val="00AC6188"/>
    <w:rsid w:val="00AC6224"/>
    <w:rsid w:val="00AC6281"/>
    <w:rsid w:val="00AC62A5"/>
    <w:rsid w:val="00AC6301"/>
    <w:rsid w:val="00AC631B"/>
    <w:rsid w:val="00AC64C2"/>
    <w:rsid w:val="00AC64D3"/>
    <w:rsid w:val="00AC65D2"/>
    <w:rsid w:val="00AC66B5"/>
    <w:rsid w:val="00AC66F5"/>
    <w:rsid w:val="00AC66F6"/>
    <w:rsid w:val="00AC679C"/>
    <w:rsid w:val="00AC6858"/>
    <w:rsid w:val="00AC6897"/>
    <w:rsid w:val="00AC6961"/>
    <w:rsid w:val="00AC6967"/>
    <w:rsid w:val="00AC6998"/>
    <w:rsid w:val="00AC69C0"/>
    <w:rsid w:val="00AC6A40"/>
    <w:rsid w:val="00AC6A88"/>
    <w:rsid w:val="00AC6A8B"/>
    <w:rsid w:val="00AC6B5F"/>
    <w:rsid w:val="00AC6BCB"/>
    <w:rsid w:val="00AC6C10"/>
    <w:rsid w:val="00AC6C64"/>
    <w:rsid w:val="00AC6C80"/>
    <w:rsid w:val="00AC6D28"/>
    <w:rsid w:val="00AC6D2F"/>
    <w:rsid w:val="00AC6DB2"/>
    <w:rsid w:val="00AC6DDE"/>
    <w:rsid w:val="00AC6DEC"/>
    <w:rsid w:val="00AC6EF7"/>
    <w:rsid w:val="00AC6F5B"/>
    <w:rsid w:val="00AC6F80"/>
    <w:rsid w:val="00AC6F84"/>
    <w:rsid w:val="00AC7094"/>
    <w:rsid w:val="00AC723D"/>
    <w:rsid w:val="00AC72F1"/>
    <w:rsid w:val="00AC7368"/>
    <w:rsid w:val="00AC73A1"/>
    <w:rsid w:val="00AC7434"/>
    <w:rsid w:val="00AC746F"/>
    <w:rsid w:val="00AC75A6"/>
    <w:rsid w:val="00AC7822"/>
    <w:rsid w:val="00AC7875"/>
    <w:rsid w:val="00AC7909"/>
    <w:rsid w:val="00AC7995"/>
    <w:rsid w:val="00AC7A0F"/>
    <w:rsid w:val="00AC7A32"/>
    <w:rsid w:val="00AC7A93"/>
    <w:rsid w:val="00AC7ADD"/>
    <w:rsid w:val="00AC7AF3"/>
    <w:rsid w:val="00AC7B40"/>
    <w:rsid w:val="00AC7BB7"/>
    <w:rsid w:val="00AC7C24"/>
    <w:rsid w:val="00AC7CA0"/>
    <w:rsid w:val="00AC7D8F"/>
    <w:rsid w:val="00AC7EC2"/>
    <w:rsid w:val="00AC7F5F"/>
    <w:rsid w:val="00AC7F6E"/>
    <w:rsid w:val="00AD005A"/>
    <w:rsid w:val="00AD0065"/>
    <w:rsid w:val="00AD00AB"/>
    <w:rsid w:val="00AD00F1"/>
    <w:rsid w:val="00AD01FA"/>
    <w:rsid w:val="00AD0230"/>
    <w:rsid w:val="00AD024A"/>
    <w:rsid w:val="00AD02F6"/>
    <w:rsid w:val="00AD0367"/>
    <w:rsid w:val="00AD037E"/>
    <w:rsid w:val="00AD0398"/>
    <w:rsid w:val="00AD03B3"/>
    <w:rsid w:val="00AD03E3"/>
    <w:rsid w:val="00AD0419"/>
    <w:rsid w:val="00AD055E"/>
    <w:rsid w:val="00AD05C0"/>
    <w:rsid w:val="00AD0617"/>
    <w:rsid w:val="00AD069A"/>
    <w:rsid w:val="00AD074C"/>
    <w:rsid w:val="00AD0782"/>
    <w:rsid w:val="00AD07AE"/>
    <w:rsid w:val="00AD081D"/>
    <w:rsid w:val="00AD09F4"/>
    <w:rsid w:val="00AD0A28"/>
    <w:rsid w:val="00AD0AF0"/>
    <w:rsid w:val="00AD0B17"/>
    <w:rsid w:val="00AD0C06"/>
    <w:rsid w:val="00AD0C19"/>
    <w:rsid w:val="00AD0C36"/>
    <w:rsid w:val="00AD0CAB"/>
    <w:rsid w:val="00AD0D60"/>
    <w:rsid w:val="00AD0DA1"/>
    <w:rsid w:val="00AD0EE9"/>
    <w:rsid w:val="00AD0F65"/>
    <w:rsid w:val="00AD1000"/>
    <w:rsid w:val="00AD1012"/>
    <w:rsid w:val="00AD1029"/>
    <w:rsid w:val="00AD10FA"/>
    <w:rsid w:val="00AD1167"/>
    <w:rsid w:val="00AD1282"/>
    <w:rsid w:val="00AD129A"/>
    <w:rsid w:val="00AD12E4"/>
    <w:rsid w:val="00AD1436"/>
    <w:rsid w:val="00AD143F"/>
    <w:rsid w:val="00AD146F"/>
    <w:rsid w:val="00AD14CA"/>
    <w:rsid w:val="00AD14F5"/>
    <w:rsid w:val="00AD1544"/>
    <w:rsid w:val="00AD1566"/>
    <w:rsid w:val="00AD1605"/>
    <w:rsid w:val="00AD16AE"/>
    <w:rsid w:val="00AD1766"/>
    <w:rsid w:val="00AD17E4"/>
    <w:rsid w:val="00AD18D6"/>
    <w:rsid w:val="00AD19D1"/>
    <w:rsid w:val="00AD19FC"/>
    <w:rsid w:val="00AD1B27"/>
    <w:rsid w:val="00AD1B28"/>
    <w:rsid w:val="00AD1B2E"/>
    <w:rsid w:val="00AD1B96"/>
    <w:rsid w:val="00AD1C75"/>
    <w:rsid w:val="00AD1CBC"/>
    <w:rsid w:val="00AD1CE5"/>
    <w:rsid w:val="00AD1CE6"/>
    <w:rsid w:val="00AD1D25"/>
    <w:rsid w:val="00AD1D39"/>
    <w:rsid w:val="00AD1D3A"/>
    <w:rsid w:val="00AD1E85"/>
    <w:rsid w:val="00AD1F99"/>
    <w:rsid w:val="00AD1FEF"/>
    <w:rsid w:val="00AD1FF7"/>
    <w:rsid w:val="00AD204B"/>
    <w:rsid w:val="00AD212E"/>
    <w:rsid w:val="00AD21DD"/>
    <w:rsid w:val="00AD21E1"/>
    <w:rsid w:val="00AD24B1"/>
    <w:rsid w:val="00AD24E3"/>
    <w:rsid w:val="00AD24FD"/>
    <w:rsid w:val="00AD2514"/>
    <w:rsid w:val="00AD25CD"/>
    <w:rsid w:val="00AD2663"/>
    <w:rsid w:val="00AD26B6"/>
    <w:rsid w:val="00AD2757"/>
    <w:rsid w:val="00AD27CF"/>
    <w:rsid w:val="00AD282A"/>
    <w:rsid w:val="00AD283E"/>
    <w:rsid w:val="00AD2871"/>
    <w:rsid w:val="00AD2AA1"/>
    <w:rsid w:val="00AD2C5D"/>
    <w:rsid w:val="00AD2D63"/>
    <w:rsid w:val="00AD2D72"/>
    <w:rsid w:val="00AD2D9B"/>
    <w:rsid w:val="00AD2DB1"/>
    <w:rsid w:val="00AD2F3A"/>
    <w:rsid w:val="00AD3083"/>
    <w:rsid w:val="00AD3129"/>
    <w:rsid w:val="00AD3170"/>
    <w:rsid w:val="00AD32DB"/>
    <w:rsid w:val="00AD332D"/>
    <w:rsid w:val="00AD335A"/>
    <w:rsid w:val="00AD338B"/>
    <w:rsid w:val="00AD33F6"/>
    <w:rsid w:val="00AD3481"/>
    <w:rsid w:val="00AD34A6"/>
    <w:rsid w:val="00AD3503"/>
    <w:rsid w:val="00AD35F7"/>
    <w:rsid w:val="00AD3676"/>
    <w:rsid w:val="00AD36CF"/>
    <w:rsid w:val="00AD37E3"/>
    <w:rsid w:val="00AD385D"/>
    <w:rsid w:val="00AD38FB"/>
    <w:rsid w:val="00AD394C"/>
    <w:rsid w:val="00AD3966"/>
    <w:rsid w:val="00AD3A7F"/>
    <w:rsid w:val="00AD3AA1"/>
    <w:rsid w:val="00AD3AF4"/>
    <w:rsid w:val="00AD3B2C"/>
    <w:rsid w:val="00AD3B5C"/>
    <w:rsid w:val="00AD3BDE"/>
    <w:rsid w:val="00AD3C19"/>
    <w:rsid w:val="00AD3DE8"/>
    <w:rsid w:val="00AD3DEF"/>
    <w:rsid w:val="00AD3E98"/>
    <w:rsid w:val="00AD4060"/>
    <w:rsid w:val="00AD407A"/>
    <w:rsid w:val="00AD40A9"/>
    <w:rsid w:val="00AD4178"/>
    <w:rsid w:val="00AD4186"/>
    <w:rsid w:val="00AD41F5"/>
    <w:rsid w:val="00AD4234"/>
    <w:rsid w:val="00AD4267"/>
    <w:rsid w:val="00AD43C3"/>
    <w:rsid w:val="00AD440D"/>
    <w:rsid w:val="00AD442C"/>
    <w:rsid w:val="00AD442D"/>
    <w:rsid w:val="00AD44EE"/>
    <w:rsid w:val="00AD44FF"/>
    <w:rsid w:val="00AD4540"/>
    <w:rsid w:val="00AD4605"/>
    <w:rsid w:val="00AD46A7"/>
    <w:rsid w:val="00AD4725"/>
    <w:rsid w:val="00AD4734"/>
    <w:rsid w:val="00AD47A3"/>
    <w:rsid w:val="00AD47AE"/>
    <w:rsid w:val="00AD47E0"/>
    <w:rsid w:val="00AD4864"/>
    <w:rsid w:val="00AD48E5"/>
    <w:rsid w:val="00AD4947"/>
    <w:rsid w:val="00AD49B3"/>
    <w:rsid w:val="00AD49BD"/>
    <w:rsid w:val="00AD4A65"/>
    <w:rsid w:val="00AD4ACF"/>
    <w:rsid w:val="00AD4AF2"/>
    <w:rsid w:val="00AD4B7B"/>
    <w:rsid w:val="00AD4BC4"/>
    <w:rsid w:val="00AD4CB8"/>
    <w:rsid w:val="00AD4D15"/>
    <w:rsid w:val="00AD4DB5"/>
    <w:rsid w:val="00AD4E52"/>
    <w:rsid w:val="00AD4ED5"/>
    <w:rsid w:val="00AD4EE5"/>
    <w:rsid w:val="00AD4F30"/>
    <w:rsid w:val="00AD5095"/>
    <w:rsid w:val="00AD50C0"/>
    <w:rsid w:val="00AD50DA"/>
    <w:rsid w:val="00AD51D5"/>
    <w:rsid w:val="00AD52C5"/>
    <w:rsid w:val="00AD52EE"/>
    <w:rsid w:val="00AD53E0"/>
    <w:rsid w:val="00AD5419"/>
    <w:rsid w:val="00AD5451"/>
    <w:rsid w:val="00AD5467"/>
    <w:rsid w:val="00AD5482"/>
    <w:rsid w:val="00AD55AE"/>
    <w:rsid w:val="00AD55F9"/>
    <w:rsid w:val="00AD5617"/>
    <w:rsid w:val="00AD563B"/>
    <w:rsid w:val="00AD5674"/>
    <w:rsid w:val="00AD5691"/>
    <w:rsid w:val="00AD56AA"/>
    <w:rsid w:val="00AD56B7"/>
    <w:rsid w:val="00AD56D0"/>
    <w:rsid w:val="00AD576A"/>
    <w:rsid w:val="00AD5817"/>
    <w:rsid w:val="00AD582E"/>
    <w:rsid w:val="00AD5851"/>
    <w:rsid w:val="00AD587E"/>
    <w:rsid w:val="00AD589A"/>
    <w:rsid w:val="00AD58EF"/>
    <w:rsid w:val="00AD58FA"/>
    <w:rsid w:val="00AD5963"/>
    <w:rsid w:val="00AD5A15"/>
    <w:rsid w:val="00AD5A6A"/>
    <w:rsid w:val="00AD5A9A"/>
    <w:rsid w:val="00AD5C59"/>
    <w:rsid w:val="00AD5C9C"/>
    <w:rsid w:val="00AD5D79"/>
    <w:rsid w:val="00AD5DB6"/>
    <w:rsid w:val="00AD5DE3"/>
    <w:rsid w:val="00AD5E05"/>
    <w:rsid w:val="00AD5F19"/>
    <w:rsid w:val="00AD5F58"/>
    <w:rsid w:val="00AD5FC2"/>
    <w:rsid w:val="00AD5FCE"/>
    <w:rsid w:val="00AD5FE1"/>
    <w:rsid w:val="00AD6007"/>
    <w:rsid w:val="00AD60EA"/>
    <w:rsid w:val="00AD6154"/>
    <w:rsid w:val="00AD618D"/>
    <w:rsid w:val="00AD62AA"/>
    <w:rsid w:val="00AD631F"/>
    <w:rsid w:val="00AD6394"/>
    <w:rsid w:val="00AD6434"/>
    <w:rsid w:val="00AD65B0"/>
    <w:rsid w:val="00AD65F2"/>
    <w:rsid w:val="00AD6618"/>
    <w:rsid w:val="00AD6664"/>
    <w:rsid w:val="00AD666E"/>
    <w:rsid w:val="00AD6694"/>
    <w:rsid w:val="00AD66B1"/>
    <w:rsid w:val="00AD66F2"/>
    <w:rsid w:val="00AD6719"/>
    <w:rsid w:val="00AD67D5"/>
    <w:rsid w:val="00AD682E"/>
    <w:rsid w:val="00AD6857"/>
    <w:rsid w:val="00AD68BF"/>
    <w:rsid w:val="00AD692C"/>
    <w:rsid w:val="00AD697F"/>
    <w:rsid w:val="00AD699E"/>
    <w:rsid w:val="00AD69D7"/>
    <w:rsid w:val="00AD69F8"/>
    <w:rsid w:val="00AD6B6B"/>
    <w:rsid w:val="00AD6BEF"/>
    <w:rsid w:val="00AD6C29"/>
    <w:rsid w:val="00AD6C4C"/>
    <w:rsid w:val="00AD6CDE"/>
    <w:rsid w:val="00AD6D81"/>
    <w:rsid w:val="00AD6DC1"/>
    <w:rsid w:val="00AD6DD1"/>
    <w:rsid w:val="00AD6E2C"/>
    <w:rsid w:val="00AD6EFF"/>
    <w:rsid w:val="00AD6FB9"/>
    <w:rsid w:val="00AD7068"/>
    <w:rsid w:val="00AD70A5"/>
    <w:rsid w:val="00AD70E4"/>
    <w:rsid w:val="00AD70F9"/>
    <w:rsid w:val="00AD710D"/>
    <w:rsid w:val="00AD7168"/>
    <w:rsid w:val="00AD71A2"/>
    <w:rsid w:val="00AD71D1"/>
    <w:rsid w:val="00AD721B"/>
    <w:rsid w:val="00AD7231"/>
    <w:rsid w:val="00AD7253"/>
    <w:rsid w:val="00AD7265"/>
    <w:rsid w:val="00AD72D1"/>
    <w:rsid w:val="00AD7331"/>
    <w:rsid w:val="00AD741B"/>
    <w:rsid w:val="00AD742F"/>
    <w:rsid w:val="00AD7452"/>
    <w:rsid w:val="00AD7483"/>
    <w:rsid w:val="00AD7532"/>
    <w:rsid w:val="00AD7555"/>
    <w:rsid w:val="00AD756A"/>
    <w:rsid w:val="00AD75F4"/>
    <w:rsid w:val="00AD7684"/>
    <w:rsid w:val="00AD77C4"/>
    <w:rsid w:val="00AD77E0"/>
    <w:rsid w:val="00AD7830"/>
    <w:rsid w:val="00AD7831"/>
    <w:rsid w:val="00AD78A5"/>
    <w:rsid w:val="00AD79CC"/>
    <w:rsid w:val="00AD7A5E"/>
    <w:rsid w:val="00AD7AD8"/>
    <w:rsid w:val="00AD7B19"/>
    <w:rsid w:val="00AD7B8B"/>
    <w:rsid w:val="00AD7BF2"/>
    <w:rsid w:val="00AD7C7C"/>
    <w:rsid w:val="00AD7CDF"/>
    <w:rsid w:val="00AD7D02"/>
    <w:rsid w:val="00AD7D2F"/>
    <w:rsid w:val="00AD7D89"/>
    <w:rsid w:val="00AD7D99"/>
    <w:rsid w:val="00AD7DB3"/>
    <w:rsid w:val="00AD7DCB"/>
    <w:rsid w:val="00AD7DDA"/>
    <w:rsid w:val="00AD7DF0"/>
    <w:rsid w:val="00AD7E7F"/>
    <w:rsid w:val="00AD7EB4"/>
    <w:rsid w:val="00AD7F34"/>
    <w:rsid w:val="00AD7F46"/>
    <w:rsid w:val="00AD7F7D"/>
    <w:rsid w:val="00AE0101"/>
    <w:rsid w:val="00AE0169"/>
    <w:rsid w:val="00AE01B8"/>
    <w:rsid w:val="00AE01DA"/>
    <w:rsid w:val="00AE0369"/>
    <w:rsid w:val="00AE03FA"/>
    <w:rsid w:val="00AE0407"/>
    <w:rsid w:val="00AE04B0"/>
    <w:rsid w:val="00AE04B9"/>
    <w:rsid w:val="00AE04CC"/>
    <w:rsid w:val="00AE04D5"/>
    <w:rsid w:val="00AE0536"/>
    <w:rsid w:val="00AE0558"/>
    <w:rsid w:val="00AE05B6"/>
    <w:rsid w:val="00AE06C9"/>
    <w:rsid w:val="00AE0715"/>
    <w:rsid w:val="00AE075B"/>
    <w:rsid w:val="00AE07C3"/>
    <w:rsid w:val="00AE08C8"/>
    <w:rsid w:val="00AE092A"/>
    <w:rsid w:val="00AE0947"/>
    <w:rsid w:val="00AE09A0"/>
    <w:rsid w:val="00AE0A39"/>
    <w:rsid w:val="00AE0AC1"/>
    <w:rsid w:val="00AE0ADF"/>
    <w:rsid w:val="00AE0B43"/>
    <w:rsid w:val="00AE0B78"/>
    <w:rsid w:val="00AE0B7A"/>
    <w:rsid w:val="00AE0BB6"/>
    <w:rsid w:val="00AE0C14"/>
    <w:rsid w:val="00AE0C85"/>
    <w:rsid w:val="00AE0CE5"/>
    <w:rsid w:val="00AE0D0F"/>
    <w:rsid w:val="00AE0D35"/>
    <w:rsid w:val="00AE0D78"/>
    <w:rsid w:val="00AE0DDF"/>
    <w:rsid w:val="00AE0EA8"/>
    <w:rsid w:val="00AE0EF2"/>
    <w:rsid w:val="00AE0F23"/>
    <w:rsid w:val="00AE0F8B"/>
    <w:rsid w:val="00AE0FA8"/>
    <w:rsid w:val="00AE0FC3"/>
    <w:rsid w:val="00AE0FC8"/>
    <w:rsid w:val="00AE1035"/>
    <w:rsid w:val="00AE1096"/>
    <w:rsid w:val="00AE109F"/>
    <w:rsid w:val="00AE1130"/>
    <w:rsid w:val="00AE114C"/>
    <w:rsid w:val="00AE12B6"/>
    <w:rsid w:val="00AE12C2"/>
    <w:rsid w:val="00AE1327"/>
    <w:rsid w:val="00AE134B"/>
    <w:rsid w:val="00AE1447"/>
    <w:rsid w:val="00AE1530"/>
    <w:rsid w:val="00AE1556"/>
    <w:rsid w:val="00AE1570"/>
    <w:rsid w:val="00AE159B"/>
    <w:rsid w:val="00AE15AD"/>
    <w:rsid w:val="00AE15B5"/>
    <w:rsid w:val="00AE16BA"/>
    <w:rsid w:val="00AE16DF"/>
    <w:rsid w:val="00AE174E"/>
    <w:rsid w:val="00AE1774"/>
    <w:rsid w:val="00AE17DF"/>
    <w:rsid w:val="00AE1806"/>
    <w:rsid w:val="00AE1871"/>
    <w:rsid w:val="00AE1885"/>
    <w:rsid w:val="00AE1898"/>
    <w:rsid w:val="00AE1A46"/>
    <w:rsid w:val="00AE1B08"/>
    <w:rsid w:val="00AE1B4E"/>
    <w:rsid w:val="00AE1B55"/>
    <w:rsid w:val="00AE1B67"/>
    <w:rsid w:val="00AE1B83"/>
    <w:rsid w:val="00AE1BC6"/>
    <w:rsid w:val="00AE1CCF"/>
    <w:rsid w:val="00AE1D1F"/>
    <w:rsid w:val="00AE1D79"/>
    <w:rsid w:val="00AE1D7E"/>
    <w:rsid w:val="00AE1DE5"/>
    <w:rsid w:val="00AE1E4C"/>
    <w:rsid w:val="00AE2009"/>
    <w:rsid w:val="00AE2012"/>
    <w:rsid w:val="00AE201F"/>
    <w:rsid w:val="00AE20BE"/>
    <w:rsid w:val="00AE215B"/>
    <w:rsid w:val="00AE21C6"/>
    <w:rsid w:val="00AE21E4"/>
    <w:rsid w:val="00AE231D"/>
    <w:rsid w:val="00AE24CF"/>
    <w:rsid w:val="00AE24DB"/>
    <w:rsid w:val="00AE2505"/>
    <w:rsid w:val="00AE251B"/>
    <w:rsid w:val="00AE253D"/>
    <w:rsid w:val="00AE2635"/>
    <w:rsid w:val="00AE2675"/>
    <w:rsid w:val="00AE2699"/>
    <w:rsid w:val="00AE274A"/>
    <w:rsid w:val="00AE27F2"/>
    <w:rsid w:val="00AE286A"/>
    <w:rsid w:val="00AE290D"/>
    <w:rsid w:val="00AE2940"/>
    <w:rsid w:val="00AE2945"/>
    <w:rsid w:val="00AE2979"/>
    <w:rsid w:val="00AE29B0"/>
    <w:rsid w:val="00AE2A1C"/>
    <w:rsid w:val="00AE2BD9"/>
    <w:rsid w:val="00AE2E5D"/>
    <w:rsid w:val="00AE2F2C"/>
    <w:rsid w:val="00AE2FE2"/>
    <w:rsid w:val="00AE2FE3"/>
    <w:rsid w:val="00AE3003"/>
    <w:rsid w:val="00AE3144"/>
    <w:rsid w:val="00AE3172"/>
    <w:rsid w:val="00AE3200"/>
    <w:rsid w:val="00AE32FC"/>
    <w:rsid w:val="00AE3400"/>
    <w:rsid w:val="00AE3440"/>
    <w:rsid w:val="00AE34CF"/>
    <w:rsid w:val="00AE34D9"/>
    <w:rsid w:val="00AE34DD"/>
    <w:rsid w:val="00AE35A2"/>
    <w:rsid w:val="00AE36DE"/>
    <w:rsid w:val="00AE36F2"/>
    <w:rsid w:val="00AE380D"/>
    <w:rsid w:val="00AE3839"/>
    <w:rsid w:val="00AE388C"/>
    <w:rsid w:val="00AE38B8"/>
    <w:rsid w:val="00AE38EE"/>
    <w:rsid w:val="00AE38F2"/>
    <w:rsid w:val="00AE3922"/>
    <w:rsid w:val="00AE392E"/>
    <w:rsid w:val="00AE3930"/>
    <w:rsid w:val="00AE3A60"/>
    <w:rsid w:val="00AE3BD2"/>
    <w:rsid w:val="00AE3BE1"/>
    <w:rsid w:val="00AE3CDF"/>
    <w:rsid w:val="00AE3D38"/>
    <w:rsid w:val="00AE3D58"/>
    <w:rsid w:val="00AE3D9C"/>
    <w:rsid w:val="00AE3DED"/>
    <w:rsid w:val="00AE3EC6"/>
    <w:rsid w:val="00AE3F3B"/>
    <w:rsid w:val="00AE3FD8"/>
    <w:rsid w:val="00AE3FF0"/>
    <w:rsid w:val="00AE4016"/>
    <w:rsid w:val="00AE40B7"/>
    <w:rsid w:val="00AE40EE"/>
    <w:rsid w:val="00AE4174"/>
    <w:rsid w:val="00AE4191"/>
    <w:rsid w:val="00AE41F9"/>
    <w:rsid w:val="00AE4207"/>
    <w:rsid w:val="00AE4230"/>
    <w:rsid w:val="00AE4246"/>
    <w:rsid w:val="00AE424B"/>
    <w:rsid w:val="00AE4261"/>
    <w:rsid w:val="00AE42C3"/>
    <w:rsid w:val="00AE432A"/>
    <w:rsid w:val="00AE4375"/>
    <w:rsid w:val="00AE43B2"/>
    <w:rsid w:val="00AE43F3"/>
    <w:rsid w:val="00AE43F4"/>
    <w:rsid w:val="00AE4445"/>
    <w:rsid w:val="00AE445A"/>
    <w:rsid w:val="00AE4485"/>
    <w:rsid w:val="00AE448A"/>
    <w:rsid w:val="00AE44CD"/>
    <w:rsid w:val="00AE44CE"/>
    <w:rsid w:val="00AE451B"/>
    <w:rsid w:val="00AE45BF"/>
    <w:rsid w:val="00AE45EB"/>
    <w:rsid w:val="00AE4612"/>
    <w:rsid w:val="00AE462A"/>
    <w:rsid w:val="00AE464F"/>
    <w:rsid w:val="00AE4786"/>
    <w:rsid w:val="00AE4810"/>
    <w:rsid w:val="00AE48CC"/>
    <w:rsid w:val="00AE4954"/>
    <w:rsid w:val="00AE4B17"/>
    <w:rsid w:val="00AE4B59"/>
    <w:rsid w:val="00AE4B5B"/>
    <w:rsid w:val="00AE4B74"/>
    <w:rsid w:val="00AE4BF3"/>
    <w:rsid w:val="00AE4C2C"/>
    <w:rsid w:val="00AE4C34"/>
    <w:rsid w:val="00AE4C7B"/>
    <w:rsid w:val="00AE4CAB"/>
    <w:rsid w:val="00AE4CCE"/>
    <w:rsid w:val="00AE4D70"/>
    <w:rsid w:val="00AE4D83"/>
    <w:rsid w:val="00AE4DFD"/>
    <w:rsid w:val="00AE4EDA"/>
    <w:rsid w:val="00AE4F18"/>
    <w:rsid w:val="00AE4F9C"/>
    <w:rsid w:val="00AE5058"/>
    <w:rsid w:val="00AE50E3"/>
    <w:rsid w:val="00AE5155"/>
    <w:rsid w:val="00AE5242"/>
    <w:rsid w:val="00AE529E"/>
    <w:rsid w:val="00AE52BF"/>
    <w:rsid w:val="00AE52DE"/>
    <w:rsid w:val="00AE531B"/>
    <w:rsid w:val="00AE532A"/>
    <w:rsid w:val="00AE5331"/>
    <w:rsid w:val="00AE535E"/>
    <w:rsid w:val="00AE5387"/>
    <w:rsid w:val="00AE5456"/>
    <w:rsid w:val="00AE547A"/>
    <w:rsid w:val="00AE547E"/>
    <w:rsid w:val="00AE5506"/>
    <w:rsid w:val="00AE552A"/>
    <w:rsid w:val="00AE5568"/>
    <w:rsid w:val="00AE55C7"/>
    <w:rsid w:val="00AE55ED"/>
    <w:rsid w:val="00AE5600"/>
    <w:rsid w:val="00AE566C"/>
    <w:rsid w:val="00AE56BA"/>
    <w:rsid w:val="00AE573A"/>
    <w:rsid w:val="00AE57D3"/>
    <w:rsid w:val="00AE57F4"/>
    <w:rsid w:val="00AE58FB"/>
    <w:rsid w:val="00AE5939"/>
    <w:rsid w:val="00AE5993"/>
    <w:rsid w:val="00AE5A0E"/>
    <w:rsid w:val="00AE5AFC"/>
    <w:rsid w:val="00AE5B46"/>
    <w:rsid w:val="00AE5B62"/>
    <w:rsid w:val="00AE5C58"/>
    <w:rsid w:val="00AE5C61"/>
    <w:rsid w:val="00AE5D7B"/>
    <w:rsid w:val="00AE5DF5"/>
    <w:rsid w:val="00AE5E7B"/>
    <w:rsid w:val="00AE5EAE"/>
    <w:rsid w:val="00AE5F85"/>
    <w:rsid w:val="00AE6042"/>
    <w:rsid w:val="00AE6053"/>
    <w:rsid w:val="00AE6067"/>
    <w:rsid w:val="00AE60C1"/>
    <w:rsid w:val="00AE610C"/>
    <w:rsid w:val="00AE6174"/>
    <w:rsid w:val="00AE6187"/>
    <w:rsid w:val="00AE61E9"/>
    <w:rsid w:val="00AE6284"/>
    <w:rsid w:val="00AE62D0"/>
    <w:rsid w:val="00AE638D"/>
    <w:rsid w:val="00AE63A0"/>
    <w:rsid w:val="00AE63AE"/>
    <w:rsid w:val="00AE63F9"/>
    <w:rsid w:val="00AE653A"/>
    <w:rsid w:val="00AE6556"/>
    <w:rsid w:val="00AE657B"/>
    <w:rsid w:val="00AE6594"/>
    <w:rsid w:val="00AE664D"/>
    <w:rsid w:val="00AE66BF"/>
    <w:rsid w:val="00AE682D"/>
    <w:rsid w:val="00AE69E0"/>
    <w:rsid w:val="00AE6A6D"/>
    <w:rsid w:val="00AE6ABB"/>
    <w:rsid w:val="00AE6C53"/>
    <w:rsid w:val="00AE6D8A"/>
    <w:rsid w:val="00AE6DC3"/>
    <w:rsid w:val="00AE6E1E"/>
    <w:rsid w:val="00AE6E78"/>
    <w:rsid w:val="00AE6E86"/>
    <w:rsid w:val="00AE7070"/>
    <w:rsid w:val="00AE70AD"/>
    <w:rsid w:val="00AE70B8"/>
    <w:rsid w:val="00AE7154"/>
    <w:rsid w:val="00AE71A4"/>
    <w:rsid w:val="00AE71C0"/>
    <w:rsid w:val="00AE71C1"/>
    <w:rsid w:val="00AE7217"/>
    <w:rsid w:val="00AE7250"/>
    <w:rsid w:val="00AE726A"/>
    <w:rsid w:val="00AE72CC"/>
    <w:rsid w:val="00AE72CE"/>
    <w:rsid w:val="00AE7319"/>
    <w:rsid w:val="00AE736C"/>
    <w:rsid w:val="00AE73E2"/>
    <w:rsid w:val="00AE74A7"/>
    <w:rsid w:val="00AE74A8"/>
    <w:rsid w:val="00AE74B1"/>
    <w:rsid w:val="00AE7570"/>
    <w:rsid w:val="00AE75AF"/>
    <w:rsid w:val="00AE75B9"/>
    <w:rsid w:val="00AE75CA"/>
    <w:rsid w:val="00AE764E"/>
    <w:rsid w:val="00AE765B"/>
    <w:rsid w:val="00AE7691"/>
    <w:rsid w:val="00AE77D9"/>
    <w:rsid w:val="00AE7825"/>
    <w:rsid w:val="00AE78B1"/>
    <w:rsid w:val="00AE7A77"/>
    <w:rsid w:val="00AE7B04"/>
    <w:rsid w:val="00AE7B98"/>
    <w:rsid w:val="00AE7BA7"/>
    <w:rsid w:val="00AE7BF4"/>
    <w:rsid w:val="00AE7D87"/>
    <w:rsid w:val="00AE7DB4"/>
    <w:rsid w:val="00AE7FE2"/>
    <w:rsid w:val="00AE7FEF"/>
    <w:rsid w:val="00AF00CE"/>
    <w:rsid w:val="00AF00E3"/>
    <w:rsid w:val="00AF00FC"/>
    <w:rsid w:val="00AF012A"/>
    <w:rsid w:val="00AF0203"/>
    <w:rsid w:val="00AF0225"/>
    <w:rsid w:val="00AF024A"/>
    <w:rsid w:val="00AF030F"/>
    <w:rsid w:val="00AF031A"/>
    <w:rsid w:val="00AF033D"/>
    <w:rsid w:val="00AF0350"/>
    <w:rsid w:val="00AF0372"/>
    <w:rsid w:val="00AF03AA"/>
    <w:rsid w:val="00AF03D5"/>
    <w:rsid w:val="00AF04E3"/>
    <w:rsid w:val="00AF04FE"/>
    <w:rsid w:val="00AF0581"/>
    <w:rsid w:val="00AF05C3"/>
    <w:rsid w:val="00AF05D3"/>
    <w:rsid w:val="00AF062D"/>
    <w:rsid w:val="00AF0649"/>
    <w:rsid w:val="00AF076B"/>
    <w:rsid w:val="00AF07C7"/>
    <w:rsid w:val="00AF07E2"/>
    <w:rsid w:val="00AF08A1"/>
    <w:rsid w:val="00AF08C0"/>
    <w:rsid w:val="00AF094B"/>
    <w:rsid w:val="00AF0953"/>
    <w:rsid w:val="00AF0992"/>
    <w:rsid w:val="00AF0A21"/>
    <w:rsid w:val="00AF0A54"/>
    <w:rsid w:val="00AF0A87"/>
    <w:rsid w:val="00AF0AB4"/>
    <w:rsid w:val="00AF0ABF"/>
    <w:rsid w:val="00AF0CAF"/>
    <w:rsid w:val="00AF0CB2"/>
    <w:rsid w:val="00AF0CB7"/>
    <w:rsid w:val="00AF0D63"/>
    <w:rsid w:val="00AF0E3D"/>
    <w:rsid w:val="00AF0E61"/>
    <w:rsid w:val="00AF0E7B"/>
    <w:rsid w:val="00AF0EAA"/>
    <w:rsid w:val="00AF0EBD"/>
    <w:rsid w:val="00AF0EE6"/>
    <w:rsid w:val="00AF1011"/>
    <w:rsid w:val="00AF104C"/>
    <w:rsid w:val="00AF1052"/>
    <w:rsid w:val="00AF106B"/>
    <w:rsid w:val="00AF1095"/>
    <w:rsid w:val="00AF10A0"/>
    <w:rsid w:val="00AF10D8"/>
    <w:rsid w:val="00AF1126"/>
    <w:rsid w:val="00AF1133"/>
    <w:rsid w:val="00AF1146"/>
    <w:rsid w:val="00AF1179"/>
    <w:rsid w:val="00AF117A"/>
    <w:rsid w:val="00AF1257"/>
    <w:rsid w:val="00AF1264"/>
    <w:rsid w:val="00AF12A4"/>
    <w:rsid w:val="00AF12FB"/>
    <w:rsid w:val="00AF12FC"/>
    <w:rsid w:val="00AF1361"/>
    <w:rsid w:val="00AF13A9"/>
    <w:rsid w:val="00AF1409"/>
    <w:rsid w:val="00AF143C"/>
    <w:rsid w:val="00AF147F"/>
    <w:rsid w:val="00AF1483"/>
    <w:rsid w:val="00AF1488"/>
    <w:rsid w:val="00AF14B1"/>
    <w:rsid w:val="00AF1590"/>
    <w:rsid w:val="00AF15A5"/>
    <w:rsid w:val="00AF1612"/>
    <w:rsid w:val="00AF166D"/>
    <w:rsid w:val="00AF172E"/>
    <w:rsid w:val="00AF1764"/>
    <w:rsid w:val="00AF1772"/>
    <w:rsid w:val="00AF1774"/>
    <w:rsid w:val="00AF1862"/>
    <w:rsid w:val="00AF1883"/>
    <w:rsid w:val="00AF1904"/>
    <w:rsid w:val="00AF192E"/>
    <w:rsid w:val="00AF1970"/>
    <w:rsid w:val="00AF1B41"/>
    <w:rsid w:val="00AF1B9D"/>
    <w:rsid w:val="00AF1BF3"/>
    <w:rsid w:val="00AF1CD6"/>
    <w:rsid w:val="00AF1E01"/>
    <w:rsid w:val="00AF1EC7"/>
    <w:rsid w:val="00AF1F2C"/>
    <w:rsid w:val="00AF1F3D"/>
    <w:rsid w:val="00AF1FC5"/>
    <w:rsid w:val="00AF219C"/>
    <w:rsid w:val="00AF2244"/>
    <w:rsid w:val="00AF2304"/>
    <w:rsid w:val="00AF2348"/>
    <w:rsid w:val="00AF2408"/>
    <w:rsid w:val="00AF2429"/>
    <w:rsid w:val="00AF2464"/>
    <w:rsid w:val="00AF25E7"/>
    <w:rsid w:val="00AF2611"/>
    <w:rsid w:val="00AF2645"/>
    <w:rsid w:val="00AF26FE"/>
    <w:rsid w:val="00AF27FF"/>
    <w:rsid w:val="00AF2937"/>
    <w:rsid w:val="00AF29E2"/>
    <w:rsid w:val="00AF2A09"/>
    <w:rsid w:val="00AF2A5F"/>
    <w:rsid w:val="00AF2A64"/>
    <w:rsid w:val="00AF2A81"/>
    <w:rsid w:val="00AF2B70"/>
    <w:rsid w:val="00AF2B8E"/>
    <w:rsid w:val="00AF2BEC"/>
    <w:rsid w:val="00AF2C0C"/>
    <w:rsid w:val="00AF2C86"/>
    <w:rsid w:val="00AF2CA9"/>
    <w:rsid w:val="00AF2CE8"/>
    <w:rsid w:val="00AF2CFC"/>
    <w:rsid w:val="00AF2DC2"/>
    <w:rsid w:val="00AF2DE3"/>
    <w:rsid w:val="00AF2E4D"/>
    <w:rsid w:val="00AF2E87"/>
    <w:rsid w:val="00AF2F1F"/>
    <w:rsid w:val="00AF2FD3"/>
    <w:rsid w:val="00AF2FE0"/>
    <w:rsid w:val="00AF30BA"/>
    <w:rsid w:val="00AF3170"/>
    <w:rsid w:val="00AF31E1"/>
    <w:rsid w:val="00AF32BD"/>
    <w:rsid w:val="00AF32F1"/>
    <w:rsid w:val="00AF333A"/>
    <w:rsid w:val="00AF33D8"/>
    <w:rsid w:val="00AF345C"/>
    <w:rsid w:val="00AF34B8"/>
    <w:rsid w:val="00AF34FD"/>
    <w:rsid w:val="00AF350E"/>
    <w:rsid w:val="00AF3529"/>
    <w:rsid w:val="00AF3588"/>
    <w:rsid w:val="00AF35AE"/>
    <w:rsid w:val="00AF368F"/>
    <w:rsid w:val="00AF36D4"/>
    <w:rsid w:val="00AF36D9"/>
    <w:rsid w:val="00AF36EA"/>
    <w:rsid w:val="00AF3712"/>
    <w:rsid w:val="00AF3725"/>
    <w:rsid w:val="00AF37A4"/>
    <w:rsid w:val="00AF37FC"/>
    <w:rsid w:val="00AF3882"/>
    <w:rsid w:val="00AF396D"/>
    <w:rsid w:val="00AF396E"/>
    <w:rsid w:val="00AF39CC"/>
    <w:rsid w:val="00AF3ABB"/>
    <w:rsid w:val="00AF3AC5"/>
    <w:rsid w:val="00AF3B2C"/>
    <w:rsid w:val="00AF3BC6"/>
    <w:rsid w:val="00AF3C08"/>
    <w:rsid w:val="00AF3C4D"/>
    <w:rsid w:val="00AF3D2B"/>
    <w:rsid w:val="00AF3D9E"/>
    <w:rsid w:val="00AF3DCD"/>
    <w:rsid w:val="00AF3E5A"/>
    <w:rsid w:val="00AF3E94"/>
    <w:rsid w:val="00AF3F20"/>
    <w:rsid w:val="00AF3F5F"/>
    <w:rsid w:val="00AF3FBB"/>
    <w:rsid w:val="00AF4094"/>
    <w:rsid w:val="00AF40A3"/>
    <w:rsid w:val="00AF4148"/>
    <w:rsid w:val="00AF41AC"/>
    <w:rsid w:val="00AF420E"/>
    <w:rsid w:val="00AF428A"/>
    <w:rsid w:val="00AF42BE"/>
    <w:rsid w:val="00AF42CC"/>
    <w:rsid w:val="00AF4358"/>
    <w:rsid w:val="00AF43CC"/>
    <w:rsid w:val="00AF43D2"/>
    <w:rsid w:val="00AF43EA"/>
    <w:rsid w:val="00AF44D0"/>
    <w:rsid w:val="00AF44DE"/>
    <w:rsid w:val="00AF455D"/>
    <w:rsid w:val="00AF4646"/>
    <w:rsid w:val="00AF467C"/>
    <w:rsid w:val="00AF46BD"/>
    <w:rsid w:val="00AF4746"/>
    <w:rsid w:val="00AF4827"/>
    <w:rsid w:val="00AF48F6"/>
    <w:rsid w:val="00AF4BF3"/>
    <w:rsid w:val="00AF4C27"/>
    <w:rsid w:val="00AF4CA7"/>
    <w:rsid w:val="00AF4D71"/>
    <w:rsid w:val="00AF4DB3"/>
    <w:rsid w:val="00AF4DDD"/>
    <w:rsid w:val="00AF4DFE"/>
    <w:rsid w:val="00AF4F1F"/>
    <w:rsid w:val="00AF513C"/>
    <w:rsid w:val="00AF51BC"/>
    <w:rsid w:val="00AF5227"/>
    <w:rsid w:val="00AF5291"/>
    <w:rsid w:val="00AF52F3"/>
    <w:rsid w:val="00AF5305"/>
    <w:rsid w:val="00AF532F"/>
    <w:rsid w:val="00AF5346"/>
    <w:rsid w:val="00AF5369"/>
    <w:rsid w:val="00AF53E0"/>
    <w:rsid w:val="00AF54D9"/>
    <w:rsid w:val="00AF56AE"/>
    <w:rsid w:val="00AF5711"/>
    <w:rsid w:val="00AF5722"/>
    <w:rsid w:val="00AF574F"/>
    <w:rsid w:val="00AF5763"/>
    <w:rsid w:val="00AF5775"/>
    <w:rsid w:val="00AF57BF"/>
    <w:rsid w:val="00AF5816"/>
    <w:rsid w:val="00AF5874"/>
    <w:rsid w:val="00AF58C2"/>
    <w:rsid w:val="00AF5910"/>
    <w:rsid w:val="00AF5929"/>
    <w:rsid w:val="00AF595C"/>
    <w:rsid w:val="00AF598A"/>
    <w:rsid w:val="00AF59B1"/>
    <w:rsid w:val="00AF59B4"/>
    <w:rsid w:val="00AF59D3"/>
    <w:rsid w:val="00AF59D5"/>
    <w:rsid w:val="00AF59E5"/>
    <w:rsid w:val="00AF5A33"/>
    <w:rsid w:val="00AF5A4C"/>
    <w:rsid w:val="00AF5A4F"/>
    <w:rsid w:val="00AF5AF7"/>
    <w:rsid w:val="00AF5B93"/>
    <w:rsid w:val="00AF5B9F"/>
    <w:rsid w:val="00AF5BE2"/>
    <w:rsid w:val="00AF5BE5"/>
    <w:rsid w:val="00AF5C1A"/>
    <w:rsid w:val="00AF5C23"/>
    <w:rsid w:val="00AF5C50"/>
    <w:rsid w:val="00AF5CB7"/>
    <w:rsid w:val="00AF5CC5"/>
    <w:rsid w:val="00AF5D08"/>
    <w:rsid w:val="00AF5D59"/>
    <w:rsid w:val="00AF5DB6"/>
    <w:rsid w:val="00AF5DCF"/>
    <w:rsid w:val="00AF5DFB"/>
    <w:rsid w:val="00AF5E9C"/>
    <w:rsid w:val="00AF5EE6"/>
    <w:rsid w:val="00AF5F4F"/>
    <w:rsid w:val="00AF5FC0"/>
    <w:rsid w:val="00AF603C"/>
    <w:rsid w:val="00AF60D7"/>
    <w:rsid w:val="00AF610F"/>
    <w:rsid w:val="00AF61AE"/>
    <w:rsid w:val="00AF6227"/>
    <w:rsid w:val="00AF625A"/>
    <w:rsid w:val="00AF6260"/>
    <w:rsid w:val="00AF6337"/>
    <w:rsid w:val="00AF638B"/>
    <w:rsid w:val="00AF6428"/>
    <w:rsid w:val="00AF64B2"/>
    <w:rsid w:val="00AF64FD"/>
    <w:rsid w:val="00AF651D"/>
    <w:rsid w:val="00AF6525"/>
    <w:rsid w:val="00AF65DB"/>
    <w:rsid w:val="00AF6602"/>
    <w:rsid w:val="00AF6639"/>
    <w:rsid w:val="00AF6642"/>
    <w:rsid w:val="00AF666B"/>
    <w:rsid w:val="00AF668B"/>
    <w:rsid w:val="00AF676F"/>
    <w:rsid w:val="00AF677A"/>
    <w:rsid w:val="00AF67BD"/>
    <w:rsid w:val="00AF67EC"/>
    <w:rsid w:val="00AF6A41"/>
    <w:rsid w:val="00AF6A94"/>
    <w:rsid w:val="00AF6AA2"/>
    <w:rsid w:val="00AF6AED"/>
    <w:rsid w:val="00AF6AF9"/>
    <w:rsid w:val="00AF6B0E"/>
    <w:rsid w:val="00AF6B84"/>
    <w:rsid w:val="00AF6BA6"/>
    <w:rsid w:val="00AF6C15"/>
    <w:rsid w:val="00AF6DF8"/>
    <w:rsid w:val="00AF6E03"/>
    <w:rsid w:val="00AF6E95"/>
    <w:rsid w:val="00AF6F8A"/>
    <w:rsid w:val="00AF7019"/>
    <w:rsid w:val="00AF703D"/>
    <w:rsid w:val="00AF703E"/>
    <w:rsid w:val="00AF712A"/>
    <w:rsid w:val="00AF7203"/>
    <w:rsid w:val="00AF720C"/>
    <w:rsid w:val="00AF725C"/>
    <w:rsid w:val="00AF726E"/>
    <w:rsid w:val="00AF7294"/>
    <w:rsid w:val="00AF72AD"/>
    <w:rsid w:val="00AF72C8"/>
    <w:rsid w:val="00AF7316"/>
    <w:rsid w:val="00AF7358"/>
    <w:rsid w:val="00AF736E"/>
    <w:rsid w:val="00AF7371"/>
    <w:rsid w:val="00AF73CE"/>
    <w:rsid w:val="00AF741B"/>
    <w:rsid w:val="00AF751F"/>
    <w:rsid w:val="00AF7575"/>
    <w:rsid w:val="00AF75CA"/>
    <w:rsid w:val="00AF764D"/>
    <w:rsid w:val="00AF76C9"/>
    <w:rsid w:val="00AF770A"/>
    <w:rsid w:val="00AF7765"/>
    <w:rsid w:val="00AF77AC"/>
    <w:rsid w:val="00AF77FD"/>
    <w:rsid w:val="00AF7916"/>
    <w:rsid w:val="00AF7927"/>
    <w:rsid w:val="00AF79A2"/>
    <w:rsid w:val="00AF79DA"/>
    <w:rsid w:val="00AF7AB9"/>
    <w:rsid w:val="00AF7AED"/>
    <w:rsid w:val="00AF7AF8"/>
    <w:rsid w:val="00AF7B91"/>
    <w:rsid w:val="00AF7B98"/>
    <w:rsid w:val="00AF7C07"/>
    <w:rsid w:val="00AF7CAB"/>
    <w:rsid w:val="00AF7CB4"/>
    <w:rsid w:val="00AF7D5E"/>
    <w:rsid w:val="00AF7D60"/>
    <w:rsid w:val="00AF7DA1"/>
    <w:rsid w:val="00AF7DE5"/>
    <w:rsid w:val="00AF7E4B"/>
    <w:rsid w:val="00AF7F65"/>
    <w:rsid w:val="00AF7F7C"/>
    <w:rsid w:val="00AF7FA3"/>
    <w:rsid w:val="00AF7FCA"/>
    <w:rsid w:val="00AF7FF1"/>
    <w:rsid w:val="00AFF3A4"/>
    <w:rsid w:val="00B00014"/>
    <w:rsid w:val="00B00169"/>
    <w:rsid w:val="00B0026F"/>
    <w:rsid w:val="00B002DA"/>
    <w:rsid w:val="00B00336"/>
    <w:rsid w:val="00B0035A"/>
    <w:rsid w:val="00B004AA"/>
    <w:rsid w:val="00B0051C"/>
    <w:rsid w:val="00B00597"/>
    <w:rsid w:val="00B0059B"/>
    <w:rsid w:val="00B005A2"/>
    <w:rsid w:val="00B006CF"/>
    <w:rsid w:val="00B006D3"/>
    <w:rsid w:val="00B00720"/>
    <w:rsid w:val="00B0072C"/>
    <w:rsid w:val="00B00739"/>
    <w:rsid w:val="00B00742"/>
    <w:rsid w:val="00B00765"/>
    <w:rsid w:val="00B00773"/>
    <w:rsid w:val="00B0079D"/>
    <w:rsid w:val="00B007A9"/>
    <w:rsid w:val="00B0080D"/>
    <w:rsid w:val="00B0085C"/>
    <w:rsid w:val="00B00869"/>
    <w:rsid w:val="00B008AA"/>
    <w:rsid w:val="00B009DC"/>
    <w:rsid w:val="00B00A39"/>
    <w:rsid w:val="00B00AA4"/>
    <w:rsid w:val="00B00C0C"/>
    <w:rsid w:val="00B00C30"/>
    <w:rsid w:val="00B00C75"/>
    <w:rsid w:val="00B00CA9"/>
    <w:rsid w:val="00B00CD0"/>
    <w:rsid w:val="00B00D30"/>
    <w:rsid w:val="00B00D5F"/>
    <w:rsid w:val="00B00E10"/>
    <w:rsid w:val="00B00E13"/>
    <w:rsid w:val="00B00E31"/>
    <w:rsid w:val="00B00EF2"/>
    <w:rsid w:val="00B00F0B"/>
    <w:rsid w:val="00B00FBC"/>
    <w:rsid w:val="00B00FD2"/>
    <w:rsid w:val="00B00FF8"/>
    <w:rsid w:val="00B0110F"/>
    <w:rsid w:val="00B0120C"/>
    <w:rsid w:val="00B0121C"/>
    <w:rsid w:val="00B012A0"/>
    <w:rsid w:val="00B01312"/>
    <w:rsid w:val="00B013FD"/>
    <w:rsid w:val="00B014AD"/>
    <w:rsid w:val="00B014D9"/>
    <w:rsid w:val="00B01526"/>
    <w:rsid w:val="00B01574"/>
    <w:rsid w:val="00B01590"/>
    <w:rsid w:val="00B015C2"/>
    <w:rsid w:val="00B015EF"/>
    <w:rsid w:val="00B01624"/>
    <w:rsid w:val="00B01626"/>
    <w:rsid w:val="00B0167D"/>
    <w:rsid w:val="00B01749"/>
    <w:rsid w:val="00B0176A"/>
    <w:rsid w:val="00B017C5"/>
    <w:rsid w:val="00B01818"/>
    <w:rsid w:val="00B0184B"/>
    <w:rsid w:val="00B018C5"/>
    <w:rsid w:val="00B018FD"/>
    <w:rsid w:val="00B01904"/>
    <w:rsid w:val="00B01978"/>
    <w:rsid w:val="00B01A18"/>
    <w:rsid w:val="00B01A85"/>
    <w:rsid w:val="00B01AAF"/>
    <w:rsid w:val="00B01B15"/>
    <w:rsid w:val="00B01B2B"/>
    <w:rsid w:val="00B01B9B"/>
    <w:rsid w:val="00B01C19"/>
    <w:rsid w:val="00B01C32"/>
    <w:rsid w:val="00B01C8E"/>
    <w:rsid w:val="00B01CBB"/>
    <w:rsid w:val="00B01CDE"/>
    <w:rsid w:val="00B01D26"/>
    <w:rsid w:val="00B01D42"/>
    <w:rsid w:val="00B01D55"/>
    <w:rsid w:val="00B01DF9"/>
    <w:rsid w:val="00B01E46"/>
    <w:rsid w:val="00B01EAB"/>
    <w:rsid w:val="00B01EFB"/>
    <w:rsid w:val="00B01FE4"/>
    <w:rsid w:val="00B0209B"/>
    <w:rsid w:val="00B020DA"/>
    <w:rsid w:val="00B0210F"/>
    <w:rsid w:val="00B02213"/>
    <w:rsid w:val="00B022CA"/>
    <w:rsid w:val="00B022D7"/>
    <w:rsid w:val="00B02337"/>
    <w:rsid w:val="00B023C5"/>
    <w:rsid w:val="00B023D7"/>
    <w:rsid w:val="00B02400"/>
    <w:rsid w:val="00B024CB"/>
    <w:rsid w:val="00B02532"/>
    <w:rsid w:val="00B02594"/>
    <w:rsid w:val="00B025F5"/>
    <w:rsid w:val="00B0266D"/>
    <w:rsid w:val="00B02714"/>
    <w:rsid w:val="00B02767"/>
    <w:rsid w:val="00B02796"/>
    <w:rsid w:val="00B027EB"/>
    <w:rsid w:val="00B02817"/>
    <w:rsid w:val="00B0285A"/>
    <w:rsid w:val="00B0293E"/>
    <w:rsid w:val="00B02977"/>
    <w:rsid w:val="00B02A1B"/>
    <w:rsid w:val="00B02BE1"/>
    <w:rsid w:val="00B02C1B"/>
    <w:rsid w:val="00B02C44"/>
    <w:rsid w:val="00B02C5C"/>
    <w:rsid w:val="00B02C62"/>
    <w:rsid w:val="00B02C95"/>
    <w:rsid w:val="00B02C9C"/>
    <w:rsid w:val="00B02CE5"/>
    <w:rsid w:val="00B02E4F"/>
    <w:rsid w:val="00B02E57"/>
    <w:rsid w:val="00B02EA9"/>
    <w:rsid w:val="00B02F2A"/>
    <w:rsid w:val="00B02F2E"/>
    <w:rsid w:val="00B02FD1"/>
    <w:rsid w:val="00B03023"/>
    <w:rsid w:val="00B03166"/>
    <w:rsid w:val="00B031F6"/>
    <w:rsid w:val="00B03210"/>
    <w:rsid w:val="00B0328B"/>
    <w:rsid w:val="00B03320"/>
    <w:rsid w:val="00B03349"/>
    <w:rsid w:val="00B0335B"/>
    <w:rsid w:val="00B0337C"/>
    <w:rsid w:val="00B03423"/>
    <w:rsid w:val="00B03429"/>
    <w:rsid w:val="00B03475"/>
    <w:rsid w:val="00B0352A"/>
    <w:rsid w:val="00B03538"/>
    <w:rsid w:val="00B03570"/>
    <w:rsid w:val="00B03593"/>
    <w:rsid w:val="00B03595"/>
    <w:rsid w:val="00B035B2"/>
    <w:rsid w:val="00B0362A"/>
    <w:rsid w:val="00B036A7"/>
    <w:rsid w:val="00B036B3"/>
    <w:rsid w:val="00B036E2"/>
    <w:rsid w:val="00B036F2"/>
    <w:rsid w:val="00B03747"/>
    <w:rsid w:val="00B0375A"/>
    <w:rsid w:val="00B03784"/>
    <w:rsid w:val="00B037F6"/>
    <w:rsid w:val="00B038AB"/>
    <w:rsid w:val="00B038F2"/>
    <w:rsid w:val="00B03ACE"/>
    <w:rsid w:val="00B03ADD"/>
    <w:rsid w:val="00B03B09"/>
    <w:rsid w:val="00B03BD6"/>
    <w:rsid w:val="00B03C0F"/>
    <w:rsid w:val="00B03C19"/>
    <w:rsid w:val="00B03C1C"/>
    <w:rsid w:val="00B03C2D"/>
    <w:rsid w:val="00B03CD6"/>
    <w:rsid w:val="00B03D1D"/>
    <w:rsid w:val="00B03DAC"/>
    <w:rsid w:val="00B03DE0"/>
    <w:rsid w:val="00B03E5F"/>
    <w:rsid w:val="00B03F4A"/>
    <w:rsid w:val="00B03F6F"/>
    <w:rsid w:val="00B0400C"/>
    <w:rsid w:val="00B0412F"/>
    <w:rsid w:val="00B041C2"/>
    <w:rsid w:val="00B0425B"/>
    <w:rsid w:val="00B04263"/>
    <w:rsid w:val="00B042AB"/>
    <w:rsid w:val="00B042ED"/>
    <w:rsid w:val="00B04382"/>
    <w:rsid w:val="00B0438E"/>
    <w:rsid w:val="00B043CC"/>
    <w:rsid w:val="00B043E6"/>
    <w:rsid w:val="00B0440F"/>
    <w:rsid w:val="00B04533"/>
    <w:rsid w:val="00B04565"/>
    <w:rsid w:val="00B0456D"/>
    <w:rsid w:val="00B04573"/>
    <w:rsid w:val="00B045BA"/>
    <w:rsid w:val="00B04648"/>
    <w:rsid w:val="00B04649"/>
    <w:rsid w:val="00B0465B"/>
    <w:rsid w:val="00B046BA"/>
    <w:rsid w:val="00B04715"/>
    <w:rsid w:val="00B04756"/>
    <w:rsid w:val="00B047B7"/>
    <w:rsid w:val="00B047C7"/>
    <w:rsid w:val="00B04825"/>
    <w:rsid w:val="00B04832"/>
    <w:rsid w:val="00B0483B"/>
    <w:rsid w:val="00B0484B"/>
    <w:rsid w:val="00B048EC"/>
    <w:rsid w:val="00B049A0"/>
    <w:rsid w:val="00B049AA"/>
    <w:rsid w:val="00B04A5F"/>
    <w:rsid w:val="00B04AA4"/>
    <w:rsid w:val="00B04B04"/>
    <w:rsid w:val="00B04B08"/>
    <w:rsid w:val="00B04B23"/>
    <w:rsid w:val="00B04B52"/>
    <w:rsid w:val="00B04B9C"/>
    <w:rsid w:val="00B04BAB"/>
    <w:rsid w:val="00B04C06"/>
    <w:rsid w:val="00B04C24"/>
    <w:rsid w:val="00B04C37"/>
    <w:rsid w:val="00B04CAC"/>
    <w:rsid w:val="00B04D99"/>
    <w:rsid w:val="00B04E03"/>
    <w:rsid w:val="00B04F64"/>
    <w:rsid w:val="00B04FBE"/>
    <w:rsid w:val="00B04FCA"/>
    <w:rsid w:val="00B0503A"/>
    <w:rsid w:val="00B051C1"/>
    <w:rsid w:val="00B051F1"/>
    <w:rsid w:val="00B05274"/>
    <w:rsid w:val="00B05280"/>
    <w:rsid w:val="00B0530A"/>
    <w:rsid w:val="00B0548B"/>
    <w:rsid w:val="00B054BB"/>
    <w:rsid w:val="00B05591"/>
    <w:rsid w:val="00B055C3"/>
    <w:rsid w:val="00B055DC"/>
    <w:rsid w:val="00B05603"/>
    <w:rsid w:val="00B05605"/>
    <w:rsid w:val="00B0560C"/>
    <w:rsid w:val="00B0561C"/>
    <w:rsid w:val="00B0562D"/>
    <w:rsid w:val="00B05652"/>
    <w:rsid w:val="00B0569A"/>
    <w:rsid w:val="00B056FE"/>
    <w:rsid w:val="00B058C2"/>
    <w:rsid w:val="00B058FF"/>
    <w:rsid w:val="00B05972"/>
    <w:rsid w:val="00B05A3C"/>
    <w:rsid w:val="00B05A8B"/>
    <w:rsid w:val="00B05A9F"/>
    <w:rsid w:val="00B05C23"/>
    <w:rsid w:val="00B05C3F"/>
    <w:rsid w:val="00B05C82"/>
    <w:rsid w:val="00B05C91"/>
    <w:rsid w:val="00B05C9D"/>
    <w:rsid w:val="00B05DB6"/>
    <w:rsid w:val="00B05DBF"/>
    <w:rsid w:val="00B05DEC"/>
    <w:rsid w:val="00B05E4B"/>
    <w:rsid w:val="00B05F7D"/>
    <w:rsid w:val="00B0611C"/>
    <w:rsid w:val="00B06153"/>
    <w:rsid w:val="00B06161"/>
    <w:rsid w:val="00B061BC"/>
    <w:rsid w:val="00B06230"/>
    <w:rsid w:val="00B06235"/>
    <w:rsid w:val="00B0626E"/>
    <w:rsid w:val="00B062CD"/>
    <w:rsid w:val="00B06307"/>
    <w:rsid w:val="00B06356"/>
    <w:rsid w:val="00B063C9"/>
    <w:rsid w:val="00B06405"/>
    <w:rsid w:val="00B06462"/>
    <w:rsid w:val="00B0646E"/>
    <w:rsid w:val="00B064F3"/>
    <w:rsid w:val="00B0653D"/>
    <w:rsid w:val="00B06552"/>
    <w:rsid w:val="00B065BF"/>
    <w:rsid w:val="00B06649"/>
    <w:rsid w:val="00B06729"/>
    <w:rsid w:val="00B06737"/>
    <w:rsid w:val="00B067CD"/>
    <w:rsid w:val="00B068AD"/>
    <w:rsid w:val="00B068CB"/>
    <w:rsid w:val="00B0691C"/>
    <w:rsid w:val="00B069CD"/>
    <w:rsid w:val="00B06A2D"/>
    <w:rsid w:val="00B06A8C"/>
    <w:rsid w:val="00B06B09"/>
    <w:rsid w:val="00B06BEF"/>
    <w:rsid w:val="00B06CC3"/>
    <w:rsid w:val="00B06D0D"/>
    <w:rsid w:val="00B06D7F"/>
    <w:rsid w:val="00B06DA1"/>
    <w:rsid w:val="00B06DE8"/>
    <w:rsid w:val="00B06DEC"/>
    <w:rsid w:val="00B06E04"/>
    <w:rsid w:val="00B06E33"/>
    <w:rsid w:val="00B06E58"/>
    <w:rsid w:val="00B06E88"/>
    <w:rsid w:val="00B06F13"/>
    <w:rsid w:val="00B06F88"/>
    <w:rsid w:val="00B07021"/>
    <w:rsid w:val="00B0708A"/>
    <w:rsid w:val="00B07128"/>
    <w:rsid w:val="00B071F4"/>
    <w:rsid w:val="00B071F9"/>
    <w:rsid w:val="00B07229"/>
    <w:rsid w:val="00B07246"/>
    <w:rsid w:val="00B07293"/>
    <w:rsid w:val="00B07344"/>
    <w:rsid w:val="00B07470"/>
    <w:rsid w:val="00B0752E"/>
    <w:rsid w:val="00B07552"/>
    <w:rsid w:val="00B0757B"/>
    <w:rsid w:val="00B07631"/>
    <w:rsid w:val="00B07657"/>
    <w:rsid w:val="00B0776A"/>
    <w:rsid w:val="00B0784B"/>
    <w:rsid w:val="00B078A7"/>
    <w:rsid w:val="00B0792D"/>
    <w:rsid w:val="00B07948"/>
    <w:rsid w:val="00B0794E"/>
    <w:rsid w:val="00B07A49"/>
    <w:rsid w:val="00B07A85"/>
    <w:rsid w:val="00B07ACB"/>
    <w:rsid w:val="00B07AF2"/>
    <w:rsid w:val="00B07B0B"/>
    <w:rsid w:val="00B07B2A"/>
    <w:rsid w:val="00B07BD0"/>
    <w:rsid w:val="00B07BD2"/>
    <w:rsid w:val="00B07C1E"/>
    <w:rsid w:val="00B07C57"/>
    <w:rsid w:val="00B07D30"/>
    <w:rsid w:val="00B07D9F"/>
    <w:rsid w:val="00B07DB2"/>
    <w:rsid w:val="00B07DC8"/>
    <w:rsid w:val="00B07E10"/>
    <w:rsid w:val="00B07F4E"/>
    <w:rsid w:val="00B07F61"/>
    <w:rsid w:val="00B10081"/>
    <w:rsid w:val="00B100FD"/>
    <w:rsid w:val="00B10143"/>
    <w:rsid w:val="00B101CD"/>
    <w:rsid w:val="00B10241"/>
    <w:rsid w:val="00B104A3"/>
    <w:rsid w:val="00B1056A"/>
    <w:rsid w:val="00B1058C"/>
    <w:rsid w:val="00B10595"/>
    <w:rsid w:val="00B106DA"/>
    <w:rsid w:val="00B1072F"/>
    <w:rsid w:val="00B1076C"/>
    <w:rsid w:val="00B107AF"/>
    <w:rsid w:val="00B10846"/>
    <w:rsid w:val="00B109B9"/>
    <w:rsid w:val="00B109BD"/>
    <w:rsid w:val="00B10A20"/>
    <w:rsid w:val="00B10AEB"/>
    <w:rsid w:val="00B10B72"/>
    <w:rsid w:val="00B10BC6"/>
    <w:rsid w:val="00B10C39"/>
    <w:rsid w:val="00B10CF1"/>
    <w:rsid w:val="00B10D21"/>
    <w:rsid w:val="00B10D3F"/>
    <w:rsid w:val="00B10D78"/>
    <w:rsid w:val="00B10DAF"/>
    <w:rsid w:val="00B10E0A"/>
    <w:rsid w:val="00B10E28"/>
    <w:rsid w:val="00B10E2E"/>
    <w:rsid w:val="00B10E4D"/>
    <w:rsid w:val="00B10EBB"/>
    <w:rsid w:val="00B10F6B"/>
    <w:rsid w:val="00B10F82"/>
    <w:rsid w:val="00B110BA"/>
    <w:rsid w:val="00B110D2"/>
    <w:rsid w:val="00B110E2"/>
    <w:rsid w:val="00B11182"/>
    <w:rsid w:val="00B1121E"/>
    <w:rsid w:val="00B11280"/>
    <w:rsid w:val="00B112BD"/>
    <w:rsid w:val="00B1139D"/>
    <w:rsid w:val="00B1143F"/>
    <w:rsid w:val="00B11478"/>
    <w:rsid w:val="00B114AB"/>
    <w:rsid w:val="00B114DD"/>
    <w:rsid w:val="00B11520"/>
    <w:rsid w:val="00B11555"/>
    <w:rsid w:val="00B1155F"/>
    <w:rsid w:val="00B1158C"/>
    <w:rsid w:val="00B115F0"/>
    <w:rsid w:val="00B1160C"/>
    <w:rsid w:val="00B11684"/>
    <w:rsid w:val="00B117DE"/>
    <w:rsid w:val="00B11942"/>
    <w:rsid w:val="00B11961"/>
    <w:rsid w:val="00B1197A"/>
    <w:rsid w:val="00B119AC"/>
    <w:rsid w:val="00B119E1"/>
    <w:rsid w:val="00B11A52"/>
    <w:rsid w:val="00B11A8B"/>
    <w:rsid w:val="00B11AAC"/>
    <w:rsid w:val="00B11B0E"/>
    <w:rsid w:val="00B11B33"/>
    <w:rsid w:val="00B11B40"/>
    <w:rsid w:val="00B11BE4"/>
    <w:rsid w:val="00B11C14"/>
    <w:rsid w:val="00B11CA6"/>
    <w:rsid w:val="00B11CC9"/>
    <w:rsid w:val="00B11DBB"/>
    <w:rsid w:val="00B11E20"/>
    <w:rsid w:val="00B11E29"/>
    <w:rsid w:val="00B11E37"/>
    <w:rsid w:val="00B11E46"/>
    <w:rsid w:val="00B11ED5"/>
    <w:rsid w:val="00B11EE9"/>
    <w:rsid w:val="00B11F21"/>
    <w:rsid w:val="00B11F47"/>
    <w:rsid w:val="00B11F7A"/>
    <w:rsid w:val="00B12011"/>
    <w:rsid w:val="00B120B8"/>
    <w:rsid w:val="00B1211D"/>
    <w:rsid w:val="00B1215A"/>
    <w:rsid w:val="00B12247"/>
    <w:rsid w:val="00B122C4"/>
    <w:rsid w:val="00B124A9"/>
    <w:rsid w:val="00B124E7"/>
    <w:rsid w:val="00B125CE"/>
    <w:rsid w:val="00B12625"/>
    <w:rsid w:val="00B12641"/>
    <w:rsid w:val="00B12645"/>
    <w:rsid w:val="00B12771"/>
    <w:rsid w:val="00B1286B"/>
    <w:rsid w:val="00B12876"/>
    <w:rsid w:val="00B12893"/>
    <w:rsid w:val="00B128A5"/>
    <w:rsid w:val="00B1297E"/>
    <w:rsid w:val="00B12A2D"/>
    <w:rsid w:val="00B12A59"/>
    <w:rsid w:val="00B12A9B"/>
    <w:rsid w:val="00B12B00"/>
    <w:rsid w:val="00B12BCF"/>
    <w:rsid w:val="00B12CA0"/>
    <w:rsid w:val="00B12D4B"/>
    <w:rsid w:val="00B12D7C"/>
    <w:rsid w:val="00B12EA8"/>
    <w:rsid w:val="00B12EDE"/>
    <w:rsid w:val="00B12EEE"/>
    <w:rsid w:val="00B12F5B"/>
    <w:rsid w:val="00B12F67"/>
    <w:rsid w:val="00B12F6B"/>
    <w:rsid w:val="00B12F98"/>
    <w:rsid w:val="00B12FA8"/>
    <w:rsid w:val="00B13017"/>
    <w:rsid w:val="00B13028"/>
    <w:rsid w:val="00B1304F"/>
    <w:rsid w:val="00B13079"/>
    <w:rsid w:val="00B130BF"/>
    <w:rsid w:val="00B130DF"/>
    <w:rsid w:val="00B131C5"/>
    <w:rsid w:val="00B131D2"/>
    <w:rsid w:val="00B131ED"/>
    <w:rsid w:val="00B13272"/>
    <w:rsid w:val="00B1327B"/>
    <w:rsid w:val="00B1329A"/>
    <w:rsid w:val="00B133CF"/>
    <w:rsid w:val="00B134A1"/>
    <w:rsid w:val="00B134D8"/>
    <w:rsid w:val="00B1352D"/>
    <w:rsid w:val="00B135D9"/>
    <w:rsid w:val="00B1372C"/>
    <w:rsid w:val="00B1373C"/>
    <w:rsid w:val="00B13762"/>
    <w:rsid w:val="00B13815"/>
    <w:rsid w:val="00B13839"/>
    <w:rsid w:val="00B13957"/>
    <w:rsid w:val="00B139D9"/>
    <w:rsid w:val="00B13A14"/>
    <w:rsid w:val="00B13B4F"/>
    <w:rsid w:val="00B13B56"/>
    <w:rsid w:val="00B13C5B"/>
    <w:rsid w:val="00B13CF4"/>
    <w:rsid w:val="00B13D18"/>
    <w:rsid w:val="00B13D3C"/>
    <w:rsid w:val="00B13D6F"/>
    <w:rsid w:val="00B13E4E"/>
    <w:rsid w:val="00B13ED4"/>
    <w:rsid w:val="00B13F5F"/>
    <w:rsid w:val="00B13F72"/>
    <w:rsid w:val="00B13FAA"/>
    <w:rsid w:val="00B13FFE"/>
    <w:rsid w:val="00B140F9"/>
    <w:rsid w:val="00B14101"/>
    <w:rsid w:val="00B14127"/>
    <w:rsid w:val="00B14183"/>
    <w:rsid w:val="00B14284"/>
    <w:rsid w:val="00B142DD"/>
    <w:rsid w:val="00B142F6"/>
    <w:rsid w:val="00B1432D"/>
    <w:rsid w:val="00B1434B"/>
    <w:rsid w:val="00B14369"/>
    <w:rsid w:val="00B14388"/>
    <w:rsid w:val="00B143BE"/>
    <w:rsid w:val="00B143DE"/>
    <w:rsid w:val="00B14473"/>
    <w:rsid w:val="00B14488"/>
    <w:rsid w:val="00B144A2"/>
    <w:rsid w:val="00B1453F"/>
    <w:rsid w:val="00B14638"/>
    <w:rsid w:val="00B1463E"/>
    <w:rsid w:val="00B14689"/>
    <w:rsid w:val="00B146CC"/>
    <w:rsid w:val="00B146E9"/>
    <w:rsid w:val="00B14756"/>
    <w:rsid w:val="00B147DB"/>
    <w:rsid w:val="00B1481D"/>
    <w:rsid w:val="00B148AE"/>
    <w:rsid w:val="00B149A5"/>
    <w:rsid w:val="00B149A9"/>
    <w:rsid w:val="00B14A0C"/>
    <w:rsid w:val="00B14A7E"/>
    <w:rsid w:val="00B14AB4"/>
    <w:rsid w:val="00B14AB8"/>
    <w:rsid w:val="00B14BA3"/>
    <w:rsid w:val="00B14C88"/>
    <w:rsid w:val="00B14C8D"/>
    <w:rsid w:val="00B14D3F"/>
    <w:rsid w:val="00B14E25"/>
    <w:rsid w:val="00B14E96"/>
    <w:rsid w:val="00B14EAA"/>
    <w:rsid w:val="00B14EED"/>
    <w:rsid w:val="00B14F2A"/>
    <w:rsid w:val="00B14F3A"/>
    <w:rsid w:val="00B14F69"/>
    <w:rsid w:val="00B1501E"/>
    <w:rsid w:val="00B1508E"/>
    <w:rsid w:val="00B150EE"/>
    <w:rsid w:val="00B15131"/>
    <w:rsid w:val="00B15181"/>
    <w:rsid w:val="00B1521B"/>
    <w:rsid w:val="00B15284"/>
    <w:rsid w:val="00B152D6"/>
    <w:rsid w:val="00B153A8"/>
    <w:rsid w:val="00B153BF"/>
    <w:rsid w:val="00B15454"/>
    <w:rsid w:val="00B155A7"/>
    <w:rsid w:val="00B1564B"/>
    <w:rsid w:val="00B15666"/>
    <w:rsid w:val="00B156CC"/>
    <w:rsid w:val="00B156D4"/>
    <w:rsid w:val="00B1573F"/>
    <w:rsid w:val="00B1587D"/>
    <w:rsid w:val="00B159AD"/>
    <w:rsid w:val="00B159BF"/>
    <w:rsid w:val="00B159C7"/>
    <w:rsid w:val="00B159F7"/>
    <w:rsid w:val="00B15ABA"/>
    <w:rsid w:val="00B15AE3"/>
    <w:rsid w:val="00B15B3A"/>
    <w:rsid w:val="00B15C23"/>
    <w:rsid w:val="00B15C8E"/>
    <w:rsid w:val="00B15CEE"/>
    <w:rsid w:val="00B15D10"/>
    <w:rsid w:val="00B15D8C"/>
    <w:rsid w:val="00B15DA0"/>
    <w:rsid w:val="00B15DC6"/>
    <w:rsid w:val="00B15E37"/>
    <w:rsid w:val="00B15F11"/>
    <w:rsid w:val="00B15F6E"/>
    <w:rsid w:val="00B15F93"/>
    <w:rsid w:val="00B16039"/>
    <w:rsid w:val="00B160F7"/>
    <w:rsid w:val="00B16163"/>
    <w:rsid w:val="00B161A1"/>
    <w:rsid w:val="00B161DA"/>
    <w:rsid w:val="00B161E4"/>
    <w:rsid w:val="00B16222"/>
    <w:rsid w:val="00B16236"/>
    <w:rsid w:val="00B1624E"/>
    <w:rsid w:val="00B16253"/>
    <w:rsid w:val="00B16264"/>
    <w:rsid w:val="00B1629F"/>
    <w:rsid w:val="00B16358"/>
    <w:rsid w:val="00B1637A"/>
    <w:rsid w:val="00B1640B"/>
    <w:rsid w:val="00B16425"/>
    <w:rsid w:val="00B164D0"/>
    <w:rsid w:val="00B164DF"/>
    <w:rsid w:val="00B16503"/>
    <w:rsid w:val="00B16517"/>
    <w:rsid w:val="00B16543"/>
    <w:rsid w:val="00B1654B"/>
    <w:rsid w:val="00B16588"/>
    <w:rsid w:val="00B165B1"/>
    <w:rsid w:val="00B16682"/>
    <w:rsid w:val="00B1679C"/>
    <w:rsid w:val="00B167AE"/>
    <w:rsid w:val="00B167C1"/>
    <w:rsid w:val="00B167FA"/>
    <w:rsid w:val="00B16826"/>
    <w:rsid w:val="00B16839"/>
    <w:rsid w:val="00B16867"/>
    <w:rsid w:val="00B168D7"/>
    <w:rsid w:val="00B16921"/>
    <w:rsid w:val="00B169C4"/>
    <w:rsid w:val="00B169F4"/>
    <w:rsid w:val="00B16A22"/>
    <w:rsid w:val="00B16A53"/>
    <w:rsid w:val="00B16A69"/>
    <w:rsid w:val="00B16BCE"/>
    <w:rsid w:val="00B16C40"/>
    <w:rsid w:val="00B16CCC"/>
    <w:rsid w:val="00B16D39"/>
    <w:rsid w:val="00B16E2F"/>
    <w:rsid w:val="00B16EBA"/>
    <w:rsid w:val="00B16EDA"/>
    <w:rsid w:val="00B16F1D"/>
    <w:rsid w:val="00B16F2A"/>
    <w:rsid w:val="00B16F3F"/>
    <w:rsid w:val="00B16F96"/>
    <w:rsid w:val="00B16FD5"/>
    <w:rsid w:val="00B1703D"/>
    <w:rsid w:val="00B17087"/>
    <w:rsid w:val="00B1708F"/>
    <w:rsid w:val="00B17096"/>
    <w:rsid w:val="00B170DF"/>
    <w:rsid w:val="00B1715B"/>
    <w:rsid w:val="00B1725F"/>
    <w:rsid w:val="00B17415"/>
    <w:rsid w:val="00B174AE"/>
    <w:rsid w:val="00B17564"/>
    <w:rsid w:val="00B1758D"/>
    <w:rsid w:val="00B175D8"/>
    <w:rsid w:val="00B175FD"/>
    <w:rsid w:val="00B17613"/>
    <w:rsid w:val="00B17634"/>
    <w:rsid w:val="00B17677"/>
    <w:rsid w:val="00B17685"/>
    <w:rsid w:val="00B1776F"/>
    <w:rsid w:val="00B17776"/>
    <w:rsid w:val="00B17794"/>
    <w:rsid w:val="00B177A0"/>
    <w:rsid w:val="00B177A3"/>
    <w:rsid w:val="00B177C1"/>
    <w:rsid w:val="00B177E9"/>
    <w:rsid w:val="00B1780A"/>
    <w:rsid w:val="00B17824"/>
    <w:rsid w:val="00B1787F"/>
    <w:rsid w:val="00B178AF"/>
    <w:rsid w:val="00B178C0"/>
    <w:rsid w:val="00B17973"/>
    <w:rsid w:val="00B17A03"/>
    <w:rsid w:val="00B17A93"/>
    <w:rsid w:val="00B17B1B"/>
    <w:rsid w:val="00B17B48"/>
    <w:rsid w:val="00B17B75"/>
    <w:rsid w:val="00B17BF2"/>
    <w:rsid w:val="00B17C35"/>
    <w:rsid w:val="00B17CA4"/>
    <w:rsid w:val="00B17D79"/>
    <w:rsid w:val="00B17DAE"/>
    <w:rsid w:val="00B17F84"/>
    <w:rsid w:val="00B2001B"/>
    <w:rsid w:val="00B200AA"/>
    <w:rsid w:val="00B2012F"/>
    <w:rsid w:val="00B201C1"/>
    <w:rsid w:val="00B201E6"/>
    <w:rsid w:val="00B202EA"/>
    <w:rsid w:val="00B2036D"/>
    <w:rsid w:val="00B203E4"/>
    <w:rsid w:val="00B20457"/>
    <w:rsid w:val="00B20499"/>
    <w:rsid w:val="00B204E3"/>
    <w:rsid w:val="00B205D2"/>
    <w:rsid w:val="00B205D9"/>
    <w:rsid w:val="00B20665"/>
    <w:rsid w:val="00B20679"/>
    <w:rsid w:val="00B20688"/>
    <w:rsid w:val="00B206C9"/>
    <w:rsid w:val="00B2077C"/>
    <w:rsid w:val="00B2078B"/>
    <w:rsid w:val="00B207B5"/>
    <w:rsid w:val="00B207D9"/>
    <w:rsid w:val="00B20832"/>
    <w:rsid w:val="00B20833"/>
    <w:rsid w:val="00B208FA"/>
    <w:rsid w:val="00B209C4"/>
    <w:rsid w:val="00B20A56"/>
    <w:rsid w:val="00B20A76"/>
    <w:rsid w:val="00B20A9F"/>
    <w:rsid w:val="00B20AA6"/>
    <w:rsid w:val="00B20AD4"/>
    <w:rsid w:val="00B20AEF"/>
    <w:rsid w:val="00B20CFA"/>
    <w:rsid w:val="00B20D81"/>
    <w:rsid w:val="00B20EA3"/>
    <w:rsid w:val="00B20F26"/>
    <w:rsid w:val="00B20F7D"/>
    <w:rsid w:val="00B20FEA"/>
    <w:rsid w:val="00B2105F"/>
    <w:rsid w:val="00B210AE"/>
    <w:rsid w:val="00B210E0"/>
    <w:rsid w:val="00B210F4"/>
    <w:rsid w:val="00B21129"/>
    <w:rsid w:val="00B2114F"/>
    <w:rsid w:val="00B2116E"/>
    <w:rsid w:val="00B211DB"/>
    <w:rsid w:val="00B211DE"/>
    <w:rsid w:val="00B21393"/>
    <w:rsid w:val="00B21413"/>
    <w:rsid w:val="00B2150B"/>
    <w:rsid w:val="00B2163F"/>
    <w:rsid w:val="00B216C4"/>
    <w:rsid w:val="00B21708"/>
    <w:rsid w:val="00B2176F"/>
    <w:rsid w:val="00B2177B"/>
    <w:rsid w:val="00B21787"/>
    <w:rsid w:val="00B21815"/>
    <w:rsid w:val="00B21885"/>
    <w:rsid w:val="00B218ED"/>
    <w:rsid w:val="00B21952"/>
    <w:rsid w:val="00B21A02"/>
    <w:rsid w:val="00B21A77"/>
    <w:rsid w:val="00B21AEA"/>
    <w:rsid w:val="00B21B34"/>
    <w:rsid w:val="00B21BBB"/>
    <w:rsid w:val="00B21BE4"/>
    <w:rsid w:val="00B21BF7"/>
    <w:rsid w:val="00B21C1E"/>
    <w:rsid w:val="00B21CD2"/>
    <w:rsid w:val="00B21D30"/>
    <w:rsid w:val="00B21D86"/>
    <w:rsid w:val="00B21DF2"/>
    <w:rsid w:val="00B21E0A"/>
    <w:rsid w:val="00B21F47"/>
    <w:rsid w:val="00B21FE6"/>
    <w:rsid w:val="00B21FEF"/>
    <w:rsid w:val="00B2202D"/>
    <w:rsid w:val="00B22045"/>
    <w:rsid w:val="00B2204B"/>
    <w:rsid w:val="00B22106"/>
    <w:rsid w:val="00B221AD"/>
    <w:rsid w:val="00B222D8"/>
    <w:rsid w:val="00B2239F"/>
    <w:rsid w:val="00B22416"/>
    <w:rsid w:val="00B2242D"/>
    <w:rsid w:val="00B2246E"/>
    <w:rsid w:val="00B224B1"/>
    <w:rsid w:val="00B2251D"/>
    <w:rsid w:val="00B225AD"/>
    <w:rsid w:val="00B225BF"/>
    <w:rsid w:val="00B225C6"/>
    <w:rsid w:val="00B225F1"/>
    <w:rsid w:val="00B22811"/>
    <w:rsid w:val="00B2281D"/>
    <w:rsid w:val="00B22879"/>
    <w:rsid w:val="00B2289A"/>
    <w:rsid w:val="00B228CF"/>
    <w:rsid w:val="00B22930"/>
    <w:rsid w:val="00B22976"/>
    <w:rsid w:val="00B229C8"/>
    <w:rsid w:val="00B22AB1"/>
    <w:rsid w:val="00B22B36"/>
    <w:rsid w:val="00B22B4F"/>
    <w:rsid w:val="00B22B58"/>
    <w:rsid w:val="00B22BAB"/>
    <w:rsid w:val="00B22BDA"/>
    <w:rsid w:val="00B22CAE"/>
    <w:rsid w:val="00B22CD7"/>
    <w:rsid w:val="00B22D4C"/>
    <w:rsid w:val="00B22D5B"/>
    <w:rsid w:val="00B22D67"/>
    <w:rsid w:val="00B22D76"/>
    <w:rsid w:val="00B22E49"/>
    <w:rsid w:val="00B22E7F"/>
    <w:rsid w:val="00B22EAF"/>
    <w:rsid w:val="00B22F70"/>
    <w:rsid w:val="00B22FB2"/>
    <w:rsid w:val="00B22FD9"/>
    <w:rsid w:val="00B22FFA"/>
    <w:rsid w:val="00B23028"/>
    <w:rsid w:val="00B23092"/>
    <w:rsid w:val="00B23095"/>
    <w:rsid w:val="00B230ED"/>
    <w:rsid w:val="00B230F4"/>
    <w:rsid w:val="00B23240"/>
    <w:rsid w:val="00B23242"/>
    <w:rsid w:val="00B23288"/>
    <w:rsid w:val="00B233F1"/>
    <w:rsid w:val="00B23443"/>
    <w:rsid w:val="00B2347F"/>
    <w:rsid w:val="00B2349E"/>
    <w:rsid w:val="00B234A6"/>
    <w:rsid w:val="00B234E6"/>
    <w:rsid w:val="00B234EB"/>
    <w:rsid w:val="00B2350B"/>
    <w:rsid w:val="00B2350C"/>
    <w:rsid w:val="00B2357C"/>
    <w:rsid w:val="00B23601"/>
    <w:rsid w:val="00B23621"/>
    <w:rsid w:val="00B2363A"/>
    <w:rsid w:val="00B2363F"/>
    <w:rsid w:val="00B23679"/>
    <w:rsid w:val="00B236BB"/>
    <w:rsid w:val="00B236C1"/>
    <w:rsid w:val="00B236F0"/>
    <w:rsid w:val="00B2371A"/>
    <w:rsid w:val="00B23749"/>
    <w:rsid w:val="00B23775"/>
    <w:rsid w:val="00B23828"/>
    <w:rsid w:val="00B23829"/>
    <w:rsid w:val="00B23847"/>
    <w:rsid w:val="00B2386A"/>
    <w:rsid w:val="00B23896"/>
    <w:rsid w:val="00B239EE"/>
    <w:rsid w:val="00B23A55"/>
    <w:rsid w:val="00B23A84"/>
    <w:rsid w:val="00B23A8A"/>
    <w:rsid w:val="00B23AF1"/>
    <w:rsid w:val="00B23BD5"/>
    <w:rsid w:val="00B23C09"/>
    <w:rsid w:val="00B23D6A"/>
    <w:rsid w:val="00B23E7B"/>
    <w:rsid w:val="00B23F21"/>
    <w:rsid w:val="00B23F50"/>
    <w:rsid w:val="00B2407A"/>
    <w:rsid w:val="00B240CC"/>
    <w:rsid w:val="00B240DA"/>
    <w:rsid w:val="00B24127"/>
    <w:rsid w:val="00B24157"/>
    <w:rsid w:val="00B2419D"/>
    <w:rsid w:val="00B241C7"/>
    <w:rsid w:val="00B241DF"/>
    <w:rsid w:val="00B241EE"/>
    <w:rsid w:val="00B2420D"/>
    <w:rsid w:val="00B2420F"/>
    <w:rsid w:val="00B24263"/>
    <w:rsid w:val="00B24307"/>
    <w:rsid w:val="00B24377"/>
    <w:rsid w:val="00B243FF"/>
    <w:rsid w:val="00B24484"/>
    <w:rsid w:val="00B2449D"/>
    <w:rsid w:val="00B244F3"/>
    <w:rsid w:val="00B2450C"/>
    <w:rsid w:val="00B245D9"/>
    <w:rsid w:val="00B24676"/>
    <w:rsid w:val="00B24761"/>
    <w:rsid w:val="00B2476B"/>
    <w:rsid w:val="00B2478A"/>
    <w:rsid w:val="00B247BE"/>
    <w:rsid w:val="00B247E1"/>
    <w:rsid w:val="00B2487F"/>
    <w:rsid w:val="00B248C9"/>
    <w:rsid w:val="00B2491D"/>
    <w:rsid w:val="00B24A29"/>
    <w:rsid w:val="00B24AED"/>
    <w:rsid w:val="00B24BE0"/>
    <w:rsid w:val="00B24BF8"/>
    <w:rsid w:val="00B24C06"/>
    <w:rsid w:val="00B24C0F"/>
    <w:rsid w:val="00B24CC4"/>
    <w:rsid w:val="00B24CD7"/>
    <w:rsid w:val="00B24D77"/>
    <w:rsid w:val="00B24DFC"/>
    <w:rsid w:val="00B24F06"/>
    <w:rsid w:val="00B24F90"/>
    <w:rsid w:val="00B24FD1"/>
    <w:rsid w:val="00B24FFC"/>
    <w:rsid w:val="00B25008"/>
    <w:rsid w:val="00B2506C"/>
    <w:rsid w:val="00B25080"/>
    <w:rsid w:val="00B25087"/>
    <w:rsid w:val="00B250CF"/>
    <w:rsid w:val="00B2514F"/>
    <w:rsid w:val="00B251BD"/>
    <w:rsid w:val="00B251D6"/>
    <w:rsid w:val="00B25218"/>
    <w:rsid w:val="00B25231"/>
    <w:rsid w:val="00B25257"/>
    <w:rsid w:val="00B25263"/>
    <w:rsid w:val="00B252BD"/>
    <w:rsid w:val="00B25312"/>
    <w:rsid w:val="00B25469"/>
    <w:rsid w:val="00B2547F"/>
    <w:rsid w:val="00B254D8"/>
    <w:rsid w:val="00B25551"/>
    <w:rsid w:val="00B25566"/>
    <w:rsid w:val="00B255AD"/>
    <w:rsid w:val="00B255E2"/>
    <w:rsid w:val="00B255F0"/>
    <w:rsid w:val="00B2562F"/>
    <w:rsid w:val="00B25668"/>
    <w:rsid w:val="00B256C5"/>
    <w:rsid w:val="00B256DB"/>
    <w:rsid w:val="00B256ED"/>
    <w:rsid w:val="00B256FA"/>
    <w:rsid w:val="00B2580D"/>
    <w:rsid w:val="00B258EF"/>
    <w:rsid w:val="00B25941"/>
    <w:rsid w:val="00B25972"/>
    <w:rsid w:val="00B259EB"/>
    <w:rsid w:val="00B25AB7"/>
    <w:rsid w:val="00B25D17"/>
    <w:rsid w:val="00B25D19"/>
    <w:rsid w:val="00B25DA9"/>
    <w:rsid w:val="00B25DB3"/>
    <w:rsid w:val="00B25F28"/>
    <w:rsid w:val="00B25FF8"/>
    <w:rsid w:val="00B26073"/>
    <w:rsid w:val="00B2616D"/>
    <w:rsid w:val="00B26241"/>
    <w:rsid w:val="00B26280"/>
    <w:rsid w:val="00B26332"/>
    <w:rsid w:val="00B26380"/>
    <w:rsid w:val="00B26389"/>
    <w:rsid w:val="00B2639F"/>
    <w:rsid w:val="00B2643E"/>
    <w:rsid w:val="00B26442"/>
    <w:rsid w:val="00B26443"/>
    <w:rsid w:val="00B264D4"/>
    <w:rsid w:val="00B265E1"/>
    <w:rsid w:val="00B265ED"/>
    <w:rsid w:val="00B26603"/>
    <w:rsid w:val="00B26608"/>
    <w:rsid w:val="00B26648"/>
    <w:rsid w:val="00B26767"/>
    <w:rsid w:val="00B26784"/>
    <w:rsid w:val="00B26874"/>
    <w:rsid w:val="00B2688D"/>
    <w:rsid w:val="00B26894"/>
    <w:rsid w:val="00B268AF"/>
    <w:rsid w:val="00B268D2"/>
    <w:rsid w:val="00B268DD"/>
    <w:rsid w:val="00B268E8"/>
    <w:rsid w:val="00B268EC"/>
    <w:rsid w:val="00B26900"/>
    <w:rsid w:val="00B269D4"/>
    <w:rsid w:val="00B269EF"/>
    <w:rsid w:val="00B26A34"/>
    <w:rsid w:val="00B26AE4"/>
    <w:rsid w:val="00B26B47"/>
    <w:rsid w:val="00B26BEB"/>
    <w:rsid w:val="00B26C2B"/>
    <w:rsid w:val="00B26C58"/>
    <w:rsid w:val="00B26CC5"/>
    <w:rsid w:val="00B26D42"/>
    <w:rsid w:val="00B26DF7"/>
    <w:rsid w:val="00B26E03"/>
    <w:rsid w:val="00B26E3A"/>
    <w:rsid w:val="00B26E67"/>
    <w:rsid w:val="00B26E97"/>
    <w:rsid w:val="00B26EAA"/>
    <w:rsid w:val="00B26EB3"/>
    <w:rsid w:val="00B26F2A"/>
    <w:rsid w:val="00B2700A"/>
    <w:rsid w:val="00B27131"/>
    <w:rsid w:val="00B2719B"/>
    <w:rsid w:val="00B272E1"/>
    <w:rsid w:val="00B273AA"/>
    <w:rsid w:val="00B273E2"/>
    <w:rsid w:val="00B274DC"/>
    <w:rsid w:val="00B275A9"/>
    <w:rsid w:val="00B275F3"/>
    <w:rsid w:val="00B2760E"/>
    <w:rsid w:val="00B27627"/>
    <w:rsid w:val="00B276A1"/>
    <w:rsid w:val="00B276BB"/>
    <w:rsid w:val="00B276CA"/>
    <w:rsid w:val="00B276E3"/>
    <w:rsid w:val="00B27719"/>
    <w:rsid w:val="00B27749"/>
    <w:rsid w:val="00B2775D"/>
    <w:rsid w:val="00B2790B"/>
    <w:rsid w:val="00B279BD"/>
    <w:rsid w:val="00B27A0D"/>
    <w:rsid w:val="00B27A5B"/>
    <w:rsid w:val="00B27A8F"/>
    <w:rsid w:val="00B27B24"/>
    <w:rsid w:val="00B27C44"/>
    <w:rsid w:val="00B27C58"/>
    <w:rsid w:val="00B27C75"/>
    <w:rsid w:val="00B27CA2"/>
    <w:rsid w:val="00B27CEC"/>
    <w:rsid w:val="00B27EA2"/>
    <w:rsid w:val="00B27F27"/>
    <w:rsid w:val="00B27F43"/>
    <w:rsid w:val="00B27F7B"/>
    <w:rsid w:val="00B27FB0"/>
    <w:rsid w:val="00B30003"/>
    <w:rsid w:val="00B30004"/>
    <w:rsid w:val="00B300BC"/>
    <w:rsid w:val="00B300F7"/>
    <w:rsid w:val="00B30123"/>
    <w:rsid w:val="00B30255"/>
    <w:rsid w:val="00B30307"/>
    <w:rsid w:val="00B30309"/>
    <w:rsid w:val="00B3030F"/>
    <w:rsid w:val="00B30434"/>
    <w:rsid w:val="00B3045C"/>
    <w:rsid w:val="00B304AE"/>
    <w:rsid w:val="00B304F9"/>
    <w:rsid w:val="00B3053D"/>
    <w:rsid w:val="00B3068F"/>
    <w:rsid w:val="00B306B2"/>
    <w:rsid w:val="00B306B6"/>
    <w:rsid w:val="00B306EA"/>
    <w:rsid w:val="00B3075B"/>
    <w:rsid w:val="00B30770"/>
    <w:rsid w:val="00B3078C"/>
    <w:rsid w:val="00B30853"/>
    <w:rsid w:val="00B30868"/>
    <w:rsid w:val="00B3088F"/>
    <w:rsid w:val="00B308E4"/>
    <w:rsid w:val="00B30972"/>
    <w:rsid w:val="00B30A3A"/>
    <w:rsid w:val="00B30ABF"/>
    <w:rsid w:val="00B30B13"/>
    <w:rsid w:val="00B30B19"/>
    <w:rsid w:val="00B30B70"/>
    <w:rsid w:val="00B30BEC"/>
    <w:rsid w:val="00B30C06"/>
    <w:rsid w:val="00B30CA6"/>
    <w:rsid w:val="00B30D42"/>
    <w:rsid w:val="00B30D69"/>
    <w:rsid w:val="00B30D84"/>
    <w:rsid w:val="00B30DA3"/>
    <w:rsid w:val="00B30DD0"/>
    <w:rsid w:val="00B30F33"/>
    <w:rsid w:val="00B30F43"/>
    <w:rsid w:val="00B30FA9"/>
    <w:rsid w:val="00B3101C"/>
    <w:rsid w:val="00B31021"/>
    <w:rsid w:val="00B31039"/>
    <w:rsid w:val="00B31090"/>
    <w:rsid w:val="00B310A3"/>
    <w:rsid w:val="00B31178"/>
    <w:rsid w:val="00B311AA"/>
    <w:rsid w:val="00B31218"/>
    <w:rsid w:val="00B3125B"/>
    <w:rsid w:val="00B31298"/>
    <w:rsid w:val="00B312A3"/>
    <w:rsid w:val="00B312EA"/>
    <w:rsid w:val="00B31395"/>
    <w:rsid w:val="00B3139E"/>
    <w:rsid w:val="00B313D9"/>
    <w:rsid w:val="00B313DA"/>
    <w:rsid w:val="00B314AA"/>
    <w:rsid w:val="00B3159A"/>
    <w:rsid w:val="00B315B3"/>
    <w:rsid w:val="00B31651"/>
    <w:rsid w:val="00B31756"/>
    <w:rsid w:val="00B31816"/>
    <w:rsid w:val="00B31866"/>
    <w:rsid w:val="00B319E8"/>
    <w:rsid w:val="00B31A64"/>
    <w:rsid w:val="00B31A77"/>
    <w:rsid w:val="00B31A9E"/>
    <w:rsid w:val="00B31B81"/>
    <w:rsid w:val="00B31B82"/>
    <w:rsid w:val="00B31DC4"/>
    <w:rsid w:val="00B31DC9"/>
    <w:rsid w:val="00B31E62"/>
    <w:rsid w:val="00B31EC4"/>
    <w:rsid w:val="00B31ED1"/>
    <w:rsid w:val="00B31F6D"/>
    <w:rsid w:val="00B31FE2"/>
    <w:rsid w:val="00B32022"/>
    <w:rsid w:val="00B32086"/>
    <w:rsid w:val="00B32175"/>
    <w:rsid w:val="00B321F6"/>
    <w:rsid w:val="00B32213"/>
    <w:rsid w:val="00B3228B"/>
    <w:rsid w:val="00B322CD"/>
    <w:rsid w:val="00B32342"/>
    <w:rsid w:val="00B32366"/>
    <w:rsid w:val="00B32372"/>
    <w:rsid w:val="00B3256E"/>
    <w:rsid w:val="00B32684"/>
    <w:rsid w:val="00B326D3"/>
    <w:rsid w:val="00B3276A"/>
    <w:rsid w:val="00B3284A"/>
    <w:rsid w:val="00B32915"/>
    <w:rsid w:val="00B329BA"/>
    <w:rsid w:val="00B32A8C"/>
    <w:rsid w:val="00B32AF1"/>
    <w:rsid w:val="00B32C5F"/>
    <w:rsid w:val="00B32DDF"/>
    <w:rsid w:val="00B32EAF"/>
    <w:rsid w:val="00B32EC0"/>
    <w:rsid w:val="00B32ED3"/>
    <w:rsid w:val="00B32F46"/>
    <w:rsid w:val="00B32FE7"/>
    <w:rsid w:val="00B33024"/>
    <w:rsid w:val="00B3316E"/>
    <w:rsid w:val="00B33232"/>
    <w:rsid w:val="00B333B8"/>
    <w:rsid w:val="00B33421"/>
    <w:rsid w:val="00B335C2"/>
    <w:rsid w:val="00B335D2"/>
    <w:rsid w:val="00B335DF"/>
    <w:rsid w:val="00B33866"/>
    <w:rsid w:val="00B3395C"/>
    <w:rsid w:val="00B339D6"/>
    <w:rsid w:val="00B339FD"/>
    <w:rsid w:val="00B33A3A"/>
    <w:rsid w:val="00B33ABC"/>
    <w:rsid w:val="00B33B19"/>
    <w:rsid w:val="00B33B5D"/>
    <w:rsid w:val="00B33B7F"/>
    <w:rsid w:val="00B33B87"/>
    <w:rsid w:val="00B33B97"/>
    <w:rsid w:val="00B33C20"/>
    <w:rsid w:val="00B33C3B"/>
    <w:rsid w:val="00B33C5F"/>
    <w:rsid w:val="00B33C85"/>
    <w:rsid w:val="00B33E9F"/>
    <w:rsid w:val="00B33F55"/>
    <w:rsid w:val="00B33F63"/>
    <w:rsid w:val="00B33FD2"/>
    <w:rsid w:val="00B33FEE"/>
    <w:rsid w:val="00B3405F"/>
    <w:rsid w:val="00B3416A"/>
    <w:rsid w:val="00B34173"/>
    <w:rsid w:val="00B34184"/>
    <w:rsid w:val="00B34202"/>
    <w:rsid w:val="00B3425D"/>
    <w:rsid w:val="00B3429F"/>
    <w:rsid w:val="00B342C5"/>
    <w:rsid w:val="00B342DB"/>
    <w:rsid w:val="00B342FA"/>
    <w:rsid w:val="00B3435F"/>
    <w:rsid w:val="00B34380"/>
    <w:rsid w:val="00B343CB"/>
    <w:rsid w:val="00B3440B"/>
    <w:rsid w:val="00B3440F"/>
    <w:rsid w:val="00B34489"/>
    <w:rsid w:val="00B34568"/>
    <w:rsid w:val="00B34587"/>
    <w:rsid w:val="00B345E7"/>
    <w:rsid w:val="00B3473E"/>
    <w:rsid w:val="00B3477C"/>
    <w:rsid w:val="00B3482C"/>
    <w:rsid w:val="00B34836"/>
    <w:rsid w:val="00B348FB"/>
    <w:rsid w:val="00B34935"/>
    <w:rsid w:val="00B34965"/>
    <w:rsid w:val="00B34A68"/>
    <w:rsid w:val="00B34B25"/>
    <w:rsid w:val="00B34B97"/>
    <w:rsid w:val="00B34BBB"/>
    <w:rsid w:val="00B34C76"/>
    <w:rsid w:val="00B34D27"/>
    <w:rsid w:val="00B34D58"/>
    <w:rsid w:val="00B34D64"/>
    <w:rsid w:val="00B34D81"/>
    <w:rsid w:val="00B34DDE"/>
    <w:rsid w:val="00B34E58"/>
    <w:rsid w:val="00B34E8C"/>
    <w:rsid w:val="00B34EA4"/>
    <w:rsid w:val="00B34EF0"/>
    <w:rsid w:val="00B34FC0"/>
    <w:rsid w:val="00B35037"/>
    <w:rsid w:val="00B35100"/>
    <w:rsid w:val="00B3517F"/>
    <w:rsid w:val="00B3519C"/>
    <w:rsid w:val="00B351DF"/>
    <w:rsid w:val="00B35249"/>
    <w:rsid w:val="00B35259"/>
    <w:rsid w:val="00B35261"/>
    <w:rsid w:val="00B35278"/>
    <w:rsid w:val="00B353C9"/>
    <w:rsid w:val="00B353FE"/>
    <w:rsid w:val="00B35401"/>
    <w:rsid w:val="00B355CB"/>
    <w:rsid w:val="00B355DF"/>
    <w:rsid w:val="00B355E2"/>
    <w:rsid w:val="00B356CA"/>
    <w:rsid w:val="00B356CC"/>
    <w:rsid w:val="00B35739"/>
    <w:rsid w:val="00B357D7"/>
    <w:rsid w:val="00B3581B"/>
    <w:rsid w:val="00B3582E"/>
    <w:rsid w:val="00B3583C"/>
    <w:rsid w:val="00B35885"/>
    <w:rsid w:val="00B35889"/>
    <w:rsid w:val="00B358A9"/>
    <w:rsid w:val="00B358C8"/>
    <w:rsid w:val="00B3598E"/>
    <w:rsid w:val="00B359C0"/>
    <w:rsid w:val="00B359CA"/>
    <w:rsid w:val="00B35A7F"/>
    <w:rsid w:val="00B35A91"/>
    <w:rsid w:val="00B35A97"/>
    <w:rsid w:val="00B35AAE"/>
    <w:rsid w:val="00B35B0E"/>
    <w:rsid w:val="00B35B3F"/>
    <w:rsid w:val="00B35C17"/>
    <w:rsid w:val="00B35C46"/>
    <w:rsid w:val="00B35C52"/>
    <w:rsid w:val="00B35C81"/>
    <w:rsid w:val="00B35D28"/>
    <w:rsid w:val="00B35DA8"/>
    <w:rsid w:val="00B35DD0"/>
    <w:rsid w:val="00B35DD7"/>
    <w:rsid w:val="00B35E63"/>
    <w:rsid w:val="00B35E6D"/>
    <w:rsid w:val="00B35EAE"/>
    <w:rsid w:val="00B35F99"/>
    <w:rsid w:val="00B35FA1"/>
    <w:rsid w:val="00B36063"/>
    <w:rsid w:val="00B36084"/>
    <w:rsid w:val="00B360AA"/>
    <w:rsid w:val="00B360C5"/>
    <w:rsid w:val="00B360EA"/>
    <w:rsid w:val="00B36116"/>
    <w:rsid w:val="00B36128"/>
    <w:rsid w:val="00B361B7"/>
    <w:rsid w:val="00B362A2"/>
    <w:rsid w:val="00B363D4"/>
    <w:rsid w:val="00B36423"/>
    <w:rsid w:val="00B3656C"/>
    <w:rsid w:val="00B365BF"/>
    <w:rsid w:val="00B365C0"/>
    <w:rsid w:val="00B36609"/>
    <w:rsid w:val="00B3666C"/>
    <w:rsid w:val="00B3667E"/>
    <w:rsid w:val="00B36783"/>
    <w:rsid w:val="00B367E7"/>
    <w:rsid w:val="00B3681D"/>
    <w:rsid w:val="00B36820"/>
    <w:rsid w:val="00B36918"/>
    <w:rsid w:val="00B3691A"/>
    <w:rsid w:val="00B369B2"/>
    <w:rsid w:val="00B36A41"/>
    <w:rsid w:val="00B36ABC"/>
    <w:rsid w:val="00B36AD3"/>
    <w:rsid w:val="00B36ADA"/>
    <w:rsid w:val="00B36B32"/>
    <w:rsid w:val="00B36B64"/>
    <w:rsid w:val="00B36D1F"/>
    <w:rsid w:val="00B36D65"/>
    <w:rsid w:val="00B36D6F"/>
    <w:rsid w:val="00B36E25"/>
    <w:rsid w:val="00B36F00"/>
    <w:rsid w:val="00B36F1C"/>
    <w:rsid w:val="00B36F86"/>
    <w:rsid w:val="00B36FC6"/>
    <w:rsid w:val="00B36FE3"/>
    <w:rsid w:val="00B3703C"/>
    <w:rsid w:val="00B37098"/>
    <w:rsid w:val="00B370CA"/>
    <w:rsid w:val="00B37129"/>
    <w:rsid w:val="00B3718F"/>
    <w:rsid w:val="00B371A0"/>
    <w:rsid w:val="00B371B7"/>
    <w:rsid w:val="00B371CD"/>
    <w:rsid w:val="00B37296"/>
    <w:rsid w:val="00B372BD"/>
    <w:rsid w:val="00B373DE"/>
    <w:rsid w:val="00B375FD"/>
    <w:rsid w:val="00B376D1"/>
    <w:rsid w:val="00B376E6"/>
    <w:rsid w:val="00B37782"/>
    <w:rsid w:val="00B3779C"/>
    <w:rsid w:val="00B377BC"/>
    <w:rsid w:val="00B37860"/>
    <w:rsid w:val="00B37861"/>
    <w:rsid w:val="00B378E3"/>
    <w:rsid w:val="00B37903"/>
    <w:rsid w:val="00B37A07"/>
    <w:rsid w:val="00B37A1C"/>
    <w:rsid w:val="00B37A2B"/>
    <w:rsid w:val="00B37A72"/>
    <w:rsid w:val="00B37AD4"/>
    <w:rsid w:val="00B37B5F"/>
    <w:rsid w:val="00B37B91"/>
    <w:rsid w:val="00B37B9D"/>
    <w:rsid w:val="00B37C12"/>
    <w:rsid w:val="00B37C58"/>
    <w:rsid w:val="00B37DA3"/>
    <w:rsid w:val="00B37E4E"/>
    <w:rsid w:val="00B37ED9"/>
    <w:rsid w:val="00B37FC5"/>
    <w:rsid w:val="00B38BBA"/>
    <w:rsid w:val="00B40007"/>
    <w:rsid w:val="00B4000F"/>
    <w:rsid w:val="00B40011"/>
    <w:rsid w:val="00B400B4"/>
    <w:rsid w:val="00B400E5"/>
    <w:rsid w:val="00B401EC"/>
    <w:rsid w:val="00B40202"/>
    <w:rsid w:val="00B40332"/>
    <w:rsid w:val="00B403FF"/>
    <w:rsid w:val="00B40491"/>
    <w:rsid w:val="00B404F3"/>
    <w:rsid w:val="00B4057A"/>
    <w:rsid w:val="00B4058F"/>
    <w:rsid w:val="00B405F7"/>
    <w:rsid w:val="00B4064E"/>
    <w:rsid w:val="00B407AD"/>
    <w:rsid w:val="00B407C8"/>
    <w:rsid w:val="00B4091C"/>
    <w:rsid w:val="00B4093C"/>
    <w:rsid w:val="00B409A6"/>
    <w:rsid w:val="00B409EF"/>
    <w:rsid w:val="00B40A00"/>
    <w:rsid w:val="00B40A26"/>
    <w:rsid w:val="00B40A64"/>
    <w:rsid w:val="00B40CAF"/>
    <w:rsid w:val="00B40CF2"/>
    <w:rsid w:val="00B40D61"/>
    <w:rsid w:val="00B40EB5"/>
    <w:rsid w:val="00B40F38"/>
    <w:rsid w:val="00B40F63"/>
    <w:rsid w:val="00B40F82"/>
    <w:rsid w:val="00B410DE"/>
    <w:rsid w:val="00B4124D"/>
    <w:rsid w:val="00B4126F"/>
    <w:rsid w:val="00B41277"/>
    <w:rsid w:val="00B4127F"/>
    <w:rsid w:val="00B41295"/>
    <w:rsid w:val="00B41305"/>
    <w:rsid w:val="00B41318"/>
    <w:rsid w:val="00B41367"/>
    <w:rsid w:val="00B41377"/>
    <w:rsid w:val="00B41383"/>
    <w:rsid w:val="00B413B0"/>
    <w:rsid w:val="00B413D3"/>
    <w:rsid w:val="00B413F4"/>
    <w:rsid w:val="00B4157F"/>
    <w:rsid w:val="00B415D6"/>
    <w:rsid w:val="00B415FD"/>
    <w:rsid w:val="00B41681"/>
    <w:rsid w:val="00B416B2"/>
    <w:rsid w:val="00B417BD"/>
    <w:rsid w:val="00B417F0"/>
    <w:rsid w:val="00B41887"/>
    <w:rsid w:val="00B418AC"/>
    <w:rsid w:val="00B4192F"/>
    <w:rsid w:val="00B41A6A"/>
    <w:rsid w:val="00B41A6B"/>
    <w:rsid w:val="00B41A7B"/>
    <w:rsid w:val="00B41AF2"/>
    <w:rsid w:val="00B41B0B"/>
    <w:rsid w:val="00B41B45"/>
    <w:rsid w:val="00B41B46"/>
    <w:rsid w:val="00B41B9C"/>
    <w:rsid w:val="00B41BFF"/>
    <w:rsid w:val="00B41C7F"/>
    <w:rsid w:val="00B41CB0"/>
    <w:rsid w:val="00B41D2B"/>
    <w:rsid w:val="00B41D78"/>
    <w:rsid w:val="00B41D88"/>
    <w:rsid w:val="00B41D8E"/>
    <w:rsid w:val="00B41E17"/>
    <w:rsid w:val="00B41E81"/>
    <w:rsid w:val="00B41ECE"/>
    <w:rsid w:val="00B41F39"/>
    <w:rsid w:val="00B41FD5"/>
    <w:rsid w:val="00B42084"/>
    <w:rsid w:val="00B4208B"/>
    <w:rsid w:val="00B42156"/>
    <w:rsid w:val="00B4217D"/>
    <w:rsid w:val="00B42185"/>
    <w:rsid w:val="00B42229"/>
    <w:rsid w:val="00B422A2"/>
    <w:rsid w:val="00B422F0"/>
    <w:rsid w:val="00B42332"/>
    <w:rsid w:val="00B42372"/>
    <w:rsid w:val="00B423C3"/>
    <w:rsid w:val="00B424F7"/>
    <w:rsid w:val="00B42505"/>
    <w:rsid w:val="00B4264A"/>
    <w:rsid w:val="00B4268E"/>
    <w:rsid w:val="00B42697"/>
    <w:rsid w:val="00B42714"/>
    <w:rsid w:val="00B4274F"/>
    <w:rsid w:val="00B4288D"/>
    <w:rsid w:val="00B428AB"/>
    <w:rsid w:val="00B428E8"/>
    <w:rsid w:val="00B428F5"/>
    <w:rsid w:val="00B4291A"/>
    <w:rsid w:val="00B42946"/>
    <w:rsid w:val="00B4299D"/>
    <w:rsid w:val="00B429CE"/>
    <w:rsid w:val="00B429F3"/>
    <w:rsid w:val="00B42B6A"/>
    <w:rsid w:val="00B42B8D"/>
    <w:rsid w:val="00B42BAF"/>
    <w:rsid w:val="00B42C54"/>
    <w:rsid w:val="00B42C5C"/>
    <w:rsid w:val="00B42D77"/>
    <w:rsid w:val="00B42DCD"/>
    <w:rsid w:val="00B42EEA"/>
    <w:rsid w:val="00B43106"/>
    <w:rsid w:val="00B43227"/>
    <w:rsid w:val="00B43297"/>
    <w:rsid w:val="00B432CF"/>
    <w:rsid w:val="00B432D3"/>
    <w:rsid w:val="00B4332A"/>
    <w:rsid w:val="00B43369"/>
    <w:rsid w:val="00B4338D"/>
    <w:rsid w:val="00B4340F"/>
    <w:rsid w:val="00B434B8"/>
    <w:rsid w:val="00B43501"/>
    <w:rsid w:val="00B4350C"/>
    <w:rsid w:val="00B4377E"/>
    <w:rsid w:val="00B437E4"/>
    <w:rsid w:val="00B43961"/>
    <w:rsid w:val="00B439CC"/>
    <w:rsid w:val="00B43BF5"/>
    <w:rsid w:val="00B43C7A"/>
    <w:rsid w:val="00B43D26"/>
    <w:rsid w:val="00B43D74"/>
    <w:rsid w:val="00B43DAC"/>
    <w:rsid w:val="00B43DB5"/>
    <w:rsid w:val="00B43DCE"/>
    <w:rsid w:val="00B43E10"/>
    <w:rsid w:val="00B43FA6"/>
    <w:rsid w:val="00B43FE5"/>
    <w:rsid w:val="00B44005"/>
    <w:rsid w:val="00B4403C"/>
    <w:rsid w:val="00B44042"/>
    <w:rsid w:val="00B4404E"/>
    <w:rsid w:val="00B44103"/>
    <w:rsid w:val="00B4420B"/>
    <w:rsid w:val="00B4421B"/>
    <w:rsid w:val="00B44284"/>
    <w:rsid w:val="00B442E9"/>
    <w:rsid w:val="00B4435F"/>
    <w:rsid w:val="00B44386"/>
    <w:rsid w:val="00B4439E"/>
    <w:rsid w:val="00B443A2"/>
    <w:rsid w:val="00B444C8"/>
    <w:rsid w:val="00B44509"/>
    <w:rsid w:val="00B445D2"/>
    <w:rsid w:val="00B4469A"/>
    <w:rsid w:val="00B44804"/>
    <w:rsid w:val="00B448C7"/>
    <w:rsid w:val="00B44917"/>
    <w:rsid w:val="00B449B9"/>
    <w:rsid w:val="00B449BC"/>
    <w:rsid w:val="00B44AE2"/>
    <w:rsid w:val="00B44B4E"/>
    <w:rsid w:val="00B44B53"/>
    <w:rsid w:val="00B44B70"/>
    <w:rsid w:val="00B44B7B"/>
    <w:rsid w:val="00B44C08"/>
    <w:rsid w:val="00B44C11"/>
    <w:rsid w:val="00B44C6F"/>
    <w:rsid w:val="00B44D12"/>
    <w:rsid w:val="00B44E09"/>
    <w:rsid w:val="00B44E90"/>
    <w:rsid w:val="00B44EC0"/>
    <w:rsid w:val="00B44EFA"/>
    <w:rsid w:val="00B44F07"/>
    <w:rsid w:val="00B44F27"/>
    <w:rsid w:val="00B44FDE"/>
    <w:rsid w:val="00B44FF5"/>
    <w:rsid w:val="00B4500E"/>
    <w:rsid w:val="00B45197"/>
    <w:rsid w:val="00B451BA"/>
    <w:rsid w:val="00B451E2"/>
    <w:rsid w:val="00B4533E"/>
    <w:rsid w:val="00B453E3"/>
    <w:rsid w:val="00B453F1"/>
    <w:rsid w:val="00B45405"/>
    <w:rsid w:val="00B45453"/>
    <w:rsid w:val="00B45468"/>
    <w:rsid w:val="00B4554B"/>
    <w:rsid w:val="00B45629"/>
    <w:rsid w:val="00B456BA"/>
    <w:rsid w:val="00B457D3"/>
    <w:rsid w:val="00B45806"/>
    <w:rsid w:val="00B4582A"/>
    <w:rsid w:val="00B4584F"/>
    <w:rsid w:val="00B458A4"/>
    <w:rsid w:val="00B45919"/>
    <w:rsid w:val="00B459CE"/>
    <w:rsid w:val="00B45A10"/>
    <w:rsid w:val="00B45A3A"/>
    <w:rsid w:val="00B45A59"/>
    <w:rsid w:val="00B45A8D"/>
    <w:rsid w:val="00B45B67"/>
    <w:rsid w:val="00B45BAD"/>
    <w:rsid w:val="00B45BCC"/>
    <w:rsid w:val="00B45C69"/>
    <w:rsid w:val="00B45C70"/>
    <w:rsid w:val="00B45D1A"/>
    <w:rsid w:val="00B45D28"/>
    <w:rsid w:val="00B45D7C"/>
    <w:rsid w:val="00B45DCC"/>
    <w:rsid w:val="00B45DFA"/>
    <w:rsid w:val="00B45E1D"/>
    <w:rsid w:val="00B45E25"/>
    <w:rsid w:val="00B45E34"/>
    <w:rsid w:val="00B45E56"/>
    <w:rsid w:val="00B45E95"/>
    <w:rsid w:val="00B45EF8"/>
    <w:rsid w:val="00B45F58"/>
    <w:rsid w:val="00B45FF0"/>
    <w:rsid w:val="00B45FF6"/>
    <w:rsid w:val="00B46006"/>
    <w:rsid w:val="00B4601E"/>
    <w:rsid w:val="00B46030"/>
    <w:rsid w:val="00B46038"/>
    <w:rsid w:val="00B46077"/>
    <w:rsid w:val="00B460DC"/>
    <w:rsid w:val="00B46124"/>
    <w:rsid w:val="00B461B3"/>
    <w:rsid w:val="00B46299"/>
    <w:rsid w:val="00B46339"/>
    <w:rsid w:val="00B4633F"/>
    <w:rsid w:val="00B46358"/>
    <w:rsid w:val="00B4643B"/>
    <w:rsid w:val="00B4647A"/>
    <w:rsid w:val="00B464D0"/>
    <w:rsid w:val="00B46503"/>
    <w:rsid w:val="00B46551"/>
    <w:rsid w:val="00B465A0"/>
    <w:rsid w:val="00B46650"/>
    <w:rsid w:val="00B46671"/>
    <w:rsid w:val="00B46692"/>
    <w:rsid w:val="00B466DA"/>
    <w:rsid w:val="00B467DD"/>
    <w:rsid w:val="00B46804"/>
    <w:rsid w:val="00B4684F"/>
    <w:rsid w:val="00B4685B"/>
    <w:rsid w:val="00B4685E"/>
    <w:rsid w:val="00B46897"/>
    <w:rsid w:val="00B4696C"/>
    <w:rsid w:val="00B4696E"/>
    <w:rsid w:val="00B46983"/>
    <w:rsid w:val="00B46A5A"/>
    <w:rsid w:val="00B46AAC"/>
    <w:rsid w:val="00B46ABC"/>
    <w:rsid w:val="00B46ADC"/>
    <w:rsid w:val="00B46B6E"/>
    <w:rsid w:val="00B46BF9"/>
    <w:rsid w:val="00B46C2E"/>
    <w:rsid w:val="00B46C3D"/>
    <w:rsid w:val="00B46C50"/>
    <w:rsid w:val="00B46C80"/>
    <w:rsid w:val="00B46C8E"/>
    <w:rsid w:val="00B46CA0"/>
    <w:rsid w:val="00B46CE0"/>
    <w:rsid w:val="00B46D17"/>
    <w:rsid w:val="00B46D7E"/>
    <w:rsid w:val="00B46E39"/>
    <w:rsid w:val="00B46E59"/>
    <w:rsid w:val="00B46F04"/>
    <w:rsid w:val="00B46FF9"/>
    <w:rsid w:val="00B47009"/>
    <w:rsid w:val="00B4709F"/>
    <w:rsid w:val="00B470E7"/>
    <w:rsid w:val="00B47154"/>
    <w:rsid w:val="00B471AA"/>
    <w:rsid w:val="00B471FB"/>
    <w:rsid w:val="00B47255"/>
    <w:rsid w:val="00B472F2"/>
    <w:rsid w:val="00B4740E"/>
    <w:rsid w:val="00B47451"/>
    <w:rsid w:val="00B47474"/>
    <w:rsid w:val="00B474E9"/>
    <w:rsid w:val="00B47522"/>
    <w:rsid w:val="00B47526"/>
    <w:rsid w:val="00B4766C"/>
    <w:rsid w:val="00B47691"/>
    <w:rsid w:val="00B476D6"/>
    <w:rsid w:val="00B47735"/>
    <w:rsid w:val="00B477D1"/>
    <w:rsid w:val="00B47821"/>
    <w:rsid w:val="00B4782D"/>
    <w:rsid w:val="00B4789A"/>
    <w:rsid w:val="00B478C1"/>
    <w:rsid w:val="00B47993"/>
    <w:rsid w:val="00B47994"/>
    <w:rsid w:val="00B479A3"/>
    <w:rsid w:val="00B47A0A"/>
    <w:rsid w:val="00B47A3B"/>
    <w:rsid w:val="00B47A74"/>
    <w:rsid w:val="00B47AB9"/>
    <w:rsid w:val="00B47B18"/>
    <w:rsid w:val="00B47B22"/>
    <w:rsid w:val="00B47B56"/>
    <w:rsid w:val="00B47C11"/>
    <w:rsid w:val="00B47C38"/>
    <w:rsid w:val="00B47C67"/>
    <w:rsid w:val="00B47CB1"/>
    <w:rsid w:val="00B47D6A"/>
    <w:rsid w:val="00B47E7F"/>
    <w:rsid w:val="00B47F0C"/>
    <w:rsid w:val="00B5000E"/>
    <w:rsid w:val="00B50091"/>
    <w:rsid w:val="00B50095"/>
    <w:rsid w:val="00B50181"/>
    <w:rsid w:val="00B501F7"/>
    <w:rsid w:val="00B5021F"/>
    <w:rsid w:val="00B5023D"/>
    <w:rsid w:val="00B5024A"/>
    <w:rsid w:val="00B50345"/>
    <w:rsid w:val="00B50382"/>
    <w:rsid w:val="00B5044C"/>
    <w:rsid w:val="00B504B0"/>
    <w:rsid w:val="00B50551"/>
    <w:rsid w:val="00B50788"/>
    <w:rsid w:val="00B507CE"/>
    <w:rsid w:val="00B5082F"/>
    <w:rsid w:val="00B508ED"/>
    <w:rsid w:val="00B50921"/>
    <w:rsid w:val="00B509B5"/>
    <w:rsid w:val="00B509DF"/>
    <w:rsid w:val="00B50B25"/>
    <w:rsid w:val="00B50B5D"/>
    <w:rsid w:val="00B50BD0"/>
    <w:rsid w:val="00B50C3A"/>
    <w:rsid w:val="00B50C87"/>
    <w:rsid w:val="00B50DAC"/>
    <w:rsid w:val="00B50DD7"/>
    <w:rsid w:val="00B50EA6"/>
    <w:rsid w:val="00B50EA8"/>
    <w:rsid w:val="00B50F78"/>
    <w:rsid w:val="00B50F90"/>
    <w:rsid w:val="00B50FD4"/>
    <w:rsid w:val="00B50FE3"/>
    <w:rsid w:val="00B5108C"/>
    <w:rsid w:val="00B510D2"/>
    <w:rsid w:val="00B5110A"/>
    <w:rsid w:val="00B51274"/>
    <w:rsid w:val="00B51275"/>
    <w:rsid w:val="00B5128C"/>
    <w:rsid w:val="00B51318"/>
    <w:rsid w:val="00B51345"/>
    <w:rsid w:val="00B51355"/>
    <w:rsid w:val="00B513F2"/>
    <w:rsid w:val="00B514BB"/>
    <w:rsid w:val="00B514C4"/>
    <w:rsid w:val="00B514C6"/>
    <w:rsid w:val="00B51546"/>
    <w:rsid w:val="00B51576"/>
    <w:rsid w:val="00B51580"/>
    <w:rsid w:val="00B51636"/>
    <w:rsid w:val="00B51672"/>
    <w:rsid w:val="00B516B3"/>
    <w:rsid w:val="00B516C3"/>
    <w:rsid w:val="00B518D1"/>
    <w:rsid w:val="00B518F9"/>
    <w:rsid w:val="00B519C6"/>
    <w:rsid w:val="00B51A88"/>
    <w:rsid w:val="00B51B3F"/>
    <w:rsid w:val="00B51B50"/>
    <w:rsid w:val="00B51D0C"/>
    <w:rsid w:val="00B51D21"/>
    <w:rsid w:val="00B51E53"/>
    <w:rsid w:val="00B52260"/>
    <w:rsid w:val="00B52296"/>
    <w:rsid w:val="00B522AB"/>
    <w:rsid w:val="00B522B8"/>
    <w:rsid w:val="00B52372"/>
    <w:rsid w:val="00B5245B"/>
    <w:rsid w:val="00B52480"/>
    <w:rsid w:val="00B525CC"/>
    <w:rsid w:val="00B52648"/>
    <w:rsid w:val="00B52692"/>
    <w:rsid w:val="00B526F2"/>
    <w:rsid w:val="00B5278F"/>
    <w:rsid w:val="00B527F5"/>
    <w:rsid w:val="00B5280F"/>
    <w:rsid w:val="00B52820"/>
    <w:rsid w:val="00B52847"/>
    <w:rsid w:val="00B52870"/>
    <w:rsid w:val="00B528C0"/>
    <w:rsid w:val="00B528E0"/>
    <w:rsid w:val="00B52A10"/>
    <w:rsid w:val="00B52A1D"/>
    <w:rsid w:val="00B52AE3"/>
    <w:rsid w:val="00B52B72"/>
    <w:rsid w:val="00B52C30"/>
    <w:rsid w:val="00B52C4C"/>
    <w:rsid w:val="00B52CAC"/>
    <w:rsid w:val="00B52D9E"/>
    <w:rsid w:val="00B52DA0"/>
    <w:rsid w:val="00B52E6F"/>
    <w:rsid w:val="00B52E7E"/>
    <w:rsid w:val="00B52E85"/>
    <w:rsid w:val="00B52E95"/>
    <w:rsid w:val="00B52F72"/>
    <w:rsid w:val="00B52FDF"/>
    <w:rsid w:val="00B5300F"/>
    <w:rsid w:val="00B5302C"/>
    <w:rsid w:val="00B53089"/>
    <w:rsid w:val="00B53093"/>
    <w:rsid w:val="00B53107"/>
    <w:rsid w:val="00B53156"/>
    <w:rsid w:val="00B53250"/>
    <w:rsid w:val="00B53285"/>
    <w:rsid w:val="00B532FB"/>
    <w:rsid w:val="00B53300"/>
    <w:rsid w:val="00B53380"/>
    <w:rsid w:val="00B53470"/>
    <w:rsid w:val="00B534AE"/>
    <w:rsid w:val="00B534F9"/>
    <w:rsid w:val="00B535D6"/>
    <w:rsid w:val="00B53645"/>
    <w:rsid w:val="00B53682"/>
    <w:rsid w:val="00B536AE"/>
    <w:rsid w:val="00B53870"/>
    <w:rsid w:val="00B538B9"/>
    <w:rsid w:val="00B538D4"/>
    <w:rsid w:val="00B53979"/>
    <w:rsid w:val="00B53AFF"/>
    <w:rsid w:val="00B53BF9"/>
    <w:rsid w:val="00B53C70"/>
    <w:rsid w:val="00B53C87"/>
    <w:rsid w:val="00B53CA0"/>
    <w:rsid w:val="00B53CA3"/>
    <w:rsid w:val="00B53E28"/>
    <w:rsid w:val="00B53EAD"/>
    <w:rsid w:val="00B53EE9"/>
    <w:rsid w:val="00B53F46"/>
    <w:rsid w:val="00B53F80"/>
    <w:rsid w:val="00B53FD1"/>
    <w:rsid w:val="00B5402A"/>
    <w:rsid w:val="00B54044"/>
    <w:rsid w:val="00B540D5"/>
    <w:rsid w:val="00B54112"/>
    <w:rsid w:val="00B54128"/>
    <w:rsid w:val="00B542EA"/>
    <w:rsid w:val="00B54381"/>
    <w:rsid w:val="00B543DB"/>
    <w:rsid w:val="00B5447E"/>
    <w:rsid w:val="00B54483"/>
    <w:rsid w:val="00B54484"/>
    <w:rsid w:val="00B5449F"/>
    <w:rsid w:val="00B544C0"/>
    <w:rsid w:val="00B544FA"/>
    <w:rsid w:val="00B54518"/>
    <w:rsid w:val="00B54534"/>
    <w:rsid w:val="00B54545"/>
    <w:rsid w:val="00B54591"/>
    <w:rsid w:val="00B545E8"/>
    <w:rsid w:val="00B54606"/>
    <w:rsid w:val="00B54645"/>
    <w:rsid w:val="00B546BF"/>
    <w:rsid w:val="00B546CB"/>
    <w:rsid w:val="00B546FF"/>
    <w:rsid w:val="00B54727"/>
    <w:rsid w:val="00B54743"/>
    <w:rsid w:val="00B54755"/>
    <w:rsid w:val="00B548DA"/>
    <w:rsid w:val="00B54933"/>
    <w:rsid w:val="00B54959"/>
    <w:rsid w:val="00B549AA"/>
    <w:rsid w:val="00B549C3"/>
    <w:rsid w:val="00B54A68"/>
    <w:rsid w:val="00B54BC4"/>
    <w:rsid w:val="00B54C70"/>
    <w:rsid w:val="00B54D2F"/>
    <w:rsid w:val="00B54D96"/>
    <w:rsid w:val="00B54DE0"/>
    <w:rsid w:val="00B54DE4"/>
    <w:rsid w:val="00B54DFA"/>
    <w:rsid w:val="00B54E72"/>
    <w:rsid w:val="00B54E75"/>
    <w:rsid w:val="00B54E7D"/>
    <w:rsid w:val="00B54F02"/>
    <w:rsid w:val="00B54F0B"/>
    <w:rsid w:val="00B55069"/>
    <w:rsid w:val="00B550E7"/>
    <w:rsid w:val="00B55194"/>
    <w:rsid w:val="00B551A1"/>
    <w:rsid w:val="00B552F6"/>
    <w:rsid w:val="00B553F4"/>
    <w:rsid w:val="00B553F9"/>
    <w:rsid w:val="00B5545E"/>
    <w:rsid w:val="00B5546E"/>
    <w:rsid w:val="00B554D2"/>
    <w:rsid w:val="00B55573"/>
    <w:rsid w:val="00B556FF"/>
    <w:rsid w:val="00B55713"/>
    <w:rsid w:val="00B55743"/>
    <w:rsid w:val="00B55783"/>
    <w:rsid w:val="00B557A2"/>
    <w:rsid w:val="00B557BC"/>
    <w:rsid w:val="00B557C5"/>
    <w:rsid w:val="00B55802"/>
    <w:rsid w:val="00B55832"/>
    <w:rsid w:val="00B55962"/>
    <w:rsid w:val="00B5598E"/>
    <w:rsid w:val="00B559FA"/>
    <w:rsid w:val="00B55A4F"/>
    <w:rsid w:val="00B55B6A"/>
    <w:rsid w:val="00B55B75"/>
    <w:rsid w:val="00B55B79"/>
    <w:rsid w:val="00B55C00"/>
    <w:rsid w:val="00B55D3C"/>
    <w:rsid w:val="00B55DBC"/>
    <w:rsid w:val="00B55E0B"/>
    <w:rsid w:val="00B55E57"/>
    <w:rsid w:val="00B55F3A"/>
    <w:rsid w:val="00B55F9F"/>
    <w:rsid w:val="00B55FFC"/>
    <w:rsid w:val="00B56128"/>
    <w:rsid w:val="00B56153"/>
    <w:rsid w:val="00B561C5"/>
    <w:rsid w:val="00B561F4"/>
    <w:rsid w:val="00B5621B"/>
    <w:rsid w:val="00B56234"/>
    <w:rsid w:val="00B563BA"/>
    <w:rsid w:val="00B5640F"/>
    <w:rsid w:val="00B5645C"/>
    <w:rsid w:val="00B5646F"/>
    <w:rsid w:val="00B56479"/>
    <w:rsid w:val="00B5658D"/>
    <w:rsid w:val="00B565B5"/>
    <w:rsid w:val="00B565B9"/>
    <w:rsid w:val="00B565E5"/>
    <w:rsid w:val="00B566EF"/>
    <w:rsid w:val="00B566F4"/>
    <w:rsid w:val="00B56763"/>
    <w:rsid w:val="00B567BF"/>
    <w:rsid w:val="00B567F2"/>
    <w:rsid w:val="00B568D1"/>
    <w:rsid w:val="00B5695E"/>
    <w:rsid w:val="00B569F2"/>
    <w:rsid w:val="00B56A27"/>
    <w:rsid w:val="00B56A63"/>
    <w:rsid w:val="00B56B51"/>
    <w:rsid w:val="00B56B70"/>
    <w:rsid w:val="00B56B8D"/>
    <w:rsid w:val="00B56BE0"/>
    <w:rsid w:val="00B56C6E"/>
    <w:rsid w:val="00B56C9B"/>
    <w:rsid w:val="00B56CAC"/>
    <w:rsid w:val="00B56D2B"/>
    <w:rsid w:val="00B56D92"/>
    <w:rsid w:val="00B56E01"/>
    <w:rsid w:val="00B56E12"/>
    <w:rsid w:val="00B56E75"/>
    <w:rsid w:val="00B56E77"/>
    <w:rsid w:val="00B56F96"/>
    <w:rsid w:val="00B57132"/>
    <w:rsid w:val="00B571FC"/>
    <w:rsid w:val="00B5721F"/>
    <w:rsid w:val="00B57293"/>
    <w:rsid w:val="00B57344"/>
    <w:rsid w:val="00B573A9"/>
    <w:rsid w:val="00B5740B"/>
    <w:rsid w:val="00B57482"/>
    <w:rsid w:val="00B575DB"/>
    <w:rsid w:val="00B5763E"/>
    <w:rsid w:val="00B57651"/>
    <w:rsid w:val="00B576DA"/>
    <w:rsid w:val="00B5779A"/>
    <w:rsid w:val="00B57866"/>
    <w:rsid w:val="00B57876"/>
    <w:rsid w:val="00B578EA"/>
    <w:rsid w:val="00B57900"/>
    <w:rsid w:val="00B579B1"/>
    <w:rsid w:val="00B579D1"/>
    <w:rsid w:val="00B579D5"/>
    <w:rsid w:val="00B57A36"/>
    <w:rsid w:val="00B57A63"/>
    <w:rsid w:val="00B57A96"/>
    <w:rsid w:val="00B57B08"/>
    <w:rsid w:val="00B57B1B"/>
    <w:rsid w:val="00B57B5E"/>
    <w:rsid w:val="00B57B87"/>
    <w:rsid w:val="00B57BA0"/>
    <w:rsid w:val="00B57CD5"/>
    <w:rsid w:val="00B57D8D"/>
    <w:rsid w:val="00B57DC5"/>
    <w:rsid w:val="00B57E72"/>
    <w:rsid w:val="00B57E8E"/>
    <w:rsid w:val="00B57F34"/>
    <w:rsid w:val="00B57FC6"/>
    <w:rsid w:val="00B57FCD"/>
    <w:rsid w:val="00B57FEF"/>
    <w:rsid w:val="00B600BE"/>
    <w:rsid w:val="00B60142"/>
    <w:rsid w:val="00B601B3"/>
    <w:rsid w:val="00B601DA"/>
    <w:rsid w:val="00B603AE"/>
    <w:rsid w:val="00B603C8"/>
    <w:rsid w:val="00B603EA"/>
    <w:rsid w:val="00B60594"/>
    <w:rsid w:val="00B605B3"/>
    <w:rsid w:val="00B605B8"/>
    <w:rsid w:val="00B6062E"/>
    <w:rsid w:val="00B6066B"/>
    <w:rsid w:val="00B606F6"/>
    <w:rsid w:val="00B608D7"/>
    <w:rsid w:val="00B60927"/>
    <w:rsid w:val="00B609AB"/>
    <w:rsid w:val="00B609AD"/>
    <w:rsid w:val="00B609C5"/>
    <w:rsid w:val="00B60A2D"/>
    <w:rsid w:val="00B60C50"/>
    <w:rsid w:val="00B60C69"/>
    <w:rsid w:val="00B60C8C"/>
    <w:rsid w:val="00B60CDC"/>
    <w:rsid w:val="00B60CDE"/>
    <w:rsid w:val="00B60E1F"/>
    <w:rsid w:val="00B60F32"/>
    <w:rsid w:val="00B61021"/>
    <w:rsid w:val="00B610A7"/>
    <w:rsid w:val="00B61111"/>
    <w:rsid w:val="00B61143"/>
    <w:rsid w:val="00B61171"/>
    <w:rsid w:val="00B611C5"/>
    <w:rsid w:val="00B611E2"/>
    <w:rsid w:val="00B6130F"/>
    <w:rsid w:val="00B61327"/>
    <w:rsid w:val="00B6138D"/>
    <w:rsid w:val="00B613AF"/>
    <w:rsid w:val="00B613BA"/>
    <w:rsid w:val="00B61403"/>
    <w:rsid w:val="00B6153D"/>
    <w:rsid w:val="00B616F8"/>
    <w:rsid w:val="00B61800"/>
    <w:rsid w:val="00B618D0"/>
    <w:rsid w:val="00B6191A"/>
    <w:rsid w:val="00B619C6"/>
    <w:rsid w:val="00B619F1"/>
    <w:rsid w:val="00B61AA4"/>
    <w:rsid w:val="00B61B92"/>
    <w:rsid w:val="00B61B94"/>
    <w:rsid w:val="00B61BDA"/>
    <w:rsid w:val="00B61BE0"/>
    <w:rsid w:val="00B61BE4"/>
    <w:rsid w:val="00B61C89"/>
    <w:rsid w:val="00B61CD4"/>
    <w:rsid w:val="00B61D6F"/>
    <w:rsid w:val="00B61D95"/>
    <w:rsid w:val="00B61DBB"/>
    <w:rsid w:val="00B61DD5"/>
    <w:rsid w:val="00B61DDC"/>
    <w:rsid w:val="00B61DE7"/>
    <w:rsid w:val="00B61F42"/>
    <w:rsid w:val="00B61FDD"/>
    <w:rsid w:val="00B62091"/>
    <w:rsid w:val="00B620B6"/>
    <w:rsid w:val="00B620CE"/>
    <w:rsid w:val="00B6218E"/>
    <w:rsid w:val="00B621AE"/>
    <w:rsid w:val="00B621F5"/>
    <w:rsid w:val="00B62206"/>
    <w:rsid w:val="00B6227E"/>
    <w:rsid w:val="00B622ED"/>
    <w:rsid w:val="00B622F6"/>
    <w:rsid w:val="00B622FF"/>
    <w:rsid w:val="00B62335"/>
    <w:rsid w:val="00B62438"/>
    <w:rsid w:val="00B624B1"/>
    <w:rsid w:val="00B624D2"/>
    <w:rsid w:val="00B624E2"/>
    <w:rsid w:val="00B62560"/>
    <w:rsid w:val="00B625A9"/>
    <w:rsid w:val="00B625FA"/>
    <w:rsid w:val="00B62614"/>
    <w:rsid w:val="00B62651"/>
    <w:rsid w:val="00B62696"/>
    <w:rsid w:val="00B626CE"/>
    <w:rsid w:val="00B62700"/>
    <w:rsid w:val="00B62731"/>
    <w:rsid w:val="00B62793"/>
    <w:rsid w:val="00B627CA"/>
    <w:rsid w:val="00B62826"/>
    <w:rsid w:val="00B62847"/>
    <w:rsid w:val="00B6285A"/>
    <w:rsid w:val="00B6289C"/>
    <w:rsid w:val="00B62934"/>
    <w:rsid w:val="00B6297E"/>
    <w:rsid w:val="00B629C8"/>
    <w:rsid w:val="00B629CE"/>
    <w:rsid w:val="00B62A05"/>
    <w:rsid w:val="00B62A1A"/>
    <w:rsid w:val="00B62A6B"/>
    <w:rsid w:val="00B62A91"/>
    <w:rsid w:val="00B62AB1"/>
    <w:rsid w:val="00B62AC2"/>
    <w:rsid w:val="00B62AD6"/>
    <w:rsid w:val="00B62AF7"/>
    <w:rsid w:val="00B62B21"/>
    <w:rsid w:val="00B62CC7"/>
    <w:rsid w:val="00B62DF8"/>
    <w:rsid w:val="00B62E42"/>
    <w:rsid w:val="00B62F8A"/>
    <w:rsid w:val="00B62FC4"/>
    <w:rsid w:val="00B6300C"/>
    <w:rsid w:val="00B63029"/>
    <w:rsid w:val="00B630E2"/>
    <w:rsid w:val="00B631EB"/>
    <w:rsid w:val="00B6322F"/>
    <w:rsid w:val="00B63248"/>
    <w:rsid w:val="00B633B4"/>
    <w:rsid w:val="00B63400"/>
    <w:rsid w:val="00B63427"/>
    <w:rsid w:val="00B63508"/>
    <w:rsid w:val="00B63526"/>
    <w:rsid w:val="00B6356E"/>
    <w:rsid w:val="00B635CC"/>
    <w:rsid w:val="00B63703"/>
    <w:rsid w:val="00B6381B"/>
    <w:rsid w:val="00B63839"/>
    <w:rsid w:val="00B6383A"/>
    <w:rsid w:val="00B63899"/>
    <w:rsid w:val="00B638BA"/>
    <w:rsid w:val="00B638CC"/>
    <w:rsid w:val="00B638E3"/>
    <w:rsid w:val="00B639A0"/>
    <w:rsid w:val="00B639E5"/>
    <w:rsid w:val="00B63A1B"/>
    <w:rsid w:val="00B63AA3"/>
    <w:rsid w:val="00B63AA9"/>
    <w:rsid w:val="00B63AF5"/>
    <w:rsid w:val="00B63C3F"/>
    <w:rsid w:val="00B63C7C"/>
    <w:rsid w:val="00B63DE3"/>
    <w:rsid w:val="00B63E44"/>
    <w:rsid w:val="00B63E64"/>
    <w:rsid w:val="00B63E8B"/>
    <w:rsid w:val="00B63EDF"/>
    <w:rsid w:val="00B63F18"/>
    <w:rsid w:val="00B63F3F"/>
    <w:rsid w:val="00B63F56"/>
    <w:rsid w:val="00B63F6D"/>
    <w:rsid w:val="00B63FA2"/>
    <w:rsid w:val="00B64122"/>
    <w:rsid w:val="00B641B9"/>
    <w:rsid w:val="00B64261"/>
    <w:rsid w:val="00B642CE"/>
    <w:rsid w:val="00B64383"/>
    <w:rsid w:val="00B643F0"/>
    <w:rsid w:val="00B643F9"/>
    <w:rsid w:val="00B64416"/>
    <w:rsid w:val="00B64495"/>
    <w:rsid w:val="00B644A1"/>
    <w:rsid w:val="00B644AD"/>
    <w:rsid w:val="00B644BA"/>
    <w:rsid w:val="00B64585"/>
    <w:rsid w:val="00B6461C"/>
    <w:rsid w:val="00B6466C"/>
    <w:rsid w:val="00B64670"/>
    <w:rsid w:val="00B646A9"/>
    <w:rsid w:val="00B646E6"/>
    <w:rsid w:val="00B64726"/>
    <w:rsid w:val="00B64767"/>
    <w:rsid w:val="00B647B7"/>
    <w:rsid w:val="00B647C8"/>
    <w:rsid w:val="00B647F5"/>
    <w:rsid w:val="00B648C7"/>
    <w:rsid w:val="00B6491A"/>
    <w:rsid w:val="00B6495F"/>
    <w:rsid w:val="00B649A5"/>
    <w:rsid w:val="00B64A00"/>
    <w:rsid w:val="00B64A0A"/>
    <w:rsid w:val="00B64A20"/>
    <w:rsid w:val="00B64A6C"/>
    <w:rsid w:val="00B64B29"/>
    <w:rsid w:val="00B64BC6"/>
    <w:rsid w:val="00B64BF2"/>
    <w:rsid w:val="00B64C1E"/>
    <w:rsid w:val="00B64C43"/>
    <w:rsid w:val="00B64C5B"/>
    <w:rsid w:val="00B64DC7"/>
    <w:rsid w:val="00B64E4E"/>
    <w:rsid w:val="00B64E73"/>
    <w:rsid w:val="00B64E88"/>
    <w:rsid w:val="00B64F37"/>
    <w:rsid w:val="00B65075"/>
    <w:rsid w:val="00B6508D"/>
    <w:rsid w:val="00B650F3"/>
    <w:rsid w:val="00B652DE"/>
    <w:rsid w:val="00B65405"/>
    <w:rsid w:val="00B65422"/>
    <w:rsid w:val="00B65433"/>
    <w:rsid w:val="00B65440"/>
    <w:rsid w:val="00B65490"/>
    <w:rsid w:val="00B65536"/>
    <w:rsid w:val="00B6556B"/>
    <w:rsid w:val="00B65570"/>
    <w:rsid w:val="00B655C3"/>
    <w:rsid w:val="00B655D0"/>
    <w:rsid w:val="00B6568E"/>
    <w:rsid w:val="00B65778"/>
    <w:rsid w:val="00B657F9"/>
    <w:rsid w:val="00B65817"/>
    <w:rsid w:val="00B65822"/>
    <w:rsid w:val="00B6596C"/>
    <w:rsid w:val="00B65B03"/>
    <w:rsid w:val="00B65B5D"/>
    <w:rsid w:val="00B65B67"/>
    <w:rsid w:val="00B65B78"/>
    <w:rsid w:val="00B65BAF"/>
    <w:rsid w:val="00B65BE0"/>
    <w:rsid w:val="00B65C22"/>
    <w:rsid w:val="00B65C8F"/>
    <w:rsid w:val="00B65CAD"/>
    <w:rsid w:val="00B65CC2"/>
    <w:rsid w:val="00B65DC2"/>
    <w:rsid w:val="00B65DD7"/>
    <w:rsid w:val="00B65E13"/>
    <w:rsid w:val="00B65E15"/>
    <w:rsid w:val="00B65EA5"/>
    <w:rsid w:val="00B66031"/>
    <w:rsid w:val="00B66052"/>
    <w:rsid w:val="00B660B7"/>
    <w:rsid w:val="00B660F8"/>
    <w:rsid w:val="00B66102"/>
    <w:rsid w:val="00B6617B"/>
    <w:rsid w:val="00B66326"/>
    <w:rsid w:val="00B663D5"/>
    <w:rsid w:val="00B663F6"/>
    <w:rsid w:val="00B6643F"/>
    <w:rsid w:val="00B66449"/>
    <w:rsid w:val="00B664C6"/>
    <w:rsid w:val="00B66546"/>
    <w:rsid w:val="00B66558"/>
    <w:rsid w:val="00B6656F"/>
    <w:rsid w:val="00B6658C"/>
    <w:rsid w:val="00B6660F"/>
    <w:rsid w:val="00B66623"/>
    <w:rsid w:val="00B666B4"/>
    <w:rsid w:val="00B6676B"/>
    <w:rsid w:val="00B6679A"/>
    <w:rsid w:val="00B667C5"/>
    <w:rsid w:val="00B667D0"/>
    <w:rsid w:val="00B66862"/>
    <w:rsid w:val="00B668F0"/>
    <w:rsid w:val="00B6694A"/>
    <w:rsid w:val="00B66958"/>
    <w:rsid w:val="00B66A3E"/>
    <w:rsid w:val="00B66A7E"/>
    <w:rsid w:val="00B66AAA"/>
    <w:rsid w:val="00B66B4B"/>
    <w:rsid w:val="00B66B80"/>
    <w:rsid w:val="00B66BB3"/>
    <w:rsid w:val="00B66BB9"/>
    <w:rsid w:val="00B66C34"/>
    <w:rsid w:val="00B66D22"/>
    <w:rsid w:val="00B66D6F"/>
    <w:rsid w:val="00B66E18"/>
    <w:rsid w:val="00B66E1D"/>
    <w:rsid w:val="00B66E73"/>
    <w:rsid w:val="00B66E8D"/>
    <w:rsid w:val="00B66F67"/>
    <w:rsid w:val="00B67010"/>
    <w:rsid w:val="00B67032"/>
    <w:rsid w:val="00B670C0"/>
    <w:rsid w:val="00B67143"/>
    <w:rsid w:val="00B67153"/>
    <w:rsid w:val="00B671A8"/>
    <w:rsid w:val="00B6723F"/>
    <w:rsid w:val="00B67277"/>
    <w:rsid w:val="00B67287"/>
    <w:rsid w:val="00B6732F"/>
    <w:rsid w:val="00B673B9"/>
    <w:rsid w:val="00B6741D"/>
    <w:rsid w:val="00B6747D"/>
    <w:rsid w:val="00B6750C"/>
    <w:rsid w:val="00B6752A"/>
    <w:rsid w:val="00B67534"/>
    <w:rsid w:val="00B675AF"/>
    <w:rsid w:val="00B675D9"/>
    <w:rsid w:val="00B676F1"/>
    <w:rsid w:val="00B67712"/>
    <w:rsid w:val="00B67732"/>
    <w:rsid w:val="00B67739"/>
    <w:rsid w:val="00B6773E"/>
    <w:rsid w:val="00B677B8"/>
    <w:rsid w:val="00B679F6"/>
    <w:rsid w:val="00B67ACF"/>
    <w:rsid w:val="00B67B0B"/>
    <w:rsid w:val="00B67BBA"/>
    <w:rsid w:val="00B67BDC"/>
    <w:rsid w:val="00B67C2D"/>
    <w:rsid w:val="00B67C45"/>
    <w:rsid w:val="00B67C55"/>
    <w:rsid w:val="00B67CAF"/>
    <w:rsid w:val="00B67CF0"/>
    <w:rsid w:val="00B67DBB"/>
    <w:rsid w:val="00B67E36"/>
    <w:rsid w:val="00B67E4A"/>
    <w:rsid w:val="00B67E5F"/>
    <w:rsid w:val="00B67F2C"/>
    <w:rsid w:val="00B67FCD"/>
    <w:rsid w:val="00B70090"/>
    <w:rsid w:val="00B700E9"/>
    <w:rsid w:val="00B70134"/>
    <w:rsid w:val="00B7018D"/>
    <w:rsid w:val="00B701F8"/>
    <w:rsid w:val="00B70222"/>
    <w:rsid w:val="00B7025F"/>
    <w:rsid w:val="00B702F3"/>
    <w:rsid w:val="00B70351"/>
    <w:rsid w:val="00B70394"/>
    <w:rsid w:val="00B703D2"/>
    <w:rsid w:val="00B70422"/>
    <w:rsid w:val="00B70479"/>
    <w:rsid w:val="00B704C5"/>
    <w:rsid w:val="00B704C7"/>
    <w:rsid w:val="00B7050D"/>
    <w:rsid w:val="00B70611"/>
    <w:rsid w:val="00B7073C"/>
    <w:rsid w:val="00B70797"/>
    <w:rsid w:val="00B7087C"/>
    <w:rsid w:val="00B70887"/>
    <w:rsid w:val="00B70909"/>
    <w:rsid w:val="00B70A33"/>
    <w:rsid w:val="00B70A4D"/>
    <w:rsid w:val="00B70A75"/>
    <w:rsid w:val="00B70A79"/>
    <w:rsid w:val="00B70CA2"/>
    <w:rsid w:val="00B70CD1"/>
    <w:rsid w:val="00B70CE9"/>
    <w:rsid w:val="00B70D9E"/>
    <w:rsid w:val="00B70DFF"/>
    <w:rsid w:val="00B70F18"/>
    <w:rsid w:val="00B70F1D"/>
    <w:rsid w:val="00B7100F"/>
    <w:rsid w:val="00B710FC"/>
    <w:rsid w:val="00B71105"/>
    <w:rsid w:val="00B71120"/>
    <w:rsid w:val="00B7140A"/>
    <w:rsid w:val="00B714B3"/>
    <w:rsid w:val="00B715DC"/>
    <w:rsid w:val="00B715F1"/>
    <w:rsid w:val="00B7161A"/>
    <w:rsid w:val="00B716A9"/>
    <w:rsid w:val="00B716D0"/>
    <w:rsid w:val="00B716EA"/>
    <w:rsid w:val="00B71708"/>
    <w:rsid w:val="00B7172A"/>
    <w:rsid w:val="00B717A3"/>
    <w:rsid w:val="00B717FD"/>
    <w:rsid w:val="00B7183E"/>
    <w:rsid w:val="00B718BA"/>
    <w:rsid w:val="00B718E0"/>
    <w:rsid w:val="00B71984"/>
    <w:rsid w:val="00B71A55"/>
    <w:rsid w:val="00B71AA1"/>
    <w:rsid w:val="00B71B0C"/>
    <w:rsid w:val="00B71C91"/>
    <w:rsid w:val="00B71CC8"/>
    <w:rsid w:val="00B71CFD"/>
    <w:rsid w:val="00B71DCA"/>
    <w:rsid w:val="00B71DF1"/>
    <w:rsid w:val="00B71E0C"/>
    <w:rsid w:val="00B71E24"/>
    <w:rsid w:val="00B71E27"/>
    <w:rsid w:val="00B71E42"/>
    <w:rsid w:val="00B71E4E"/>
    <w:rsid w:val="00B71EAC"/>
    <w:rsid w:val="00B72019"/>
    <w:rsid w:val="00B7209F"/>
    <w:rsid w:val="00B7219D"/>
    <w:rsid w:val="00B7219F"/>
    <w:rsid w:val="00B72280"/>
    <w:rsid w:val="00B722E2"/>
    <w:rsid w:val="00B72316"/>
    <w:rsid w:val="00B7233A"/>
    <w:rsid w:val="00B72375"/>
    <w:rsid w:val="00B7237B"/>
    <w:rsid w:val="00B72456"/>
    <w:rsid w:val="00B724A9"/>
    <w:rsid w:val="00B7250F"/>
    <w:rsid w:val="00B72515"/>
    <w:rsid w:val="00B72524"/>
    <w:rsid w:val="00B725F0"/>
    <w:rsid w:val="00B72600"/>
    <w:rsid w:val="00B72776"/>
    <w:rsid w:val="00B727BE"/>
    <w:rsid w:val="00B7280E"/>
    <w:rsid w:val="00B7281D"/>
    <w:rsid w:val="00B728DF"/>
    <w:rsid w:val="00B72917"/>
    <w:rsid w:val="00B72984"/>
    <w:rsid w:val="00B72A06"/>
    <w:rsid w:val="00B72A44"/>
    <w:rsid w:val="00B72A90"/>
    <w:rsid w:val="00B72ABA"/>
    <w:rsid w:val="00B72B63"/>
    <w:rsid w:val="00B72BB3"/>
    <w:rsid w:val="00B72C47"/>
    <w:rsid w:val="00B72C98"/>
    <w:rsid w:val="00B72CC3"/>
    <w:rsid w:val="00B72CE2"/>
    <w:rsid w:val="00B72D0C"/>
    <w:rsid w:val="00B72D5E"/>
    <w:rsid w:val="00B72E04"/>
    <w:rsid w:val="00B72E17"/>
    <w:rsid w:val="00B72E8A"/>
    <w:rsid w:val="00B72F2F"/>
    <w:rsid w:val="00B72FCB"/>
    <w:rsid w:val="00B73037"/>
    <w:rsid w:val="00B730F7"/>
    <w:rsid w:val="00B730F9"/>
    <w:rsid w:val="00B731A2"/>
    <w:rsid w:val="00B731B4"/>
    <w:rsid w:val="00B73318"/>
    <w:rsid w:val="00B7332A"/>
    <w:rsid w:val="00B73353"/>
    <w:rsid w:val="00B733A5"/>
    <w:rsid w:val="00B733A9"/>
    <w:rsid w:val="00B734F4"/>
    <w:rsid w:val="00B73585"/>
    <w:rsid w:val="00B735B2"/>
    <w:rsid w:val="00B7366B"/>
    <w:rsid w:val="00B7379F"/>
    <w:rsid w:val="00B73816"/>
    <w:rsid w:val="00B7381A"/>
    <w:rsid w:val="00B7385D"/>
    <w:rsid w:val="00B7387C"/>
    <w:rsid w:val="00B738D6"/>
    <w:rsid w:val="00B73946"/>
    <w:rsid w:val="00B7396C"/>
    <w:rsid w:val="00B7397D"/>
    <w:rsid w:val="00B73A6B"/>
    <w:rsid w:val="00B73AA8"/>
    <w:rsid w:val="00B73AC0"/>
    <w:rsid w:val="00B73AC3"/>
    <w:rsid w:val="00B73B1A"/>
    <w:rsid w:val="00B73BB9"/>
    <w:rsid w:val="00B73C36"/>
    <w:rsid w:val="00B73C47"/>
    <w:rsid w:val="00B73CB8"/>
    <w:rsid w:val="00B73CBA"/>
    <w:rsid w:val="00B73CDD"/>
    <w:rsid w:val="00B73DA3"/>
    <w:rsid w:val="00B73DEF"/>
    <w:rsid w:val="00B73E28"/>
    <w:rsid w:val="00B73F24"/>
    <w:rsid w:val="00B740F5"/>
    <w:rsid w:val="00B7412E"/>
    <w:rsid w:val="00B7416C"/>
    <w:rsid w:val="00B741FB"/>
    <w:rsid w:val="00B74204"/>
    <w:rsid w:val="00B74227"/>
    <w:rsid w:val="00B74281"/>
    <w:rsid w:val="00B742CB"/>
    <w:rsid w:val="00B74305"/>
    <w:rsid w:val="00B74325"/>
    <w:rsid w:val="00B74346"/>
    <w:rsid w:val="00B74360"/>
    <w:rsid w:val="00B744FA"/>
    <w:rsid w:val="00B74578"/>
    <w:rsid w:val="00B745AD"/>
    <w:rsid w:val="00B746AA"/>
    <w:rsid w:val="00B7471D"/>
    <w:rsid w:val="00B74737"/>
    <w:rsid w:val="00B74814"/>
    <w:rsid w:val="00B74A7A"/>
    <w:rsid w:val="00B74B3E"/>
    <w:rsid w:val="00B74B75"/>
    <w:rsid w:val="00B74B9A"/>
    <w:rsid w:val="00B74BB8"/>
    <w:rsid w:val="00B74BDC"/>
    <w:rsid w:val="00B74D45"/>
    <w:rsid w:val="00B74E06"/>
    <w:rsid w:val="00B74E7D"/>
    <w:rsid w:val="00B74E9D"/>
    <w:rsid w:val="00B74F3B"/>
    <w:rsid w:val="00B74FA5"/>
    <w:rsid w:val="00B75047"/>
    <w:rsid w:val="00B7508A"/>
    <w:rsid w:val="00B750BB"/>
    <w:rsid w:val="00B75100"/>
    <w:rsid w:val="00B7513B"/>
    <w:rsid w:val="00B75176"/>
    <w:rsid w:val="00B75194"/>
    <w:rsid w:val="00B751B3"/>
    <w:rsid w:val="00B7531E"/>
    <w:rsid w:val="00B7535D"/>
    <w:rsid w:val="00B753EA"/>
    <w:rsid w:val="00B75402"/>
    <w:rsid w:val="00B7541B"/>
    <w:rsid w:val="00B75465"/>
    <w:rsid w:val="00B754F8"/>
    <w:rsid w:val="00B75669"/>
    <w:rsid w:val="00B75684"/>
    <w:rsid w:val="00B756D0"/>
    <w:rsid w:val="00B7577A"/>
    <w:rsid w:val="00B75855"/>
    <w:rsid w:val="00B75868"/>
    <w:rsid w:val="00B75933"/>
    <w:rsid w:val="00B7595F"/>
    <w:rsid w:val="00B759D3"/>
    <w:rsid w:val="00B75AC1"/>
    <w:rsid w:val="00B75B28"/>
    <w:rsid w:val="00B75B4F"/>
    <w:rsid w:val="00B75CF6"/>
    <w:rsid w:val="00B75D03"/>
    <w:rsid w:val="00B75D8A"/>
    <w:rsid w:val="00B75E8D"/>
    <w:rsid w:val="00B75F85"/>
    <w:rsid w:val="00B75FE3"/>
    <w:rsid w:val="00B7602B"/>
    <w:rsid w:val="00B76092"/>
    <w:rsid w:val="00B76177"/>
    <w:rsid w:val="00B761F2"/>
    <w:rsid w:val="00B761F8"/>
    <w:rsid w:val="00B7635C"/>
    <w:rsid w:val="00B76364"/>
    <w:rsid w:val="00B76374"/>
    <w:rsid w:val="00B763B8"/>
    <w:rsid w:val="00B763FB"/>
    <w:rsid w:val="00B764C0"/>
    <w:rsid w:val="00B76574"/>
    <w:rsid w:val="00B7657F"/>
    <w:rsid w:val="00B765F6"/>
    <w:rsid w:val="00B76808"/>
    <w:rsid w:val="00B768AF"/>
    <w:rsid w:val="00B76955"/>
    <w:rsid w:val="00B76975"/>
    <w:rsid w:val="00B76A01"/>
    <w:rsid w:val="00B76A8F"/>
    <w:rsid w:val="00B76AB4"/>
    <w:rsid w:val="00B76ACC"/>
    <w:rsid w:val="00B76AD7"/>
    <w:rsid w:val="00B76B05"/>
    <w:rsid w:val="00B76BD1"/>
    <w:rsid w:val="00B76C3E"/>
    <w:rsid w:val="00B76C5F"/>
    <w:rsid w:val="00B76C9D"/>
    <w:rsid w:val="00B76D61"/>
    <w:rsid w:val="00B76D9E"/>
    <w:rsid w:val="00B76DDB"/>
    <w:rsid w:val="00B76E59"/>
    <w:rsid w:val="00B76E5D"/>
    <w:rsid w:val="00B76E79"/>
    <w:rsid w:val="00B76EBE"/>
    <w:rsid w:val="00B76ECB"/>
    <w:rsid w:val="00B77108"/>
    <w:rsid w:val="00B77109"/>
    <w:rsid w:val="00B77146"/>
    <w:rsid w:val="00B771D7"/>
    <w:rsid w:val="00B77210"/>
    <w:rsid w:val="00B772AA"/>
    <w:rsid w:val="00B77314"/>
    <w:rsid w:val="00B77383"/>
    <w:rsid w:val="00B77385"/>
    <w:rsid w:val="00B7739A"/>
    <w:rsid w:val="00B773D5"/>
    <w:rsid w:val="00B773F4"/>
    <w:rsid w:val="00B77436"/>
    <w:rsid w:val="00B774FC"/>
    <w:rsid w:val="00B77516"/>
    <w:rsid w:val="00B7751E"/>
    <w:rsid w:val="00B77593"/>
    <w:rsid w:val="00B775B0"/>
    <w:rsid w:val="00B777DC"/>
    <w:rsid w:val="00B77802"/>
    <w:rsid w:val="00B7781F"/>
    <w:rsid w:val="00B7782A"/>
    <w:rsid w:val="00B7785A"/>
    <w:rsid w:val="00B778DF"/>
    <w:rsid w:val="00B7790C"/>
    <w:rsid w:val="00B77A5B"/>
    <w:rsid w:val="00B77ACC"/>
    <w:rsid w:val="00B77ADC"/>
    <w:rsid w:val="00B77BEB"/>
    <w:rsid w:val="00B77C2C"/>
    <w:rsid w:val="00B77C33"/>
    <w:rsid w:val="00B77CF9"/>
    <w:rsid w:val="00B77D20"/>
    <w:rsid w:val="00B77D22"/>
    <w:rsid w:val="00B77EB8"/>
    <w:rsid w:val="00B77F06"/>
    <w:rsid w:val="00B77F1B"/>
    <w:rsid w:val="00B77F22"/>
    <w:rsid w:val="00B77F32"/>
    <w:rsid w:val="00B77F35"/>
    <w:rsid w:val="00B77F4F"/>
    <w:rsid w:val="00B77F82"/>
    <w:rsid w:val="00B77F8F"/>
    <w:rsid w:val="00B77FB4"/>
    <w:rsid w:val="00B77FBE"/>
    <w:rsid w:val="00B80078"/>
    <w:rsid w:val="00B80179"/>
    <w:rsid w:val="00B80252"/>
    <w:rsid w:val="00B802C4"/>
    <w:rsid w:val="00B80336"/>
    <w:rsid w:val="00B80337"/>
    <w:rsid w:val="00B8036E"/>
    <w:rsid w:val="00B80390"/>
    <w:rsid w:val="00B803C8"/>
    <w:rsid w:val="00B8040C"/>
    <w:rsid w:val="00B8042F"/>
    <w:rsid w:val="00B8046E"/>
    <w:rsid w:val="00B80515"/>
    <w:rsid w:val="00B805A1"/>
    <w:rsid w:val="00B805AB"/>
    <w:rsid w:val="00B8068C"/>
    <w:rsid w:val="00B80696"/>
    <w:rsid w:val="00B807AA"/>
    <w:rsid w:val="00B80843"/>
    <w:rsid w:val="00B80872"/>
    <w:rsid w:val="00B808C4"/>
    <w:rsid w:val="00B808DA"/>
    <w:rsid w:val="00B8090B"/>
    <w:rsid w:val="00B8091A"/>
    <w:rsid w:val="00B80955"/>
    <w:rsid w:val="00B80994"/>
    <w:rsid w:val="00B8099C"/>
    <w:rsid w:val="00B809E4"/>
    <w:rsid w:val="00B80A0B"/>
    <w:rsid w:val="00B80A30"/>
    <w:rsid w:val="00B80A51"/>
    <w:rsid w:val="00B80B12"/>
    <w:rsid w:val="00B80B48"/>
    <w:rsid w:val="00B80C66"/>
    <w:rsid w:val="00B80C70"/>
    <w:rsid w:val="00B80C8C"/>
    <w:rsid w:val="00B80CDF"/>
    <w:rsid w:val="00B80D74"/>
    <w:rsid w:val="00B80D85"/>
    <w:rsid w:val="00B80DA5"/>
    <w:rsid w:val="00B80DF7"/>
    <w:rsid w:val="00B80E00"/>
    <w:rsid w:val="00B80E91"/>
    <w:rsid w:val="00B80FB0"/>
    <w:rsid w:val="00B81092"/>
    <w:rsid w:val="00B810DE"/>
    <w:rsid w:val="00B811DD"/>
    <w:rsid w:val="00B81231"/>
    <w:rsid w:val="00B81247"/>
    <w:rsid w:val="00B81257"/>
    <w:rsid w:val="00B81267"/>
    <w:rsid w:val="00B8137A"/>
    <w:rsid w:val="00B8138F"/>
    <w:rsid w:val="00B81390"/>
    <w:rsid w:val="00B813CD"/>
    <w:rsid w:val="00B81479"/>
    <w:rsid w:val="00B814AD"/>
    <w:rsid w:val="00B814DD"/>
    <w:rsid w:val="00B8155C"/>
    <w:rsid w:val="00B815A3"/>
    <w:rsid w:val="00B815C2"/>
    <w:rsid w:val="00B815CA"/>
    <w:rsid w:val="00B8160C"/>
    <w:rsid w:val="00B8160F"/>
    <w:rsid w:val="00B8167A"/>
    <w:rsid w:val="00B816A2"/>
    <w:rsid w:val="00B81734"/>
    <w:rsid w:val="00B81781"/>
    <w:rsid w:val="00B817D4"/>
    <w:rsid w:val="00B818CF"/>
    <w:rsid w:val="00B819F4"/>
    <w:rsid w:val="00B81A1A"/>
    <w:rsid w:val="00B81A8E"/>
    <w:rsid w:val="00B81A95"/>
    <w:rsid w:val="00B81A9D"/>
    <w:rsid w:val="00B81AAF"/>
    <w:rsid w:val="00B81BE7"/>
    <w:rsid w:val="00B81C80"/>
    <w:rsid w:val="00B81CC3"/>
    <w:rsid w:val="00B81D57"/>
    <w:rsid w:val="00B81D77"/>
    <w:rsid w:val="00B81DCB"/>
    <w:rsid w:val="00B81DD5"/>
    <w:rsid w:val="00B81DD8"/>
    <w:rsid w:val="00B81E6B"/>
    <w:rsid w:val="00B81F3B"/>
    <w:rsid w:val="00B81F76"/>
    <w:rsid w:val="00B81FD0"/>
    <w:rsid w:val="00B82069"/>
    <w:rsid w:val="00B82169"/>
    <w:rsid w:val="00B82224"/>
    <w:rsid w:val="00B82234"/>
    <w:rsid w:val="00B822D5"/>
    <w:rsid w:val="00B8237A"/>
    <w:rsid w:val="00B8238E"/>
    <w:rsid w:val="00B823D2"/>
    <w:rsid w:val="00B824CC"/>
    <w:rsid w:val="00B824FD"/>
    <w:rsid w:val="00B82526"/>
    <w:rsid w:val="00B82544"/>
    <w:rsid w:val="00B8261B"/>
    <w:rsid w:val="00B82667"/>
    <w:rsid w:val="00B8267C"/>
    <w:rsid w:val="00B826AC"/>
    <w:rsid w:val="00B82724"/>
    <w:rsid w:val="00B8277A"/>
    <w:rsid w:val="00B82847"/>
    <w:rsid w:val="00B828CD"/>
    <w:rsid w:val="00B828CE"/>
    <w:rsid w:val="00B828F9"/>
    <w:rsid w:val="00B82939"/>
    <w:rsid w:val="00B82A28"/>
    <w:rsid w:val="00B82AD1"/>
    <w:rsid w:val="00B82B05"/>
    <w:rsid w:val="00B82BD7"/>
    <w:rsid w:val="00B82CD1"/>
    <w:rsid w:val="00B82D58"/>
    <w:rsid w:val="00B82D70"/>
    <w:rsid w:val="00B82D76"/>
    <w:rsid w:val="00B82E13"/>
    <w:rsid w:val="00B82E2B"/>
    <w:rsid w:val="00B82EE7"/>
    <w:rsid w:val="00B82F05"/>
    <w:rsid w:val="00B82F0D"/>
    <w:rsid w:val="00B82F33"/>
    <w:rsid w:val="00B82F8F"/>
    <w:rsid w:val="00B82FF8"/>
    <w:rsid w:val="00B830C8"/>
    <w:rsid w:val="00B830CB"/>
    <w:rsid w:val="00B830D3"/>
    <w:rsid w:val="00B830EF"/>
    <w:rsid w:val="00B8310E"/>
    <w:rsid w:val="00B8311A"/>
    <w:rsid w:val="00B83150"/>
    <w:rsid w:val="00B83181"/>
    <w:rsid w:val="00B832C1"/>
    <w:rsid w:val="00B832CD"/>
    <w:rsid w:val="00B83310"/>
    <w:rsid w:val="00B833A0"/>
    <w:rsid w:val="00B833C1"/>
    <w:rsid w:val="00B83502"/>
    <w:rsid w:val="00B83517"/>
    <w:rsid w:val="00B83580"/>
    <w:rsid w:val="00B83617"/>
    <w:rsid w:val="00B83661"/>
    <w:rsid w:val="00B83773"/>
    <w:rsid w:val="00B837C2"/>
    <w:rsid w:val="00B838C0"/>
    <w:rsid w:val="00B838FE"/>
    <w:rsid w:val="00B8393E"/>
    <w:rsid w:val="00B83984"/>
    <w:rsid w:val="00B83AC4"/>
    <w:rsid w:val="00B83B8C"/>
    <w:rsid w:val="00B83BB5"/>
    <w:rsid w:val="00B83C38"/>
    <w:rsid w:val="00B83C62"/>
    <w:rsid w:val="00B83C6B"/>
    <w:rsid w:val="00B83C70"/>
    <w:rsid w:val="00B83CAA"/>
    <w:rsid w:val="00B83D0A"/>
    <w:rsid w:val="00B83D5E"/>
    <w:rsid w:val="00B83D85"/>
    <w:rsid w:val="00B83DB9"/>
    <w:rsid w:val="00B83E21"/>
    <w:rsid w:val="00B83E2E"/>
    <w:rsid w:val="00B83E74"/>
    <w:rsid w:val="00B83E8F"/>
    <w:rsid w:val="00B84038"/>
    <w:rsid w:val="00B84056"/>
    <w:rsid w:val="00B84080"/>
    <w:rsid w:val="00B84093"/>
    <w:rsid w:val="00B84117"/>
    <w:rsid w:val="00B8416E"/>
    <w:rsid w:val="00B84203"/>
    <w:rsid w:val="00B84215"/>
    <w:rsid w:val="00B84244"/>
    <w:rsid w:val="00B84325"/>
    <w:rsid w:val="00B84395"/>
    <w:rsid w:val="00B843F0"/>
    <w:rsid w:val="00B8440E"/>
    <w:rsid w:val="00B84470"/>
    <w:rsid w:val="00B844F3"/>
    <w:rsid w:val="00B8458D"/>
    <w:rsid w:val="00B845CC"/>
    <w:rsid w:val="00B845D1"/>
    <w:rsid w:val="00B84765"/>
    <w:rsid w:val="00B847A5"/>
    <w:rsid w:val="00B847FA"/>
    <w:rsid w:val="00B848B2"/>
    <w:rsid w:val="00B84913"/>
    <w:rsid w:val="00B84928"/>
    <w:rsid w:val="00B84965"/>
    <w:rsid w:val="00B849A0"/>
    <w:rsid w:val="00B84A63"/>
    <w:rsid w:val="00B84A69"/>
    <w:rsid w:val="00B84AB7"/>
    <w:rsid w:val="00B84ABD"/>
    <w:rsid w:val="00B84ACE"/>
    <w:rsid w:val="00B84B2B"/>
    <w:rsid w:val="00B84B61"/>
    <w:rsid w:val="00B84B74"/>
    <w:rsid w:val="00B84B8D"/>
    <w:rsid w:val="00B84BB3"/>
    <w:rsid w:val="00B84C91"/>
    <w:rsid w:val="00B84D31"/>
    <w:rsid w:val="00B84D82"/>
    <w:rsid w:val="00B84DAD"/>
    <w:rsid w:val="00B84E1C"/>
    <w:rsid w:val="00B84E38"/>
    <w:rsid w:val="00B84E9B"/>
    <w:rsid w:val="00B84EE6"/>
    <w:rsid w:val="00B84F8A"/>
    <w:rsid w:val="00B850F0"/>
    <w:rsid w:val="00B85194"/>
    <w:rsid w:val="00B851EF"/>
    <w:rsid w:val="00B8520B"/>
    <w:rsid w:val="00B85223"/>
    <w:rsid w:val="00B852B9"/>
    <w:rsid w:val="00B85363"/>
    <w:rsid w:val="00B853D5"/>
    <w:rsid w:val="00B853DA"/>
    <w:rsid w:val="00B85440"/>
    <w:rsid w:val="00B854B2"/>
    <w:rsid w:val="00B85536"/>
    <w:rsid w:val="00B85563"/>
    <w:rsid w:val="00B85582"/>
    <w:rsid w:val="00B85586"/>
    <w:rsid w:val="00B855C6"/>
    <w:rsid w:val="00B855FB"/>
    <w:rsid w:val="00B85892"/>
    <w:rsid w:val="00B858EA"/>
    <w:rsid w:val="00B859E5"/>
    <w:rsid w:val="00B85A4C"/>
    <w:rsid w:val="00B85A9A"/>
    <w:rsid w:val="00B85A9B"/>
    <w:rsid w:val="00B85AD2"/>
    <w:rsid w:val="00B85B81"/>
    <w:rsid w:val="00B85BD3"/>
    <w:rsid w:val="00B85C74"/>
    <w:rsid w:val="00B85CC5"/>
    <w:rsid w:val="00B85D02"/>
    <w:rsid w:val="00B85D5C"/>
    <w:rsid w:val="00B85D83"/>
    <w:rsid w:val="00B85E37"/>
    <w:rsid w:val="00B85F85"/>
    <w:rsid w:val="00B85F9C"/>
    <w:rsid w:val="00B85FC9"/>
    <w:rsid w:val="00B85FD6"/>
    <w:rsid w:val="00B86006"/>
    <w:rsid w:val="00B86008"/>
    <w:rsid w:val="00B8607F"/>
    <w:rsid w:val="00B8608E"/>
    <w:rsid w:val="00B860AF"/>
    <w:rsid w:val="00B86155"/>
    <w:rsid w:val="00B861A5"/>
    <w:rsid w:val="00B86205"/>
    <w:rsid w:val="00B8623E"/>
    <w:rsid w:val="00B863CE"/>
    <w:rsid w:val="00B863CF"/>
    <w:rsid w:val="00B8644F"/>
    <w:rsid w:val="00B8647F"/>
    <w:rsid w:val="00B8648D"/>
    <w:rsid w:val="00B86591"/>
    <w:rsid w:val="00B865B1"/>
    <w:rsid w:val="00B8667E"/>
    <w:rsid w:val="00B866EE"/>
    <w:rsid w:val="00B8674A"/>
    <w:rsid w:val="00B8677A"/>
    <w:rsid w:val="00B867A0"/>
    <w:rsid w:val="00B867BF"/>
    <w:rsid w:val="00B867DF"/>
    <w:rsid w:val="00B86838"/>
    <w:rsid w:val="00B86869"/>
    <w:rsid w:val="00B86871"/>
    <w:rsid w:val="00B8688D"/>
    <w:rsid w:val="00B8694A"/>
    <w:rsid w:val="00B86977"/>
    <w:rsid w:val="00B8697B"/>
    <w:rsid w:val="00B86997"/>
    <w:rsid w:val="00B869DD"/>
    <w:rsid w:val="00B869F3"/>
    <w:rsid w:val="00B86A0C"/>
    <w:rsid w:val="00B86A29"/>
    <w:rsid w:val="00B86AC5"/>
    <w:rsid w:val="00B86AEC"/>
    <w:rsid w:val="00B86B8F"/>
    <w:rsid w:val="00B86B95"/>
    <w:rsid w:val="00B86C11"/>
    <w:rsid w:val="00B86C2F"/>
    <w:rsid w:val="00B86C91"/>
    <w:rsid w:val="00B86D8D"/>
    <w:rsid w:val="00B86DF7"/>
    <w:rsid w:val="00B86E6E"/>
    <w:rsid w:val="00B86E7F"/>
    <w:rsid w:val="00B86E9D"/>
    <w:rsid w:val="00B86EA4"/>
    <w:rsid w:val="00B86FAD"/>
    <w:rsid w:val="00B87055"/>
    <w:rsid w:val="00B870B2"/>
    <w:rsid w:val="00B87117"/>
    <w:rsid w:val="00B8717A"/>
    <w:rsid w:val="00B8719B"/>
    <w:rsid w:val="00B87202"/>
    <w:rsid w:val="00B87250"/>
    <w:rsid w:val="00B872A1"/>
    <w:rsid w:val="00B872EA"/>
    <w:rsid w:val="00B873BC"/>
    <w:rsid w:val="00B874C2"/>
    <w:rsid w:val="00B874FE"/>
    <w:rsid w:val="00B87611"/>
    <w:rsid w:val="00B87675"/>
    <w:rsid w:val="00B87797"/>
    <w:rsid w:val="00B877CD"/>
    <w:rsid w:val="00B877DA"/>
    <w:rsid w:val="00B87806"/>
    <w:rsid w:val="00B87859"/>
    <w:rsid w:val="00B87925"/>
    <w:rsid w:val="00B87933"/>
    <w:rsid w:val="00B879B2"/>
    <w:rsid w:val="00B879BC"/>
    <w:rsid w:val="00B87A66"/>
    <w:rsid w:val="00B87A81"/>
    <w:rsid w:val="00B87B52"/>
    <w:rsid w:val="00B87BC2"/>
    <w:rsid w:val="00B87C97"/>
    <w:rsid w:val="00B87CB9"/>
    <w:rsid w:val="00B87D08"/>
    <w:rsid w:val="00B87D44"/>
    <w:rsid w:val="00B87E76"/>
    <w:rsid w:val="00B87F73"/>
    <w:rsid w:val="00B87FDD"/>
    <w:rsid w:val="00B87FE6"/>
    <w:rsid w:val="00B901CC"/>
    <w:rsid w:val="00B902A1"/>
    <w:rsid w:val="00B902AA"/>
    <w:rsid w:val="00B902B5"/>
    <w:rsid w:val="00B902BF"/>
    <w:rsid w:val="00B902DA"/>
    <w:rsid w:val="00B903B6"/>
    <w:rsid w:val="00B904AC"/>
    <w:rsid w:val="00B904FA"/>
    <w:rsid w:val="00B90573"/>
    <w:rsid w:val="00B905AB"/>
    <w:rsid w:val="00B905B9"/>
    <w:rsid w:val="00B905D0"/>
    <w:rsid w:val="00B905FA"/>
    <w:rsid w:val="00B90687"/>
    <w:rsid w:val="00B906B5"/>
    <w:rsid w:val="00B907C0"/>
    <w:rsid w:val="00B908BC"/>
    <w:rsid w:val="00B90948"/>
    <w:rsid w:val="00B90985"/>
    <w:rsid w:val="00B90A00"/>
    <w:rsid w:val="00B90A03"/>
    <w:rsid w:val="00B90A6D"/>
    <w:rsid w:val="00B90A9D"/>
    <w:rsid w:val="00B90AB8"/>
    <w:rsid w:val="00B90AEB"/>
    <w:rsid w:val="00B90B22"/>
    <w:rsid w:val="00B90C34"/>
    <w:rsid w:val="00B90C49"/>
    <w:rsid w:val="00B90C7C"/>
    <w:rsid w:val="00B90CA2"/>
    <w:rsid w:val="00B90DAF"/>
    <w:rsid w:val="00B90DEB"/>
    <w:rsid w:val="00B90E29"/>
    <w:rsid w:val="00B90E32"/>
    <w:rsid w:val="00B90E34"/>
    <w:rsid w:val="00B90E60"/>
    <w:rsid w:val="00B90E66"/>
    <w:rsid w:val="00B90E6D"/>
    <w:rsid w:val="00B90E91"/>
    <w:rsid w:val="00B90F5B"/>
    <w:rsid w:val="00B91018"/>
    <w:rsid w:val="00B9101D"/>
    <w:rsid w:val="00B910CE"/>
    <w:rsid w:val="00B91236"/>
    <w:rsid w:val="00B91287"/>
    <w:rsid w:val="00B9128E"/>
    <w:rsid w:val="00B9132D"/>
    <w:rsid w:val="00B91388"/>
    <w:rsid w:val="00B91416"/>
    <w:rsid w:val="00B91423"/>
    <w:rsid w:val="00B91466"/>
    <w:rsid w:val="00B91494"/>
    <w:rsid w:val="00B91529"/>
    <w:rsid w:val="00B9158C"/>
    <w:rsid w:val="00B9170E"/>
    <w:rsid w:val="00B91727"/>
    <w:rsid w:val="00B91846"/>
    <w:rsid w:val="00B9187D"/>
    <w:rsid w:val="00B9188B"/>
    <w:rsid w:val="00B918FA"/>
    <w:rsid w:val="00B91940"/>
    <w:rsid w:val="00B91A08"/>
    <w:rsid w:val="00B91A1C"/>
    <w:rsid w:val="00B91A7D"/>
    <w:rsid w:val="00B91B2C"/>
    <w:rsid w:val="00B91B2D"/>
    <w:rsid w:val="00B91BB9"/>
    <w:rsid w:val="00B91C66"/>
    <w:rsid w:val="00B91C98"/>
    <w:rsid w:val="00B91CC2"/>
    <w:rsid w:val="00B91D9E"/>
    <w:rsid w:val="00B91DDC"/>
    <w:rsid w:val="00B91E83"/>
    <w:rsid w:val="00B91E86"/>
    <w:rsid w:val="00B91EBB"/>
    <w:rsid w:val="00B91F41"/>
    <w:rsid w:val="00B91F62"/>
    <w:rsid w:val="00B91F6A"/>
    <w:rsid w:val="00B92053"/>
    <w:rsid w:val="00B92098"/>
    <w:rsid w:val="00B92179"/>
    <w:rsid w:val="00B921DD"/>
    <w:rsid w:val="00B92227"/>
    <w:rsid w:val="00B9230D"/>
    <w:rsid w:val="00B92356"/>
    <w:rsid w:val="00B9237B"/>
    <w:rsid w:val="00B923B7"/>
    <w:rsid w:val="00B923DB"/>
    <w:rsid w:val="00B92410"/>
    <w:rsid w:val="00B9249C"/>
    <w:rsid w:val="00B924C5"/>
    <w:rsid w:val="00B924CD"/>
    <w:rsid w:val="00B924D2"/>
    <w:rsid w:val="00B92509"/>
    <w:rsid w:val="00B9253E"/>
    <w:rsid w:val="00B92584"/>
    <w:rsid w:val="00B9266C"/>
    <w:rsid w:val="00B927A2"/>
    <w:rsid w:val="00B92800"/>
    <w:rsid w:val="00B92810"/>
    <w:rsid w:val="00B92897"/>
    <w:rsid w:val="00B9292F"/>
    <w:rsid w:val="00B9294F"/>
    <w:rsid w:val="00B92A34"/>
    <w:rsid w:val="00B92A3C"/>
    <w:rsid w:val="00B92B37"/>
    <w:rsid w:val="00B92B79"/>
    <w:rsid w:val="00B92BFE"/>
    <w:rsid w:val="00B92CE8"/>
    <w:rsid w:val="00B92D04"/>
    <w:rsid w:val="00B92D7C"/>
    <w:rsid w:val="00B92DE4"/>
    <w:rsid w:val="00B92DF1"/>
    <w:rsid w:val="00B92E5B"/>
    <w:rsid w:val="00B92E60"/>
    <w:rsid w:val="00B92E98"/>
    <w:rsid w:val="00B92E9A"/>
    <w:rsid w:val="00B92F18"/>
    <w:rsid w:val="00B92F25"/>
    <w:rsid w:val="00B92F3F"/>
    <w:rsid w:val="00B92FAA"/>
    <w:rsid w:val="00B92FB5"/>
    <w:rsid w:val="00B92FBC"/>
    <w:rsid w:val="00B93156"/>
    <w:rsid w:val="00B93257"/>
    <w:rsid w:val="00B9326B"/>
    <w:rsid w:val="00B9326D"/>
    <w:rsid w:val="00B932A9"/>
    <w:rsid w:val="00B9333C"/>
    <w:rsid w:val="00B933B1"/>
    <w:rsid w:val="00B93467"/>
    <w:rsid w:val="00B934AC"/>
    <w:rsid w:val="00B934C0"/>
    <w:rsid w:val="00B934D7"/>
    <w:rsid w:val="00B93506"/>
    <w:rsid w:val="00B93514"/>
    <w:rsid w:val="00B93522"/>
    <w:rsid w:val="00B935A3"/>
    <w:rsid w:val="00B93722"/>
    <w:rsid w:val="00B9377A"/>
    <w:rsid w:val="00B937AB"/>
    <w:rsid w:val="00B93829"/>
    <w:rsid w:val="00B938BA"/>
    <w:rsid w:val="00B93927"/>
    <w:rsid w:val="00B93A00"/>
    <w:rsid w:val="00B93A14"/>
    <w:rsid w:val="00B93AFA"/>
    <w:rsid w:val="00B93B01"/>
    <w:rsid w:val="00B93B69"/>
    <w:rsid w:val="00B93C09"/>
    <w:rsid w:val="00B93C1C"/>
    <w:rsid w:val="00B93C25"/>
    <w:rsid w:val="00B93C3D"/>
    <w:rsid w:val="00B93C6C"/>
    <w:rsid w:val="00B93C90"/>
    <w:rsid w:val="00B93C96"/>
    <w:rsid w:val="00B93CE9"/>
    <w:rsid w:val="00B93DE8"/>
    <w:rsid w:val="00B93DFF"/>
    <w:rsid w:val="00B93E9F"/>
    <w:rsid w:val="00B93EDD"/>
    <w:rsid w:val="00B93F09"/>
    <w:rsid w:val="00B93F1D"/>
    <w:rsid w:val="00B93F24"/>
    <w:rsid w:val="00B93F3E"/>
    <w:rsid w:val="00B93F5E"/>
    <w:rsid w:val="00B93FBD"/>
    <w:rsid w:val="00B9403F"/>
    <w:rsid w:val="00B94055"/>
    <w:rsid w:val="00B9413C"/>
    <w:rsid w:val="00B9418F"/>
    <w:rsid w:val="00B941B7"/>
    <w:rsid w:val="00B941CD"/>
    <w:rsid w:val="00B941D4"/>
    <w:rsid w:val="00B941F2"/>
    <w:rsid w:val="00B9425A"/>
    <w:rsid w:val="00B94295"/>
    <w:rsid w:val="00B942C0"/>
    <w:rsid w:val="00B94309"/>
    <w:rsid w:val="00B9432A"/>
    <w:rsid w:val="00B94341"/>
    <w:rsid w:val="00B9434B"/>
    <w:rsid w:val="00B943D6"/>
    <w:rsid w:val="00B94433"/>
    <w:rsid w:val="00B94467"/>
    <w:rsid w:val="00B944CF"/>
    <w:rsid w:val="00B94526"/>
    <w:rsid w:val="00B9458D"/>
    <w:rsid w:val="00B946C7"/>
    <w:rsid w:val="00B947B6"/>
    <w:rsid w:val="00B947DD"/>
    <w:rsid w:val="00B947E1"/>
    <w:rsid w:val="00B9484D"/>
    <w:rsid w:val="00B9490B"/>
    <w:rsid w:val="00B94A21"/>
    <w:rsid w:val="00B94B0D"/>
    <w:rsid w:val="00B94B74"/>
    <w:rsid w:val="00B94B9E"/>
    <w:rsid w:val="00B94BBA"/>
    <w:rsid w:val="00B94D05"/>
    <w:rsid w:val="00B94DCA"/>
    <w:rsid w:val="00B94E2F"/>
    <w:rsid w:val="00B94F76"/>
    <w:rsid w:val="00B94F8B"/>
    <w:rsid w:val="00B94F91"/>
    <w:rsid w:val="00B94FBB"/>
    <w:rsid w:val="00B95003"/>
    <w:rsid w:val="00B95068"/>
    <w:rsid w:val="00B9506C"/>
    <w:rsid w:val="00B95085"/>
    <w:rsid w:val="00B95126"/>
    <w:rsid w:val="00B95156"/>
    <w:rsid w:val="00B9517A"/>
    <w:rsid w:val="00B951D5"/>
    <w:rsid w:val="00B952B3"/>
    <w:rsid w:val="00B952ED"/>
    <w:rsid w:val="00B9532D"/>
    <w:rsid w:val="00B9533A"/>
    <w:rsid w:val="00B95354"/>
    <w:rsid w:val="00B953AF"/>
    <w:rsid w:val="00B9542B"/>
    <w:rsid w:val="00B954C5"/>
    <w:rsid w:val="00B9559F"/>
    <w:rsid w:val="00B955B9"/>
    <w:rsid w:val="00B9562E"/>
    <w:rsid w:val="00B9562F"/>
    <w:rsid w:val="00B9568C"/>
    <w:rsid w:val="00B95799"/>
    <w:rsid w:val="00B957C7"/>
    <w:rsid w:val="00B958C4"/>
    <w:rsid w:val="00B95984"/>
    <w:rsid w:val="00B959BE"/>
    <w:rsid w:val="00B959C3"/>
    <w:rsid w:val="00B959ED"/>
    <w:rsid w:val="00B95A48"/>
    <w:rsid w:val="00B95B15"/>
    <w:rsid w:val="00B95B28"/>
    <w:rsid w:val="00B95C03"/>
    <w:rsid w:val="00B95C23"/>
    <w:rsid w:val="00B95C4B"/>
    <w:rsid w:val="00B95D71"/>
    <w:rsid w:val="00B95E2B"/>
    <w:rsid w:val="00B95E9B"/>
    <w:rsid w:val="00B95F3E"/>
    <w:rsid w:val="00B95F6B"/>
    <w:rsid w:val="00B95F89"/>
    <w:rsid w:val="00B960F0"/>
    <w:rsid w:val="00B96226"/>
    <w:rsid w:val="00B96378"/>
    <w:rsid w:val="00B963CA"/>
    <w:rsid w:val="00B96411"/>
    <w:rsid w:val="00B964FD"/>
    <w:rsid w:val="00B96648"/>
    <w:rsid w:val="00B96676"/>
    <w:rsid w:val="00B96705"/>
    <w:rsid w:val="00B9687D"/>
    <w:rsid w:val="00B9693D"/>
    <w:rsid w:val="00B969A0"/>
    <w:rsid w:val="00B96A1C"/>
    <w:rsid w:val="00B96B01"/>
    <w:rsid w:val="00B96B86"/>
    <w:rsid w:val="00B96BC2"/>
    <w:rsid w:val="00B96C1D"/>
    <w:rsid w:val="00B96C23"/>
    <w:rsid w:val="00B96CD5"/>
    <w:rsid w:val="00B96E9D"/>
    <w:rsid w:val="00B96EDF"/>
    <w:rsid w:val="00B96EE7"/>
    <w:rsid w:val="00B97013"/>
    <w:rsid w:val="00B97068"/>
    <w:rsid w:val="00B970DF"/>
    <w:rsid w:val="00B97133"/>
    <w:rsid w:val="00B97175"/>
    <w:rsid w:val="00B971A7"/>
    <w:rsid w:val="00B971AD"/>
    <w:rsid w:val="00B971BF"/>
    <w:rsid w:val="00B971C4"/>
    <w:rsid w:val="00B972EA"/>
    <w:rsid w:val="00B97386"/>
    <w:rsid w:val="00B97510"/>
    <w:rsid w:val="00B97571"/>
    <w:rsid w:val="00B975AC"/>
    <w:rsid w:val="00B975C9"/>
    <w:rsid w:val="00B97648"/>
    <w:rsid w:val="00B976DF"/>
    <w:rsid w:val="00B97775"/>
    <w:rsid w:val="00B97785"/>
    <w:rsid w:val="00B977B3"/>
    <w:rsid w:val="00B978B2"/>
    <w:rsid w:val="00B978C1"/>
    <w:rsid w:val="00B978E6"/>
    <w:rsid w:val="00B97971"/>
    <w:rsid w:val="00B97A4D"/>
    <w:rsid w:val="00B97A6D"/>
    <w:rsid w:val="00B97A8A"/>
    <w:rsid w:val="00B97AA1"/>
    <w:rsid w:val="00B97AEB"/>
    <w:rsid w:val="00B97C0C"/>
    <w:rsid w:val="00B97C3A"/>
    <w:rsid w:val="00B97D1D"/>
    <w:rsid w:val="00B97DA5"/>
    <w:rsid w:val="00B97DEF"/>
    <w:rsid w:val="00B97E60"/>
    <w:rsid w:val="00B97EF4"/>
    <w:rsid w:val="00B97EFB"/>
    <w:rsid w:val="00B97F5F"/>
    <w:rsid w:val="00B97FFD"/>
    <w:rsid w:val="00BA00DB"/>
    <w:rsid w:val="00BA012E"/>
    <w:rsid w:val="00BA0264"/>
    <w:rsid w:val="00BA0266"/>
    <w:rsid w:val="00BA0338"/>
    <w:rsid w:val="00BA0344"/>
    <w:rsid w:val="00BA039A"/>
    <w:rsid w:val="00BA03B4"/>
    <w:rsid w:val="00BA0419"/>
    <w:rsid w:val="00BA0441"/>
    <w:rsid w:val="00BA048A"/>
    <w:rsid w:val="00BA0492"/>
    <w:rsid w:val="00BA04CC"/>
    <w:rsid w:val="00BA04F5"/>
    <w:rsid w:val="00BA056E"/>
    <w:rsid w:val="00BA058D"/>
    <w:rsid w:val="00BA061C"/>
    <w:rsid w:val="00BA062F"/>
    <w:rsid w:val="00BA0644"/>
    <w:rsid w:val="00BA064A"/>
    <w:rsid w:val="00BA072A"/>
    <w:rsid w:val="00BA0733"/>
    <w:rsid w:val="00BA07C6"/>
    <w:rsid w:val="00BA0867"/>
    <w:rsid w:val="00BA0868"/>
    <w:rsid w:val="00BA08F9"/>
    <w:rsid w:val="00BA09B3"/>
    <w:rsid w:val="00BA09BD"/>
    <w:rsid w:val="00BA0A15"/>
    <w:rsid w:val="00BA0A5C"/>
    <w:rsid w:val="00BA0A88"/>
    <w:rsid w:val="00BA0AAA"/>
    <w:rsid w:val="00BA0B6E"/>
    <w:rsid w:val="00BA0C35"/>
    <w:rsid w:val="00BA0CC4"/>
    <w:rsid w:val="00BA0D3C"/>
    <w:rsid w:val="00BA0DEC"/>
    <w:rsid w:val="00BA0E02"/>
    <w:rsid w:val="00BA0E0B"/>
    <w:rsid w:val="00BA0E0E"/>
    <w:rsid w:val="00BA0E20"/>
    <w:rsid w:val="00BA0F52"/>
    <w:rsid w:val="00BA1023"/>
    <w:rsid w:val="00BA1049"/>
    <w:rsid w:val="00BA1226"/>
    <w:rsid w:val="00BA1229"/>
    <w:rsid w:val="00BA12B5"/>
    <w:rsid w:val="00BA13A6"/>
    <w:rsid w:val="00BA13A7"/>
    <w:rsid w:val="00BA13C5"/>
    <w:rsid w:val="00BA140D"/>
    <w:rsid w:val="00BA1455"/>
    <w:rsid w:val="00BA1482"/>
    <w:rsid w:val="00BA14BC"/>
    <w:rsid w:val="00BA14CD"/>
    <w:rsid w:val="00BA14E5"/>
    <w:rsid w:val="00BA1559"/>
    <w:rsid w:val="00BA155D"/>
    <w:rsid w:val="00BA15D9"/>
    <w:rsid w:val="00BA1613"/>
    <w:rsid w:val="00BA16C6"/>
    <w:rsid w:val="00BA1759"/>
    <w:rsid w:val="00BA1790"/>
    <w:rsid w:val="00BA1798"/>
    <w:rsid w:val="00BA17B6"/>
    <w:rsid w:val="00BA17C5"/>
    <w:rsid w:val="00BA1862"/>
    <w:rsid w:val="00BA19C1"/>
    <w:rsid w:val="00BA1ABC"/>
    <w:rsid w:val="00BA1B30"/>
    <w:rsid w:val="00BA1B35"/>
    <w:rsid w:val="00BA1B8D"/>
    <w:rsid w:val="00BA1BFC"/>
    <w:rsid w:val="00BA1C9E"/>
    <w:rsid w:val="00BA1CB1"/>
    <w:rsid w:val="00BA1D14"/>
    <w:rsid w:val="00BA1D2B"/>
    <w:rsid w:val="00BA1D41"/>
    <w:rsid w:val="00BA1E27"/>
    <w:rsid w:val="00BA1E40"/>
    <w:rsid w:val="00BA1F0B"/>
    <w:rsid w:val="00BA1F14"/>
    <w:rsid w:val="00BA20B3"/>
    <w:rsid w:val="00BA20BC"/>
    <w:rsid w:val="00BA20BD"/>
    <w:rsid w:val="00BA2156"/>
    <w:rsid w:val="00BA21CF"/>
    <w:rsid w:val="00BA228D"/>
    <w:rsid w:val="00BA22BF"/>
    <w:rsid w:val="00BA236E"/>
    <w:rsid w:val="00BA2395"/>
    <w:rsid w:val="00BA23B4"/>
    <w:rsid w:val="00BA2406"/>
    <w:rsid w:val="00BA249F"/>
    <w:rsid w:val="00BA25F5"/>
    <w:rsid w:val="00BA263E"/>
    <w:rsid w:val="00BA26A8"/>
    <w:rsid w:val="00BA2737"/>
    <w:rsid w:val="00BA28C1"/>
    <w:rsid w:val="00BA2972"/>
    <w:rsid w:val="00BA2A63"/>
    <w:rsid w:val="00BA2ABF"/>
    <w:rsid w:val="00BA2AD0"/>
    <w:rsid w:val="00BA2AE4"/>
    <w:rsid w:val="00BA2D12"/>
    <w:rsid w:val="00BA2D26"/>
    <w:rsid w:val="00BA2D33"/>
    <w:rsid w:val="00BA2DFC"/>
    <w:rsid w:val="00BA2E6B"/>
    <w:rsid w:val="00BA2E6F"/>
    <w:rsid w:val="00BA2F79"/>
    <w:rsid w:val="00BA2FAA"/>
    <w:rsid w:val="00BA2FAB"/>
    <w:rsid w:val="00BA2FCC"/>
    <w:rsid w:val="00BA3083"/>
    <w:rsid w:val="00BA313E"/>
    <w:rsid w:val="00BA315F"/>
    <w:rsid w:val="00BA316C"/>
    <w:rsid w:val="00BA31B4"/>
    <w:rsid w:val="00BA31DC"/>
    <w:rsid w:val="00BA31EF"/>
    <w:rsid w:val="00BA3288"/>
    <w:rsid w:val="00BA3420"/>
    <w:rsid w:val="00BA34FC"/>
    <w:rsid w:val="00BA350B"/>
    <w:rsid w:val="00BA3515"/>
    <w:rsid w:val="00BA3536"/>
    <w:rsid w:val="00BA355C"/>
    <w:rsid w:val="00BA3681"/>
    <w:rsid w:val="00BA36CC"/>
    <w:rsid w:val="00BA3748"/>
    <w:rsid w:val="00BA37EB"/>
    <w:rsid w:val="00BA386E"/>
    <w:rsid w:val="00BA38B2"/>
    <w:rsid w:val="00BA3903"/>
    <w:rsid w:val="00BA3910"/>
    <w:rsid w:val="00BA39BB"/>
    <w:rsid w:val="00BA39DD"/>
    <w:rsid w:val="00BA3A1B"/>
    <w:rsid w:val="00BA3ADF"/>
    <w:rsid w:val="00BA3B48"/>
    <w:rsid w:val="00BA3D39"/>
    <w:rsid w:val="00BA3E54"/>
    <w:rsid w:val="00BA3E69"/>
    <w:rsid w:val="00BA3E7B"/>
    <w:rsid w:val="00BA3E8A"/>
    <w:rsid w:val="00BA3EA0"/>
    <w:rsid w:val="00BA3EA9"/>
    <w:rsid w:val="00BA3F19"/>
    <w:rsid w:val="00BA3F9F"/>
    <w:rsid w:val="00BA4037"/>
    <w:rsid w:val="00BA40A6"/>
    <w:rsid w:val="00BA40E6"/>
    <w:rsid w:val="00BA41C1"/>
    <w:rsid w:val="00BA41C7"/>
    <w:rsid w:val="00BA4258"/>
    <w:rsid w:val="00BA42EC"/>
    <w:rsid w:val="00BA4355"/>
    <w:rsid w:val="00BA43A3"/>
    <w:rsid w:val="00BA44FD"/>
    <w:rsid w:val="00BA45C7"/>
    <w:rsid w:val="00BA45D4"/>
    <w:rsid w:val="00BA45FE"/>
    <w:rsid w:val="00BA461F"/>
    <w:rsid w:val="00BA464D"/>
    <w:rsid w:val="00BA468C"/>
    <w:rsid w:val="00BA46BD"/>
    <w:rsid w:val="00BA46C9"/>
    <w:rsid w:val="00BA473F"/>
    <w:rsid w:val="00BA47A9"/>
    <w:rsid w:val="00BA4815"/>
    <w:rsid w:val="00BA486A"/>
    <w:rsid w:val="00BA48BA"/>
    <w:rsid w:val="00BA49E9"/>
    <w:rsid w:val="00BA49F6"/>
    <w:rsid w:val="00BA4A39"/>
    <w:rsid w:val="00BA4A9B"/>
    <w:rsid w:val="00BA4B36"/>
    <w:rsid w:val="00BA4BCE"/>
    <w:rsid w:val="00BA4BD2"/>
    <w:rsid w:val="00BA4D60"/>
    <w:rsid w:val="00BA4D83"/>
    <w:rsid w:val="00BA4F57"/>
    <w:rsid w:val="00BA4F9D"/>
    <w:rsid w:val="00BA4FCC"/>
    <w:rsid w:val="00BA4FF0"/>
    <w:rsid w:val="00BA509B"/>
    <w:rsid w:val="00BA50B6"/>
    <w:rsid w:val="00BA510E"/>
    <w:rsid w:val="00BA515C"/>
    <w:rsid w:val="00BA5179"/>
    <w:rsid w:val="00BA51F2"/>
    <w:rsid w:val="00BA5287"/>
    <w:rsid w:val="00BA52E3"/>
    <w:rsid w:val="00BA5332"/>
    <w:rsid w:val="00BA53CA"/>
    <w:rsid w:val="00BA5409"/>
    <w:rsid w:val="00BA5458"/>
    <w:rsid w:val="00BA54E2"/>
    <w:rsid w:val="00BA5520"/>
    <w:rsid w:val="00BA554B"/>
    <w:rsid w:val="00BA55BA"/>
    <w:rsid w:val="00BA55BF"/>
    <w:rsid w:val="00BA5643"/>
    <w:rsid w:val="00BA5763"/>
    <w:rsid w:val="00BA577A"/>
    <w:rsid w:val="00BA57E7"/>
    <w:rsid w:val="00BA5903"/>
    <w:rsid w:val="00BA5909"/>
    <w:rsid w:val="00BA59B1"/>
    <w:rsid w:val="00BA5A2F"/>
    <w:rsid w:val="00BA5A5C"/>
    <w:rsid w:val="00BA5B1B"/>
    <w:rsid w:val="00BA5B3F"/>
    <w:rsid w:val="00BA5B45"/>
    <w:rsid w:val="00BA5B8E"/>
    <w:rsid w:val="00BA5B98"/>
    <w:rsid w:val="00BA5B9B"/>
    <w:rsid w:val="00BA5BC8"/>
    <w:rsid w:val="00BA5C88"/>
    <w:rsid w:val="00BA5C91"/>
    <w:rsid w:val="00BA5D01"/>
    <w:rsid w:val="00BA5D2E"/>
    <w:rsid w:val="00BA5DBA"/>
    <w:rsid w:val="00BA5DD8"/>
    <w:rsid w:val="00BA5E60"/>
    <w:rsid w:val="00BA5E7C"/>
    <w:rsid w:val="00BA5E9E"/>
    <w:rsid w:val="00BA5F38"/>
    <w:rsid w:val="00BA6030"/>
    <w:rsid w:val="00BA6063"/>
    <w:rsid w:val="00BA6160"/>
    <w:rsid w:val="00BA616F"/>
    <w:rsid w:val="00BA6198"/>
    <w:rsid w:val="00BA61FF"/>
    <w:rsid w:val="00BA626C"/>
    <w:rsid w:val="00BA6392"/>
    <w:rsid w:val="00BA64AF"/>
    <w:rsid w:val="00BA6550"/>
    <w:rsid w:val="00BA655C"/>
    <w:rsid w:val="00BA656B"/>
    <w:rsid w:val="00BA6667"/>
    <w:rsid w:val="00BA6754"/>
    <w:rsid w:val="00BA678C"/>
    <w:rsid w:val="00BA679A"/>
    <w:rsid w:val="00BA67DE"/>
    <w:rsid w:val="00BA67E6"/>
    <w:rsid w:val="00BA68A1"/>
    <w:rsid w:val="00BA68C1"/>
    <w:rsid w:val="00BA69BE"/>
    <w:rsid w:val="00BA69FA"/>
    <w:rsid w:val="00BA6A1E"/>
    <w:rsid w:val="00BA6A20"/>
    <w:rsid w:val="00BA6A4F"/>
    <w:rsid w:val="00BA6B4E"/>
    <w:rsid w:val="00BA6BB1"/>
    <w:rsid w:val="00BA6D7C"/>
    <w:rsid w:val="00BA6D9E"/>
    <w:rsid w:val="00BA6E08"/>
    <w:rsid w:val="00BA6E0B"/>
    <w:rsid w:val="00BA6E22"/>
    <w:rsid w:val="00BA6E83"/>
    <w:rsid w:val="00BA6EA2"/>
    <w:rsid w:val="00BA6EF8"/>
    <w:rsid w:val="00BA701C"/>
    <w:rsid w:val="00BA7040"/>
    <w:rsid w:val="00BA705A"/>
    <w:rsid w:val="00BA7150"/>
    <w:rsid w:val="00BA71B3"/>
    <w:rsid w:val="00BA71E8"/>
    <w:rsid w:val="00BA7226"/>
    <w:rsid w:val="00BA7243"/>
    <w:rsid w:val="00BA7285"/>
    <w:rsid w:val="00BA72D4"/>
    <w:rsid w:val="00BA74C5"/>
    <w:rsid w:val="00BA751B"/>
    <w:rsid w:val="00BA7569"/>
    <w:rsid w:val="00BA75AB"/>
    <w:rsid w:val="00BA769C"/>
    <w:rsid w:val="00BA76BE"/>
    <w:rsid w:val="00BA772A"/>
    <w:rsid w:val="00BA7783"/>
    <w:rsid w:val="00BA77B2"/>
    <w:rsid w:val="00BA793F"/>
    <w:rsid w:val="00BA7944"/>
    <w:rsid w:val="00BA7954"/>
    <w:rsid w:val="00BA79A1"/>
    <w:rsid w:val="00BA7A17"/>
    <w:rsid w:val="00BA7A23"/>
    <w:rsid w:val="00BA7AAB"/>
    <w:rsid w:val="00BA7AC9"/>
    <w:rsid w:val="00BA7ADF"/>
    <w:rsid w:val="00BA7AF2"/>
    <w:rsid w:val="00BA7B54"/>
    <w:rsid w:val="00BA7C3B"/>
    <w:rsid w:val="00BA7C85"/>
    <w:rsid w:val="00BA7CB9"/>
    <w:rsid w:val="00BA7D93"/>
    <w:rsid w:val="00BA7DF4"/>
    <w:rsid w:val="00BA7E0A"/>
    <w:rsid w:val="00BA7E9B"/>
    <w:rsid w:val="00BA7EA0"/>
    <w:rsid w:val="00BA7EA2"/>
    <w:rsid w:val="00BA7EB7"/>
    <w:rsid w:val="00BA7F1A"/>
    <w:rsid w:val="00BA7F2A"/>
    <w:rsid w:val="00BA7F3F"/>
    <w:rsid w:val="00BAE0E3"/>
    <w:rsid w:val="00BB0009"/>
    <w:rsid w:val="00BB004C"/>
    <w:rsid w:val="00BB0112"/>
    <w:rsid w:val="00BB0239"/>
    <w:rsid w:val="00BB0242"/>
    <w:rsid w:val="00BB03C6"/>
    <w:rsid w:val="00BB0418"/>
    <w:rsid w:val="00BB0421"/>
    <w:rsid w:val="00BB04C4"/>
    <w:rsid w:val="00BB0598"/>
    <w:rsid w:val="00BB061C"/>
    <w:rsid w:val="00BB0646"/>
    <w:rsid w:val="00BB06AF"/>
    <w:rsid w:val="00BB06FC"/>
    <w:rsid w:val="00BB0945"/>
    <w:rsid w:val="00BB0950"/>
    <w:rsid w:val="00BB0A9A"/>
    <w:rsid w:val="00BB0AE2"/>
    <w:rsid w:val="00BB0B61"/>
    <w:rsid w:val="00BB0BF8"/>
    <w:rsid w:val="00BB0CFB"/>
    <w:rsid w:val="00BB0D1F"/>
    <w:rsid w:val="00BB0D4E"/>
    <w:rsid w:val="00BB0DD9"/>
    <w:rsid w:val="00BB0F43"/>
    <w:rsid w:val="00BB0FDA"/>
    <w:rsid w:val="00BB100B"/>
    <w:rsid w:val="00BB1122"/>
    <w:rsid w:val="00BB1292"/>
    <w:rsid w:val="00BB1397"/>
    <w:rsid w:val="00BB13D3"/>
    <w:rsid w:val="00BB1433"/>
    <w:rsid w:val="00BB147E"/>
    <w:rsid w:val="00BB1481"/>
    <w:rsid w:val="00BB1496"/>
    <w:rsid w:val="00BB14BE"/>
    <w:rsid w:val="00BB14D1"/>
    <w:rsid w:val="00BB14FA"/>
    <w:rsid w:val="00BB154B"/>
    <w:rsid w:val="00BB1555"/>
    <w:rsid w:val="00BB1775"/>
    <w:rsid w:val="00BB1963"/>
    <w:rsid w:val="00BB1A8C"/>
    <w:rsid w:val="00BB1BD7"/>
    <w:rsid w:val="00BB1BDF"/>
    <w:rsid w:val="00BB1BE0"/>
    <w:rsid w:val="00BB1C38"/>
    <w:rsid w:val="00BB1C47"/>
    <w:rsid w:val="00BB1E77"/>
    <w:rsid w:val="00BB1E84"/>
    <w:rsid w:val="00BB1E93"/>
    <w:rsid w:val="00BB1F20"/>
    <w:rsid w:val="00BB1F9F"/>
    <w:rsid w:val="00BB1FB9"/>
    <w:rsid w:val="00BB1FCC"/>
    <w:rsid w:val="00BB2026"/>
    <w:rsid w:val="00BB2039"/>
    <w:rsid w:val="00BB2073"/>
    <w:rsid w:val="00BB20A3"/>
    <w:rsid w:val="00BB20B1"/>
    <w:rsid w:val="00BB20B4"/>
    <w:rsid w:val="00BB2213"/>
    <w:rsid w:val="00BB228D"/>
    <w:rsid w:val="00BB228E"/>
    <w:rsid w:val="00BB229B"/>
    <w:rsid w:val="00BB22D0"/>
    <w:rsid w:val="00BB234A"/>
    <w:rsid w:val="00BB235A"/>
    <w:rsid w:val="00BB2374"/>
    <w:rsid w:val="00BB246A"/>
    <w:rsid w:val="00BB249B"/>
    <w:rsid w:val="00BB250D"/>
    <w:rsid w:val="00BB2542"/>
    <w:rsid w:val="00BB2550"/>
    <w:rsid w:val="00BB2599"/>
    <w:rsid w:val="00BB25C6"/>
    <w:rsid w:val="00BB25E6"/>
    <w:rsid w:val="00BB25FC"/>
    <w:rsid w:val="00BB2637"/>
    <w:rsid w:val="00BB269C"/>
    <w:rsid w:val="00BB26F4"/>
    <w:rsid w:val="00BB27AC"/>
    <w:rsid w:val="00BB27F5"/>
    <w:rsid w:val="00BB2843"/>
    <w:rsid w:val="00BB284F"/>
    <w:rsid w:val="00BB28C5"/>
    <w:rsid w:val="00BB2939"/>
    <w:rsid w:val="00BB2A06"/>
    <w:rsid w:val="00BB2A32"/>
    <w:rsid w:val="00BB2A58"/>
    <w:rsid w:val="00BB2A9E"/>
    <w:rsid w:val="00BB2ACB"/>
    <w:rsid w:val="00BB2B82"/>
    <w:rsid w:val="00BB2B94"/>
    <w:rsid w:val="00BB2D03"/>
    <w:rsid w:val="00BB2DA2"/>
    <w:rsid w:val="00BB2DEC"/>
    <w:rsid w:val="00BB2E9A"/>
    <w:rsid w:val="00BB2F01"/>
    <w:rsid w:val="00BB2F0F"/>
    <w:rsid w:val="00BB2F94"/>
    <w:rsid w:val="00BB2FA5"/>
    <w:rsid w:val="00BB2FB3"/>
    <w:rsid w:val="00BB30E3"/>
    <w:rsid w:val="00BB30F6"/>
    <w:rsid w:val="00BB3116"/>
    <w:rsid w:val="00BB3162"/>
    <w:rsid w:val="00BB31CF"/>
    <w:rsid w:val="00BB3378"/>
    <w:rsid w:val="00BB344E"/>
    <w:rsid w:val="00BB3457"/>
    <w:rsid w:val="00BB3584"/>
    <w:rsid w:val="00BB363A"/>
    <w:rsid w:val="00BB3690"/>
    <w:rsid w:val="00BB36E6"/>
    <w:rsid w:val="00BB3777"/>
    <w:rsid w:val="00BB379F"/>
    <w:rsid w:val="00BB37A0"/>
    <w:rsid w:val="00BB37F8"/>
    <w:rsid w:val="00BB3815"/>
    <w:rsid w:val="00BB3836"/>
    <w:rsid w:val="00BB383C"/>
    <w:rsid w:val="00BB397A"/>
    <w:rsid w:val="00BB397B"/>
    <w:rsid w:val="00BB3A60"/>
    <w:rsid w:val="00BB3A6E"/>
    <w:rsid w:val="00BB3AF8"/>
    <w:rsid w:val="00BB3B96"/>
    <w:rsid w:val="00BB3BB8"/>
    <w:rsid w:val="00BB3BF4"/>
    <w:rsid w:val="00BB3C6C"/>
    <w:rsid w:val="00BB3C93"/>
    <w:rsid w:val="00BB3D10"/>
    <w:rsid w:val="00BB3D90"/>
    <w:rsid w:val="00BB3E3B"/>
    <w:rsid w:val="00BB3E8C"/>
    <w:rsid w:val="00BB3E90"/>
    <w:rsid w:val="00BB3E9A"/>
    <w:rsid w:val="00BB3ECC"/>
    <w:rsid w:val="00BB3F70"/>
    <w:rsid w:val="00BB3FE3"/>
    <w:rsid w:val="00BB4073"/>
    <w:rsid w:val="00BB40B6"/>
    <w:rsid w:val="00BB4210"/>
    <w:rsid w:val="00BB4215"/>
    <w:rsid w:val="00BB4246"/>
    <w:rsid w:val="00BB4278"/>
    <w:rsid w:val="00BB4288"/>
    <w:rsid w:val="00BB42FB"/>
    <w:rsid w:val="00BB4349"/>
    <w:rsid w:val="00BB43B8"/>
    <w:rsid w:val="00BB45BF"/>
    <w:rsid w:val="00BB45DB"/>
    <w:rsid w:val="00BB462D"/>
    <w:rsid w:val="00BB4638"/>
    <w:rsid w:val="00BB4661"/>
    <w:rsid w:val="00BB4662"/>
    <w:rsid w:val="00BB46EC"/>
    <w:rsid w:val="00BB487C"/>
    <w:rsid w:val="00BB48A3"/>
    <w:rsid w:val="00BB48A8"/>
    <w:rsid w:val="00BB48E7"/>
    <w:rsid w:val="00BB4904"/>
    <w:rsid w:val="00BB490F"/>
    <w:rsid w:val="00BB491B"/>
    <w:rsid w:val="00BB4928"/>
    <w:rsid w:val="00BB4946"/>
    <w:rsid w:val="00BB49A3"/>
    <w:rsid w:val="00BB49DE"/>
    <w:rsid w:val="00BB4AD7"/>
    <w:rsid w:val="00BB4AFE"/>
    <w:rsid w:val="00BB4B90"/>
    <w:rsid w:val="00BB4C62"/>
    <w:rsid w:val="00BB4CB7"/>
    <w:rsid w:val="00BB4D6F"/>
    <w:rsid w:val="00BB4D94"/>
    <w:rsid w:val="00BB4DD2"/>
    <w:rsid w:val="00BB4FAB"/>
    <w:rsid w:val="00BB501A"/>
    <w:rsid w:val="00BB5072"/>
    <w:rsid w:val="00BB50E3"/>
    <w:rsid w:val="00BB510D"/>
    <w:rsid w:val="00BB5123"/>
    <w:rsid w:val="00BB5187"/>
    <w:rsid w:val="00BB51D5"/>
    <w:rsid w:val="00BB51EF"/>
    <w:rsid w:val="00BB5243"/>
    <w:rsid w:val="00BB536C"/>
    <w:rsid w:val="00BB53AB"/>
    <w:rsid w:val="00BB5402"/>
    <w:rsid w:val="00BB5446"/>
    <w:rsid w:val="00BB5496"/>
    <w:rsid w:val="00BB54ED"/>
    <w:rsid w:val="00BB5595"/>
    <w:rsid w:val="00BB559F"/>
    <w:rsid w:val="00BB55A2"/>
    <w:rsid w:val="00BB55AC"/>
    <w:rsid w:val="00BB562A"/>
    <w:rsid w:val="00BB570A"/>
    <w:rsid w:val="00BB576F"/>
    <w:rsid w:val="00BB5846"/>
    <w:rsid w:val="00BB5855"/>
    <w:rsid w:val="00BB59FD"/>
    <w:rsid w:val="00BB5A9D"/>
    <w:rsid w:val="00BB5B07"/>
    <w:rsid w:val="00BB5BDF"/>
    <w:rsid w:val="00BB5C8A"/>
    <w:rsid w:val="00BB5C97"/>
    <w:rsid w:val="00BB5CA1"/>
    <w:rsid w:val="00BB5DEE"/>
    <w:rsid w:val="00BB5E33"/>
    <w:rsid w:val="00BB5E4D"/>
    <w:rsid w:val="00BB5E68"/>
    <w:rsid w:val="00BB5E70"/>
    <w:rsid w:val="00BB5E7C"/>
    <w:rsid w:val="00BB5EC2"/>
    <w:rsid w:val="00BB5ECE"/>
    <w:rsid w:val="00BB5F94"/>
    <w:rsid w:val="00BB6099"/>
    <w:rsid w:val="00BB61B3"/>
    <w:rsid w:val="00BB61F1"/>
    <w:rsid w:val="00BB623A"/>
    <w:rsid w:val="00BB6243"/>
    <w:rsid w:val="00BB6245"/>
    <w:rsid w:val="00BB626A"/>
    <w:rsid w:val="00BB6308"/>
    <w:rsid w:val="00BB6387"/>
    <w:rsid w:val="00BB63E8"/>
    <w:rsid w:val="00BB6447"/>
    <w:rsid w:val="00BB646B"/>
    <w:rsid w:val="00BB6478"/>
    <w:rsid w:val="00BB650F"/>
    <w:rsid w:val="00BB65C0"/>
    <w:rsid w:val="00BB65D0"/>
    <w:rsid w:val="00BB65DC"/>
    <w:rsid w:val="00BB65FA"/>
    <w:rsid w:val="00BB6658"/>
    <w:rsid w:val="00BB6673"/>
    <w:rsid w:val="00BB66C1"/>
    <w:rsid w:val="00BB66CE"/>
    <w:rsid w:val="00BB674F"/>
    <w:rsid w:val="00BB675F"/>
    <w:rsid w:val="00BB681F"/>
    <w:rsid w:val="00BB68D5"/>
    <w:rsid w:val="00BB6922"/>
    <w:rsid w:val="00BB6967"/>
    <w:rsid w:val="00BB69D2"/>
    <w:rsid w:val="00BB6A91"/>
    <w:rsid w:val="00BB6AD0"/>
    <w:rsid w:val="00BB6AE8"/>
    <w:rsid w:val="00BB6B6B"/>
    <w:rsid w:val="00BB6C13"/>
    <w:rsid w:val="00BB6C52"/>
    <w:rsid w:val="00BB6C73"/>
    <w:rsid w:val="00BB6C8C"/>
    <w:rsid w:val="00BB6CA1"/>
    <w:rsid w:val="00BB6D93"/>
    <w:rsid w:val="00BB6D94"/>
    <w:rsid w:val="00BB6DFE"/>
    <w:rsid w:val="00BB6E14"/>
    <w:rsid w:val="00BB6E2D"/>
    <w:rsid w:val="00BB6E96"/>
    <w:rsid w:val="00BB6EE4"/>
    <w:rsid w:val="00BB6F02"/>
    <w:rsid w:val="00BB6F46"/>
    <w:rsid w:val="00BB6F83"/>
    <w:rsid w:val="00BB6FD9"/>
    <w:rsid w:val="00BB6FED"/>
    <w:rsid w:val="00BB715B"/>
    <w:rsid w:val="00BB720E"/>
    <w:rsid w:val="00BB7220"/>
    <w:rsid w:val="00BB7276"/>
    <w:rsid w:val="00BB7301"/>
    <w:rsid w:val="00BB7306"/>
    <w:rsid w:val="00BB735B"/>
    <w:rsid w:val="00BB73EE"/>
    <w:rsid w:val="00BB740A"/>
    <w:rsid w:val="00BB742A"/>
    <w:rsid w:val="00BB7494"/>
    <w:rsid w:val="00BB749C"/>
    <w:rsid w:val="00BB74BA"/>
    <w:rsid w:val="00BB74CB"/>
    <w:rsid w:val="00BB7513"/>
    <w:rsid w:val="00BB75CD"/>
    <w:rsid w:val="00BB75F0"/>
    <w:rsid w:val="00BB7644"/>
    <w:rsid w:val="00BB76C6"/>
    <w:rsid w:val="00BB7732"/>
    <w:rsid w:val="00BB7785"/>
    <w:rsid w:val="00BB77F3"/>
    <w:rsid w:val="00BB7946"/>
    <w:rsid w:val="00BB7A32"/>
    <w:rsid w:val="00BB7A5B"/>
    <w:rsid w:val="00BB7BDF"/>
    <w:rsid w:val="00BB7C97"/>
    <w:rsid w:val="00BB7CC0"/>
    <w:rsid w:val="00BB7CD5"/>
    <w:rsid w:val="00BB7D2E"/>
    <w:rsid w:val="00BB7D50"/>
    <w:rsid w:val="00BB7DC4"/>
    <w:rsid w:val="00BB7DFF"/>
    <w:rsid w:val="00BB7EC0"/>
    <w:rsid w:val="00BB7F3B"/>
    <w:rsid w:val="00BB7F56"/>
    <w:rsid w:val="00BB7F67"/>
    <w:rsid w:val="00BB7FD6"/>
    <w:rsid w:val="00BC001A"/>
    <w:rsid w:val="00BC006A"/>
    <w:rsid w:val="00BC009C"/>
    <w:rsid w:val="00BC00C1"/>
    <w:rsid w:val="00BC0125"/>
    <w:rsid w:val="00BC01A9"/>
    <w:rsid w:val="00BC023B"/>
    <w:rsid w:val="00BC0272"/>
    <w:rsid w:val="00BC02BE"/>
    <w:rsid w:val="00BC02E7"/>
    <w:rsid w:val="00BC03B7"/>
    <w:rsid w:val="00BC03DA"/>
    <w:rsid w:val="00BC04F5"/>
    <w:rsid w:val="00BC04FC"/>
    <w:rsid w:val="00BC0537"/>
    <w:rsid w:val="00BC0559"/>
    <w:rsid w:val="00BC05B9"/>
    <w:rsid w:val="00BC05F1"/>
    <w:rsid w:val="00BC061E"/>
    <w:rsid w:val="00BC067B"/>
    <w:rsid w:val="00BC0721"/>
    <w:rsid w:val="00BC087D"/>
    <w:rsid w:val="00BC08AB"/>
    <w:rsid w:val="00BC0ACF"/>
    <w:rsid w:val="00BC0B1A"/>
    <w:rsid w:val="00BC0B4B"/>
    <w:rsid w:val="00BC0B51"/>
    <w:rsid w:val="00BC0BAF"/>
    <w:rsid w:val="00BC0BC9"/>
    <w:rsid w:val="00BC0C4E"/>
    <w:rsid w:val="00BC0C52"/>
    <w:rsid w:val="00BC0C81"/>
    <w:rsid w:val="00BC0CE8"/>
    <w:rsid w:val="00BC0D1E"/>
    <w:rsid w:val="00BC0D74"/>
    <w:rsid w:val="00BC0D86"/>
    <w:rsid w:val="00BC0E03"/>
    <w:rsid w:val="00BC0E58"/>
    <w:rsid w:val="00BC0EA6"/>
    <w:rsid w:val="00BC0F33"/>
    <w:rsid w:val="00BC0F42"/>
    <w:rsid w:val="00BC0FA0"/>
    <w:rsid w:val="00BC0FA1"/>
    <w:rsid w:val="00BC0FB9"/>
    <w:rsid w:val="00BC0FF8"/>
    <w:rsid w:val="00BC106A"/>
    <w:rsid w:val="00BC10A7"/>
    <w:rsid w:val="00BC10AB"/>
    <w:rsid w:val="00BC10B6"/>
    <w:rsid w:val="00BC121C"/>
    <w:rsid w:val="00BC1222"/>
    <w:rsid w:val="00BC1314"/>
    <w:rsid w:val="00BC13D3"/>
    <w:rsid w:val="00BC1414"/>
    <w:rsid w:val="00BC1484"/>
    <w:rsid w:val="00BC1559"/>
    <w:rsid w:val="00BC155A"/>
    <w:rsid w:val="00BC1697"/>
    <w:rsid w:val="00BC1704"/>
    <w:rsid w:val="00BC17BB"/>
    <w:rsid w:val="00BC17E0"/>
    <w:rsid w:val="00BC188B"/>
    <w:rsid w:val="00BC18EB"/>
    <w:rsid w:val="00BC18F3"/>
    <w:rsid w:val="00BC1A99"/>
    <w:rsid w:val="00BC1AC4"/>
    <w:rsid w:val="00BC1BAE"/>
    <w:rsid w:val="00BC1C0F"/>
    <w:rsid w:val="00BC1CDA"/>
    <w:rsid w:val="00BC1D2D"/>
    <w:rsid w:val="00BC1DF4"/>
    <w:rsid w:val="00BC1EC1"/>
    <w:rsid w:val="00BC1F74"/>
    <w:rsid w:val="00BC1F85"/>
    <w:rsid w:val="00BC1FDD"/>
    <w:rsid w:val="00BC1FFA"/>
    <w:rsid w:val="00BC202E"/>
    <w:rsid w:val="00BC2058"/>
    <w:rsid w:val="00BC20E3"/>
    <w:rsid w:val="00BC2149"/>
    <w:rsid w:val="00BC2150"/>
    <w:rsid w:val="00BC21BF"/>
    <w:rsid w:val="00BC224B"/>
    <w:rsid w:val="00BC2380"/>
    <w:rsid w:val="00BC238A"/>
    <w:rsid w:val="00BC23AE"/>
    <w:rsid w:val="00BC247C"/>
    <w:rsid w:val="00BC24A9"/>
    <w:rsid w:val="00BC2581"/>
    <w:rsid w:val="00BC25DA"/>
    <w:rsid w:val="00BC263F"/>
    <w:rsid w:val="00BC2643"/>
    <w:rsid w:val="00BC264B"/>
    <w:rsid w:val="00BC2660"/>
    <w:rsid w:val="00BC2661"/>
    <w:rsid w:val="00BC2713"/>
    <w:rsid w:val="00BC2794"/>
    <w:rsid w:val="00BC2882"/>
    <w:rsid w:val="00BC2985"/>
    <w:rsid w:val="00BC2C2C"/>
    <w:rsid w:val="00BC2D01"/>
    <w:rsid w:val="00BC2D71"/>
    <w:rsid w:val="00BC2DBF"/>
    <w:rsid w:val="00BC2DD5"/>
    <w:rsid w:val="00BC2E4E"/>
    <w:rsid w:val="00BC2EA6"/>
    <w:rsid w:val="00BC2EED"/>
    <w:rsid w:val="00BC2F05"/>
    <w:rsid w:val="00BC2F29"/>
    <w:rsid w:val="00BC2FDA"/>
    <w:rsid w:val="00BC311E"/>
    <w:rsid w:val="00BC311F"/>
    <w:rsid w:val="00BC3131"/>
    <w:rsid w:val="00BC315F"/>
    <w:rsid w:val="00BC318E"/>
    <w:rsid w:val="00BC31DD"/>
    <w:rsid w:val="00BC31E2"/>
    <w:rsid w:val="00BC3234"/>
    <w:rsid w:val="00BC3365"/>
    <w:rsid w:val="00BC3539"/>
    <w:rsid w:val="00BC353D"/>
    <w:rsid w:val="00BC3650"/>
    <w:rsid w:val="00BC3771"/>
    <w:rsid w:val="00BC3850"/>
    <w:rsid w:val="00BC3A2C"/>
    <w:rsid w:val="00BC3A90"/>
    <w:rsid w:val="00BC3AAA"/>
    <w:rsid w:val="00BC3AAC"/>
    <w:rsid w:val="00BC3AB2"/>
    <w:rsid w:val="00BC3ADC"/>
    <w:rsid w:val="00BC3AF3"/>
    <w:rsid w:val="00BC3B6D"/>
    <w:rsid w:val="00BC3C2B"/>
    <w:rsid w:val="00BC3D13"/>
    <w:rsid w:val="00BC3D66"/>
    <w:rsid w:val="00BC3DEF"/>
    <w:rsid w:val="00BC3E36"/>
    <w:rsid w:val="00BC3E92"/>
    <w:rsid w:val="00BC3ED6"/>
    <w:rsid w:val="00BC3EE7"/>
    <w:rsid w:val="00BC3F58"/>
    <w:rsid w:val="00BC3FC4"/>
    <w:rsid w:val="00BC4071"/>
    <w:rsid w:val="00BC4112"/>
    <w:rsid w:val="00BC4153"/>
    <w:rsid w:val="00BC416E"/>
    <w:rsid w:val="00BC4185"/>
    <w:rsid w:val="00BC4285"/>
    <w:rsid w:val="00BC429A"/>
    <w:rsid w:val="00BC42FD"/>
    <w:rsid w:val="00BC42FE"/>
    <w:rsid w:val="00BC438F"/>
    <w:rsid w:val="00BC4397"/>
    <w:rsid w:val="00BC43CF"/>
    <w:rsid w:val="00BC4468"/>
    <w:rsid w:val="00BC44E5"/>
    <w:rsid w:val="00BC44EF"/>
    <w:rsid w:val="00BC4518"/>
    <w:rsid w:val="00BC4566"/>
    <w:rsid w:val="00BC45FC"/>
    <w:rsid w:val="00BC4666"/>
    <w:rsid w:val="00BC4685"/>
    <w:rsid w:val="00BC46A1"/>
    <w:rsid w:val="00BC46B0"/>
    <w:rsid w:val="00BC4772"/>
    <w:rsid w:val="00BC479B"/>
    <w:rsid w:val="00BC4992"/>
    <w:rsid w:val="00BC4AB5"/>
    <w:rsid w:val="00BC4ACB"/>
    <w:rsid w:val="00BC4B50"/>
    <w:rsid w:val="00BC4B69"/>
    <w:rsid w:val="00BC4B7B"/>
    <w:rsid w:val="00BC4C2A"/>
    <w:rsid w:val="00BC4C85"/>
    <w:rsid w:val="00BC4CBC"/>
    <w:rsid w:val="00BC4CD6"/>
    <w:rsid w:val="00BC4CFC"/>
    <w:rsid w:val="00BC4DE5"/>
    <w:rsid w:val="00BC4E1F"/>
    <w:rsid w:val="00BC4E32"/>
    <w:rsid w:val="00BC4E69"/>
    <w:rsid w:val="00BC4E6C"/>
    <w:rsid w:val="00BC4E7F"/>
    <w:rsid w:val="00BC4EBA"/>
    <w:rsid w:val="00BC4F30"/>
    <w:rsid w:val="00BC5002"/>
    <w:rsid w:val="00BC50BF"/>
    <w:rsid w:val="00BC517D"/>
    <w:rsid w:val="00BC51A0"/>
    <w:rsid w:val="00BC51FF"/>
    <w:rsid w:val="00BC5203"/>
    <w:rsid w:val="00BC525B"/>
    <w:rsid w:val="00BC525F"/>
    <w:rsid w:val="00BC52C6"/>
    <w:rsid w:val="00BC52D0"/>
    <w:rsid w:val="00BC536D"/>
    <w:rsid w:val="00BC5395"/>
    <w:rsid w:val="00BC53C6"/>
    <w:rsid w:val="00BC5406"/>
    <w:rsid w:val="00BC5421"/>
    <w:rsid w:val="00BC5463"/>
    <w:rsid w:val="00BC5558"/>
    <w:rsid w:val="00BC55E0"/>
    <w:rsid w:val="00BC5600"/>
    <w:rsid w:val="00BC5622"/>
    <w:rsid w:val="00BC5627"/>
    <w:rsid w:val="00BC5713"/>
    <w:rsid w:val="00BC573E"/>
    <w:rsid w:val="00BC57C9"/>
    <w:rsid w:val="00BC58D9"/>
    <w:rsid w:val="00BC591A"/>
    <w:rsid w:val="00BC593D"/>
    <w:rsid w:val="00BC597A"/>
    <w:rsid w:val="00BC5A1A"/>
    <w:rsid w:val="00BC5A48"/>
    <w:rsid w:val="00BC5BA8"/>
    <w:rsid w:val="00BC5BC1"/>
    <w:rsid w:val="00BC5C8D"/>
    <w:rsid w:val="00BC5C96"/>
    <w:rsid w:val="00BC5CB1"/>
    <w:rsid w:val="00BC5CE6"/>
    <w:rsid w:val="00BC5D54"/>
    <w:rsid w:val="00BC5D96"/>
    <w:rsid w:val="00BC5DFF"/>
    <w:rsid w:val="00BC5E51"/>
    <w:rsid w:val="00BC5FE0"/>
    <w:rsid w:val="00BC605B"/>
    <w:rsid w:val="00BC6067"/>
    <w:rsid w:val="00BC6076"/>
    <w:rsid w:val="00BC607C"/>
    <w:rsid w:val="00BC6093"/>
    <w:rsid w:val="00BC60D4"/>
    <w:rsid w:val="00BC6105"/>
    <w:rsid w:val="00BC616D"/>
    <w:rsid w:val="00BC622E"/>
    <w:rsid w:val="00BC6280"/>
    <w:rsid w:val="00BC628C"/>
    <w:rsid w:val="00BC628E"/>
    <w:rsid w:val="00BC638C"/>
    <w:rsid w:val="00BC63BC"/>
    <w:rsid w:val="00BC6456"/>
    <w:rsid w:val="00BC645D"/>
    <w:rsid w:val="00BC647E"/>
    <w:rsid w:val="00BC64A5"/>
    <w:rsid w:val="00BC6506"/>
    <w:rsid w:val="00BC6599"/>
    <w:rsid w:val="00BC6613"/>
    <w:rsid w:val="00BC6633"/>
    <w:rsid w:val="00BC6641"/>
    <w:rsid w:val="00BC6725"/>
    <w:rsid w:val="00BC678E"/>
    <w:rsid w:val="00BC679E"/>
    <w:rsid w:val="00BC67B4"/>
    <w:rsid w:val="00BC6842"/>
    <w:rsid w:val="00BC68E4"/>
    <w:rsid w:val="00BC68F5"/>
    <w:rsid w:val="00BC6949"/>
    <w:rsid w:val="00BC6951"/>
    <w:rsid w:val="00BC6A30"/>
    <w:rsid w:val="00BC6A73"/>
    <w:rsid w:val="00BC6AC6"/>
    <w:rsid w:val="00BC6AD2"/>
    <w:rsid w:val="00BC6AD6"/>
    <w:rsid w:val="00BC6AE1"/>
    <w:rsid w:val="00BC6BAB"/>
    <w:rsid w:val="00BC6C4F"/>
    <w:rsid w:val="00BC6CC1"/>
    <w:rsid w:val="00BC6CEC"/>
    <w:rsid w:val="00BC6CF0"/>
    <w:rsid w:val="00BC6CFD"/>
    <w:rsid w:val="00BC6D02"/>
    <w:rsid w:val="00BC6D43"/>
    <w:rsid w:val="00BC6D52"/>
    <w:rsid w:val="00BC6D64"/>
    <w:rsid w:val="00BC6DB7"/>
    <w:rsid w:val="00BC6DED"/>
    <w:rsid w:val="00BC6E0E"/>
    <w:rsid w:val="00BC6EB1"/>
    <w:rsid w:val="00BC6EBC"/>
    <w:rsid w:val="00BC6ECD"/>
    <w:rsid w:val="00BC6F2B"/>
    <w:rsid w:val="00BC6F4B"/>
    <w:rsid w:val="00BC6F93"/>
    <w:rsid w:val="00BC7041"/>
    <w:rsid w:val="00BC705F"/>
    <w:rsid w:val="00BC70AC"/>
    <w:rsid w:val="00BC70BA"/>
    <w:rsid w:val="00BC70BD"/>
    <w:rsid w:val="00BC70D3"/>
    <w:rsid w:val="00BC70E8"/>
    <w:rsid w:val="00BC70F0"/>
    <w:rsid w:val="00BC7151"/>
    <w:rsid w:val="00BC7160"/>
    <w:rsid w:val="00BC7167"/>
    <w:rsid w:val="00BC7176"/>
    <w:rsid w:val="00BC7187"/>
    <w:rsid w:val="00BC7239"/>
    <w:rsid w:val="00BC7299"/>
    <w:rsid w:val="00BC729B"/>
    <w:rsid w:val="00BC729C"/>
    <w:rsid w:val="00BC742C"/>
    <w:rsid w:val="00BC74CE"/>
    <w:rsid w:val="00BC7606"/>
    <w:rsid w:val="00BC7630"/>
    <w:rsid w:val="00BC7646"/>
    <w:rsid w:val="00BC775D"/>
    <w:rsid w:val="00BC7844"/>
    <w:rsid w:val="00BC784C"/>
    <w:rsid w:val="00BC78ED"/>
    <w:rsid w:val="00BC7921"/>
    <w:rsid w:val="00BC7986"/>
    <w:rsid w:val="00BC79DD"/>
    <w:rsid w:val="00BC7A27"/>
    <w:rsid w:val="00BC7A47"/>
    <w:rsid w:val="00BC7A7D"/>
    <w:rsid w:val="00BC7BF7"/>
    <w:rsid w:val="00BC7C2F"/>
    <w:rsid w:val="00BC7CB4"/>
    <w:rsid w:val="00BC7CC3"/>
    <w:rsid w:val="00BC7CF2"/>
    <w:rsid w:val="00BC7D08"/>
    <w:rsid w:val="00BC7D5F"/>
    <w:rsid w:val="00BC7DE7"/>
    <w:rsid w:val="00BC7E52"/>
    <w:rsid w:val="00BC7E71"/>
    <w:rsid w:val="00BC7EF6"/>
    <w:rsid w:val="00BC7F15"/>
    <w:rsid w:val="00BC7F2B"/>
    <w:rsid w:val="00BC7F58"/>
    <w:rsid w:val="00BC7F9D"/>
    <w:rsid w:val="00BC7FA3"/>
    <w:rsid w:val="00BC7FFD"/>
    <w:rsid w:val="00BD0121"/>
    <w:rsid w:val="00BD01BC"/>
    <w:rsid w:val="00BD01CA"/>
    <w:rsid w:val="00BD01CF"/>
    <w:rsid w:val="00BD01E8"/>
    <w:rsid w:val="00BD026C"/>
    <w:rsid w:val="00BD02D0"/>
    <w:rsid w:val="00BD036C"/>
    <w:rsid w:val="00BD03FF"/>
    <w:rsid w:val="00BD04A7"/>
    <w:rsid w:val="00BD04EE"/>
    <w:rsid w:val="00BD0515"/>
    <w:rsid w:val="00BD0549"/>
    <w:rsid w:val="00BD054E"/>
    <w:rsid w:val="00BD05EB"/>
    <w:rsid w:val="00BD0613"/>
    <w:rsid w:val="00BD0631"/>
    <w:rsid w:val="00BD0708"/>
    <w:rsid w:val="00BD0797"/>
    <w:rsid w:val="00BD0866"/>
    <w:rsid w:val="00BD0B4C"/>
    <w:rsid w:val="00BD0BCF"/>
    <w:rsid w:val="00BD0BD0"/>
    <w:rsid w:val="00BD0C19"/>
    <w:rsid w:val="00BD0CA1"/>
    <w:rsid w:val="00BD0D31"/>
    <w:rsid w:val="00BD0D3F"/>
    <w:rsid w:val="00BD0D8F"/>
    <w:rsid w:val="00BD0E35"/>
    <w:rsid w:val="00BD0EB5"/>
    <w:rsid w:val="00BD0F2B"/>
    <w:rsid w:val="00BD0FB8"/>
    <w:rsid w:val="00BD0FEE"/>
    <w:rsid w:val="00BD1165"/>
    <w:rsid w:val="00BD11E4"/>
    <w:rsid w:val="00BD11F2"/>
    <w:rsid w:val="00BD120D"/>
    <w:rsid w:val="00BD1272"/>
    <w:rsid w:val="00BD128C"/>
    <w:rsid w:val="00BD1303"/>
    <w:rsid w:val="00BD1337"/>
    <w:rsid w:val="00BD13B4"/>
    <w:rsid w:val="00BD13C5"/>
    <w:rsid w:val="00BD13DF"/>
    <w:rsid w:val="00BD157A"/>
    <w:rsid w:val="00BD1584"/>
    <w:rsid w:val="00BD15AB"/>
    <w:rsid w:val="00BD164F"/>
    <w:rsid w:val="00BD168C"/>
    <w:rsid w:val="00BD16A5"/>
    <w:rsid w:val="00BD16B9"/>
    <w:rsid w:val="00BD176B"/>
    <w:rsid w:val="00BD17B9"/>
    <w:rsid w:val="00BD183E"/>
    <w:rsid w:val="00BD189F"/>
    <w:rsid w:val="00BD18FB"/>
    <w:rsid w:val="00BD190B"/>
    <w:rsid w:val="00BD1948"/>
    <w:rsid w:val="00BD19D8"/>
    <w:rsid w:val="00BD1A7D"/>
    <w:rsid w:val="00BD1A99"/>
    <w:rsid w:val="00BD1AD3"/>
    <w:rsid w:val="00BD1B32"/>
    <w:rsid w:val="00BD1B7A"/>
    <w:rsid w:val="00BD1BFC"/>
    <w:rsid w:val="00BD1C49"/>
    <w:rsid w:val="00BD1CE1"/>
    <w:rsid w:val="00BD1CFF"/>
    <w:rsid w:val="00BD1D13"/>
    <w:rsid w:val="00BD1D66"/>
    <w:rsid w:val="00BD1E8A"/>
    <w:rsid w:val="00BD1F45"/>
    <w:rsid w:val="00BD1F58"/>
    <w:rsid w:val="00BD1F79"/>
    <w:rsid w:val="00BD1F7C"/>
    <w:rsid w:val="00BD2019"/>
    <w:rsid w:val="00BD211E"/>
    <w:rsid w:val="00BD2124"/>
    <w:rsid w:val="00BD2220"/>
    <w:rsid w:val="00BD226B"/>
    <w:rsid w:val="00BD226E"/>
    <w:rsid w:val="00BD2275"/>
    <w:rsid w:val="00BD2276"/>
    <w:rsid w:val="00BD2291"/>
    <w:rsid w:val="00BD23A7"/>
    <w:rsid w:val="00BD23E9"/>
    <w:rsid w:val="00BD2413"/>
    <w:rsid w:val="00BD2444"/>
    <w:rsid w:val="00BD24D0"/>
    <w:rsid w:val="00BD24DD"/>
    <w:rsid w:val="00BD2505"/>
    <w:rsid w:val="00BD2558"/>
    <w:rsid w:val="00BD25B0"/>
    <w:rsid w:val="00BD25C0"/>
    <w:rsid w:val="00BD25C5"/>
    <w:rsid w:val="00BD268E"/>
    <w:rsid w:val="00BD276A"/>
    <w:rsid w:val="00BD278E"/>
    <w:rsid w:val="00BD282F"/>
    <w:rsid w:val="00BD28AA"/>
    <w:rsid w:val="00BD29EC"/>
    <w:rsid w:val="00BD2A85"/>
    <w:rsid w:val="00BD2B37"/>
    <w:rsid w:val="00BD2BB7"/>
    <w:rsid w:val="00BD2C11"/>
    <w:rsid w:val="00BD2C26"/>
    <w:rsid w:val="00BD2CBE"/>
    <w:rsid w:val="00BD2CD0"/>
    <w:rsid w:val="00BD2DBD"/>
    <w:rsid w:val="00BD2DC5"/>
    <w:rsid w:val="00BD2DD7"/>
    <w:rsid w:val="00BD2FA6"/>
    <w:rsid w:val="00BD3077"/>
    <w:rsid w:val="00BD307F"/>
    <w:rsid w:val="00BD30A3"/>
    <w:rsid w:val="00BD30C8"/>
    <w:rsid w:val="00BD3147"/>
    <w:rsid w:val="00BD3179"/>
    <w:rsid w:val="00BD317F"/>
    <w:rsid w:val="00BD3243"/>
    <w:rsid w:val="00BD3251"/>
    <w:rsid w:val="00BD3255"/>
    <w:rsid w:val="00BD326A"/>
    <w:rsid w:val="00BD32B8"/>
    <w:rsid w:val="00BD3320"/>
    <w:rsid w:val="00BD3382"/>
    <w:rsid w:val="00BD3392"/>
    <w:rsid w:val="00BD33CD"/>
    <w:rsid w:val="00BD33E9"/>
    <w:rsid w:val="00BD347F"/>
    <w:rsid w:val="00BD34AC"/>
    <w:rsid w:val="00BD3518"/>
    <w:rsid w:val="00BD35C0"/>
    <w:rsid w:val="00BD35E6"/>
    <w:rsid w:val="00BD360A"/>
    <w:rsid w:val="00BD369C"/>
    <w:rsid w:val="00BD3724"/>
    <w:rsid w:val="00BD3796"/>
    <w:rsid w:val="00BD38EB"/>
    <w:rsid w:val="00BD392B"/>
    <w:rsid w:val="00BD395F"/>
    <w:rsid w:val="00BD3A3C"/>
    <w:rsid w:val="00BD3A7E"/>
    <w:rsid w:val="00BD3AC9"/>
    <w:rsid w:val="00BD3AD4"/>
    <w:rsid w:val="00BD3AE6"/>
    <w:rsid w:val="00BD3B5A"/>
    <w:rsid w:val="00BD3B79"/>
    <w:rsid w:val="00BD3C98"/>
    <w:rsid w:val="00BD3CDD"/>
    <w:rsid w:val="00BD3DAD"/>
    <w:rsid w:val="00BD3DB4"/>
    <w:rsid w:val="00BD3DC0"/>
    <w:rsid w:val="00BD3EBD"/>
    <w:rsid w:val="00BD3EDA"/>
    <w:rsid w:val="00BD3EFD"/>
    <w:rsid w:val="00BD3F3A"/>
    <w:rsid w:val="00BD3FFA"/>
    <w:rsid w:val="00BD4001"/>
    <w:rsid w:val="00BD40A7"/>
    <w:rsid w:val="00BD414E"/>
    <w:rsid w:val="00BD41AA"/>
    <w:rsid w:val="00BD41AF"/>
    <w:rsid w:val="00BD41E8"/>
    <w:rsid w:val="00BD4238"/>
    <w:rsid w:val="00BD43BF"/>
    <w:rsid w:val="00BD44C1"/>
    <w:rsid w:val="00BD45C5"/>
    <w:rsid w:val="00BD4675"/>
    <w:rsid w:val="00BD46A7"/>
    <w:rsid w:val="00BD473D"/>
    <w:rsid w:val="00BD4820"/>
    <w:rsid w:val="00BD4821"/>
    <w:rsid w:val="00BD4854"/>
    <w:rsid w:val="00BD4899"/>
    <w:rsid w:val="00BD4901"/>
    <w:rsid w:val="00BD49FA"/>
    <w:rsid w:val="00BD4A2D"/>
    <w:rsid w:val="00BD4ADA"/>
    <w:rsid w:val="00BD4C17"/>
    <w:rsid w:val="00BD4C18"/>
    <w:rsid w:val="00BD4C23"/>
    <w:rsid w:val="00BD4C67"/>
    <w:rsid w:val="00BD4CF5"/>
    <w:rsid w:val="00BD4DF9"/>
    <w:rsid w:val="00BD4E75"/>
    <w:rsid w:val="00BD4E85"/>
    <w:rsid w:val="00BD4ED4"/>
    <w:rsid w:val="00BD4EEB"/>
    <w:rsid w:val="00BD4F04"/>
    <w:rsid w:val="00BD4F6F"/>
    <w:rsid w:val="00BD4F90"/>
    <w:rsid w:val="00BD4FAA"/>
    <w:rsid w:val="00BD4FC6"/>
    <w:rsid w:val="00BD503E"/>
    <w:rsid w:val="00BD504A"/>
    <w:rsid w:val="00BD5217"/>
    <w:rsid w:val="00BD5304"/>
    <w:rsid w:val="00BD53A2"/>
    <w:rsid w:val="00BD53BD"/>
    <w:rsid w:val="00BD5492"/>
    <w:rsid w:val="00BD54AF"/>
    <w:rsid w:val="00BD5517"/>
    <w:rsid w:val="00BD5536"/>
    <w:rsid w:val="00BD5538"/>
    <w:rsid w:val="00BD5542"/>
    <w:rsid w:val="00BD5545"/>
    <w:rsid w:val="00BD55B6"/>
    <w:rsid w:val="00BD5639"/>
    <w:rsid w:val="00BD565A"/>
    <w:rsid w:val="00BD566D"/>
    <w:rsid w:val="00BD569D"/>
    <w:rsid w:val="00BD57F0"/>
    <w:rsid w:val="00BD582C"/>
    <w:rsid w:val="00BD5839"/>
    <w:rsid w:val="00BD5841"/>
    <w:rsid w:val="00BD58CD"/>
    <w:rsid w:val="00BD58D4"/>
    <w:rsid w:val="00BD59D5"/>
    <w:rsid w:val="00BD5A0A"/>
    <w:rsid w:val="00BD5A14"/>
    <w:rsid w:val="00BD5AD0"/>
    <w:rsid w:val="00BD5AD7"/>
    <w:rsid w:val="00BD5AF2"/>
    <w:rsid w:val="00BD5B93"/>
    <w:rsid w:val="00BD5B9E"/>
    <w:rsid w:val="00BD5BF5"/>
    <w:rsid w:val="00BD5CEB"/>
    <w:rsid w:val="00BD5D10"/>
    <w:rsid w:val="00BD5D1F"/>
    <w:rsid w:val="00BD5D66"/>
    <w:rsid w:val="00BD5DF4"/>
    <w:rsid w:val="00BD5DFA"/>
    <w:rsid w:val="00BD5DFC"/>
    <w:rsid w:val="00BD5E3F"/>
    <w:rsid w:val="00BD5E84"/>
    <w:rsid w:val="00BD5F99"/>
    <w:rsid w:val="00BD6015"/>
    <w:rsid w:val="00BD604E"/>
    <w:rsid w:val="00BD6071"/>
    <w:rsid w:val="00BD6130"/>
    <w:rsid w:val="00BD61E9"/>
    <w:rsid w:val="00BD629B"/>
    <w:rsid w:val="00BD6338"/>
    <w:rsid w:val="00BD6348"/>
    <w:rsid w:val="00BD6350"/>
    <w:rsid w:val="00BD6520"/>
    <w:rsid w:val="00BD665F"/>
    <w:rsid w:val="00BD670D"/>
    <w:rsid w:val="00BD6777"/>
    <w:rsid w:val="00BD6972"/>
    <w:rsid w:val="00BD6977"/>
    <w:rsid w:val="00BD6AA1"/>
    <w:rsid w:val="00BD6AC2"/>
    <w:rsid w:val="00BD6BE2"/>
    <w:rsid w:val="00BD6C09"/>
    <w:rsid w:val="00BD6C2B"/>
    <w:rsid w:val="00BD6D10"/>
    <w:rsid w:val="00BD6DB1"/>
    <w:rsid w:val="00BD6DE9"/>
    <w:rsid w:val="00BD6E2C"/>
    <w:rsid w:val="00BD6EF6"/>
    <w:rsid w:val="00BD6F16"/>
    <w:rsid w:val="00BD6F7C"/>
    <w:rsid w:val="00BD6F8E"/>
    <w:rsid w:val="00BD6FC4"/>
    <w:rsid w:val="00BD7094"/>
    <w:rsid w:val="00BD70C4"/>
    <w:rsid w:val="00BD710F"/>
    <w:rsid w:val="00BD7128"/>
    <w:rsid w:val="00BD712D"/>
    <w:rsid w:val="00BD7244"/>
    <w:rsid w:val="00BD72B7"/>
    <w:rsid w:val="00BD732B"/>
    <w:rsid w:val="00BD7494"/>
    <w:rsid w:val="00BD74B7"/>
    <w:rsid w:val="00BD7553"/>
    <w:rsid w:val="00BD75B6"/>
    <w:rsid w:val="00BD75BD"/>
    <w:rsid w:val="00BD75D4"/>
    <w:rsid w:val="00BD763D"/>
    <w:rsid w:val="00BD764D"/>
    <w:rsid w:val="00BD764F"/>
    <w:rsid w:val="00BD76B7"/>
    <w:rsid w:val="00BD76C7"/>
    <w:rsid w:val="00BD772B"/>
    <w:rsid w:val="00BD7745"/>
    <w:rsid w:val="00BD776D"/>
    <w:rsid w:val="00BD77D7"/>
    <w:rsid w:val="00BD7816"/>
    <w:rsid w:val="00BD783E"/>
    <w:rsid w:val="00BD78C1"/>
    <w:rsid w:val="00BD78C9"/>
    <w:rsid w:val="00BD7953"/>
    <w:rsid w:val="00BD7974"/>
    <w:rsid w:val="00BD79E0"/>
    <w:rsid w:val="00BD7A8C"/>
    <w:rsid w:val="00BD7A8D"/>
    <w:rsid w:val="00BD7B7D"/>
    <w:rsid w:val="00BD7BE0"/>
    <w:rsid w:val="00BD7BE4"/>
    <w:rsid w:val="00BD7C3D"/>
    <w:rsid w:val="00BD7D75"/>
    <w:rsid w:val="00BD7DEA"/>
    <w:rsid w:val="00BD7DF3"/>
    <w:rsid w:val="00BD7F55"/>
    <w:rsid w:val="00BE0017"/>
    <w:rsid w:val="00BE001D"/>
    <w:rsid w:val="00BE0034"/>
    <w:rsid w:val="00BE00C0"/>
    <w:rsid w:val="00BE01C7"/>
    <w:rsid w:val="00BE01FF"/>
    <w:rsid w:val="00BE0254"/>
    <w:rsid w:val="00BE0343"/>
    <w:rsid w:val="00BE0372"/>
    <w:rsid w:val="00BE03CC"/>
    <w:rsid w:val="00BE0434"/>
    <w:rsid w:val="00BE0456"/>
    <w:rsid w:val="00BE04E6"/>
    <w:rsid w:val="00BE0559"/>
    <w:rsid w:val="00BE056C"/>
    <w:rsid w:val="00BE05C5"/>
    <w:rsid w:val="00BE05D4"/>
    <w:rsid w:val="00BE060B"/>
    <w:rsid w:val="00BE064F"/>
    <w:rsid w:val="00BE0746"/>
    <w:rsid w:val="00BE0747"/>
    <w:rsid w:val="00BE07C3"/>
    <w:rsid w:val="00BE08AA"/>
    <w:rsid w:val="00BE099C"/>
    <w:rsid w:val="00BE09B1"/>
    <w:rsid w:val="00BE09C2"/>
    <w:rsid w:val="00BE0A2A"/>
    <w:rsid w:val="00BE0AC4"/>
    <w:rsid w:val="00BE0B5B"/>
    <w:rsid w:val="00BE0B86"/>
    <w:rsid w:val="00BE0C1D"/>
    <w:rsid w:val="00BE0DBB"/>
    <w:rsid w:val="00BE0E7C"/>
    <w:rsid w:val="00BE0E88"/>
    <w:rsid w:val="00BE0EC6"/>
    <w:rsid w:val="00BE10AF"/>
    <w:rsid w:val="00BE113D"/>
    <w:rsid w:val="00BE114A"/>
    <w:rsid w:val="00BE1156"/>
    <w:rsid w:val="00BE117A"/>
    <w:rsid w:val="00BE1186"/>
    <w:rsid w:val="00BE1225"/>
    <w:rsid w:val="00BE12D1"/>
    <w:rsid w:val="00BE12D8"/>
    <w:rsid w:val="00BE1396"/>
    <w:rsid w:val="00BE13BE"/>
    <w:rsid w:val="00BE1460"/>
    <w:rsid w:val="00BE1515"/>
    <w:rsid w:val="00BE164B"/>
    <w:rsid w:val="00BE17AC"/>
    <w:rsid w:val="00BE184C"/>
    <w:rsid w:val="00BE1862"/>
    <w:rsid w:val="00BE1963"/>
    <w:rsid w:val="00BE19D2"/>
    <w:rsid w:val="00BE1ACC"/>
    <w:rsid w:val="00BE1BC7"/>
    <w:rsid w:val="00BE1BE1"/>
    <w:rsid w:val="00BE1C6B"/>
    <w:rsid w:val="00BE1C91"/>
    <w:rsid w:val="00BE1CAD"/>
    <w:rsid w:val="00BE1D2A"/>
    <w:rsid w:val="00BE1D34"/>
    <w:rsid w:val="00BE1DED"/>
    <w:rsid w:val="00BE1EF2"/>
    <w:rsid w:val="00BE1FD9"/>
    <w:rsid w:val="00BE20BE"/>
    <w:rsid w:val="00BE20C4"/>
    <w:rsid w:val="00BE20F0"/>
    <w:rsid w:val="00BE20F6"/>
    <w:rsid w:val="00BE21A6"/>
    <w:rsid w:val="00BE21A9"/>
    <w:rsid w:val="00BE21FA"/>
    <w:rsid w:val="00BE2225"/>
    <w:rsid w:val="00BE22D9"/>
    <w:rsid w:val="00BE2302"/>
    <w:rsid w:val="00BE231D"/>
    <w:rsid w:val="00BE23A7"/>
    <w:rsid w:val="00BE24A1"/>
    <w:rsid w:val="00BE2635"/>
    <w:rsid w:val="00BE2650"/>
    <w:rsid w:val="00BE26E2"/>
    <w:rsid w:val="00BE2784"/>
    <w:rsid w:val="00BE2795"/>
    <w:rsid w:val="00BE27F3"/>
    <w:rsid w:val="00BE27FE"/>
    <w:rsid w:val="00BE2873"/>
    <w:rsid w:val="00BE28E3"/>
    <w:rsid w:val="00BE2952"/>
    <w:rsid w:val="00BE2957"/>
    <w:rsid w:val="00BE29EA"/>
    <w:rsid w:val="00BE29F5"/>
    <w:rsid w:val="00BE2A00"/>
    <w:rsid w:val="00BE2A30"/>
    <w:rsid w:val="00BE2A4D"/>
    <w:rsid w:val="00BE2A74"/>
    <w:rsid w:val="00BE2A94"/>
    <w:rsid w:val="00BE2BBF"/>
    <w:rsid w:val="00BE2C04"/>
    <w:rsid w:val="00BE2DCE"/>
    <w:rsid w:val="00BE2E05"/>
    <w:rsid w:val="00BE2E42"/>
    <w:rsid w:val="00BE2E96"/>
    <w:rsid w:val="00BE2ED5"/>
    <w:rsid w:val="00BE2EE8"/>
    <w:rsid w:val="00BE2F22"/>
    <w:rsid w:val="00BE2F50"/>
    <w:rsid w:val="00BE2F60"/>
    <w:rsid w:val="00BE2F96"/>
    <w:rsid w:val="00BE2FB7"/>
    <w:rsid w:val="00BE2FBB"/>
    <w:rsid w:val="00BE3014"/>
    <w:rsid w:val="00BE305A"/>
    <w:rsid w:val="00BE3067"/>
    <w:rsid w:val="00BE309B"/>
    <w:rsid w:val="00BE3133"/>
    <w:rsid w:val="00BE31B5"/>
    <w:rsid w:val="00BE31B9"/>
    <w:rsid w:val="00BE32DB"/>
    <w:rsid w:val="00BE3322"/>
    <w:rsid w:val="00BE3407"/>
    <w:rsid w:val="00BE340F"/>
    <w:rsid w:val="00BE3429"/>
    <w:rsid w:val="00BE3475"/>
    <w:rsid w:val="00BE347D"/>
    <w:rsid w:val="00BE3520"/>
    <w:rsid w:val="00BE3525"/>
    <w:rsid w:val="00BE35E2"/>
    <w:rsid w:val="00BE3661"/>
    <w:rsid w:val="00BE3664"/>
    <w:rsid w:val="00BE36D7"/>
    <w:rsid w:val="00BE373F"/>
    <w:rsid w:val="00BE376A"/>
    <w:rsid w:val="00BE3773"/>
    <w:rsid w:val="00BE37CF"/>
    <w:rsid w:val="00BE390C"/>
    <w:rsid w:val="00BE3985"/>
    <w:rsid w:val="00BE3A20"/>
    <w:rsid w:val="00BE3A36"/>
    <w:rsid w:val="00BE3AA7"/>
    <w:rsid w:val="00BE3B23"/>
    <w:rsid w:val="00BE3BB3"/>
    <w:rsid w:val="00BE3BC9"/>
    <w:rsid w:val="00BE3C08"/>
    <w:rsid w:val="00BE3C2C"/>
    <w:rsid w:val="00BE3DBE"/>
    <w:rsid w:val="00BE3DBF"/>
    <w:rsid w:val="00BE3E4D"/>
    <w:rsid w:val="00BE3E83"/>
    <w:rsid w:val="00BE3EC1"/>
    <w:rsid w:val="00BE3F01"/>
    <w:rsid w:val="00BE3F10"/>
    <w:rsid w:val="00BE3F2B"/>
    <w:rsid w:val="00BE3F71"/>
    <w:rsid w:val="00BE3FBC"/>
    <w:rsid w:val="00BE4004"/>
    <w:rsid w:val="00BE400E"/>
    <w:rsid w:val="00BE4045"/>
    <w:rsid w:val="00BE4079"/>
    <w:rsid w:val="00BE4085"/>
    <w:rsid w:val="00BE40E3"/>
    <w:rsid w:val="00BE40F9"/>
    <w:rsid w:val="00BE415A"/>
    <w:rsid w:val="00BE417B"/>
    <w:rsid w:val="00BE4208"/>
    <w:rsid w:val="00BE42B0"/>
    <w:rsid w:val="00BE42D9"/>
    <w:rsid w:val="00BE42EB"/>
    <w:rsid w:val="00BE4336"/>
    <w:rsid w:val="00BE43A4"/>
    <w:rsid w:val="00BE444C"/>
    <w:rsid w:val="00BE4580"/>
    <w:rsid w:val="00BE4655"/>
    <w:rsid w:val="00BE4686"/>
    <w:rsid w:val="00BE46A3"/>
    <w:rsid w:val="00BE4791"/>
    <w:rsid w:val="00BE47C1"/>
    <w:rsid w:val="00BE4848"/>
    <w:rsid w:val="00BE488D"/>
    <w:rsid w:val="00BE48D8"/>
    <w:rsid w:val="00BE4918"/>
    <w:rsid w:val="00BE4938"/>
    <w:rsid w:val="00BE49B2"/>
    <w:rsid w:val="00BE49DB"/>
    <w:rsid w:val="00BE4AB8"/>
    <w:rsid w:val="00BE4AF0"/>
    <w:rsid w:val="00BE4B73"/>
    <w:rsid w:val="00BE4B94"/>
    <w:rsid w:val="00BE4BB2"/>
    <w:rsid w:val="00BE4BEE"/>
    <w:rsid w:val="00BE4C27"/>
    <w:rsid w:val="00BE4D3F"/>
    <w:rsid w:val="00BE4DD9"/>
    <w:rsid w:val="00BE4E02"/>
    <w:rsid w:val="00BE4EC4"/>
    <w:rsid w:val="00BE4EEA"/>
    <w:rsid w:val="00BE4F18"/>
    <w:rsid w:val="00BE4F85"/>
    <w:rsid w:val="00BE4FE1"/>
    <w:rsid w:val="00BE4FFF"/>
    <w:rsid w:val="00BE502B"/>
    <w:rsid w:val="00BE5131"/>
    <w:rsid w:val="00BE514F"/>
    <w:rsid w:val="00BE519A"/>
    <w:rsid w:val="00BE524B"/>
    <w:rsid w:val="00BE5286"/>
    <w:rsid w:val="00BE5324"/>
    <w:rsid w:val="00BE53AB"/>
    <w:rsid w:val="00BE53B6"/>
    <w:rsid w:val="00BE53E7"/>
    <w:rsid w:val="00BE5447"/>
    <w:rsid w:val="00BE54B2"/>
    <w:rsid w:val="00BE5561"/>
    <w:rsid w:val="00BE5578"/>
    <w:rsid w:val="00BE57B8"/>
    <w:rsid w:val="00BE580E"/>
    <w:rsid w:val="00BE592A"/>
    <w:rsid w:val="00BE597B"/>
    <w:rsid w:val="00BE59BA"/>
    <w:rsid w:val="00BE59C4"/>
    <w:rsid w:val="00BE59CD"/>
    <w:rsid w:val="00BE5AA5"/>
    <w:rsid w:val="00BE5AA6"/>
    <w:rsid w:val="00BE5ACB"/>
    <w:rsid w:val="00BE5B53"/>
    <w:rsid w:val="00BE5B9C"/>
    <w:rsid w:val="00BE5BA8"/>
    <w:rsid w:val="00BE5C48"/>
    <w:rsid w:val="00BE5D0A"/>
    <w:rsid w:val="00BE5D6A"/>
    <w:rsid w:val="00BE5D94"/>
    <w:rsid w:val="00BE5D99"/>
    <w:rsid w:val="00BE5DDE"/>
    <w:rsid w:val="00BE5F2C"/>
    <w:rsid w:val="00BE5F98"/>
    <w:rsid w:val="00BE5FA5"/>
    <w:rsid w:val="00BE605B"/>
    <w:rsid w:val="00BE60A3"/>
    <w:rsid w:val="00BE60AC"/>
    <w:rsid w:val="00BE60F5"/>
    <w:rsid w:val="00BE6158"/>
    <w:rsid w:val="00BE6200"/>
    <w:rsid w:val="00BE6203"/>
    <w:rsid w:val="00BE6232"/>
    <w:rsid w:val="00BE63FB"/>
    <w:rsid w:val="00BE63FF"/>
    <w:rsid w:val="00BE64A0"/>
    <w:rsid w:val="00BE64F0"/>
    <w:rsid w:val="00BE652D"/>
    <w:rsid w:val="00BE664E"/>
    <w:rsid w:val="00BE68FC"/>
    <w:rsid w:val="00BE697C"/>
    <w:rsid w:val="00BE6990"/>
    <w:rsid w:val="00BE6B02"/>
    <w:rsid w:val="00BE6B29"/>
    <w:rsid w:val="00BE6B41"/>
    <w:rsid w:val="00BE6DA7"/>
    <w:rsid w:val="00BE6EC4"/>
    <w:rsid w:val="00BE704E"/>
    <w:rsid w:val="00BE7101"/>
    <w:rsid w:val="00BE71B6"/>
    <w:rsid w:val="00BE71CB"/>
    <w:rsid w:val="00BE71D1"/>
    <w:rsid w:val="00BE720D"/>
    <w:rsid w:val="00BE7287"/>
    <w:rsid w:val="00BE728D"/>
    <w:rsid w:val="00BE746E"/>
    <w:rsid w:val="00BE7479"/>
    <w:rsid w:val="00BE7509"/>
    <w:rsid w:val="00BE76B0"/>
    <w:rsid w:val="00BE76DE"/>
    <w:rsid w:val="00BE772C"/>
    <w:rsid w:val="00BE77A9"/>
    <w:rsid w:val="00BE77D0"/>
    <w:rsid w:val="00BE7892"/>
    <w:rsid w:val="00BE79D9"/>
    <w:rsid w:val="00BE7A46"/>
    <w:rsid w:val="00BE7C7B"/>
    <w:rsid w:val="00BE7CC2"/>
    <w:rsid w:val="00BE7D79"/>
    <w:rsid w:val="00BE7D7F"/>
    <w:rsid w:val="00BE7D98"/>
    <w:rsid w:val="00BE7F2C"/>
    <w:rsid w:val="00BE7F43"/>
    <w:rsid w:val="00BE7F4D"/>
    <w:rsid w:val="00BE7F57"/>
    <w:rsid w:val="00BE7F7B"/>
    <w:rsid w:val="00BE7FE3"/>
    <w:rsid w:val="00BE7FF3"/>
    <w:rsid w:val="00BF0015"/>
    <w:rsid w:val="00BF003D"/>
    <w:rsid w:val="00BF006F"/>
    <w:rsid w:val="00BF008B"/>
    <w:rsid w:val="00BF00E9"/>
    <w:rsid w:val="00BF0107"/>
    <w:rsid w:val="00BF012D"/>
    <w:rsid w:val="00BF014D"/>
    <w:rsid w:val="00BF0154"/>
    <w:rsid w:val="00BF01C2"/>
    <w:rsid w:val="00BF02CC"/>
    <w:rsid w:val="00BF039E"/>
    <w:rsid w:val="00BF0415"/>
    <w:rsid w:val="00BF0429"/>
    <w:rsid w:val="00BF0432"/>
    <w:rsid w:val="00BF047F"/>
    <w:rsid w:val="00BF04A2"/>
    <w:rsid w:val="00BF04D2"/>
    <w:rsid w:val="00BF0504"/>
    <w:rsid w:val="00BF0535"/>
    <w:rsid w:val="00BF062E"/>
    <w:rsid w:val="00BF0688"/>
    <w:rsid w:val="00BF081D"/>
    <w:rsid w:val="00BF09E3"/>
    <w:rsid w:val="00BF0A6C"/>
    <w:rsid w:val="00BF0AA1"/>
    <w:rsid w:val="00BF0AC9"/>
    <w:rsid w:val="00BF0B55"/>
    <w:rsid w:val="00BF0B7A"/>
    <w:rsid w:val="00BF0B81"/>
    <w:rsid w:val="00BF0BAD"/>
    <w:rsid w:val="00BF0BEB"/>
    <w:rsid w:val="00BF0C21"/>
    <w:rsid w:val="00BF0C52"/>
    <w:rsid w:val="00BF0C77"/>
    <w:rsid w:val="00BF0CFE"/>
    <w:rsid w:val="00BF0D20"/>
    <w:rsid w:val="00BF0D4B"/>
    <w:rsid w:val="00BF0D87"/>
    <w:rsid w:val="00BF0DA8"/>
    <w:rsid w:val="00BF0E0D"/>
    <w:rsid w:val="00BF0E21"/>
    <w:rsid w:val="00BF0E69"/>
    <w:rsid w:val="00BF0E8B"/>
    <w:rsid w:val="00BF0EA2"/>
    <w:rsid w:val="00BF0ED8"/>
    <w:rsid w:val="00BF0EE2"/>
    <w:rsid w:val="00BF0F7B"/>
    <w:rsid w:val="00BF0FA9"/>
    <w:rsid w:val="00BF10AE"/>
    <w:rsid w:val="00BF1127"/>
    <w:rsid w:val="00BF112E"/>
    <w:rsid w:val="00BF11A6"/>
    <w:rsid w:val="00BF11C5"/>
    <w:rsid w:val="00BF11FF"/>
    <w:rsid w:val="00BF1263"/>
    <w:rsid w:val="00BF12CC"/>
    <w:rsid w:val="00BF12FD"/>
    <w:rsid w:val="00BF1381"/>
    <w:rsid w:val="00BF13DC"/>
    <w:rsid w:val="00BF1524"/>
    <w:rsid w:val="00BF15AB"/>
    <w:rsid w:val="00BF166B"/>
    <w:rsid w:val="00BF16D9"/>
    <w:rsid w:val="00BF170E"/>
    <w:rsid w:val="00BF17FF"/>
    <w:rsid w:val="00BF188B"/>
    <w:rsid w:val="00BF1991"/>
    <w:rsid w:val="00BF19C8"/>
    <w:rsid w:val="00BF19CA"/>
    <w:rsid w:val="00BF1A5A"/>
    <w:rsid w:val="00BF1A79"/>
    <w:rsid w:val="00BF1A88"/>
    <w:rsid w:val="00BF1B1A"/>
    <w:rsid w:val="00BF1BCC"/>
    <w:rsid w:val="00BF1BDC"/>
    <w:rsid w:val="00BF1CD7"/>
    <w:rsid w:val="00BF1E4A"/>
    <w:rsid w:val="00BF1E72"/>
    <w:rsid w:val="00BF1E85"/>
    <w:rsid w:val="00BF1EA5"/>
    <w:rsid w:val="00BF1FAD"/>
    <w:rsid w:val="00BF1FF0"/>
    <w:rsid w:val="00BF20B8"/>
    <w:rsid w:val="00BF20BE"/>
    <w:rsid w:val="00BF219F"/>
    <w:rsid w:val="00BF21B8"/>
    <w:rsid w:val="00BF21C6"/>
    <w:rsid w:val="00BF222A"/>
    <w:rsid w:val="00BF2276"/>
    <w:rsid w:val="00BF22B2"/>
    <w:rsid w:val="00BF23BA"/>
    <w:rsid w:val="00BF23D7"/>
    <w:rsid w:val="00BF23F3"/>
    <w:rsid w:val="00BF244E"/>
    <w:rsid w:val="00BF259F"/>
    <w:rsid w:val="00BF25B7"/>
    <w:rsid w:val="00BF26D5"/>
    <w:rsid w:val="00BF279E"/>
    <w:rsid w:val="00BF280A"/>
    <w:rsid w:val="00BF28A7"/>
    <w:rsid w:val="00BF292F"/>
    <w:rsid w:val="00BF2965"/>
    <w:rsid w:val="00BF29F2"/>
    <w:rsid w:val="00BF2A06"/>
    <w:rsid w:val="00BF2A23"/>
    <w:rsid w:val="00BF2A66"/>
    <w:rsid w:val="00BF2AC2"/>
    <w:rsid w:val="00BF2B6B"/>
    <w:rsid w:val="00BF2BBE"/>
    <w:rsid w:val="00BF2CCC"/>
    <w:rsid w:val="00BF2CD5"/>
    <w:rsid w:val="00BF2D03"/>
    <w:rsid w:val="00BF2D30"/>
    <w:rsid w:val="00BF2D44"/>
    <w:rsid w:val="00BF2D75"/>
    <w:rsid w:val="00BF2DCE"/>
    <w:rsid w:val="00BF2E4B"/>
    <w:rsid w:val="00BF2E55"/>
    <w:rsid w:val="00BF2E93"/>
    <w:rsid w:val="00BF2F22"/>
    <w:rsid w:val="00BF2F4C"/>
    <w:rsid w:val="00BF2F5D"/>
    <w:rsid w:val="00BF301C"/>
    <w:rsid w:val="00BF3021"/>
    <w:rsid w:val="00BF3169"/>
    <w:rsid w:val="00BF316A"/>
    <w:rsid w:val="00BF31E0"/>
    <w:rsid w:val="00BF3209"/>
    <w:rsid w:val="00BF323F"/>
    <w:rsid w:val="00BF3258"/>
    <w:rsid w:val="00BF327C"/>
    <w:rsid w:val="00BF32A2"/>
    <w:rsid w:val="00BF32AE"/>
    <w:rsid w:val="00BF32DE"/>
    <w:rsid w:val="00BF3322"/>
    <w:rsid w:val="00BF3341"/>
    <w:rsid w:val="00BF3360"/>
    <w:rsid w:val="00BF33E0"/>
    <w:rsid w:val="00BF3461"/>
    <w:rsid w:val="00BF350E"/>
    <w:rsid w:val="00BF362A"/>
    <w:rsid w:val="00BF37E5"/>
    <w:rsid w:val="00BF37EA"/>
    <w:rsid w:val="00BF380F"/>
    <w:rsid w:val="00BF3839"/>
    <w:rsid w:val="00BF3853"/>
    <w:rsid w:val="00BF38BF"/>
    <w:rsid w:val="00BF38CB"/>
    <w:rsid w:val="00BF392C"/>
    <w:rsid w:val="00BF3A21"/>
    <w:rsid w:val="00BF3B34"/>
    <w:rsid w:val="00BF3BB9"/>
    <w:rsid w:val="00BF3C38"/>
    <w:rsid w:val="00BF3C7F"/>
    <w:rsid w:val="00BF3CFC"/>
    <w:rsid w:val="00BF3D18"/>
    <w:rsid w:val="00BF3D88"/>
    <w:rsid w:val="00BF3E83"/>
    <w:rsid w:val="00BF3FDA"/>
    <w:rsid w:val="00BF3FE6"/>
    <w:rsid w:val="00BF4098"/>
    <w:rsid w:val="00BF40F3"/>
    <w:rsid w:val="00BF4204"/>
    <w:rsid w:val="00BF4219"/>
    <w:rsid w:val="00BF4291"/>
    <w:rsid w:val="00BF433A"/>
    <w:rsid w:val="00BF4375"/>
    <w:rsid w:val="00BF440A"/>
    <w:rsid w:val="00BF44AF"/>
    <w:rsid w:val="00BF44F9"/>
    <w:rsid w:val="00BF450C"/>
    <w:rsid w:val="00BF453C"/>
    <w:rsid w:val="00BF4688"/>
    <w:rsid w:val="00BF46A3"/>
    <w:rsid w:val="00BF4735"/>
    <w:rsid w:val="00BF48A4"/>
    <w:rsid w:val="00BF48B5"/>
    <w:rsid w:val="00BF49BB"/>
    <w:rsid w:val="00BF49D1"/>
    <w:rsid w:val="00BF4A47"/>
    <w:rsid w:val="00BF4AC4"/>
    <w:rsid w:val="00BF4ACF"/>
    <w:rsid w:val="00BF4B47"/>
    <w:rsid w:val="00BF4B7E"/>
    <w:rsid w:val="00BF4CBE"/>
    <w:rsid w:val="00BF4CE2"/>
    <w:rsid w:val="00BF4D70"/>
    <w:rsid w:val="00BF4DAC"/>
    <w:rsid w:val="00BF4DDB"/>
    <w:rsid w:val="00BF4DE0"/>
    <w:rsid w:val="00BF5001"/>
    <w:rsid w:val="00BF5010"/>
    <w:rsid w:val="00BF5076"/>
    <w:rsid w:val="00BF50F1"/>
    <w:rsid w:val="00BF5213"/>
    <w:rsid w:val="00BF5231"/>
    <w:rsid w:val="00BF52EF"/>
    <w:rsid w:val="00BF53C0"/>
    <w:rsid w:val="00BF53D1"/>
    <w:rsid w:val="00BF5437"/>
    <w:rsid w:val="00BF5439"/>
    <w:rsid w:val="00BF5498"/>
    <w:rsid w:val="00BF5507"/>
    <w:rsid w:val="00BF554E"/>
    <w:rsid w:val="00BF55FB"/>
    <w:rsid w:val="00BF563B"/>
    <w:rsid w:val="00BF56EC"/>
    <w:rsid w:val="00BF57F4"/>
    <w:rsid w:val="00BF58C7"/>
    <w:rsid w:val="00BF58E0"/>
    <w:rsid w:val="00BF58F4"/>
    <w:rsid w:val="00BF593E"/>
    <w:rsid w:val="00BF599A"/>
    <w:rsid w:val="00BF5A2B"/>
    <w:rsid w:val="00BF5A35"/>
    <w:rsid w:val="00BF5A45"/>
    <w:rsid w:val="00BF5A78"/>
    <w:rsid w:val="00BF5A9A"/>
    <w:rsid w:val="00BF5B86"/>
    <w:rsid w:val="00BF5BE0"/>
    <w:rsid w:val="00BF5C01"/>
    <w:rsid w:val="00BF5CF0"/>
    <w:rsid w:val="00BF5DE2"/>
    <w:rsid w:val="00BF5EC4"/>
    <w:rsid w:val="00BF5EDE"/>
    <w:rsid w:val="00BF5EFA"/>
    <w:rsid w:val="00BF5FAB"/>
    <w:rsid w:val="00BF5FBD"/>
    <w:rsid w:val="00BF5FF2"/>
    <w:rsid w:val="00BF6003"/>
    <w:rsid w:val="00BF6005"/>
    <w:rsid w:val="00BF6078"/>
    <w:rsid w:val="00BF60D2"/>
    <w:rsid w:val="00BF60E9"/>
    <w:rsid w:val="00BF6168"/>
    <w:rsid w:val="00BF6187"/>
    <w:rsid w:val="00BF61BF"/>
    <w:rsid w:val="00BF6220"/>
    <w:rsid w:val="00BF6243"/>
    <w:rsid w:val="00BF6254"/>
    <w:rsid w:val="00BF6297"/>
    <w:rsid w:val="00BF633A"/>
    <w:rsid w:val="00BF6388"/>
    <w:rsid w:val="00BF63BE"/>
    <w:rsid w:val="00BF647C"/>
    <w:rsid w:val="00BF6591"/>
    <w:rsid w:val="00BF674E"/>
    <w:rsid w:val="00BF67A3"/>
    <w:rsid w:val="00BF686A"/>
    <w:rsid w:val="00BF6919"/>
    <w:rsid w:val="00BF6949"/>
    <w:rsid w:val="00BF695E"/>
    <w:rsid w:val="00BF69E0"/>
    <w:rsid w:val="00BF69E9"/>
    <w:rsid w:val="00BF6A15"/>
    <w:rsid w:val="00BF6A62"/>
    <w:rsid w:val="00BF6B9C"/>
    <w:rsid w:val="00BF6C0C"/>
    <w:rsid w:val="00BF6C30"/>
    <w:rsid w:val="00BF6C77"/>
    <w:rsid w:val="00BF6CF4"/>
    <w:rsid w:val="00BF6CF9"/>
    <w:rsid w:val="00BF6D29"/>
    <w:rsid w:val="00BF6D2C"/>
    <w:rsid w:val="00BF6E84"/>
    <w:rsid w:val="00BF6FC0"/>
    <w:rsid w:val="00BF702B"/>
    <w:rsid w:val="00BF703A"/>
    <w:rsid w:val="00BF70A5"/>
    <w:rsid w:val="00BF70DE"/>
    <w:rsid w:val="00BF71DB"/>
    <w:rsid w:val="00BF7275"/>
    <w:rsid w:val="00BF7288"/>
    <w:rsid w:val="00BF7378"/>
    <w:rsid w:val="00BF7456"/>
    <w:rsid w:val="00BF74D8"/>
    <w:rsid w:val="00BF74F5"/>
    <w:rsid w:val="00BF7556"/>
    <w:rsid w:val="00BF7618"/>
    <w:rsid w:val="00BF763F"/>
    <w:rsid w:val="00BF7675"/>
    <w:rsid w:val="00BF7693"/>
    <w:rsid w:val="00BF76E2"/>
    <w:rsid w:val="00BF77E7"/>
    <w:rsid w:val="00BF7826"/>
    <w:rsid w:val="00BF7843"/>
    <w:rsid w:val="00BF790A"/>
    <w:rsid w:val="00BF7951"/>
    <w:rsid w:val="00BF7988"/>
    <w:rsid w:val="00BF7A1A"/>
    <w:rsid w:val="00BF7A2F"/>
    <w:rsid w:val="00BF7A88"/>
    <w:rsid w:val="00BF7B53"/>
    <w:rsid w:val="00BF7B59"/>
    <w:rsid w:val="00BF7B65"/>
    <w:rsid w:val="00BF7C35"/>
    <w:rsid w:val="00BF7D3E"/>
    <w:rsid w:val="00BF7E59"/>
    <w:rsid w:val="00BF7EC8"/>
    <w:rsid w:val="00BF7EF2"/>
    <w:rsid w:val="00BF7F30"/>
    <w:rsid w:val="00BF7F46"/>
    <w:rsid w:val="00BF7FDC"/>
    <w:rsid w:val="00C00085"/>
    <w:rsid w:val="00C00090"/>
    <w:rsid w:val="00C00094"/>
    <w:rsid w:val="00C000B6"/>
    <w:rsid w:val="00C00133"/>
    <w:rsid w:val="00C00156"/>
    <w:rsid w:val="00C0017B"/>
    <w:rsid w:val="00C00222"/>
    <w:rsid w:val="00C002D2"/>
    <w:rsid w:val="00C002FC"/>
    <w:rsid w:val="00C00303"/>
    <w:rsid w:val="00C00305"/>
    <w:rsid w:val="00C0031A"/>
    <w:rsid w:val="00C00322"/>
    <w:rsid w:val="00C003BF"/>
    <w:rsid w:val="00C00472"/>
    <w:rsid w:val="00C0055A"/>
    <w:rsid w:val="00C005C9"/>
    <w:rsid w:val="00C00600"/>
    <w:rsid w:val="00C00643"/>
    <w:rsid w:val="00C00652"/>
    <w:rsid w:val="00C006A6"/>
    <w:rsid w:val="00C0074C"/>
    <w:rsid w:val="00C007B5"/>
    <w:rsid w:val="00C00807"/>
    <w:rsid w:val="00C00846"/>
    <w:rsid w:val="00C0088F"/>
    <w:rsid w:val="00C0089B"/>
    <w:rsid w:val="00C008D7"/>
    <w:rsid w:val="00C00957"/>
    <w:rsid w:val="00C00964"/>
    <w:rsid w:val="00C0099B"/>
    <w:rsid w:val="00C009D9"/>
    <w:rsid w:val="00C00D16"/>
    <w:rsid w:val="00C00DB6"/>
    <w:rsid w:val="00C00DDA"/>
    <w:rsid w:val="00C00E22"/>
    <w:rsid w:val="00C00EA3"/>
    <w:rsid w:val="00C00EC0"/>
    <w:rsid w:val="00C00ED1"/>
    <w:rsid w:val="00C00F8F"/>
    <w:rsid w:val="00C01043"/>
    <w:rsid w:val="00C0106D"/>
    <w:rsid w:val="00C010A9"/>
    <w:rsid w:val="00C0119B"/>
    <w:rsid w:val="00C011A9"/>
    <w:rsid w:val="00C011C7"/>
    <w:rsid w:val="00C0126C"/>
    <w:rsid w:val="00C0128B"/>
    <w:rsid w:val="00C01323"/>
    <w:rsid w:val="00C0136D"/>
    <w:rsid w:val="00C013D8"/>
    <w:rsid w:val="00C013EF"/>
    <w:rsid w:val="00C01401"/>
    <w:rsid w:val="00C0158E"/>
    <w:rsid w:val="00C0165D"/>
    <w:rsid w:val="00C016EB"/>
    <w:rsid w:val="00C01716"/>
    <w:rsid w:val="00C01781"/>
    <w:rsid w:val="00C01794"/>
    <w:rsid w:val="00C0180F"/>
    <w:rsid w:val="00C018BF"/>
    <w:rsid w:val="00C01AB7"/>
    <w:rsid w:val="00C01B18"/>
    <w:rsid w:val="00C01B6E"/>
    <w:rsid w:val="00C01B9C"/>
    <w:rsid w:val="00C01C29"/>
    <w:rsid w:val="00C01CAA"/>
    <w:rsid w:val="00C01DE4"/>
    <w:rsid w:val="00C01DFB"/>
    <w:rsid w:val="00C01E1A"/>
    <w:rsid w:val="00C01E22"/>
    <w:rsid w:val="00C01F83"/>
    <w:rsid w:val="00C01FF0"/>
    <w:rsid w:val="00C02077"/>
    <w:rsid w:val="00C0208D"/>
    <w:rsid w:val="00C02092"/>
    <w:rsid w:val="00C020E6"/>
    <w:rsid w:val="00C021F2"/>
    <w:rsid w:val="00C0226B"/>
    <w:rsid w:val="00C0228E"/>
    <w:rsid w:val="00C022BB"/>
    <w:rsid w:val="00C02361"/>
    <w:rsid w:val="00C02379"/>
    <w:rsid w:val="00C023EF"/>
    <w:rsid w:val="00C0241B"/>
    <w:rsid w:val="00C02428"/>
    <w:rsid w:val="00C02445"/>
    <w:rsid w:val="00C02448"/>
    <w:rsid w:val="00C0244F"/>
    <w:rsid w:val="00C02478"/>
    <w:rsid w:val="00C024A8"/>
    <w:rsid w:val="00C02523"/>
    <w:rsid w:val="00C0259A"/>
    <w:rsid w:val="00C02600"/>
    <w:rsid w:val="00C02606"/>
    <w:rsid w:val="00C026E2"/>
    <w:rsid w:val="00C02757"/>
    <w:rsid w:val="00C02766"/>
    <w:rsid w:val="00C027B1"/>
    <w:rsid w:val="00C0283C"/>
    <w:rsid w:val="00C02860"/>
    <w:rsid w:val="00C028AA"/>
    <w:rsid w:val="00C0294A"/>
    <w:rsid w:val="00C029BB"/>
    <w:rsid w:val="00C029FA"/>
    <w:rsid w:val="00C02A5C"/>
    <w:rsid w:val="00C02A69"/>
    <w:rsid w:val="00C02B1F"/>
    <w:rsid w:val="00C02B84"/>
    <w:rsid w:val="00C02BB0"/>
    <w:rsid w:val="00C02C04"/>
    <w:rsid w:val="00C02C63"/>
    <w:rsid w:val="00C02C98"/>
    <w:rsid w:val="00C02D13"/>
    <w:rsid w:val="00C02E09"/>
    <w:rsid w:val="00C02E59"/>
    <w:rsid w:val="00C02E64"/>
    <w:rsid w:val="00C02E70"/>
    <w:rsid w:val="00C02E86"/>
    <w:rsid w:val="00C02E9A"/>
    <w:rsid w:val="00C02F62"/>
    <w:rsid w:val="00C02FA0"/>
    <w:rsid w:val="00C02FDE"/>
    <w:rsid w:val="00C02FE3"/>
    <w:rsid w:val="00C0303B"/>
    <w:rsid w:val="00C03069"/>
    <w:rsid w:val="00C030B0"/>
    <w:rsid w:val="00C03166"/>
    <w:rsid w:val="00C0316E"/>
    <w:rsid w:val="00C03199"/>
    <w:rsid w:val="00C0319B"/>
    <w:rsid w:val="00C031C7"/>
    <w:rsid w:val="00C0321F"/>
    <w:rsid w:val="00C0327F"/>
    <w:rsid w:val="00C032F9"/>
    <w:rsid w:val="00C03323"/>
    <w:rsid w:val="00C0333F"/>
    <w:rsid w:val="00C033A2"/>
    <w:rsid w:val="00C034B7"/>
    <w:rsid w:val="00C034C8"/>
    <w:rsid w:val="00C034D8"/>
    <w:rsid w:val="00C035AF"/>
    <w:rsid w:val="00C035BC"/>
    <w:rsid w:val="00C035C7"/>
    <w:rsid w:val="00C0361A"/>
    <w:rsid w:val="00C03670"/>
    <w:rsid w:val="00C036A6"/>
    <w:rsid w:val="00C036B8"/>
    <w:rsid w:val="00C036CE"/>
    <w:rsid w:val="00C0370A"/>
    <w:rsid w:val="00C03738"/>
    <w:rsid w:val="00C0383E"/>
    <w:rsid w:val="00C038E4"/>
    <w:rsid w:val="00C0390F"/>
    <w:rsid w:val="00C0394E"/>
    <w:rsid w:val="00C03982"/>
    <w:rsid w:val="00C039FE"/>
    <w:rsid w:val="00C03A12"/>
    <w:rsid w:val="00C03A5B"/>
    <w:rsid w:val="00C03A62"/>
    <w:rsid w:val="00C03A80"/>
    <w:rsid w:val="00C03AE1"/>
    <w:rsid w:val="00C03AE8"/>
    <w:rsid w:val="00C03B29"/>
    <w:rsid w:val="00C03D4B"/>
    <w:rsid w:val="00C03DE2"/>
    <w:rsid w:val="00C03DF1"/>
    <w:rsid w:val="00C03EF2"/>
    <w:rsid w:val="00C03FE8"/>
    <w:rsid w:val="00C040B8"/>
    <w:rsid w:val="00C040F3"/>
    <w:rsid w:val="00C04177"/>
    <w:rsid w:val="00C0417F"/>
    <w:rsid w:val="00C04192"/>
    <w:rsid w:val="00C041D9"/>
    <w:rsid w:val="00C041FE"/>
    <w:rsid w:val="00C04376"/>
    <w:rsid w:val="00C0440E"/>
    <w:rsid w:val="00C04458"/>
    <w:rsid w:val="00C04484"/>
    <w:rsid w:val="00C04530"/>
    <w:rsid w:val="00C0456F"/>
    <w:rsid w:val="00C04631"/>
    <w:rsid w:val="00C04647"/>
    <w:rsid w:val="00C04664"/>
    <w:rsid w:val="00C04676"/>
    <w:rsid w:val="00C046EE"/>
    <w:rsid w:val="00C046F1"/>
    <w:rsid w:val="00C04724"/>
    <w:rsid w:val="00C047D5"/>
    <w:rsid w:val="00C04822"/>
    <w:rsid w:val="00C0487D"/>
    <w:rsid w:val="00C048B6"/>
    <w:rsid w:val="00C048BD"/>
    <w:rsid w:val="00C04924"/>
    <w:rsid w:val="00C049C5"/>
    <w:rsid w:val="00C049EA"/>
    <w:rsid w:val="00C04A3F"/>
    <w:rsid w:val="00C04A4C"/>
    <w:rsid w:val="00C04B40"/>
    <w:rsid w:val="00C04B8C"/>
    <w:rsid w:val="00C04B8D"/>
    <w:rsid w:val="00C04BB2"/>
    <w:rsid w:val="00C04BFC"/>
    <w:rsid w:val="00C04C01"/>
    <w:rsid w:val="00C04C0F"/>
    <w:rsid w:val="00C04C9B"/>
    <w:rsid w:val="00C04CB3"/>
    <w:rsid w:val="00C04DDB"/>
    <w:rsid w:val="00C04E39"/>
    <w:rsid w:val="00C04E57"/>
    <w:rsid w:val="00C04E84"/>
    <w:rsid w:val="00C04EBF"/>
    <w:rsid w:val="00C04ED9"/>
    <w:rsid w:val="00C04EE5"/>
    <w:rsid w:val="00C04EEE"/>
    <w:rsid w:val="00C04F1C"/>
    <w:rsid w:val="00C04F83"/>
    <w:rsid w:val="00C04FB6"/>
    <w:rsid w:val="00C04FCC"/>
    <w:rsid w:val="00C04FE5"/>
    <w:rsid w:val="00C04FEE"/>
    <w:rsid w:val="00C05151"/>
    <w:rsid w:val="00C05164"/>
    <w:rsid w:val="00C0523A"/>
    <w:rsid w:val="00C0529F"/>
    <w:rsid w:val="00C0532B"/>
    <w:rsid w:val="00C05344"/>
    <w:rsid w:val="00C054BB"/>
    <w:rsid w:val="00C056C6"/>
    <w:rsid w:val="00C0579D"/>
    <w:rsid w:val="00C057DA"/>
    <w:rsid w:val="00C05806"/>
    <w:rsid w:val="00C05837"/>
    <w:rsid w:val="00C058C8"/>
    <w:rsid w:val="00C0597F"/>
    <w:rsid w:val="00C05BE0"/>
    <w:rsid w:val="00C05CD0"/>
    <w:rsid w:val="00C05E9E"/>
    <w:rsid w:val="00C05F18"/>
    <w:rsid w:val="00C05F5D"/>
    <w:rsid w:val="00C05FB8"/>
    <w:rsid w:val="00C060BE"/>
    <w:rsid w:val="00C060C6"/>
    <w:rsid w:val="00C06202"/>
    <w:rsid w:val="00C063BB"/>
    <w:rsid w:val="00C063E7"/>
    <w:rsid w:val="00C06409"/>
    <w:rsid w:val="00C0642D"/>
    <w:rsid w:val="00C0649D"/>
    <w:rsid w:val="00C064D8"/>
    <w:rsid w:val="00C06507"/>
    <w:rsid w:val="00C0650F"/>
    <w:rsid w:val="00C06513"/>
    <w:rsid w:val="00C06660"/>
    <w:rsid w:val="00C0667B"/>
    <w:rsid w:val="00C066D0"/>
    <w:rsid w:val="00C066D1"/>
    <w:rsid w:val="00C066E8"/>
    <w:rsid w:val="00C0670C"/>
    <w:rsid w:val="00C06729"/>
    <w:rsid w:val="00C067D7"/>
    <w:rsid w:val="00C067D9"/>
    <w:rsid w:val="00C06961"/>
    <w:rsid w:val="00C06985"/>
    <w:rsid w:val="00C06B37"/>
    <w:rsid w:val="00C06B46"/>
    <w:rsid w:val="00C06C6A"/>
    <w:rsid w:val="00C06C77"/>
    <w:rsid w:val="00C06CB9"/>
    <w:rsid w:val="00C06E2C"/>
    <w:rsid w:val="00C06E47"/>
    <w:rsid w:val="00C06E86"/>
    <w:rsid w:val="00C06ED8"/>
    <w:rsid w:val="00C06FC9"/>
    <w:rsid w:val="00C072A2"/>
    <w:rsid w:val="00C072D0"/>
    <w:rsid w:val="00C0732B"/>
    <w:rsid w:val="00C0737D"/>
    <w:rsid w:val="00C07395"/>
    <w:rsid w:val="00C073D7"/>
    <w:rsid w:val="00C07410"/>
    <w:rsid w:val="00C07428"/>
    <w:rsid w:val="00C0750A"/>
    <w:rsid w:val="00C0757C"/>
    <w:rsid w:val="00C07590"/>
    <w:rsid w:val="00C075D8"/>
    <w:rsid w:val="00C07648"/>
    <w:rsid w:val="00C076F6"/>
    <w:rsid w:val="00C07704"/>
    <w:rsid w:val="00C07723"/>
    <w:rsid w:val="00C07872"/>
    <w:rsid w:val="00C07888"/>
    <w:rsid w:val="00C0792E"/>
    <w:rsid w:val="00C07982"/>
    <w:rsid w:val="00C079CC"/>
    <w:rsid w:val="00C07A0D"/>
    <w:rsid w:val="00C07A28"/>
    <w:rsid w:val="00C07A98"/>
    <w:rsid w:val="00C07B43"/>
    <w:rsid w:val="00C07CB2"/>
    <w:rsid w:val="00C07CF8"/>
    <w:rsid w:val="00C07D89"/>
    <w:rsid w:val="00C07DAF"/>
    <w:rsid w:val="00C07DEA"/>
    <w:rsid w:val="00C07E13"/>
    <w:rsid w:val="00C07E57"/>
    <w:rsid w:val="00C07ECB"/>
    <w:rsid w:val="00C07ED3"/>
    <w:rsid w:val="00C07F2A"/>
    <w:rsid w:val="00C07F6D"/>
    <w:rsid w:val="00C07FEF"/>
    <w:rsid w:val="00C10118"/>
    <w:rsid w:val="00C10163"/>
    <w:rsid w:val="00C101BB"/>
    <w:rsid w:val="00C102BD"/>
    <w:rsid w:val="00C10316"/>
    <w:rsid w:val="00C10474"/>
    <w:rsid w:val="00C10479"/>
    <w:rsid w:val="00C104B2"/>
    <w:rsid w:val="00C104E8"/>
    <w:rsid w:val="00C1057E"/>
    <w:rsid w:val="00C105E1"/>
    <w:rsid w:val="00C105ED"/>
    <w:rsid w:val="00C106B3"/>
    <w:rsid w:val="00C10723"/>
    <w:rsid w:val="00C1090A"/>
    <w:rsid w:val="00C10A0B"/>
    <w:rsid w:val="00C10A69"/>
    <w:rsid w:val="00C10A71"/>
    <w:rsid w:val="00C10D02"/>
    <w:rsid w:val="00C10D17"/>
    <w:rsid w:val="00C10D1A"/>
    <w:rsid w:val="00C10DA5"/>
    <w:rsid w:val="00C10E3A"/>
    <w:rsid w:val="00C10EA1"/>
    <w:rsid w:val="00C10EC3"/>
    <w:rsid w:val="00C10EEA"/>
    <w:rsid w:val="00C10F25"/>
    <w:rsid w:val="00C10FDE"/>
    <w:rsid w:val="00C110C6"/>
    <w:rsid w:val="00C110E1"/>
    <w:rsid w:val="00C11259"/>
    <w:rsid w:val="00C11285"/>
    <w:rsid w:val="00C112AA"/>
    <w:rsid w:val="00C113DC"/>
    <w:rsid w:val="00C11443"/>
    <w:rsid w:val="00C11472"/>
    <w:rsid w:val="00C114A4"/>
    <w:rsid w:val="00C114DB"/>
    <w:rsid w:val="00C1153D"/>
    <w:rsid w:val="00C11564"/>
    <w:rsid w:val="00C115D1"/>
    <w:rsid w:val="00C11775"/>
    <w:rsid w:val="00C118B0"/>
    <w:rsid w:val="00C1191D"/>
    <w:rsid w:val="00C1196E"/>
    <w:rsid w:val="00C11970"/>
    <w:rsid w:val="00C119CB"/>
    <w:rsid w:val="00C11A09"/>
    <w:rsid w:val="00C11A35"/>
    <w:rsid w:val="00C11A98"/>
    <w:rsid w:val="00C11AB9"/>
    <w:rsid w:val="00C11B81"/>
    <w:rsid w:val="00C11B91"/>
    <w:rsid w:val="00C11BBB"/>
    <w:rsid w:val="00C11C78"/>
    <w:rsid w:val="00C11DE4"/>
    <w:rsid w:val="00C11E1C"/>
    <w:rsid w:val="00C11E94"/>
    <w:rsid w:val="00C11F28"/>
    <w:rsid w:val="00C11F4B"/>
    <w:rsid w:val="00C11F92"/>
    <w:rsid w:val="00C120E1"/>
    <w:rsid w:val="00C1216F"/>
    <w:rsid w:val="00C12251"/>
    <w:rsid w:val="00C122B1"/>
    <w:rsid w:val="00C122D6"/>
    <w:rsid w:val="00C1230E"/>
    <w:rsid w:val="00C12338"/>
    <w:rsid w:val="00C12368"/>
    <w:rsid w:val="00C123B1"/>
    <w:rsid w:val="00C1243F"/>
    <w:rsid w:val="00C12588"/>
    <w:rsid w:val="00C125DC"/>
    <w:rsid w:val="00C12610"/>
    <w:rsid w:val="00C12618"/>
    <w:rsid w:val="00C1267C"/>
    <w:rsid w:val="00C12687"/>
    <w:rsid w:val="00C126F6"/>
    <w:rsid w:val="00C1271F"/>
    <w:rsid w:val="00C1278D"/>
    <w:rsid w:val="00C127FA"/>
    <w:rsid w:val="00C1295E"/>
    <w:rsid w:val="00C129EE"/>
    <w:rsid w:val="00C12AAF"/>
    <w:rsid w:val="00C12B11"/>
    <w:rsid w:val="00C12BBD"/>
    <w:rsid w:val="00C12C9D"/>
    <w:rsid w:val="00C12CE3"/>
    <w:rsid w:val="00C12D2A"/>
    <w:rsid w:val="00C12D77"/>
    <w:rsid w:val="00C12EB1"/>
    <w:rsid w:val="00C12EC8"/>
    <w:rsid w:val="00C12F14"/>
    <w:rsid w:val="00C12F9E"/>
    <w:rsid w:val="00C13016"/>
    <w:rsid w:val="00C13019"/>
    <w:rsid w:val="00C13101"/>
    <w:rsid w:val="00C131FD"/>
    <w:rsid w:val="00C1320C"/>
    <w:rsid w:val="00C13294"/>
    <w:rsid w:val="00C13320"/>
    <w:rsid w:val="00C13374"/>
    <w:rsid w:val="00C134A8"/>
    <w:rsid w:val="00C134CC"/>
    <w:rsid w:val="00C135B5"/>
    <w:rsid w:val="00C135BE"/>
    <w:rsid w:val="00C135C1"/>
    <w:rsid w:val="00C135CC"/>
    <w:rsid w:val="00C13603"/>
    <w:rsid w:val="00C1367C"/>
    <w:rsid w:val="00C1369D"/>
    <w:rsid w:val="00C136B5"/>
    <w:rsid w:val="00C13706"/>
    <w:rsid w:val="00C13708"/>
    <w:rsid w:val="00C1372D"/>
    <w:rsid w:val="00C1374B"/>
    <w:rsid w:val="00C137A7"/>
    <w:rsid w:val="00C13849"/>
    <w:rsid w:val="00C13854"/>
    <w:rsid w:val="00C1385E"/>
    <w:rsid w:val="00C13902"/>
    <w:rsid w:val="00C13926"/>
    <w:rsid w:val="00C13979"/>
    <w:rsid w:val="00C13986"/>
    <w:rsid w:val="00C13A12"/>
    <w:rsid w:val="00C13A7E"/>
    <w:rsid w:val="00C13B6B"/>
    <w:rsid w:val="00C13BA2"/>
    <w:rsid w:val="00C13BF9"/>
    <w:rsid w:val="00C13C02"/>
    <w:rsid w:val="00C13C9B"/>
    <w:rsid w:val="00C13D0E"/>
    <w:rsid w:val="00C13D91"/>
    <w:rsid w:val="00C13EBD"/>
    <w:rsid w:val="00C13EC3"/>
    <w:rsid w:val="00C13F66"/>
    <w:rsid w:val="00C14063"/>
    <w:rsid w:val="00C140AA"/>
    <w:rsid w:val="00C1411A"/>
    <w:rsid w:val="00C14199"/>
    <w:rsid w:val="00C141D5"/>
    <w:rsid w:val="00C14237"/>
    <w:rsid w:val="00C14253"/>
    <w:rsid w:val="00C142AA"/>
    <w:rsid w:val="00C14384"/>
    <w:rsid w:val="00C14424"/>
    <w:rsid w:val="00C14426"/>
    <w:rsid w:val="00C144C9"/>
    <w:rsid w:val="00C14510"/>
    <w:rsid w:val="00C14513"/>
    <w:rsid w:val="00C14521"/>
    <w:rsid w:val="00C1455F"/>
    <w:rsid w:val="00C14579"/>
    <w:rsid w:val="00C1457A"/>
    <w:rsid w:val="00C1467F"/>
    <w:rsid w:val="00C1468B"/>
    <w:rsid w:val="00C14704"/>
    <w:rsid w:val="00C147E3"/>
    <w:rsid w:val="00C1487A"/>
    <w:rsid w:val="00C14880"/>
    <w:rsid w:val="00C1489C"/>
    <w:rsid w:val="00C148D3"/>
    <w:rsid w:val="00C14994"/>
    <w:rsid w:val="00C149C4"/>
    <w:rsid w:val="00C149CB"/>
    <w:rsid w:val="00C14A1A"/>
    <w:rsid w:val="00C14A43"/>
    <w:rsid w:val="00C14A71"/>
    <w:rsid w:val="00C14AA3"/>
    <w:rsid w:val="00C14B04"/>
    <w:rsid w:val="00C14B18"/>
    <w:rsid w:val="00C14BE5"/>
    <w:rsid w:val="00C14C1D"/>
    <w:rsid w:val="00C14C43"/>
    <w:rsid w:val="00C14C7A"/>
    <w:rsid w:val="00C14C82"/>
    <w:rsid w:val="00C14C96"/>
    <w:rsid w:val="00C14CF5"/>
    <w:rsid w:val="00C14DB5"/>
    <w:rsid w:val="00C14DE0"/>
    <w:rsid w:val="00C14DFA"/>
    <w:rsid w:val="00C14E53"/>
    <w:rsid w:val="00C14F0E"/>
    <w:rsid w:val="00C14F6E"/>
    <w:rsid w:val="00C14FE0"/>
    <w:rsid w:val="00C14FFE"/>
    <w:rsid w:val="00C150DF"/>
    <w:rsid w:val="00C153CA"/>
    <w:rsid w:val="00C15410"/>
    <w:rsid w:val="00C15415"/>
    <w:rsid w:val="00C15425"/>
    <w:rsid w:val="00C15452"/>
    <w:rsid w:val="00C154EE"/>
    <w:rsid w:val="00C1550D"/>
    <w:rsid w:val="00C156BF"/>
    <w:rsid w:val="00C156FC"/>
    <w:rsid w:val="00C157AD"/>
    <w:rsid w:val="00C157EA"/>
    <w:rsid w:val="00C15942"/>
    <w:rsid w:val="00C1598C"/>
    <w:rsid w:val="00C159B9"/>
    <w:rsid w:val="00C15A0F"/>
    <w:rsid w:val="00C15A57"/>
    <w:rsid w:val="00C15A87"/>
    <w:rsid w:val="00C15A8E"/>
    <w:rsid w:val="00C15B7E"/>
    <w:rsid w:val="00C15BB9"/>
    <w:rsid w:val="00C15C3C"/>
    <w:rsid w:val="00C15CD6"/>
    <w:rsid w:val="00C15D2F"/>
    <w:rsid w:val="00C15D33"/>
    <w:rsid w:val="00C15D38"/>
    <w:rsid w:val="00C15D63"/>
    <w:rsid w:val="00C15DD1"/>
    <w:rsid w:val="00C15EA2"/>
    <w:rsid w:val="00C15EF4"/>
    <w:rsid w:val="00C15FDA"/>
    <w:rsid w:val="00C15FE0"/>
    <w:rsid w:val="00C16037"/>
    <w:rsid w:val="00C16069"/>
    <w:rsid w:val="00C1617F"/>
    <w:rsid w:val="00C161B5"/>
    <w:rsid w:val="00C161CC"/>
    <w:rsid w:val="00C16260"/>
    <w:rsid w:val="00C162C6"/>
    <w:rsid w:val="00C162EE"/>
    <w:rsid w:val="00C16336"/>
    <w:rsid w:val="00C16352"/>
    <w:rsid w:val="00C16405"/>
    <w:rsid w:val="00C1642F"/>
    <w:rsid w:val="00C16573"/>
    <w:rsid w:val="00C165D5"/>
    <w:rsid w:val="00C16632"/>
    <w:rsid w:val="00C166E0"/>
    <w:rsid w:val="00C167CF"/>
    <w:rsid w:val="00C168A8"/>
    <w:rsid w:val="00C16963"/>
    <w:rsid w:val="00C169B3"/>
    <w:rsid w:val="00C16A08"/>
    <w:rsid w:val="00C16A53"/>
    <w:rsid w:val="00C16A87"/>
    <w:rsid w:val="00C16AED"/>
    <w:rsid w:val="00C16BDA"/>
    <w:rsid w:val="00C16C1D"/>
    <w:rsid w:val="00C16C30"/>
    <w:rsid w:val="00C16C97"/>
    <w:rsid w:val="00C16C9E"/>
    <w:rsid w:val="00C16CAC"/>
    <w:rsid w:val="00C16CF0"/>
    <w:rsid w:val="00C16D2E"/>
    <w:rsid w:val="00C16DCB"/>
    <w:rsid w:val="00C16E2F"/>
    <w:rsid w:val="00C16E80"/>
    <w:rsid w:val="00C16EA4"/>
    <w:rsid w:val="00C16EBB"/>
    <w:rsid w:val="00C16EBE"/>
    <w:rsid w:val="00C16F77"/>
    <w:rsid w:val="00C16FFE"/>
    <w:rsid w:val="00C17066"/>
    <w:rsid w:val="00C170D0"/>
    <w:rsid w:val="00C170D5"/>
    <w:rsid w:val="00C1717C"/>
    <w:rsid w:val="00C1718E"/>
    <w:rsid w:val="00C172D1"/>
    <w:rsid w:val="00C172E8"/>
    <w:rsid w:val="00C172ED"/>
    <w:rsid w:val="00C17389"/>
    <w:rsid w:val="00C173C7"/>
    <w:rsid w:val="00C174F6"/>
    <w:rsid w:val="00C175D8"/>
    <w:rsid w:val="00C17601"/>
    <w:rsid w:val="00C17607"/>
    <w:rsid w:val="00C1762F"/>
    <w:rsid w:val="00C17655"/>
    <w:rsid w:val="00C1767A"/>
    <w:rsid w:val="00C177B6"/>
    <w:rsid w:val="00C17815"/>
    <w:rsid w:val="00C1784C"/>
    <w:rsid w:val="00C17947"/>
    <w:rsid w:val="00C179F8"/>
    <w:rsid w:val="00C179F9"/>
    <w:rsid w:val="00C17A7D"/>
    <w:rsid w:val="00C17BEB"/>
    <w:rsid w:val="00C17C1D"/>
    <w:rsid w:val="00C17CF5"/>
    <w:rsid w:val="00C17D04"/>
    <w:rsid w:val="00C17D4E"/>
    <w:rsid w:val="00C17D65"/>
    <w:rsid w:val="00C17D7E"/>
    <w:rsid w:val="00C17DDF"/>
    <w:rsid w:val="00C17EAB"/>
    <w:rsid w:val="00C17EF1"/>
    <w:rsid w:val="00C17F55"/>
    <w:rsid w:val="00C1D15D"/>
    <w:rsid w:val="00C20030"/>
    <w:rsid w:val="00C200A6"/>
    <w:rsid w:val="00C200EF"/>
    <w:rsid w:val="00C20184"/>
    <w:rsid w:val="00C20271"/>
    <w:rsid w:val="00C2027A"/>
    <w:rsid w:val="00C20362"/>
    <w:rsid w:val="00C20427"/>
    <w:rsid w:val="00C20435"/>
    <w:rsid w:val="00C204C1"/>
    <w:rsid w:val="00C2057C"/>
    <w:rsid w:val="00C205C5"/>
    <w:rsid w:val="00C205DA"/>
    <w:rsid w:val="00C2062E"/>
    <w:rsid w:val="00C20686"/>
    <w:rsid w:val="00C206DD"/>
    <w:rsid w:val="00C2073B"/>
    <w:rsid w:val="00C2079B"/>
    <w:rsid w:val="00C207BD"/>
    <w:rsid w:val="00C20894"/>
    <w:rsid w:val="00C20933"/>
    <w:rsid w:val="00C209EC"/>
    <w:rsid w:val="00C20A43"/>
    <w:rsid w:val="00C20AA8"/>
    <w:rsid w:val="00C20B24"/>
    <w:rsid w:val="00C20C12"/>
    <w:rsid w:val="00C20C91"/>
    <w:rsid w:val="00C20D47"/>
    <w:rsid w:val="00C20DEA"/>
    <w:rsid w:val="00C20E0C"/>
    <w:rsid w:val="00C20E4A"/>
    <w:rsid w:val="00C20E6B"/>
    <w:rsid w:val="00C20EA6"/>
    <w:rsid w:val="00C20EFE"/>
    <w:rsid w:val="00C20F26"/>
    <w:rsid w:val="00C20F37"/>
    <w:rsid w:val="00C20F9A"/>
    <w:rsid w:val="00C20FF0"/>
    <w:rsid w:val="00C21002"/>
    <w:rsid w:val="00C210C7"/>
    <w:rsid w:val="00C21218"/>
    <w:rsid w:val="00C21223"/>
    <w:rsid w:val="00C212E2"/>
    <w:rsid w:val="00C2131E"/>
    <w:rsid w:val="00C21337"/>
    <w:rsid w:val="00C2143C"/>
    <w:rsid w:val="00C21455"/>
    <w:rsid w:val="00C214D0"/>
    <w:rsid w:val="00C21505"/>
    <w:rsid w:val="00C215A9"/>
    <w:rsid w:val="00C215EB"/>
    <w:rsid w:val="00C2165A"/>
    <w:rsid w:val="00C216BD"/>
    <w:rsid w:val="00C21731"/>
    <w:rsid w:val="00C217DA"/>
    <w:rsid w:val="00C21852"/>
    <w:rsid w:val="00C218C7"/>
    <w:rsid w:val="00C21967"/>
    <w:rsid w:val="00C21988"/>
    <w:rsid w:val="00C21996"/>
    <w:rsid w:val="00C219C9"/>
    <w:rsid w:val="00C219E3"/>
    <w:rsid w:val="00C21A29"/>
    <w:rsid w:val="00C21AA1"/>
    <w:rsid w:val="00C21AC9"/>
    <w:rsid w:val="00C21B7B"/>
    <w:rsid w:val="00C21B8F"/>
    <w:rsid w:val="00C21B9A"/>
    <w:rsid w:val="00C21BF5"/>
    <w:rsid w:val="00C21CC4"/>
    <w:rsid w:val="00C21CF8"/>
    <w:rsid w:val="00C21D46"/>
    <w:rsid w:val="00C21E2B"/>
    <w:rsid w:val="00C21E8E"/>
    <w:rsid w:val="00C21E98"/>
    <w:rsid w:val="00C21EE1"/>
    <w:rsid w:val="00C21F9E"/>
    <w:rsid w:val="00C22124"/>
    <w:rsid w:val="00C22265"/>
    <w:rsid w:val="00C2245F"/>
    <w:rsid w:val="00C2255A"/>
    <w:rsid w:val="00C2256B"/>
    <w:rsid w:val="00C22587"/>
    <w:rsid w:val="00C2269F"/>
    <w:rsid w:val="00C22776"/>
    <w:rsid w:val="00C227F0"/>
    <w:rsid w:val="00C22857"/>
    <w:rsid w:val="00C22879"/>
    <w:rsid w:val="00C228CA"/>
    <w:rsid w:val="00C22983"/>
    <w:rsid w:val="00C22A19"/>
    <w:rsid w:val="00C22A73"/>
    <w:rsid w:val="00C22AB5"/>
    <w:rsid w:val="00C22B61"/>
    <w:rsid w:val="00C22B7D"/>
    <w:rsid w:val="00C22DAC"/>
    <w:rsid w:val="00C22E33"/>
    <w:rsid w:val="00C22E36"/>
    <w:rsid w:val="00C22E92"/>
    <w:rsid w:val="00C22F43"/>
    <w:rsid w:val="00C22F93"/>
    <w:rsid w:val="00C23025"/>
    <w:rsid w:val="00C23026"/>
    <w:rsid w:val="00C2307C"/>
    <w:rsid w:val="00C23102"/>
    <w:rsid w:val="00C231B7"/>
    <w:rsid w:val="00C23206"/>
    <w:rsid w:val="00C23222"/>
    <w:rsid w:val="00C23271"/>
    <w:rsid w:val="00C2328A"/>
    <w:rsid w:val="00C232BE"/>
    <w:rsid w:val="00C232D0"/>
    <w:rsid w:val="00C23309"/>
    <w:rsid w:val="00C2335D"/>
    <w:rsid w:val="00C234C6"/>
    <w:rsid w:val="00C235CD"/>
    <w:rsid w:val="00C235CF"/>
    <w:rsid w:val="00C235F3"/>
    <w:rsid w:val="00C2362A"/>
    <w:rsid w:val="00C23630"/>
    <w:rsid w:val="00C23687"/>
    <w:rsid w:val="00C2376E"/>
    <w:rsid w:val="00C2381F"/>
    <w:rsid w:val="00C2383B"/>
    <w:rsid w:val="00C2385E"/>
    <w:rsid w:val="00C23938"/>
    <w:rsid w:val="00C23939"/>
    <w:rsid w:val="00C23958"/>
    <w:rsid w:val="00C23982"/>
    <w:rsid w:val="00C239A1"/>
    <w:rsid w:val="00C239B7"/>
    <w:rsid w:val="00C239D8"/>
    <w:rsid w:val="00C23A6F"/>
    <w:rsid w:val="00C23AAA"/>
    <w:rsid w:val="00C23AC3"/>
    <w:rsid w:val="00C23B41"/>
    <w:rsid w:val="00C23B42"/>
    <w:rsid w:val="00C23B7A"/>
    <w:rsid w:val="00C23C54"/>
    <w:rsid w:val="00C23C5E"/>
    <w:rsid w:val="00C23D31"/>
    <w:rsid w:val="00C23D93"/>
    <w:rsid w:val="00C23DD9"/>
    <w:rsid w:val="00C23F07"/>
    <w:rsid w:val="00C23F1F"/>
    <w:rsid w:val="00C23F99"/>
    <w:rsid w:val="00C23FB0"/>
    <w:rsid w:val="00C24080"/>
    <w:rsid w:val="00C240B3"/>
    <w:rsid w:val="00C240D0"/>
    <w:rsid w:val="00C24298"/>
    <w:rsid w:val="00C242EF"/>
    <w:rsid w:val="00C242F9"/>
    <w:rsid w:val="00C24416"/>
    <w:rsid w:val="00C24434"/>
    <w:rsid w:val="00C244A0"/>
    <w:rsid w:val="00C244E1"/>
    <w:rsid w:val="00C244E5"/>
    <w:rsid w:val="00C244F5"/>
    <w:rsid w:val="00C24528"/>
    <w:rsid w:val="00C2454C"/>
    <w:rsid w:val="00C245FD"/>
    <w:rsid w:val="00C24640"/>
    <w:rsid w:val="00C24700"/>
    <w:rsid w:val="00C24788"/>
    <w:rsid w:val="00C24813"/>
    <w:rsid w:val="00C248F0"/>
    <w:rsid w:val="00C24958"/>
    <w:rsid w:val="00C24995"/>
    <w:rsid w:val="00C249D5"/>
    <w:rsid w:val="00C24A78"/>
    <w:rsid w:val="00C24AAB"/>
    <w:rsid w:val="00C24AC8"/>
    <w:rsid w:val="00C24AEC"/>
    <w:rsid w:val="00C24C3D"/>
    <w:rsid w:val="00C24C91"/>
    <w:rsid w:val="00C24C95"/>
    <w:rsid w:val="00C24CCA"/>
    <w:rsid w:val="00C24CFC"/>
    <w:rsid w:val="00C24DC2"/>
    <w:rsid w:val="00C24ED6"/>
    <w:rsid w:val="00C24F6C"/>
    <w:rsid w:val="00C24FC3"/>
    <w:rsid w:val="00C250A9"/>
    <w:rsid w:val="00C251F2"/>
    <w:rsid w:val="00C2532F"/>
    <w:rsid w:val="00C2539C"/>
    <w:rsid w:val="00C253DD"/>
    <w:rsid w:val="00C253E1"/>
    <w:rsid w:val="00C253FB"/>
    <w:rsid w:val="00C25464"/>
    <w:rsid w:val="00C2547F"/>
    <w:rsid w:val="00C25507"/>
    <w:rsid w:val="00C255F4"/>
    <w:rsid w:val="00C25625"/>
    <w:rsid w:val="00C25747"/>
    <w:rsid w:val="00C25827"/>
    <w:rsid w:val="00C2585D"/>
    <w:rsid w:val="00C258CD"/>
    <w:rsid w:val="00C258EC"/>
    <w:rsid w:val="00C2596F"/>
    <w:rsid w:val="00C25A06"/>
    <w:rsid w:val="00C25A23"/>
    <w:rsid w:val="00C25A4A"/>
    <w:rsid w:val="00C25A4E"/>
    <w:rsid w:val="00C25A5E"/>
    <w:rsid w:val="00C25B23"/>
    <w:rsid w:val="00C25B33"/>
    <w:rsid w:val="00C25B40"/>
    <w:rsid w:val="00C25BD8"/>
    <w:rsid w:val="00C25C2F"/>
    <w:rsid w:val="00C25C33"/>
    <w:rsid w:val="00C25D73"/>
    <w:rsid w:val="00C25D8A"/>
    <w:rsid w:val="00C25DA9"/>
    <w:rsid w:val="00C25DDB"/>
    <w:rsid w:val="00C25E37"/>
    <w:rsid w:val="00C25E8C"/>
    <w:rsid w:val="00C25EE5"/>
    <w:rsid w:val="00C26046"/>
    <w:rsid w:val="00C260B3"/>
    <w:rsid w:val="00C260FA"/>
    <w:rsid w:val="00C26187"/>
    <w:rsid w:val="00C261CE"/>
    <w:rsid w:val="00C26279"/>
    <w:rsid w:val="00C2628F"/>
    <w:rsid w:val="00C262B5"/>
    <w:rsid w:val="00C262C8"/>
    <w:rsid w:val="00C262FB"/>
    <w:rsid w:val="00C26452"/>
    <w:rsid w:val="00C26458"/>
    <w:rsid w:val="00C2645E"/>
    <w:rsid w:val="00C264E5"/>
    <w:rsid w:val="00C2650F"/>
    <w:rsid w:val="00C2651B"/>
    <w:rsid w:val="00C265A2"/>
    <w:rsid w:val="00C2661E"/>
    <w:rsid w:val="00C2664C"/>
    <w:rsid w:val="00C26700"/>
    <w:rsid w:val="00C26764"/>
    <w:rsid w:val="00C2677B"/>
    <w:rsid w:val="00C26788"/>
    <w:rsid w:val="00C26811"/>
    <w:rsid w:val="00C26854"/>
    <w:rsid w:val="00C268B3"/>
    <w:rsid w:val="00C269A5"/>
    <w:rsid w:val="00C269F4"/>
    <w:rsid w:val="00C26A2A"/>
    <w:rsid w:val="00C26A89"/>
    <w:rsid w:val="00C26AA1"/>
    <w:rsid w:val="00C26AB0"/>
    <w:rsid w:val="00C26C90"/>
    <w:rsid w:val="00C26CD0"/>
    <w:rsid w:val="00C26CFC"/>
    <w:rsid w:val="00C26E09"/>
    <w:rsid w:val="00C26E99"/>
    <w:rsid w:val="00C26F0F"/>
    <w:rsid w:val="00C26F20"/>
    <w:rsid w:val="00C26F62"/>
    <w:rsid w:val="00C26F7F"/>
    <w:rsid w:val="00C26FB7"/>
    <w:rsid w:val="00C27016"/>
    <w:rsid w:val="00C27046"/>
    <w:rsid w:val="00C2708F"/>
    <w:rsid w:val="00C271A5"/>
    <w:rsid w:val="00C271FD"/>
    <w:rsid w:val="00C27317"/>
    <w:rsid w:val="00C2735C"/>
    <w:rsid w:val="00C27396"/>
    <w:rsid w:val="00C2739D"/>
    <w:rsid w:val="00C273D0"/>
    <w:rsid w:val="00C273DC"/>
    <w:rsid w:val="00C273EE"/>
    <w:rsid w:val="00C273FE"/>
    <w:rsid w:val="00C27537"/>
    <w:rsid w:val="00C2757C"/>
    <w:rsid w:val="00C275A2"/>
    <w:rsid w:val="00C27684"/>
    <w:rsid w:val="00C276BD"/>
    <w:rsid w:val="00C2776D"/>
    <w:rsid w:val="00C27783"/>
    <w:rsid w:val="00C277FA"/>
    <w:rsid w:val="00C27894"/>
    <w:rsid w:val="00C278D4"/>
    <w:rsid w:val="00C278F2"/>
    <w:rsid w:val="00C278F9"/>
    <w:rsid w:val="00C2793E"/>
    <w:rsid w:val="00C27AB2"/>
    <w:rsid w:val="00C27AFF"/>
    <w:rsid w:val="00C27B23"/>
    <w:rsid w:val="00C27B8E"/>
    <w:rsid w:val="00C27BC2"/>
    <w:rsid w:val="00C27BD1"/>
    <w:rsid w:val="00C27CF7"/>
    <w:rsid w:val="00C27D1E"/>
    <w:rsid w:val="00C27D88"/>
    <w:rsid w:val="00C27DC3"/>
    <w:rsid w:val="00C27E95"/>
    <w:rsid w:val="00C27F41"/>
    <w:rsid w:val="00C27F46"/>
    <w:rsid w:val="00C27FB6"/>
    <w:rsid w:val="00C27FBB"/>
    <w:rsid w:val="00C27FDA"/>
    <w:rsid w:val="00C27FFA"/>
    <w:rsid w:val="00C30005"/>
    <w:rsid w:val="00C30202"/>
    <w:rsid w:val="00C30262"/>
    <w:rsid w:val="00C304AC"/>
    <w:rsid w:val="00C305E8"/>
    <w:rsid w:val="00C3068B"/>
    <w:rsid w:val="00C3069E"/>
    <w:rsid w:val="00C306D2"/>
    <w:rsid w:val="00C30744"/>
    <w:rsid w:val="00C30852"/>
    <w:rsid w:val="00C308BF"/>
    <w:rsid w:val="00C308CE"/>
    <w:rsid w:val="00C309B7"/>
    <w:rsid w:val="00C309F2"/>
    <w:rsid w:val="00C30A2D"/>
    <w:rsid w:val="00C30A2E"/>
    <w:rsid w:val="00C30A61"/>
    <w:rsid w:val="00C30AC9"/>
    <w:rsid w:val="00C30C28"/>
    <w:rsid w:val="00C30C8B"/>
    <w:rsid w:val="00C30D07"/>
    <w:rsid w:val="00C30DE3"/>
    <w:rsid w:val="00C30E35"/>
    <w:rsid w:val="00C30E5A"/>
    <w:rsid w:val="00C30EEC"/>
    <w:rsid w:val="00C30FA3"/>
    <w:rsid w:val="00C30FD2"/>
    <w:rsid w:val="00C31021"/>
    <w:rsid w:val="00C31156"/>
    <w:rsid w:val="00C31256"/>
    <w:rsid w:val="00C31288"/>
    <w:rsid w:val="00C312BA"/>
    <w:rsid w:val="00C312F0"/>
    <w:rsid w:val="00C3136B"/>
    <w:rsid w:val="00C31419"/>
    <w:rsid w:val="00C31422"/>
    <w:rsid w:val="00C31546"/>
    <w:rsid w:val="00C31551"/>
    <w:rsid w:val="00C31585"/>
    <w:rsid w:val="00C315AD"/>
    <w:rsid w:val="00C31706"/>
    <w:rsid w:val="00C31781"/>
    <w:rsid w:val="00C31836"/>
    <w:rsid w:val="00C318B8"/>
    <w:rsid w:val="00C318C4"/>
    <w:rsid w:val="00C31901"/>
    <w:rsid w:val="00C31909"/>
    <w:rsid w:val="00C31982"/>
    <w:rsid w:val="00C31984"/>
    <w:rsid w:val="00C319C9"/>
    <w:rsid w:val="00C31AE2"/>
    <w:rsid w:val="00C31B2D"/>
    <w:rsid w:val="00C31B49"/>
    <w:rsid w:val="00C31B72"/>
    <w:rsid w:val="00C31BED"/>
    <w:rsid w:val="00C31CCD"/>
    <w:rsid w:val="00C31D15"/>
    <w:rsid w:val="00C31D72"/>
    <w:rsid w:val="00C31DAB"/>
    <w:rsid w:val="00C31E06"/>
    <w:rsid w:val="00C31E75"/>
    <w:rsid w:val="00C31EC1"/>
    <w:rsid w:val="00C31F1D"/>
    <w:rsid w:val="00C31F2F"/>
    <w:rsid w:val="00C31F4C"/>
    <w:rsid w:val="00C32007"/>
    <w:rsid w:val="00C32028"/>
    <w:rsid w:val="00C32029"/>
    <w:rsid w:val="00C320BE"/>
    <w:rsid w:val="00C3212F"/>
    <w:rsid w:val="00C32159"/>
    <w:rsid w:val="00C32179"/>
    <w:rsid w:val="00C321D1"/>
    <w:rsid w:val="00C32371"/>
    <w:rsid w:val="00C323C8"/>
    <w:rsid w:val="00C323D3"/>
    <w:rsid w:val="00C323F6"/>
    <w:rsid w:val="00C32455"/>
    <w:rsid w:val="00C32476"/>
    <w:rsid w:val="00C32523"/>
    <w:rsid w:val="00C3252F"/>
    <w:rsid w:val="00C32597"/>
    <w:rsid w:val="00C325C7"/>
    <w:rsid w:val="00C3264E"/>
    <w:rsid w:val="00C326B0"/>
    <w:rsid w:val="00C32704"/>
    <w:rsid w:val="00C327FB"/>
    <w:rsid w:val="00C3287C"/>
    <w:rsid w:val="00C32998"/>
    <w:rsid w:val="00C329A5"/>
    <w:rsid w:val="00C329F0"/>
    <w:rsid w:val="00C32BAD"/>
    <w:rsid w:val="00C32BDF"/>
    <w:rsid w:val="00C32C9A"/>
    <w:rsid w:val="00C32CB9"/>
    <w:rsid w:val="00C32D2A"/>
    <w:rsid w:val="00C32D61"/>
    <w:rsid w:val="00C32D69"/>
    <w:rsid w:val="00C32E44"/>
    <w:rsid w:val="00C32E52"/>
    <w:rsid w:val="00C32ED1"/>
    <w:rsid w:val="00C3304D"/>
    <w:rsid w:val="00C332A8"/>
    <w:rsid w:val="00C33382"/>
    <w:rsid w:val="00C33388"/>
    <w:rsid w:val="00C333BF"/>
    <w:rsid w:val="00C3344D"/>
    <w:rsid w:val="00C33475"/>
    <w:rsid w:val="00C33559"/>
    <w:rsid w:val="00C335AF"/>
    <w:rsid w:val="00C335D9"/>
    <w:rsid w:val="00C335E0"/>
    <w:rsid w:val="00C336C8"/>
    <w:rsid w:val="00C336CD"/>
    <w:rsid w:val="00C336F0"/>
    <w:rsid w:val="00C33736"/>
    <w:rsid w:val="00C33771"/>
    <w:rsid w:val="00C33773"/>
    <w:rsid w:val="00C33777"/>
    <w:rsid w:val="00C338A7"/>
    <w:rsid w:val="00C33A06"/>
    <w:rsid w:val="00C33A2F"/>
    <w:rsid w:val="00C33AD7"/>
    <w:rsid w:val="00C33B04"/>
    <w:rsid w:val="00C33B62"/>
    <w:rsid w:val="00C33B64"/>
    <w:rsid w:val="00C33C39"/>
    <w:rsid w:val="00C33C5A"/>
    <w:rsid w:val="00C33C7F"/>
    <w:rsid w:val="00C33CA0"/>
    <w:rsid w:val="00C33D77"/>
    <w:rsid w:val="00C33E0C"/>
    <w:rsid w:val="00C33E10"/>
    <w:rsid w:val="00C33E92"/>
    <w:rsid w:val="00C33EEB"/>
    <w:rsid w:val="00C33F20"/>
    <w:rsid w:val="00C33F4C"/>
    <w:rsid w:val="00C34028"/>
    <w:rsid w:val="00C34038"/>
    <w:rsid w:val="00C34198"/>
    <w:rsid w:val="00C3420A"/>
    <w:rsid w:val="00C342A0"/>
    <w:rsid w:val="00C343AC"/>
    <w:rsid w:val="00C34526"/>
    <w:rsid w:val="00C34535"/>
    <w:rsid w:val="00C345C0"/>
    <w:rsid w:val="00C34627"/>
    <w:rsid w:val="00C34649"/>
    <w:rsid w:val="00C3469D"/>
    <w:rsid w:val="00C346F4"/>
    <w:rsid w:val="00C347AF"/>
    <w:rsid w:val="00C347BA"/>
    <w:rsid w:val="00C3494C"/>
    <w:rsid w:val="00C34A01"/>
    <w:rsid w:val="00C34A26"/>
    <w:rsid w:val="00C34AD4"/>
    <w:rsid w:val="00C34AF9"/>
    <w:rsid w:val="00C34B66"/>
    <w:rsid w:val="00C34B99"/>
    <w:rsid w:val="00C34CD7"/>
    <w:rsid w:val="00C34CDA"/>
    <w:rsid w:val="00C34D6A"/>
    <w:rsid w:val="00C34D91"/>
    <w:rsid w:val="00C34E4C"/>
    <w:rsid w:val="00C34F0F"/>
    <w:rsid w:val="00C34F17"/>
    <w:rsid w:val="00C34F47"/>
    <w:rsid w:val="00C34F51"/>
    <w:rsid w:val="00C350B3"/>
    <w:rsid w:val="00C35151"/>
    <w:rsid w:val="00C35154"/>
    <w:rsid w:val="00C35196"/>
    <w:rsid w:val="00C351D9"/>
    <w:rsid w:val="00C35274"/>
    <w:rsid w:val="00C3530C"/>
    <w:rsid w:val="00C35353"/>
    <w:rsid w:val="00C353BF"/>
    <w:rsid w:val="00C3547A"/>
    <w:rsid w:val="00C354B9"/>
    <w:rsid w:val="00C355C8"/>
    <w:rsid w:val="00C3564A"/>
    <w:rsid w:val="00C3564D"/>
    <w:rsid w:val="00C356C3"/>
    <w:rsid w:val="00C35713"/>
    <w:rsid w:val="00C3574D"/>
    <w:rsid w:val="00C357D2"/>
    <w:rsid w:val="00C357E4"/>
    <w:rsid w:val="00C35892"/>
    <w:rsid w:val="00C358C7"/>
    <w:rsid w:val="00C358E4"/>
    <w:rsid w:val="00C358EC"/>
    <w:rsid w:val="00C358FF"/>
    <w:rsid w:val="00C35907"/>
    <w:rsid w:val="00C359A3"/>
    <w:rsid w:val="00C35A59"/>
    <w:rsid w:val="00C35AA2"/>
    <w:rsid w:val="00C35B4C"/>
    <w:rsid w:val="00C35B76"/>
    <w:rsid w:val="00C35BC1"/>
    <w:rsid w:val="00C35BD4"/>
    <w:rsid w:val="00C35C3D"/>
    <w:rsid w:val="00C35C55"/>
    <w:rsid w:val="00C35D14"/>
    <w:rsid w:val="00C35D43"/>
    <w:rsid w:val="00C35D75"/>
    <w:rsid w:val="00C35E21"/>
    <w:rsid w:val="00C35E33"/>
    <w:rsid w:val="00C35E46"/>
    <w:rsid w:val="00C36060"/>
    <w:rsid w:val="00C360A3"/>
    <w:rsid w:val="00C3611D"/>
    <w:rsid w:val="00C361A0"/>
    <w:rsid w:val="00C36242"/>
    <w:rsid w:val="00C3625B"/>
    <w:rsid w:val="00C36267"/>
    <w:rsid w:val="00C36295"/>
    <w:rsid w:val="00C3636F"/>
    <w:rsid w:val="00C363AF"/>
    <w:rsid w:val="00C363C6"/>
    <w:rsid w:val="00C36404"/>
    <w:rsid w:val="00C36412"/>
    <w:rsid w:val="00C36597"/>
    <w:rsid w:val="00C3662A"/>
    <w:rsid w:val="00C36675"/>
    <w:rsid w:val="00C366EB"/>
    <w:rsid w:val="00C3688C"/>
    <w:rsid w:val="00C368A2"/>
    <w:rsid w:val="00C369B9"/>
    <w:rsid w:val="00C369E8"/>
    <w:rsid w:val="00C369F6"/>
    <w:rsid w:val="00C36B08"/>
    <w:rsid w:val="00C36BAC"/>
    <w:rsid w:val="00C36BB3"/>
    <w:rsid w:val="00C36C05"/>
    <w:rsid w:val="00C36C65"/>
    <w:rsid w:val="00C36C96"/>
    <w:rsid w:val="00C36CE0"/>
    <w:rsid w:val="00C36D87"/>
    <w:rsid w:val="00C36DB3"/>
    <w:rsid w:val="00C36E32"/>
    <w:rsid w:val="00C36E44"/>
    <w:rsid w:val="00C36E7F"/>
    <w:rsid w:val="00C36F00"/>
    <w:rsid w:val="00C36F70"/>
    <w:rsid w:val="00C37034"/>
    <w:rsid w:val="00C37084"/>
    <w:rsid w:val="00C37100"/>
    <w:rsid w:val="00C37408"/>
    <w:rsid w:val="00C37452"/>
    <w:rsid w:val="00C3751C"/>
    <w:rsid w:val="00C37554"/>
    <w:rsid w:val="00C37599"/>
    <w:rsid w:val="00C3759A"/>
    <w:rsid w:val="00C375E8"/>
    <w:rsid w:val="00C37618"/>
    <w:rsid w:val="00C376D5"/>
    <w:rsid w:val="00C37766"/>
    <w:rsid w:val="00C3776E"/>
    <w:rsid w:val="00C37794"/>
    <w:rsid w:val="00C3785B"/>
    <w:rsid w:val="00C379FD"/>
    <w:rsid w:val="00C37ACD"/>
    <w:rsid w:val="00C37B03"/>
    <w:rsid w:val="00C37B19"/>
    <w:rsid w:val="00C37BFD"/>
    <w:rsid w:val="00C37CB9"/>
    <w:rsid w:val="00C37CC7"/>
    <w:rsid w:val="00C37D77"/>
    <w:rsid w:val="00C37E0C"/>
    <w:rsid w:val="00C37EDD"/>
    <w:rsid w:val="00C37F97"/>
    <w:rsid w:val="00C400BA"/>
    <w:rsid w:val="00C400E7"/>
    <w:rsid w:val="00C4010B"/>
    <w:rsid w:val="00C40327"/>
    <w:rsid w:val="00C4033A"/>
    <w:rsid w:val="00C403D5"/>
    <w:rsid w:val="00C404CA"/>
    <w:rsid w:val="00C4056C"/>
    <w:rsid w:val="00C4061A"/>
    <w:rsid w:val="00C40630"/>
    <w:rsid w:val="00C40755"/>
    <w:rsid w:val="00C4076B"/>
    <w:rsid w:val="00C407DE"/>
    <w:rsid w:val="00C4087C"/>
    <w:rsid w:val="00C40891"/>
    <w:rsid w:val="00C40896"/>
    <w:rsid w:val="00C4093A"/>
    <w:rsid w:val="00C40A23"/>
    <w:rsid w:val="00C40B8B"/>
    <w:rsid w:val="00C40B9F"/>
    <w:rsid w:val="00C40C74"/>
    <w:rsid w:val="00C40CD1"/>
    <w:rsid w:val="00C40CE3"/>
    <w:rsid w:val="00C40CE5"/>
    <w:rsid w:val="00C40DA0"/>
    <w:rsid w:val="00C40DC8"/>
    <w:rsid w:val="00C40DE3"/>
    <w:rsid w:val="00C40E08"/>
    <w:rsid w:val="00C40E3B"/>
    <w:rsid w:val="00C40E72"/>
    <w:rsid w:val="00C40E8F"/>
    <w:rsid w:val="00C40EBF"/>
    <w:rsid w:val="00C40F53"/>
    <w:rsid w:val="00C40F58"/>
    <w:rsid w:val="00C40FFF"/>
    <w:rsid w:val="00C41053"/>
    <w:rsid w:val="00C4114B"/>
    <w:rsid w:val="00C41198"/>
    <w:rsid w:val="00C41229"/>
    <w:rsid w:val="00C41327"/>
    <w:rsid w:val="00C413B3"/>
    <w:rsid w:val="00C413EA"/>
    <w:rsid w:val="00C41426"/>
    <w:rsid w:val="00C4146F"/>
    <w:rsid w:val="00C4147A"/>
    <w:rsid w:val="00C414A9"/>
    <w:rsid w:val="00C414D1"/>
    <w:rsid w:val="00C4153C"/>
    <w:rsid w:val="00C41596"/>
    <w:rsid w:val="00C415ED"/>
    <w:rsid w:val="00C41616"/>
    <w:rsid w:val="00C416E8"/>
    <w:rsid w:val="00C416EE"/>
    <w:rsid w:val="00C41757"/>
    <w:rsid w:val="00C4182E"/>
    <w:rsid w:val="00C4183B"/>
    <w:rsid w:val="00C4195E"/>
    <w:rsid w:val="00C41B67"/>
    <w:rsid w:val="00C41BC8"/>
    <w:rsid w:val="00C41BFB"/>
    <w:rsid w:val="00C41C3B"/>
    <w:rsid w:val="00C41CC4"/>
    <w:rsid w:val="00C41DB8"/>
    <w:rsid w:val="00C41E2A"/>
    <w:rsid w:val="00C41E3A"/>
    <w:rsid w:val="00C41F57"/>
    <w:rsid w:val="00C42124"/>
    <w:rsid w:val="00C42182"/>
    <w:rsid w:val="00C421B1"/>
    <w:rsid w:val="00C4223A"/>
    <w:rsid w:val="00C4226C"/>
    <w:rsid w:val="00C42288"/>
    <w:rsid w:val="00C42371"/>
    <w:rsid w:val="00C423B3"/>
    <w:rsid w:val="00C4241E"/>
    <w:rsid w:val="00C42464"/>
    <w:rsid w:val="00C424FF"/>
    <w:rsid w:val="00C42577"/>
    <w:rsid w:val="00C425FE"/>
    <w:rsid w:val="00C42755"/>
    <w:rsid w:val="00C4275C"/>
    <w:rsid w:val="00C427D0"/>
    <w:rsid w:val="00C428E0"/>
    <w:rsid w:val="00C42942"/>
    <w:rsid w:val="00C429F0"/>
    <w:rsid w:val="00C429F5"/>
    <w:rsid w:val="00C42BB6"/>
    <w:rsid w:val="00C42BC5"/>
    <w:rsid w:val="00C42BD6"/>
    <w:rsid w:val="00C42BE6"/>
    <w:rsid w:val="00C42BFD"/>
    <w:rsid w:val="00C42C64"/>
    <w:rsid w:val="00C42C9A"/>
    <w:rsid w:val="00C42CCC"/>
    <w:rsid w:val="00C42CE5"/>
    <w:rsid w:val="00C42D01"/>
    <w:rsid w:val="00C42D19"/>
    <w:rsid w:val="00C42D2D"/>
    <w:rsid w:val="00C42D31"/>
    <w:rsid w:val="00C42D86"/>
    <w:rsid w:val="00C42DA2"/>
    <w:rsid w:val="00C42E4F"/>
    <w:rsid w:val="00C42EDD"/>
    <w:rsid w:val="00C42FCC"/>
    <w:rsid w:val="00C43040"/>
    <w:rsid w:val="00C430F1"/>
    <w:rsid w:val="00C430F8"/>
    <w:rsid w:val="00C43142"/>
    <w:rsid w:val="00C431CB"/>
    <w:rsid w:val="00C43266"/>
    <w:rsid w:val="00C4326E"/>
    <w:rsid w:val="00C4326F"/>
    <w:rsid w:val="00C432BF"/>
    <w:rsid w:val="00C43308"/>
    <w:rsid w:val="00C433EE"/>
    <w:rsid w:val="00C43403"/>
    <w:rsid w:val="00C434B2"/>
    <w:rsid w:val="00C4352D"/>
    <w:rsid w:val="00C435D7"/>
    <w:rsid w:val="00C4361C"/>
    <w:rsid w:val="00C436A2"/>
    <w:rsid w:val="00C43707"/>
    <w:rsid w:val="00C43793"/>
    <w:rsid w:val="00C437F3"/>
    <w:rsid w:val="00C438D6"/>
    <w:rsid w:val="00C4393B"/>
    <w:rsid w:val="00C43945"/>
    <w:rsid w:val="00C43973"/>
    <w:rsid w:val="00C439E4"/>
    <w:rsid w:val="00C43AA1"/>
    <w:rsid w:val="00C43AEF"/>
    <w:rsid w:val="00C43B1C"/>
    <w:rsid w:val="00C43B36"/>
    <w:rsid w:val="00C43C9A"/>
    <w:rsid w:val="00C43CDE"/>
    <w:rsid w:val="00C43CE1"/>
    <w:rsid w:val="00C43D9A"/>
    <w:rsid w:val="00C43DB4"/>
    <w:rsid w:val="00C43E4C"/>
    <w:rsid w:val="00C43F70"/>
    <w:rsid w:val="00C4415B"/>
    <w:rsid w:val="00C441DB"/>
    <w:rsid w:val="00C441FD"/>
    <w:rsid w:val="00C4425D"/>
    <w:rsid w:val="00C442B5"/>
    <w:rsid w:val="00C442F1"/>
    <w:rsid w:val="00C443E3"/>
    <w:rsid w:val="00C443F9"/>
    <w:rsid w:val="00C44497"/>
    <w:rsid w:val="00C444A1"/>
    <w:rsid w:val="00C444EB"/>
    <w:rsid w:val="00C4452F"/>
    <w:rsid w:val="00C44549"/>
    <w:rsid w:val="00C44557"/>
    <w:rsid w:val="00C44592"/>
    <w:rsid w:val="00C44686"/>
    <w:rsid w:val="00C446A8"/>
    <w:rsid w:val="00C44729"/>
    <w:rsid w:val="00C44753"/>
    <w:rsid w:val="00C44782"/>
    <w:rsid w:val="00C447EC"/>
    <w:rsid w:val="00C447EE"/>
    <w:rsid w:val="00C4485B"/>
    <w:rsid w:val="00C449DA"/>
    <w:rsid w:val="00C449E2"/>
    <w:rsid w:val="00C44A76"/>
    <w:rsid w:val="00C44AE3"/>
    <w:rsid w:val="00C44BAF"/>
    <w:rsid w:val="00C44BE5"/>
    <w:rsid w:val="00C44BFF"/>
    <w:rsid w:val="00C44CFD"/>
    <w:rsid w:val="00C44E86"/>
    <w:rsid w:val="00C44EAA"/>
    <w:rsid w:val="00C44EB5"/>
    <w:rsid w:val="00C44FCA"/>
    <w:rsid w:val="00C4503F"/>
    <w:rsid w:val="00C4504F"/>
    <w:rsid w:val="00C4506E"/>
    <w:rsid w:val="00C450FB"/>
    <w:rsid w:val="00C45132"/>
    <w:rsid w:val="00C45198"/>
    <w:rsid w:val="00C4524D"/>
    <w:rsid w:val="00C45283"/>
    <w:rsid w:val="00C45284"/>
    <w:rsid w:val="00C452D4"/>
    <w:rsid w:val="00C45403"/>
    <w:rsid w:val="00C4543B"/>
    <w:rsid w:val="00C45440"/>
    <w:rsid w:val="00C454BC"/>
    <w:rsid w:val="00C454DA"/>
    <w:rsid w:val="00C454DE"/>
    <w:rsid w:val="00C45544"/>
    <w:rsid w:val="00C4557E"/>
    <w:rsid w:val="00C45655"/>
    <w:rsid w:val="00C4566A"/>
    <w:rsid w:val="00C456A3"/>
    <w:rsid w:val="00C456A4"/>
    <w:rsid w:val="00C4572D"/>
    <w:rsid w:val="00C45762"/>
    <w:rsid w:val="00C457AD"/>
    <w:rsid w:val="00C457AF"/>
    <w:rsid w:val="00C457F3"/>
    <w:rsid w:val="00C45836"/>
    <w:rsid w:val="00C4585E"/>
    <w:rsid w:val="00C45899"/>
    <w:rsid w:val="00C458BA"/>
    <w:rsid w:val="00C4593D"/>
    <w:rsid w:val="00C4595C"/>
    <w:rsid w:val="00C459AC"/>
    <w:rsid w:val="00C45A08"/>
    <w:rsid w:val="00C45AB5"/>
    <w:rsid w:val="00C45B2A"/>
    <w:rsid w:val="00C45B59"/>
    <w:rsid w:val="00C45B7A"/>
    <w:rsid w:val="00C45B93"/>
    <w:rsid w:val="00C45BB5"/>
    <w:rsid w:val="00C45BB9"/>
    <w:rsid w:val="00C45C39"/>
    <w:rsid w:val="00C45C4C"/>
    <w:rsid w:val="00C45CBA"/>
    <w:rsid w:val="00C45CBD"/>
    <w:rsid w:val="00C45D46"/>
    <w:rsid w:val="00C45E64"/>
    <w:rsid w:val="00C45EB3"/>
    <w:rsid w:val="00C45F39"/>
    <w:rsid w:val="00C45F89"/>
    <w:rsid w:val="00C45FF1"/>
    <w:rsid w:val="00C45FFB"/>
    <w:rsid w:val="00C46153"/>
    <w:rsid w:val="00C46196"/>
    <w:rsid w:val="00C4625E"/>
    <w:rsid w:val="00C46261"/>
    <w:rsid w:val="00C4629F"/>
    <w:rsid w:val="00C462CF"/>
    <w:rsid w:val="00C462F1"/>
    <w:rsid w:val="00C4633A"/>
    <w:rsid w:val="00C4645C"/>
    <w:rsid w:val="00C4648C"/>
    <w:rsid w:val="00C464EB"/>
    <w:rsid w:val="00C46589"/>
    <w:rsid w:val="00C465EF"/>
    <w:rsid w:val="00C465F9"/>
    <w:rsid w:val="00C46614"/>
    <w:rsid w:val="00C466B2"/>
    <w:rsid w:val="00C466FC"/>
    <w:rsid w:val="00C46735"/>
    <w:rsid w:val="00C467A8"/>
    <w:rsid w:val="00C4687B"/>
    <w:rsid w:val="00C46902"/>
    <w:rsid w:val="00C46909"/>
    <w:rsid w:val="00C469C9"/>
    <w:rsid w:val="00C46BCD"/>
    <w:rsid w:val="00C46BD2"/>
    <w:rsid w:val="00C46BFE"/>
    <w:rsid w:val="00C46C53"/>
    <w:rsid w:val="00C46C7D"/>
    <w:rsid w:val="00C46C95"/>
    <w:rsid w:val="00C46E19"/>
    <w:rsid w:val="00C46E2C"/>
    <w:rsid w:val="00C46ED0"/>
    <w:rsid w:val="00C4707C"/>
    <w:rsid w:val="00C47155"/>
    <w:rsid w:val="00C47169"/>
    <w:rsid w:val="00C471A7"/>
    <w:rsid w:val="00C47284"/>
    <w:rsid w:val="00C47377"/>
    <w:rsid w:val="00C473E5"/>
    <w:rsid w:val="00C47484"/>
    <w:rsid w:val="00C474DB"/>
    <w:rsid w:val="00C47516"/>
    <w:rsid w:val="00C4753E"/>
    <w:rsid w:val="00C47581"/>
    <w:rsid w:val="00C4759E"/>
    <w:rsid w:val="00C475E4"/>
    <w:rsid w:val="00C475E5"/>
    <w:rsid w:val="00C476CC"/>
    <w:rsid w:val="00C476D7"/>
    <w:rsid w:val="00C47735"/>
    <w:rsid w:val="00C47747"/>
    <w:rsid w:val="00C47758"/>
    <w:rsid w:val="00C477C7"/>
    <w:rsid w:val="00C47808"/>
    <w:rsid w:val="00C47816"/>
    <w:rsid w:val="00C47823"/>
    <w:rsid w:val="00C479CB"/>
    <w:rsid w:val="00C479D8"/>
    <w:rsid w:val="00C479F0"/>
    <w:rsid w:val="00C47A48"/>
    <w:rsid w:val="00C47A7E"/>
    <w:rsid w:val="00C47A97"/>
    <w:rsid w:val="00C47AC9"/>
    <w:rsid w:val="00C47BB7"/>
    <w:rsid w:val="00C47BDC"/>
    <w:rsid w:val="00C47C88"/>
    <w:rsid w:val="00C47D32"/>
    <w:rsid w:val="00C47DB5"/>
    <w:rsid w:val="00C47E26"/>
    <w:rsid w:val="00C47F80"/>
    <w:rsid w:val="00C500FD"/>
    <w:rsid w:val="00C50106"/>
    <w:rsid w:val="00C50121"/>
    <w:rsid w:val="00C50150"/>
    <w:rsid w:val="00C50265"/>
    <w:rsid w:val="00C502E7"/>
    <w:rsid w:val="00C503C8"/>
    <w:rsid w:val="00C50427"/>
    <w:rsid w:val="00C50428"/>
    <w:rsid w:val="00C5042B"/>
    <w:rsid w:val="00C50532"/>
    <w:rsid w:val="00C50546"/>
    <w:rsid w:val="00C5059D"/>
    <w:rsid w:val="00C505F2"/>
    <w:rsid w:val="00C50663"/>
    <w:rsid w:val="00C506B0"/>
    <w:rsid w:val="00C506E9"/>
    <w:rsid w:val="00C5081D"/>
    <w:rsid w:val="00C50884"/>
    <w:rsid w:val="00C508F4"/>
    <w:rsid w:val="00C50929"/>
    <w:rsid w:val="00C5099C"/>
    <w:rsid w:val="00C509FB"/>
    <w:rsid w:val="00C50A14"/>
    <w:rsid w:val="00C50C1A"/>
    <w:rsid w:val="00C50C2B"/>
    <w:rsid w:val="00C50CE5"/>
    <w:rsid w:val="00C50D95"/>
    <w:rsid w:val="00C50DD7"/>
    <w:rsid w:val="00C50DED"/>
    <w:rsid w:val="00C50EBF"/>
    <w:rsid w:val="00C50EC2"/>
    <w:rsid w:val="00C50FC0"/>
    <w:rsid w:val="00C51078"/>
    <w:rsid w:val="00C510EB"/>
    <w:rsid w:val="00C51105"/>
    <w:rsid w:val="00C51140"/>
    <w:rsid w:val="00C51231"/>
    <w:rsid w:val="00C5125C"/>
    <w:rsid w:val="00C5126A"/>
    <w:rsid w:val="00C512DE"/>
    <w:rsid w:val="00C51313"/>
    <w:rsid w:val="00C51370"/>
    <w:rsid w:val="00C51444"/>
    <w:rsid w:val="00C51455"/>
    <w:rsid w:val="00C51462"/>
    <w:rsid w:val="00C515C8"/>
    <w:rsid w:val="00C515DE"/>
    <w:rsid w:val="00C51764"/>
    <w:rsid w:val="00C517A3"/>
    <w:rsid w:val="00C517B2"/>
    <w:rsid w:val="00C51886"/>
    <w:rsid w:val="00C51887"/>
    <w:rsid w:val="00C51923"/>
    <w:rsid w:val="00C51934"/>
    <w:rsid w:val="00C51948"/>
    <w:rsid w:val="00C51955"/>
    <w:rsid w:val="00C519CE"/>
    <w:rsid w:val="00C51A49"/>
    <w:rsid w:val="00C51A4A"/>
    <w:rsid w:val="00C51ABE"/>
    <w:rsid w:val="00C51B6D"/>
    <w:rsid w:val="00C51B87"/>
    <w:rsid w:val="00C51BB6"/>
    <w:rsid w:val="00C51BBB"/>
    <w:rsid w:val="00C51CAC"/>
    <w:rsid w:val="00C51CEC"/>
    <w:rsid w:val="00C51D18"/>
    <w:rsid w:val="00C51D25"/>
    <w:rsid w:val="00C51D41"/>
    <w:rsid w:val="00C51DCB"/>
    <w:rsid w:val="00C51DD2"/>
    <w:rsid w:val="00C51DE3"/>
    <w:rsid w:val="00C51DF6"/>
    <w:rsid w:val="00C51E62"/>
    <w:rsid w:val="00C51E9C"/>
    <w:rsid w:val="00C51F91"/>
    <w:rsid w:val="00C51FA7"/>
    <w:rsid w:val="00C5201C"/>
    <w:rsid w:val="00C52052"/>
    <w:rsid w:val="00C52057"/>
    <w:rsid w:val="00C520A6"/>
    <w:rsid w:val="00C5213D"/>
    <w:rsid w:val="00C5219A"/>
    <w:rsid w:val="00C521BB"/>
    <w:rsid w:val="00C52207"/>
    <w:rsid w:val="00C52252"/>
    <w:rsid w:val="00C522D8"/>
    <w:rsid w:val="00C5248C"/>
    <w:rsid w:val="00C52533"/>
    <w:rsid w:val="00C52580"/>
    <w:rsid w:val="00C5264B"/>
    <w:rsid w:val="00C526C6"/>
    <w:rsid w:val="00C52734"/>
    <w:rsid w:val="00C527C1"/>
    <w:rsid w:val="00C527F2"/>
    <w:rsid w:val="00C5283F"/>
    <w:rsid w:val="00C52855"/>
    <w:rsid w:val="00C5285B"/>
    <w:rsid w:val="00C52923"/>
    <w:rsid w:val="00C52932"/>
    <w:rsid w:val="00C52935"/>
    <w:rsid w:val="00C52A8D"/>
    <w:rsid w:val="00C52AE2"/>
    <w:rsid w:val="00C52B00"/>
    <w:rsid w:val="00C52B3E"/>
    <w:rsid w:val="00C52B4F"/>
    <w:rsid w:val="00C52B78"/>
    <w:rsid w:val="00C52C20"/>
    <w:rsid w:val="00C52C40"/>
    <w:rsid w:val="00C52C5B"/>
    <w:rsid w:val="00C52CD9"/>
    <w:rsid w:val="00C52CEA"/>
    <w:rsid w:val="00C52DAD"/>
    <w:rsid w:val="00C52DCC"/>
    <w:rsid w:val="00C52E47"/>
    <w:rsid w:val="00C52E8F"/>
    <w:rsid w:val="00C52F82"/>
    <w:rsid w:val="00C52F8E"/>
    <w:rsid w:val="00C5302A"/>
    <w:rsid w:val="00C530CB"/>
    <w:rsid w:val="00C530EC"/>
    <w:rsid w:val="00C531E6"/>
    <w:rsid w:val="00C5330A"/>
    <w:rsid w:val="00C53490"/>
    <w:rsid w:val="00C534A4"/>
    <w:rsid w:val="00C534C8"/>
    <w:rsid w:val="00C53524"/>
    <w:rsid w:val="00C5356B"/>
    <w:rsid w:val="00C53639"/>
    <w:rsid w:val="00C53641"/>
    <w:rsid w:val="00C536B2"/>
    <w:rsid w:val="00C536D1"/>
    <w:rsid w:val="00C53886"/>
    <w:rsid w:val="00C53962"/>
    <w:rsid w:val="00C53965"/>
    <w:rsid w:val="00C539EF"/>
    <w:rsid w:val="00C53A01"/>
    <w:rsid w:val="00C53A48"/>
    <w:rsid w:val="00C53B07"/>
    <w:rsid w:val="00C53B7F"/>
    <w:rsid w:val="00C53C3B"/>
    <w:rsid w:val="00C53D01"/>
    <w:rsid w:val="00C53D0F"/>
    <w:rsid w:val="00C53D24"/>
    <w:rsid w:val="00C53D60"/>
    <w:rsid w:val="00C53DBA"/>
    <w:rsid w:val="00C53E91"/>
    <w:rsid w:val="00C53EB4"/>
    <w:rsid w:val="00C53F78"/>
    <w:rsid w:val="00C53FDB"/>
    <w:rsid w:val="00C5409C"/>
    <w:rsid w:val="00C54139"/>
    <w:rsid w:val="00C541CF"/>
    <w:rsid w:val="00C5428B"/>
    <w:rsid w:val="00C5429B"/>
    <w:rsid w:val="00C54308"/>
    <w:rsid w:val="00C54330"/>
    <w:rsid w:val="00C54383"/>
    <w:rsid w:val="00C544DA"/>
    <w:rsid w:val="00C544DB"/>
    <w:rsid w:val="00C5454E"/>
    <w:rsid w:val="00C5458B"/>
    <w:rsid w:val="00C54593"/>
    <w:rsid w:val="00C546AE"/>
    <w:rsid w:val="00C546B5"/>
    <w:rsid w:val="00C546EE"/>
    <w:rsid w:val="00C54787"/>
    <w:rsid w:val="00C5480B"/>
    <w:rsid w:val="00C548C0"/>
    <w:rsid w:val="00C548CD"/>
    <w:rsid w:val="00C548EF"/>
    <w:rsid w:val="00C5492B"/>
    <w:rsid w:val="00C549C0"/>
    <w:rsid w:val="00C549C5"/>
    <w:rsid w:val="00C549D5"/>
    <w:rsid w:val="00C54A00"/>
    <w:rsid w:val="00C54A06"/>
    <w:rsid w:val="00C54A0A"/>
    <w:rsid w:val="00C54A17"/>
    <w:rsid w:val="00C54A7B"/>
    <w:rsid w:val="00C54CA6"/>
    <w:rsid w:val="00C54D05"/>
    <w:rsid w:val="00C54D3D"/>
    <w:rsid w:val="00C54D80"/>
    <w:rsid w:val="00C54DA9"/>
    <w:rsid w:val="00C54DD5"/>
    <w:rsid w:val="00C54DF6"/>
    <w:rsid w:val="00C54E37"/>
    <w:rsid w:val="00C5503C"/>
    <w:rsid w:val="00C550EC"/>
    <w:rsid w:val="00C552A4"/>
    <w:rsid w:val="00C553BF"/>
    <w:rsid w:val="00C5543A"/>
    <w:rsid w:val="00C55446"/>
    <w:rsid w:val="00C55470"/>
    <w:rsid w:val="00C55562"/>
    <w:rsid w:val="00C55687"/>
    <w:rsid w:val="00C5569F"/>
    <w:rsid w:val="00C556A2"/>
    <w:rsid w:val="00C556BB"/>
    <w:rsid w:val="00C556CB"/>
    <w:rsid w:val="00C5578A"/>
    <w:rsid w:val="00C557BE"/>
    <w:rsid w:val="00C557C3"/>
    <w:rsid w:val="00C5580A"/>
    <w:rsid w:val="00C55839"/>
    <w:rsid w:val="00C5584F"/>
    <w:rsid w:val="00C558B7"/>
    <w:rsid w:val="00C55975"/>
    <w:rsid w:val="00C559A8"/>
    <w:rsid w:val="00C559AF"/>
    <w:rsid w:val="00C55AA7"/>
    <w:rsid w:val="00C55AAB"/>
    <w:rsid w:val="00C55AF6"/>
    <w:rsid w:val="00C55B22"/>
    <w:rsid w:val="00C55B51"/>
    <w:rsid w:val="00C55C72"/>
    <w:rsid w:val="00C55C9A"/>
    <w:rsid w:val="00C55CC5"/>
    <w:rsid w:val="00C55CFE"/>
    <w:rsid w:val="00C55F82"/>
    <w:rsid w:val="00C5607E"/>
    <w:rsid w:val="00C560BD"/>
    <w:rsid w:val="00C560D8"/>
    <w:rsid w:val="00C561B3"/>
    <w:rsid w:val="00C561C1"/>
    <w:rsid w:val="00C56269"/>
    <w:rsid w:val="00C562D2"/>
    <w:rsid w:val="00C562F9"/>
    <w:rsid w:val="00C563D7"/>
    <w:rsid w:val="00C56447"/>
    <w:rsid w:val="00C564C3"/>
    <w:rsid w:val="00C564C7"/>
    <w:rsid w:val="00C5656C"/>
    <w:rsid w:val="00C565EC"/>
    <w:rsid w:val="00C56616"/>
    <w:rsid w:val="00C56766"/>
    <w:rsid w:val="00C56785"/>
    <w:rsid w:val="00C567D1"/>
    <w:rsid w:val="00C567E1"/>
    <w:rsid w:val="00C56897"/>
    <w:rsid w:val="00C568AE"/>
    <w:rsid w:val="00C568E9"/>
    <w:rsid w:val="00C568F9"/>
    <w:rsid w:val="00C56931"/>
    <w:rsid w:val="00C569AB"/>
    <w:rsid w:val="00C56A05"/>
    <w:rsid w:val="00C56A32"/>
    <w:rsid w:val="00C56AD8"/>
    <w:rsid w:val="00C56B66"/>
    <w:rsid w:val="00C56BB2"/>
    <w:rsid w:val="00C56BC2"/>
    <w:rsid w:val="00C56C28"/>
    <w:rsid w:val="00C56C73"/>
    <w:rsid w:val="00C56D62"/>
    <w:rsid w:val="00C56DA6"/>
    <w:rsid w:val="00C56F26"/>
    <w:rsid w:val="00C56FB3"/>
    <w:rsid w:val="00C56FDF"/>
    <w:rsid w:val="00C56FF2"/>
    <w:rsid w:val="00C57035"/>
    <w:rsid w:val="00C57076"/>
    <w:rsid w:val="00C57099"/>
    <w:rsid w:val="00C57180"/>
    <w:rsid w:val="00C5725A"/>
    <w:rsid w:val="00C572A2"/>
    <w:rsid w:val="00C57329"/>
    <w:rsid w:val="00C573AB"/>
    <w:rsid w:val="00C573B6"/>
    <w:rsid w:val="00C573EE"/>
    <w:rsid w:val="00C5742F"/>
    <w:rsid w:val="00C5743C"/>
    <w:rsid w:val="00C5746A"/>
    <w:rsid w:val="00C57496"/>
    <w:rsid w:val="00C57506"/>
    <w:rsid w:val="00C57530"/>
    <w:rsid w:val="00C57585"/>
    <w:rsid w:val="00C575C0"/>
    <w:rsid w:val="00C575F6"/>
    <w:rsid w:val="00C57685"/>
    <w:rsid w:val="00C5769D"/>
    <w:rsid w:val="00C576AA"/>
    <w:rsid w:val="00C576EB"/>
    <w:rsid w:val="00C5774C"/>
    <w:rsid w:val="00C57752"/>
    <w:rsid w:val="00C577B8"/>
    <w:rsid w:val="00C577EB"/>
    <w:rsid w:val="00C5780B"/>
    <w:rsid w:val="00C57813"/>
    <w:rsid w:val="00C5785C"/>
    <w:rsid w:val="00C578AF"/>
    <w:rsid w:val="00C578B4"/>
    <w:rsid w:val="00C578CE"/>
    <w:rsid w:val="00C5790D"/>
    <w:rsid w:val="00C57938"/>
    <w:rsid w:val="00C57939"/>
    <w:rsid w:val="00C57960"/>
    <w:rsid w:val="00C579D1"/>
    <w:rsid w:val="00C57A9E"/>
    <w:rsid w:val="00C57ACA"/>
    <w:rsid w:val="00C57AF4"/>
    <w:rsid w:val="00C57B84"/>
    <w:rsid w:val="00C57CF7"/>
    <w:rsid w:val="00C57D08"/>
    <w:rsid w:val="00C57D1A"/>
    <w:rsid w:val="00C57D6D"/>
    <w:rsid w:val="00C57DF7"/>
    <w:rsid w:val="00C57E1E"/>
    <w:rsid w:val="00C57E4E"/>
    <w:rsid w:val="00C57E8A"/>
    <w:rsid w:val="00C57EC9"/>
    <w:rsid w:val="00C57F16"/>
    <w:rsid w:val="00C57F7D"/>
    <w:rsid w:val="00C57FAC"/>
    <w:rsid w:val="00C57FB9"/>
    <w:rsid w:val="00C60007"/>
    <w:rsid w:val="00C60045"/>
    <w:rsid w:val="00C6009D"/>
    <w:rsid w:val="00C600FF"/>
    <w:rsid w:val="00C601F9"/>
    <w:rsid w:val="00C601FE"/>
    <w:rsid w:val="00C60270"/>
    <w:rsid w:val="00C6042E"/>
    <w:rsid w:val="00C604A9"/>
    <w:rsid w:val="00C6050B"/>
    <w:rsid w:val="00C605CC"/>
    <w:rsid w:val="00C6064A"/>
    <w:rsid w:val="00C60699"/>
    <w:rsid w:val="00C607EB"/>
    <w:rsid w:val="00C607F5"/>
    <w:rsid w:val="00C608A2"/>
    <w:rsid w:val="00C608FC"/>
    <w:rsid w:val="00C609AD"/>
    <w:rsid w:val="00C609E4"/>
    <w:rsid w:val="00C60A47"/>
    <w:rsid w:val="00C60B03"/>
    <w:rsid w:val="00C60B28"/>
    <w:rsid w:val="00C60B48"/>
    <w:rsid w:val="00C60B8B"/>
    <w:rsid w:val="00C60C6E"/>
    <w:rsid w:val="00C60D35"/>
    <w:rsid w:val="00C60DAD"/>
    <w:rsid w:val="00C60E20"/>
    <w:rsid w:val="00C60E2A"/>
    <w:rsid w:val="00C60E72"/>
    <w:rsid w:val="00C60F19"/>
    <w:rsid w:val="00C60FA3"/>
    <w:rsid w:val="00C61067"/>
    <w:rsid w:val="00C610A8"/>
    <w:rsid w:val="00C610CD"/>
    <w:rsid w:val="00C610EC"/>
    <w:rsid w:val="00C61112"/>
    <w:rsid w:val="00C6115F"/>
    <w:rsid w:val="00C61309"/>
    <w:rsid w:val="00C614B8"/>
    <w:rsid w:val="00C6157C"/>
    <w:rsid w:val="00C615A2"/>
    <w:rsid w:val="00C61612"/>
    <w:rsid w:val="00C61618"/>
    <w:rsid w:val="00C61728"/>
    <w:rsid w:val="00C61756"/>
    <w:rsid w:val="00C61829"/>
    <w:rsid w:val="00C6187C"/>
    <w:rsid w:val="00C6187E"/>
    <w:rsid w:val="00C618B8"/>
    <w:rsid w:val="00C61931"/>
    <w:rsid w:val="00C6195C"/>
    <w:rsid w:val="00C61995"/>
    <w:rsid w:val="00C61A8C"/>
    <w:rsid w:val="00C61B83"/>
    <w:rsid w:val="00C61BCC"/>
    <w:rsid w:val="00C61C40"/>
    <w:rsid w:val="00C61C49"/>
    <w:rsid w:val="00C61C8F"/>
    <w:rsid w:val="00C61CC1"/>
    <w:rsid w:val="00C61CC2"/>
    <w:rsid w:val="00C61CF7"/>
    <w:rsid w:val="00C61D62"/>
    <w:rsid w:val="00C61D72"/>
    <w:rsid w:val="00C61DCA"/>
    <w:rsid w:val="00C61E17"/>
    <w:rsid w:val="00C61FEB"/>
    <w:rsid w:val="00C62003"/>
    <w:rsid w:val="00C62058"/>
    <w:rsid w:val="00C620A0"/>
    <w:rsid w:val="00C62101"/>
    <w:rsid w:val="00C62230"/>
    <w:rsid w:val="00C62293"/>
    <w:rsid w:val="00C623C0"/>
    <w:rsid w:val="00C623CA"/>
    <w:rsid w:val="00C62440"/>
    <w:rsid w:val="00C6247A"/>
    <w:rsid w:val="00C6256A"/>
    <w:rsid w:val="00C6259D"/>
    <w:rsid w:val="00C625DA"/>
    <w:rsid w:val="00C62605"/>
    <w:rsid w:val="00C6269B"/>
    <w:rsid w:val="00C62713"/>
    <w:rsid w:val="00C62794"/>
    <w:rsid w:val="00C627EA"/>
    <w:rsid w:val="00C627FB"/>
    <w:rsid w:val="00C627FE"/>
    <w:rsid w:val="00C6280F"/>
    <w:rsid w:val="00C62971"/>
    <w:rsid w:val="00C62AEA"/>
    <w:rsid w:val="00C62BE4"/>
    <w:rsid w:val="00C62C4F"/>
    <w:rsid w:val="00C62C96"/>
    <w:rsid w:val="00C62CA9"/>
    <w:rsid w:val="00C62D3C"/>
    <w:rsid w:val="00C62D45"/>
    <w:rsid w:val="00C62D71"/>
    <w:rsid w:val="00C62DBF"/>
    <w:rsid w:val="00C62DD8"/>
    <w:rsid w:val="00C62E1C"/>
    <w:rsid w:val="00C62E68"/>
    <w:rsid w:val="00C62F97"/>
    <w:rsid w:val="00C62FFE"/>
    <w:rsid w:val="00C63043"/>
    <w:rsid w:val="00C630E0"/>
    <w:rsid w:val="00C63146"/>
    <w:rsid w:val="00C6317D"/>
    <w:rsid w:val="00C631F3"/>
    <w:rsid w:val="00C631FE"/>
    <w:rsid w:val="00C63218"/>
    <w:rsid w:val="00C632A0"/>
    <w:rsid w:val="00C632CD"/>
    <w:rsid w:val="00C63334"/>
    <w:rsid w:val="00C63353"/>
    <w:rsid w:val="00C633F1"/>
    <w:rsid w:val="00C63418"/>
    <w:rsid w:val="00C6346C"/>
    <w:rsid w:val="00C63504"/>
    <w:rsid w:val="00C63531"/>
    <w:rsid w:val="00C63571"/>
    <w:rsid w:val="00C63581"/>
    <w:rsid w:val="00C6359F"/>
    <w:rsid w:val="00C635BC"/>
    <w:rsid w:val="00C6362C"/>
    <w:rsid w:val="00C63661"/>
    <w:rsid w:val="00C6369E"/>
    <w:rsid w:val="00C636DA"/>
    <w:rsid w:val="00C63758"/>
    <w:rsid w:val="00C63786"/>
    <w:rsid w:val="00C637D6"/>
    <w:rsid w:val="00C63815"/>
    <w:rsid w:val="00C63881"/>
    <w:rsid w:val="00C638BD"/>
    <w:rsid w:val="00C63925"/>
    <w:rsid w:val="00C63959"/>
    <w:rsid w:val="00C63998"/>
    <w:rsid w:val="00C6399E"/>
    <w:rsid w:val="00C639B0"/>
    <w:rsid w:val="00C639CA"/>
    <w:rsid w:val="00C63A16"/>
    <w:rsid w:val="00C63A28"/>
    <w:rsid w:val="00C63A45"/>
    <w:rsid w:val="00C63A4D"/>
    <w:rsid w:val="00C63A89"/>
    <w:rsid w:val="00C63B26"/>
    <w:rsid w:val="00C63B2B"/>
    <w:rsid w:val="00C63B93"/>
    <w:rsid w:val="00C63BAE"/>
    <w:rsid w:val="00C63BC4"/>
    <w:rsid w:val="00C63C54"/>
    <w:rsid w:val="00C63CB9"/>
    <w:rsid w:val="00C63D37"/>
    <w:rsid w:val="00C63D82"/>
    <w:rsid w:val="00C63DB9"/>
    <w:rsid w:val="00C63E1F"/>
    <w:rsid w:val="00C63EA3"/>
    <w:rsid w:val="00C63EAF"/>
    <w:rsid w:val="00C63EC1"/>
    <w:rsid w:val="00C63FF0"/>
    <w:rsid w:val="00C64048"/>
    <w:rsid w:val="00C64277"/>
    <w:rsid w:val="00C64320"/>
    <w:rsid w:val="00C64329"/>
    <w:rsid w:val="00C6435D"/>
    <w:rsid w:val="00C6457E"/>
    <w:rsid w:val="00C645CE"/>
    <w:rsid w:val="00C645D7"/>
    <w:rsid w:val="00C645F6"/>
    <w:rsid w:val="00C64607"/>
    <w:rsid w:val="00C64642"/>
    <w:rsid w:val="00C646C7"/>
    <w:rsid w:val="00C64792"/>
    <w:rsid w:val="00C64797"/>
    <w:rsid w:val="00C6479E"/>
    <w:rsid w:val="00C647AD"/>
    <w:rsid w:val="00C64827"/>
    <w:rsid w:val="00C64851"/>
    <w:rsid w:val="00C6487F"/>
    <w:rsid w:val="00C648CB"/>
    <w:rsid w:val="00C648FB"/>
    <w:rsid w:val="00C64960"/>
    <w:rsid w:val="00C649E1"/>
    <w:rsid w:val="00C64A28"/>
    <w:rsid w:val="00C64A3E"/>
    <w:rsid w:val="00C64A5B"/>
    <w:rsid w:val="00C64A5E"/>
    <w:rsid w:val="00C64AA7"/>
    <w:rsid w:val="00C64AB6"/>
    <w:rsid w:val="00C64AF1"/>
    <w:rsid w:val="00C64B06"/>
    <w:rsid w:val="00C64B0C"/>
    <w:rsid w:val="00C64B29"/>
    <w:rsid w:val="00C64B61"/>
    <w:rsid w:val="00C64B63"/>
    <w:rsid w:val="00C64B7C"/>
    <w:rsid w:val="00C64BF8"/>
    <w:rsid w:val="00C64C72"/>
    <w:rsid w:val="00C64CA7"/>
    <w:rsid w:val="00C64CE2"/>
    <w:rsid w:val="00C64D1D"/>
    <w:rsid w:val="00C64E5E"/>
    <w:rsid w:val="00C64F82"/>
    <w:rsid w:val="00C651A1"/>
    <w:rsid w:val="00C651C6"/>
    <w:rsid w:val="00C652CF"/>
    <w:rsid w:val="00C653D9"/>
    <w:rsid w:val="00C6553B"/>
    <w:rsid w:val="00C6562F"/>
    <w:rsid w:val="00C656B1"/>
    <w:rsid w:val="00C6574D"/>
    <w:rsid w:val="00C657A5"/>
    <w:rsid w:val="00C657F5"/>
    <w:rsid w:val="00C6588B"/>
    <w:rsid w:val="00C658BB"/>
    <w:rsid w:val="00C65958"/>
    <w:rsid w:val="00C659E8"/>
    <w:rsid w:val="00C65A08"/>
    <w:rsid w:val="00C65A41"/>
    <w:rsid w:val="00C65A6D"/>
    <w:rsid w:val="00C65AE5"/>
    <w:rsid w:val="00C65BA6"/>
    <w:rsid w:val="00C65BB7"/>
    <w:rsid w:val="00C65C7F"/>
    <w:rsid w:val="00C65C93"/>
    <w:rsid w:val="00C65C9A"/>
    <w:rsid w:val="00C65D66"/>
    <w:rsid w:val="00C65DBA"/>
    <w:rsid w:val="00C65DD1"/>
    <w:rsid w:val="00C65DEE"/>
    <w:rsid w:val="00C65E5B"/>
    <w:rsid w:val="00C65EBC"/>
    <w:rsid w:val="00C65F0A"/>
    <w:rsid w:val="00C65F86"/>
    <w:rsid w:val="00C65FA8"/>
    <w:rsid w:val="00C6600E"/>
    <w:rsid w:val="00C6607A"/>
    <w:rsid w:val="00C66149"/>
    <w:rsid w:val="00C66284"/>
    <w:rsid w:val="00C662C2"/>
    <w:rsid w:val="00C66369"/>
    <w:rsid w:val="00C663D7"/>
    <w:rsid w:val="00C66403"/>
    <w:rsid w:val="00C66486"/>
    <w:rsid w:val="00C665AC"/>
    <w:rsid w:val="00C665B0"/>
    <w:rsid w:val="00C665D3"/>
    <w:rsid w:val="00C665FF"/>
    <w:rsid w:val="00C66625"/>
    <w:rsid w:val="00C66651"/>
    <w:rsid w:val="00C66672"/>
    <w:rsid w:val="00C66682"/>
    <w:rsid w:val="00C6668B"/>
    <w:rsid w:val="00C66746"/>
    <w:rsid w:val="00C6675A"/>
    <w:rsid w:val="00C66786"/>
    <w:rsid w:val="00C667E0"/>
    <w:rsid w:val="00C667E7"/>
    <w:rsid w:val="00C6680B"/>
    <w:rsid w:val="00C66843"/>
    <w:rsid w:val="00C668E6"/>
    <w:rsid w:val="00C669FE"/>
    <w:rsid w:val="00C66AA4"/>
    <w:rsid w:val="00C66C33"/>
    <w:rsid w:val="00C66CF7"/>
    <w:rsid w:val="00C66D19"/>
    <w:rsid w:val="00C66D2E"/>
    <w:rsid w:val="00C66D32"/>
    <w:rsid w:val="00C66E22"/>
    <w:rsid w:val="00C66E47"/>
    <w:rsid w:val="00C66E84"/>
    <w:rsid w:val="00C66EA0"/>
    <w:rsid w:val="00C66EAF"/>
    <w:rsid w:val="00C66F17"/>
    <w:rsid w:val="00C67013"/>
    <w:rsid w:val="00C6709B"/>
    <w:rsid w:val="00C670D9"/>
    <w:rsid w:val="00C671E5"/>
    <w:rsid w:val="00C67346"/>
    <w:rsid w:val="00C6741D"/>
    <w:rsid w:val="00C674C7"/>
    <w:rsid w:val="00C674DE"/>
    <w:rsid w:val="00C67665"/>
    <w:rsid w:val="00C67705"/>
    <w:rsid w:val="00C67722"/>
    <w:rsid w:val="00C67735"/>
    <w:rsid w:val="00C677E6"/>
    <w:rsid w:val="00C677E8"/>
    <w:rsid w:val="00C67873"/>
    <w:rsid w:val="00C67A9E"/>
    <w:rsid w:val="00C67B1B"/>
    <w:rsid w:val="00C67B35"/>
    <w:rsid w:val="00C67B3E"/>
    <w:rsid w:val="00C67BAF"/>
    <w:rsid w:val="00C67BC7"/>
    <w:rsid w:val="00C67C13"/>
    <w:rsid w:val="00C67C56"/>
    <w:rsid w:val="00C67C84"/>
    <w:rsid w:val="00C67E84"/>
    <w:rsid w:val="00C67EAB"/>
    <w:rsid w:val="00C67F96"/>
    <w:rsid w:val="00C67FA0"/>
    <w:rsid w:val="00C67FAE"/>
    <w:rsid w:val="00C70013"/>
    <w:rsid w:val="00C7004E"/>
    <w:rsid w:val="00C70127"/>
    <w:rsid w:val="00C70153"/>
    <w:rsid w:val="00C7016E"/>
    <w:rsid w:val="00C701AF"/>
    <w:rsid w:val="00C7020B"/>
    <w:rsid w:val="00C70271"/>
    <w:rsid w:val="00C7027B"/>
    <w:rsid w:val="00C702D1"/>
    <w:rsid w:val="00C70342"/>
    <w:rsid w:val="00C70431"/>
    <w:rsid w:val="00C70452"/>
    <w:rsid w:val="00C70478"/>
    <w:rsid w:val="00C704A0"/>
    <w:rsid w:val="00C70525"/>
    <w:rsid w:val="00C705DF"/>
    <w:rsid w:val="00C70610"/>
    <w:rsid w:val="00C7062C"/>
    <w:rsid w:val="00C70730"/>
    <w:rsid w:val="00C70734"/>
    <w:rsid w:val="00C70852"/>
    <w:rsid w:val="00C708FE"/>
    <w:rsid w:val="00C70998"/>
    <w:rsid w:val="00C709AF"/>
    <w:rsid w:val="00C709CF"/>
    <w:rsid w:val="00C70A56"/>
    <w:rsid w:val="00C70AF7"/>
    <w:rsid w:val="00C70B12"/>
    <w:rsid w:val="00C70B17"/>
    <w:rsid w:val="00C70B35"/>
    <w:rsid w:val="00C70BD3"/>
    <w:rsid w:val="00C70C09"/>
    <w:rsid w:val="00C70C2D"/>
    <w:rsid w:val="00C70C96"/>
    <w:rsid w:val="00C70D97"/>
    <w:rsid w:val="00C70DB5"/>
    <w:rsid w:val="00C70E1E"/>
    <w:rsid w:val="00C70E8F"/>
    <w:rsid w:val="00C70EC6"/>
    <w:rsid w:val="00C70EE5"/>
    <w:rsid w:val="00C70FA7"/>
    <w:rsid w:val="00C71000"/>
    <w:rsid w:val="00C710F3"/>
    <w:rsid w:val="00C71112"/>
    <w:rsid w:val="00C71125"/>
    <w:rsid w:val="00C7120C"/>
    <w:rsid w:val="00C7121F"/>
    <w:rsid w:val="00C71226"/>
    <w:rsid w:val="00C71265"/>
    <w:rsid w:val="00C712AD"/>
    <w:rsid w:val="00C712D3"/>
    <w:rsid w:val="00C7130C"/>
    <w:rsid w:val="00C71327"/>
    <w:rsid w:val="00C71431"/>
    <w:rsid w:val="00C7145D"/>
    <w:rsid w:val="00C714F7"/>
    <w:rsid w:val="00C715B4"/>
    <w:rsid w:val="00C7168F"/>
    <w:rsid w:val="00C716D1"/>
    <w:rsid w:val="00C716EF"/>
    <w:rsid w:val="00C71781"/>
    <w:rsid w:val="00C7179E"/>
    <w:rsid w:val="00C717B3"/>
    <w:rsid w:val="00C7181C"/>
    <w:rsid w:val="00C7186C"/>
    <w:rsid w:val="00C7191E"/>
    <w:rsid w:val="00C7193A"/>
    <w:rsid w:val="00C71977"/>
    <w:rsid w:val="00C719AF"/>
    <w:rsid w:val="00C71AE6"/>
    <w:rsid w:val="00C71AFE"/>
    <w:rsid w:val="00C71B3A"/>
    <w:rsid w:val="00C71D1C"/>
    <w:rsid w:val="00C71D2B"/>
    <w:rsid w:val="00C71E22"/>
    <w:rsid w:val="00C71E3E"/>
    <w:rsid w:val="00C71E4B"/>
    <w:rsid w:val="00C71EDD"/>
    <w:rsid w:val="00C71EFA"/>
    <w:rsid w:val="00C71FC5"/>
    <w:rsid w:val="00C71FC9"/>
    <w:rsid w:val="00C72027"/>
    <w:rsid w:val="00C72064"/>
    <w:rsid w:val="00C72074"/>
    <w:rsid w:val="00C720B7"/>
    <w:rsid w:val="00C7214E"/>
    <w:rsid w:val="00C7224D"/>
    <w:rsid w:val="00C7227E"/>
    <w:rsid w:val="00C722A7"/>
    <w:rsid w:val="00C722DB"/>
    <w:rsid w:val="00C72320"/>
    <w:rsid w:val="00C72340"/>
    <w:rsid w:val="00C72355"/>
    <w:rsid w:val="00C723A9"/>
    <w:rsid w:val="00C723D8"/>
    <w:rsid w:val="00C723DE"/>
    <w:rsid w:val="00C7248D"/>
    <w:rsid w:val="00C724EA"/>
    <w:rsid w:val="00C72502"/>
    <w:rsid w:val="00C7254E"/>
    <w:rsid w:val="00C725A2"/>
    <w:rsid w:val="00C725FB"/>
    <w:rsid w:val="00C7265A"/>
    <w:rsid w:val="00C726C9"/>
    <w:rsid w:val="00C726D0"/>
    <w:rsid w:val="00C7278D"/>
    <w:rsid w:val="00C727CD"/>
    <w:rsid w:val="00C728B9"/>
    <w:rsid w:val="00C72917"/>
    <w:rsid w:val="00C72941"/>
    <w:rsid w:val="00C7294B"/>
    <w:rsid w:val="00C729A2"/>
    <w:rsid w:val="00C729C1"/>
    <w:rsid w:val="00C72B6D"/>
    <w:rsid w:val="00C72BFF"/>
    <w:rsid w:val="00C72C15"/>
    <w:rsid w:val="00C72C30"/>
    <w:rsid w:val="00C72C4F"/>
    <w:rsid w:val="00C72CBD"/>
    <w:rsid w:val="00C72D07"/>
    <w:rsid w:val="00C72D15"/>
    <w:rsid w:val="00C72D34"/>
    <w:rsid w:val="00C72DCF"/>
    <w:rsid w:val="00C72E00"/>
    <w:rsid w:val="00C72E02"/>
    <w:rsid w:val="00C72E9D"/>
    <w:rsid w:val="00C72EEC"/>
    <w:rsid w:val="00C72FA0"/>
    <w:rsid w:val="00C730C7"/>
    <w:rsid w:val="00C730ED"/>
    <w:rsid w:val="00C731C7"/>
    <w:rsid w:val="00C731DD"/>
    <w:rsid w:val="00C73237"/>
    <w:rsid w:val="00C732A7"/>
    <w:rsid w:val="00C73309"/>
    <w:rsid w:val="00C7330D"/>
    <w:rsid w:val="00C733BB"/>
    <w:rsid w:val="00C735D5"/>
    <w:rsid w:val="00C7360B"/>
    <w:rsid w:val="00C73621"/>
    <w:rsid w:val="00C73654"/>
    <w:rsid w:val="00C73658"/>
    <w:rsid w:val="00C736BD"/>
    <w:rsid w:val="00C737FD"/>
    <w:rsid w:val="00C738CB"/>
    <w:rsid w:val="00C7390E"/>
    <w:rsid w:val="00C739AC"/>
    <w:rsid w:val="00C739DC"/>
    <w:rsid w:val="00C73A3B"/>
    <w:rsid w:val="00C73BB4"/>
    <w:rsid w:val="00C73C04"/>
    <w:rsid w:val="00C73CA2"/>
    <w:rsid w:val="00C73D3A"/>
    <w:rsid w:val="00C73D50"/>
    <w:rsid w:val="00C73D6D"/>
    <w:rsid w:val="00C73D96"/>
    <w:rsid w:val="00C73E0F"/>
    <w:rsid w:val="00C73E1E"/>
    <w:rsid w:val="00C73E26"/>
    <w:rsid w:val="00C73E93"/>
    <w:rsid w:val="00C73F2C"/>
    <w:rsid w:val="00C73F62"/>
    <w:rsid w:val="00C74031"/>
    <w:rsid w:val="00C740C1"/>
    <w:rsid w:val="00C74180"/>
    <w:rsid w:val="00C74251"/>
    <w:rsid w:val="00C742CD"/>
    <w:rsid w:val="00C7434A"/>
    <w:rsid w:val="00C74383"/>
    <w:rsid w:val="00C743D7"/>
    <w:rsid w:val="00C744A9"/>
    <w:rsid w:val="00C74535"/>
    <w:rsid w:val="00C7458D"/>
    <w:rsid w:val="00C74592"/>
    <w:rsid w:val="00C746A8"/>
    <w:rsid w:val="00C746FD"/>
    <w:rsid w:val="00C74712"/>
    <w:rsid w:val="00C74812"/>
    <w:rsid w:val="00C74887"/>
    <w:rsid w:val="00C748F7"/>
    <w:rsid w:val="00C74910"/>
    <w:rsid w:val="00C749E7"/>
    <w:rsid w:val="00C74A1F"/>
    <w:rsid w:val="00C74A20"/>
    <w:rsid w:val="00C74A5D"/>
    <w:rsid w:val="00C74A84"/>
    <w:rsid w:val="00C74B3E"/>
    <w:rsid w:val="00C74B49"/>
    <w:rsid w:val="00C74B87"/>
    <w:rsid w:val="00C74BDC"/>
    <w:rsid w:val="00C74C5F"/>
    <w:rsid w:val="00C74C97"/>
    <w:rsid w:val="00C74CA1"/>
    <w:rsid w:val="00C74D00"/>
    <w:rsid w:val="00C74D36"/>
    <w:rsid w:val="00C74D3A"/>
    <w:rsid w:val="00C74D87"/>
    <w:rsid w:val="00C74D93"/>
    <w:rsid w:val="00C74E1E"/>
    <w:rsid w:val="00C74EC8"/>
    <w:rsid w:val="00C74EFC"/>
    <w:rsid w:val="00C74F72"/>
    <w:rsid w:val="00C75040"/>
    <w:rsid w:val="00C75071"/>
    <w:rsid w:val="00C750CD"/>
    <w:rsid w:val="00C75115"/>
    <w:rsid w:val="00C75236"/>
    <w:rsid w:val="00C75246"/>
    <w:rsid w:val="00C75298"/>
    <w:rsid w:val="00C7533F"/>
    <w:rsid w:val="00C75509"/>
    <w:rsid w:val="00C75551"/>
    <w:rsid w:val="00C75564"/>
    <w:rsid w:val="00C7560B"/>
    <w:rsid w:val="00C75652"/>
    <w:rsid w:val="00C756A2"/>
    <w:rsid w:val="00C75736"/>
    <w:rsid w:val="00C757F6"/>
    <w:rsid w:val="00C7582B"/>
    <w:rsid w:val="00C75854"/>
    <w:rsid w:val="00C75862"/>
    <w:rsid w:val="00C75883"/>
    <w:rsid w:val="00C758B2"/>
    <w:rsid w:val="00C758E2"/>
    <w:rsid w:val="00C75A60"/>
    <w:rsid w:val="00C75AF9"/>
    <w:rsid w:val="00C75B32"/>
    <w:rsid w:val="00C75B47"/>
    <w:rsid w:val="00C75B54"/>
    <w:rsid w:val="00C75BFD"/>
    <w:rsid w:val="00C75CB4"/>
    <w:rsid w:val="00C75D28"/>
    <w:rsid w:val="00C75D5A"/>
    <w:rsid w:val="00C75DA9"/>
    <w:rsid w:val="00C75DDC"/>
    <w:rsid w:val="00C75E28"/>
    <w:rsid w:val="00C75E70"/>
    <w:rsid w:val="00C75EE7"/>
    <w:rsid w:val="00C75F31"/>
    <w:rsid w:val="00C75F51"/>
    <w:rsid w:val="00C75F58"/>
    <w:rsid w:val="00C76033"/>
    <w:rsid w:val="00C76039"/>
    <w:rsid w:val="00C76064"/>
    <w:rsid w:val="00C760C1"/>
    <w:rsid w:val="00C760D8"/>
    <w:rsid w:val="00C7614E"/>
    <w:rsid w:val="00C76198"/>
    <w:rsid w:val="00C761D4"/>
    <w:rsid w:val="00C7622F"/>
    <w:rsid w:val="00C76274"/>
    <w:rsid w:val="00C76361"/>
    <w:rsid w:val="00C76382"/>
    <w:rsid w:val="00C763D7"/>
    <w:rsid w:val="00C76519"/>
    <w:rsid w:val="00C7665F"/>
    <w:rsid w:val="00C76670"/>
    <w:rsid w:val="00C766D0"/>
    <w:rsid w:val="00C767A0"/>
    <w:rsid w:val="00C767DA"/>
    <w:rsid w:val="00C767F5"/>
    <w:rsid w:val="00C76804"/>
    <w:rsid w:val="00C7689C"/>
    <w:rsid w:val="00C7691F"/>
    <w:rsid w:val="00C76957"/>
    <w:rsid w:val="00C769A0"/>
    <w:rsid w:val="00C769F1"/>
    <w:rsid w:val="00C76A8F"/>
    <w:rsid w:val="00C76AA9"/>
    <w:rsid w:val="00C76AC1"/>
    <w:rsid w:val="00C76B3B"/>
    <w:rsid w:val="00C76B80"/>
    <w:rsid w:val="00C76BC3"/>
    <w:rsid w:val="00C76BF0"/>
    <w:rsid w:val="00C76C65"/>
    <w:rsid w:val="00C76C89"/>
    <w:rsid w:val="00C76D27"/>
    <w:rsid w:val="00C76D28"/>
    <w:rsid w:val="00C76D68"/>
    <w:rsid w:val="00C76DCE"/>
    <w:rsid w:val="00C76DFC"/>
    <w:rsid w:val="00C76ECF"/>
    <w:rsid w:val="00C76F7E"/>
    <w:rsid w:val="00C76FCF"/>
    <w:rsid w:val="00C770F6"/>
    <w:rsid w:val="00C770FD"/>
    <w:rsid w:val="00C77205"/>
    <w:rsid w:val="00C7721B"/>
    <w:rsid w:val="00C772BE"/>
    <w:rsid w:val="00C77365"/>
    <w:rsid w:val="00C7739F"/>
    <w:rsid w:val="00C773A2"/>
    <w:rsid w:val="00C77408"/>
    <w:rsid w:val="00C77480"/>
    <w:rsid w:val="00C774C6"/>
    <w:rsid w:val="00C774F1"/>
    <w:rsid w:val="00C77516"/>
    <w:rsid w:val="00C775FF"/>
    <w:rsid w:val="00C77635"/>
    <w:rsid w:val="00C776AE"/>
    <w:rsid w:val="00C776F7"/>
    <w:rsid w:val="00C7775D"/>
    <w:rsid w:val="00C7777D"/>
    <w:rsid w:val="00C7783B"/>
    <w:rsid w:val="00C778C6"/>
    <w:rsid w:val="00C778C9"/>
    <w:rsid w:val="00C779FB"/>
    <w:rsid w:val="00C77A13"/>
    <w:rsid w:val="00C77A2F"/>
    <w:rsid w:val="00C77A82"/>
    <w:rsid w:val="00C77ADA"/>
    <w:rsid w:val="00C77C20"/>
    <w:rsid w:val="00C77CF8"/>
    <w:rsid w:val="00C77D20"/>
    <w:rsid w:val="00C77D4A"/>
    <w:rsid w:val="00C77E0A"/>
    <w:rsid w:val="00C77E18"/>
    <w:rsid w:val="00C77E28"/>
    <w:rsid w:val="00C77E49"/>
    <w:rsid w:val="00C77EFE"/>
    <w:rsid w:val="00C77F38"/>
    <w:rsid w:val="00C77FAD"/>
    <w:rsid w:val="00C77FB7"/>
    <w:rsid w:val="00C800BA"/>
    <w:rsid w:val="00C801AC"/>
    <w:rsid w:val="00C80237"/>
    <w:rsid w:val="00C802F1"/>
    <w:rsid w:val="00C8036B"/>
    <w:rsid w:val="00C804A6"/>
    <w:rsid w:val="00C80533"/>
    <w:rsid w:val="00C80551"/>
    <w:rsid w:val="00C8066D"/>
    <w:rsid w:val="00C8068C"/>
    <w:rsid w:val="00C80708"/>
    <w:rsid w:val="00C8074F"/>
    <w:rsid w:val="00C80771"/>
    <w:rsid w:val="00C80897"/>
    <w:rsid w:val="00C80925"/>
    <w:rsid w:val="00C80965"/>
    <w:rsid w:val="00C8097A"/>
    <w:rsid w:val="00C809D2"/>
    <w:rsid w:val="00C80A11"/>
    <w:rsid w:val="00C80AA8"/>
    <w:rsid w:val="00C80BCA"/>
    <w:rsid w:val="00C80C1F"/>
    <w:rsid w:val="00C80C4B"/>
    <w:rsid w:val="00C80D23"/>
    <w:rsid w:val="00C80DC1"/>
    <w:rsid w:val="00C80DDB"/>
    <w:rsid w:val="00C80EFE"/>
    <w:rsid w:val="00C80F67"/>
    <w:rsid w:val="00C80F8C"/>
    <w:rsid w:val="00C80F9A"/>
    <w:rsid w:val="00C80FBE"/>
    <w:rsid w:val="00C810FC"/>
    <w:rsid w:val="00C8114C"/>
    <w:rsid w:val="00C811F2"/>
    <w:rsid w:val="00C81272"/>
    <w:rsid w:val="00C8127F"/>
    <w:rsid w:val="00C81296"/>
    <w:rsid w:val="00C812A6"/>
    <w:rsid w:val="00C8132E"/>
    <w:rsid w:val="00C813B7"/>
    <w:rsid w:val="00C813BB"/>
    <w:rsid w:val="00C81507"/>
    <w:rsid w:val="00C81525"/>
    <w:rsid w:val="00C8154A"/>
    <w:rsid w:val="00C8157A"/>
    <w:rsid w:val="00C8157B"/>
    <w:rsid w:val="00C8158D"/>
    <w:rsid w:val="00C815B2"/>
    <w:rsid w:val="00C815B8"/>
    <w:rsid w:val="00C81637"/>
    <w:rsid w:val="00C8173C"/>
    <w:rsid w:val="00C817AD"/>
    <w:rsid w:val="00C817B9"/>
    <w:rsid w:val="00C817D3"/>
    <w:rsid w:val="00C817FA"/>
    <w:rsid w:val="00C81829"/>
    <w:rsid w:val="00C81846"/>
    <w:rsid w:val="00C81978"/>
    <w:rsid w:val="00C819B9"/>
    <w:rsid w:val="00C819FD"/>
    <w:rsid w:val="00C81A3C"/>
    <w:rsid w:val="00C81A8B"/>
    <w:rsid w:val="00C81B11"/>
    <w:rsid w:val="00C81B4D"/>
    <w:rsid w:val="00C81B56"/>
    <w:rsid w:val="00C81B57"/>
    <w:rsid w:val="00C81B9C"/>
    <w:rsid w:val="00C81BC6"/>
    <w:rsid w:val="00C81C05"/>
    <w:rsid w:val="00C81C7F"/>
    <w:rsid w:val="00C81CA4"/>
    <w:rsid w:val="00C81D29"/>
    <w:rsid w:val="00C81DB7"/>
    <w:rsid w:val="00C81DD6"/>
    <w:rsid w:val="00C81DE2"/>
    <w:rsid w:val="00C81DE7"/>
    <w:rsid w:val="00C81E07"/>
    <w:rsid w:val="00C81E48"/>
    <w:rsid w:val="00C81EA4"/>
    <w:rsid w:val="00C81EEF"/>
    <w:rsid w:val="00C81F2E"/>
    <w:rsid w:val="00C81FC8"/>
    <w:rsid w:val="00C8203B"/>
    <w:rsid w:val="00C82066"/>
    <w:rsid w:val="00C82143"/>
    <w:rsid w:val="00C8216E"/>
    <w:rsid w:val="00C8225B"/>
    <w:rsid w:val="00C8236E"/>
    <w:rsid w:val="00C82510"/>
    <w:rsid w:val="00C82541"/>
    <w:rsid w:val="00C8256E"/>
    <w:rsid w:val="00C82583"/>
    <w:rsid w:val="00C82588"/>
    <w:rsid w:val="00C8258E"/>
    <w:rsid w:val="00C825F9"/>
    <w:rsid w:val="00C82603"/>
    <w:rsid w:val="00C8262D"/>
    <w:rsid w:val="00C82650"/>
    <w:rsid w:val="00C82659"/>
    <w:rsid w:val="00C826B5"/>
    <w:rsid w:val="00C82769"/>
    <w:rsid w:val="00C827E5"/>
    <w:rsid w:val="00C82833"/>
    <w:rsid w:val="00C82844"/>
    <w:rsid w:val="00C8285A"/>
    <w:rsid w:val="00C82915"/>
    <w:rsid w:val="00C829E5"/>
    <w:rsid w:val="00C82A28"/>
    <w:rsid w:val="00C82ABB"/>
    <w:rsid w:val="00C82AD0"/>
    <w:rsid w:val="00C82BE7"/>
    <w:rsid w:val="00C82C6C"/>
    <w:rsid w:val="00C82D1A"/>
    <w:rsid w:val="00C82DD6"/>
    <w:rsid w:val="00C82E25"/>
    <w:rsid w:val="00C82F0D"/>
    <w:rsid w:val="00C82F5F"/>
    <w:rsid w:val="00C82F6A"/>
    <w:rsid w:val="00C82FA7"/>
    <w:rsid w:val="00C82FD7"/>
    <w:rsid w:val="00C8301C"/>
    <w:rsid w:val="00C83050"/>
    <w:rsid w:val="00C830DC"/>
    <w:rsid w:val="00C831A2"/>
    <w:rsid w:val="00C831A3"/>
    <w:rsid w:val="00C831ED"/>
    <w:rsid w:val="00C83264"/>
    <w:rsid w:val="00C83330"/>
    <w:rsid w:val="00C83352"/>
    <w:rsid w:val="00C8335E"/>
    <w:rsid w:val="00C833A7"/>
    <w:rsid w:val="00C8345F"/>
    <w:rsid w:val="00C834B4"/>
    <w:rsid w:val="00C834D8"/>
    <w:rsid w:val="00C8354D"/>
    <w:rsid w:val="00C83561"/>
    <w:rsid w:val="00C83569"/>
    <w:rsid w:val="00C8358E"/>
    <w:rsid w:val="00C835E1"/>
    <w:rsid w:val="00C835F7"/>
    <w:rsid w:val="00C83672"/>
    <w:rsid w:val="00C837FD"/>
    <w:rsid w:val="00C83854"/>
    <w:rsid w:val="00C838A7"/>
    <w:rsid w:val="00C838D8"/>
    <w:rsid w:val="00C83999"/>
    <w:rsid w:val="00C839A1"/>
    <w:rsid w:val="00C83A61"/>
    <w:rsid w:val="00C83B5B"/>
    <w:rsid w:val="00C83B68"/>
    <w:rsid w:val="00C83BAF"/>
    <w:rsid w:val="00C83C59"/>
    <w:rsid w:val="00C83C67"/>
    <w:rsid w:val="00C83C81"/>
    <w:rsid w:val="00C83CDA"/>
    <w:rsid w:val="00C83DE5"/>
    <w:rsid w:val="00C83E22"/>
    <w:rsid w:val="00C83ED9"/>
    <w:rsid w:val="00C83F45"/>
    <w:rsid w:val="00C83FA2"/>
    <w:rsid w:val="00C83FC1"/>
    <w:rsid w:val="00C83FC9"/>
    <w:rsid w:val="00C840A9"/>
    <w:rsid w:val="00C84149"/>
    <w:rsid w:val="00C841CF"/>
    <w:rsid w:val="00C842DE"/>
    <w:rsid w:val="00C8432D"/>
    <w:rsid w:val="00C84406"/>
    <w:rsid w:val="00C84524"/>
    <w:rsid w:val="00C84600"/>
    <w:rsid w:val="00C8466B"/>
    <w:rsid w:val="00C84691"/>
    <w:rsid w:val="00C84AF2"/>
    <w:rsid w:val="00C84B50"/>
    <w:rsid w:val="00C84B69"/>
    <w:rsid w:val="00C84BBE"/>
    <w:rsid w:val="00C84BCB"/>
    <w:rsid w:val="00C84C14"/>
    <w:rsid w:val="00C84C4A"/>
    <w:rsid w:val="00C84C74"/>
    <w:rsid w:val="00C84CE7"/>
    <w:rsid w:val="00C84CF6"/>
    <w:rsid w:val="00C84D33"/>
    <w:rsid w:val="00C84D38"/>
    <w:rsid w:val="00C84D74"/>
    <w:rsid w:val="00C84D90"/>
    <w:rsid w:val="00C84EAC"/>
    <w:rsid w:val="00C84ED2"/>
    <w:rsid w:val="00C84EE9"/>
    <w:rsid w:val="00C84F40"/>
    <w:rsid w:val="00C84F66"/>
    <w:rsid w:val="00C850BC"/>
    <w:rsid w:val="00C8511D"/>
    <w:rsid w:val="00C85132"/>
    <w:rsid w:val="00C85157"/>
    <w:rsid w:val="00C85352"/>
    <w:rsid w:val="00C853E0"/>
    <w:rsid w:val="00C853E7"/>
    <w:rsid w:val="00C85409"/>
    <w:rsid w:val="00C854EC"/>
    <w:rsid w:val="00C8557C"/>
    <w:rsid w:val="00C855EE"/>
    <w:rsid w:val="00C85603"/>
    <w:rsid w:val="00C85789"/>
    <w:rsid w:val="00C8581D"/>
    <w:rsid w:val="00C85889"/>
    <w:rsid w:val="00C85906"/>
    <w:rsid w:val="00C85959"/>
    <w:rsid w:val="00C85997"/>
    <w:rsid w:val="00C859B9"/>
    <w:rsid w:val="00C859D7"/>
    <w:rsid w:val="00C85A83"/>
    <w:rsid w:val="00C85AA5"/>
    <w:rsid w:val="00C85B18"/>
    <w:rsid w:val="00C85B35"/>
    <w:rsid w:val="00C85B87"/>
    <w:rsid w:val="00C85BC4"/>
    <w:rsid w:val="00C85BDE"/>
    <w:rsid w:val="00C85C7E"/>
    <w:rsid w:val="00C85CC9"/>
    <w:rsid w:val="00C85D16"/>
    <w:rsid w:val="00C85D4E"/>
    <w:rsid w:val="00C85E9D"/>
    <w:rsid w:val="00C85F29"/>
    <w:rsid w:val="00C85FA9"/>
    <w:rsid w:val="00C85FD6"/>
    <w:rsid w:val="00C85FFA"/>
    <w:rsid w:val="00C85FFF"/>
    <w:rsid w:val="00C8609E"/>
    <w:rsid w:val="00C860C5"/>
    <w:rsid w:val="00C8610B"/>
    <w:rsid w:val="00C86154"/>
    <w:rsid w:val="00C861BC"/>
    <w:rsid w:val="00C86323"/>
    <w:rsid w:val="00C8639F"/>
    <w:rsid w:val="00C863D8"/>
    <w:rsid w:val="00C86442"/>
    <w:rsid w:val="00C865D3"/>
    <w:rsid w:val="00C8668D"/>
    <w:rsid w:val="00C8668E"/>
    <w:rsid w:val="00C866BC"/>
    <w:rsid w:val="00C86751"/>
    <w:rsid w:val="00C8685C"/>
    <w:rsid w:val="00C8689C"/>
    <w:rsid w:val="00C868C3"/>
    <w:rsid w:val="00C869A6"/>
    <w:rsid w:val="00C869A7"/>
    <w:rsid w:val="00C86A1F"/>
    <w:rsid w:val="00C86A29"/>
    <w:rsid w:val="00C86A30"/>
    <w:rsid w:val="00C86A60"/>
    <w:rsid w:val="00C86AD7"/>
    <w:rsid w:val="00C86AD8"/>
    <w:rsid w:val="00C86B63"/>
    <w:rsid w:val="00C86B90"/>
    <w:rsid w:val="00C86B9E"/>
    <w:rsid w:val="00C86C3D"/>
    <w:rsid w:val="00C86C42"/>
    <w:rsid w:val="00C86C64"/>
    <w:rsid w:val="00C86C70"/>
    <w:rsid w:val="00C86CFA"/>
    <w:rsid w:val="00C86D0B"/>
    <w:rsid w:val="00C86D96"/>
    <w:rsid w:val="00C86E8F"/>
    <w:rsid w:val="00C86EA8"/>
    <w:rsid w:val="00C86F4B"/>
    <w:rsid w:val="00C87037"/>
    <w:rsid w:val="00C87042"/>
    <w:rsid w:val="00C87078"/>
    <w:rsid w:val="00C870AA"/>
    <w:rsid w:val="00C870C6"/>
    <w:rsid w:val="00C87110"/>
    <w:rsid w:val="00C8713C"/>
    <w:rsid w:val="00C8713D"/>
    <w:rsid w:val="00C871A6"/>
    <w:rsid w:val="00C871E9"/>
    <w:rsid w:val="00C87203"/>
    <w:rsid w:val="00C87209"/>
    <w:rsid w:val="00C87377"/>
    <w:rsid w:val="00C8737D"/>
    <w:rsid w:val="00C8739A"/>
    <w:rsid w:val="00C873A0"/>
    <w:rsid w:val="00C873FC"/>
    <w:rsid w:val="00C87425"/>
    <w:rsid w:val="00C875D2"/>
    <w:rsid w:val="00C87686"/>
    <w:rsid w:val="00C877E9"/>
    <w:rsid w:val="00C8781C"/>
    <w:rsid w:val="00C87854"/>
    <w:rsid w:val="00C878F2"/>
    <w:rsid w:val="00C87931"/>
    <w:rsid w:val="00C87957"/>
    <w:rsid w:val="00C8797E"/>
    <w:rsid w:val="00C879BB"/>
    <w:rsid w:val="00C87A24"/>
    <w:rsid w:val="00C87A5F"/>
    <w:rsid w:val="00C87AA9"/>
    <w:rsid w:val="00C87B8F"/>
    <w:rsid w:val="00C87B9D"/>
    <w:rsid w:val="00C87BAC"/>
    <w:rsid w:val="00C87C0C"/>
    <w:rsid w:val="00C87C0F"/>
    <w:rsid w:val="00C87C1F"/>
    <w:rsid w:val="00C87C3A"/>
    <w:rsid w:val="00C87D24"/>
    <w:rsid w:val="00C87D6F"/>
    <w:rsid w:val="00C87DEC"/>
    <w:rsid w:val="00C87E56"/>
    <w:rsid w:val="00C87E61"/>
    <w:rsid w:val="00C87ECB"/>
    <w:rsid w:val="00C87EE4"/>
    <w:rsid w:val="00C87F35"/>
    <w:rsid w:val="00C87F61"/>
    <w:rsid w:val="00C87FDA"/>
    <w:rsid w:val="00C90003"/>
    <w:rsid w:val="00C90054"/>
    <w:rsid w:val="00C90064"/>
    <w:rsid w:val="00C90074"/>
    <w:rsid w:val="00C900D8"/>
    <w:rsid w:val="00C900E9"/>
    <w:rsid w:val="00C90144"/>
    <w:rsid w:val="00C90175"/>
    <w:rsid w:val="00C90227"/>
    <w:rsid w:val="00C9033F"/>
    <w:rsid w:val="00C90391"/>
    <w:rsid w:val="00C903E1"/>
    <w:rsid w:val="00C90417"/>
    <w:rsid w:val="00C90455"/>
    <w:rsid w:val="00C904FD"/>
    <w:rsid w:val="00C90580"/>
    <w:rsid w:val="00C905DD"/>
    <w:rsid w:val="00C90684"/>
    <w:rsid w:val="00C906C2"/>
    <w:rsid w:val="00C906CF"/>
    <w:rsid w:val="00C90771"/>
    <w:rsid w:val="00C907AC"/>
    <w:rsid w:val="00C90900"/>
    <w:rsid w:val="00C9091F"/>
    <w:rsid w:val="00C90A8B"/>
    <w:rsid w:val="00C90AE1"/>
    <w:rsid w:val="00C90AE8"/>
    <w:rsid w:val="00C90B91"/>
    <w:rsid w:val="00C90C16"/>
    <w:rsid w:val="00C90CE3"/>
    <w:rsid w:val="00C90D3A"/>
    <w:rsid w:val="00C90DEA"/>
    <w:rsid w:val="00C90E11"/>
    <w:rsid w:val="00C90F45"/>
    <w:rsid w:val="00C90F8B"/>
    <w:rsid w:val="00C911FA"/>
    <w:rsid w:val="00C91228"/>
    <w:rsid w:val="00C91352"/>
    <w:rsid w:val="00C91389"/>
    <w:rsid w:val="00C91465"/>
    <w:rsid w:val="00C91515"/>
    <w:rsid w:val="00C91596"/>
    <w:rsid w:val="00C915B8"/>
    <w:rsid w:val="00C91664"/>
    <w:rsid w:val="00C916B0"/>
    <w:rsid w:val="00C916CA"/>
    <w:rsid w:val="00C91742"/>
    <w:rsid w:val="00C918E1"/>
    <w:rsid w:val="00C91954"/>
    <w:rsid w:val="00C9196C"/>
    <w:rsid w:val="00C919B9"/>
    <w:rsid w:val="00C919E1"/>
    <w:rsid w:val="00C91B37"/>
    <w:rsid w:val="00C91B49"/>
    <w:rsid w:val="00C91BF7"/>
    <w:rsid w:val="00C91C26"/>
    <w:rsid w:val="00C91C4B"/>
    <w:rsid w:val="00C91CC2"/>
    <w:rsid w:val="00C91D63"/>
    <w:rsid w:val="00C91D73"/>
    <w:rsid w:val="00C91E6C"/>
    <w:rsid w:val="00C91EF4"/>
    <w:rsid w:val="00C91F12"/>
    <w:rsid w:val="00C91F15"/>
    <w:rsid w:val="00C91FB6"/>
    <w:rsid w:val="00C91FCE"/>
    <w:rsid w:val="00C91FEB"/>
    <w:rsid w:val="00C92068"/>
    <w:rsid w:val="00C9215A"/>
    <w:rsid w:val="00C921A2"/>
    <w:rsid w:val="00C921C7"/>
    <w:rsid w:val="00C92210"/>
    <w:rsid w:val="00C92267"/>
    <w:rsid w:val="00C9231E"/>
    <w:rsid w:val="00C92328"/>
    <w:rsid w:val="00C92335"/>
    <w:rsid w:val="00C9242D"/>
    <w:rsid w:val="00C92451"/>
    <w:rsid w:val="00C924D1"/>
    <w:rsid w:val="00C9252C"/>
    <w:rsid w:val="00C9254D"/>
    <w:rsid w:val="00C92570"/>
    <w:rsid w:val="00C925A7"/>
    <w:rsid w:val="00C92668"/>
    <w:rsid w:val="00C92676"/>
    <w:rsid w:val="00C9273D"/>
    <w:rsid w:val="00C927AF"/>
    <w:rsid w:val="00C92812"/>
    <w:rsid w:val="00C9283C"/>
    <w:rsid w:val="00C92921"/>
    <w:rsid w:val="00C929B4"/>
    <w:rsid w:val="00C929E8"/>
    <w:rsid w:val="00C92A9A"/>
    <w:rsid w:val="00C92ADC"/>
    <w:rsid w:val="00C92B20"/>
    <w:rsid w:val="00C92BEC"/>
    <w:rsid w:val="00C92D84"/>
    <w:rsid w:val="00C92DDE"/>
    <w:rsid w:val="00C92E22"/>
    <w:rsid w:val="00C92E58"/>
    <w:rsid w:val="00C92ECD"/>
    <w:rsid w:val="00C92F1F"/>
    <w:rsid w:val="00C92F49"/>
    <w:rsid w:val="00C93024"/>
    <w:rsid w:val="00C93101"/>
    <w:rsid w:val="00C93147"/>
    <w:rsid w:val="00C931F0"/>
    <w:rsid w:val="00C9320D"/>
    <w:rsid w:val="00C93338"/>
    <w:rsid w:val="00C93399"/>
    <w:rsid w:val="00C93444"/>
    <w:rsid w:val="00C9346F"/>
    <w:rsid w:val="00C9349D"/>
    <w:rsid w:val="00C934CF"/>
    <w:rsid w:val="00C934E3"/>
    <w:rsid w:val="00C934FF"/>
    <w:rsid w:val="00C9353C"/>
    <w:rsid w:val="00C93540"/>
    <w:rsid w:val="00C9357E"/>
    <w:rsid w:val="00C935EA"/>
    <w:rsid w:val="00C935F1"/>
    <w:rsid w:val="00C9365F"/>
    <w:rsid w:val="00C93691"/>
    <w:rsid w:val="00C936FE"/>
    <w:rsid w:val="00C93742"/>
    <w:rsid w:val="00C93814"/>
    <w:rsid w:val="00C9381F"/>
    <w:rsid w:val="00C93890"/>
    <w:rsid w:val="00C938B8"/>
    <w:rsid w:val="00C9390D"/>
    <w:rsid w:val="00C939EC"/>
    <w:rsid w:val="00C93A03"/>
    <w:rsid w:val="00C93A3A"/>
    <w:rsid w:val="00C93A97"/>
    <w:rsid w:val="00C93AE3"/>
    <w:rsid w:val="00C93AF4"/>
    <w:rsid w:val="00C93B61"/>
    <w:rsid w:val="00C93B80"/>
    <w:rsid w:val="00C93BDA"/>
    <w:rsid w:val="00C93C03"/>
    <w:rsid w:val="00C93C55"/>
    <w:rsid w:val="00C93EE5"/>
    <w:rsid w:val="00C94053"/>
    <w:rsid w:val="00C9405F"/>
    <w:rsid w:val="00C94084"/>
    <w:rsid w:val="00C940C8"/>
    <w:rsid w:val="00C941A5"/>
    <w:rsid w:val="00C94283"/>
    <w:rsid w:val="00C94397"/>
    <w:rsid w:val="00C943B0"/>
    <w:rsid w:val="00C9446F"/>
    <w:rsid w:val="00C9449C"/>
    <w:rsid w:val="00C944B2"/>
    <w:rsid w:val="00C944B3"/>
    <w:rsid w:val="00C9451D"/>
    <w:rsid w:val="00C94597"/>
    <w:rsid w:val="00C945EA"/>
    <w:rsid w:val="00C945F8"/>
    <w:rsid w:val="00C94606"/>
    <w:rsid w:val="00C9469B"/>
    <w:rsid w:val="00C946BE"/>
    <w:rsid w:val="00C946DC"/>
    <w:rsid w:val="00C947C1"/>
    <w:rsid w:val="00C94886"/>
    <w:rsid w:val="00C948F3"/>
    <w:rsid w:val="00C94988"/>
    <w:rsid w:val="00C94A67"/>
    <w:rsid w:val="00C94BEA"/>
    <w:rsid w:val="00C94C26"/>
    <w:rsid w:val="00C94D56"/>
    <w:rsid w:val="00C94D5B"/>
    <w:rsid w:val="00C94DB4"/>
    <w:rsid w:val="00C94E5C"/>
    <w:rsid w:val="00C94E5E"/>
    <w:rsid w:val="00C94EBC"/>
    <w:rsid w:val="00C94F19"/>
    <w:rsid w:val="00C94F44"/>
    <w:rsid w:val="00C94F56"/>
    <w:rsid w:val="00C94F8C"/>
    <w:rsid w:val="00C95016"/>
    <w:rsid w:val="00C95043"/>
    <w:rsid w:val="00C95070"/>
    <w:rsid w:val="00C95085"/>
    <w:rsid w:val="00C9509E"/>
    <w:rsid w:val="00C95151"/>
    <w:rsid w:val="00C9527F"/>
    <w:rsid w:val="00C952B7"/>
    <w:rsid w:val="00C952F3"/>
    <w:rsid w:val="00C95348"/>
    <w:rsid w:val="00C95462"/>
    <w:rsid w:val="00C95479"/>
    <w:rsid w:val="00C955C0"/>
    <w:rsid w:val="00C955C2"/>
    <w:rsid w:val="00C955EF"/>
    <w:rsid w:val="00C95653"/>
    <w:rsid w:val="00C95673"/>
    <w:rsid w:val="00C956B5"/>
    <w:rsid w:val="00C956CD"/>
    <w:rsid w:val="00C956FB"/>
    <w:rsid w:val="00C9585D"/>
    <w:rsid w:val="00C9586E"/>
    <w:rsid w:val="00C95870"/>
    <w:rsid w:val="00C958E3"/>
    <w:rsid w:val="00C958E4"/>
    <w:rsid w:val="00C95904"/>
    <w:rsid w:val="00C95955"/>
    <w:rsid w:val="00C9595C"/>
    <w:rsid w:val="00C959CD"/>
    <w:rsid w:val="00C95A2C"/>
    <w:rsid w:val="00C95B0E"/>
    <w:rsid w:val="00C95B1C"/>
    <w:rsid w:val="00C95B36"/>
    <w:rsid w:val="00C95C3F"/>
    <w:rsid w:val="00C95CAA"/>
    <w:rsid w:val="00C95CB5"/>
    <w:rsid w:val="00C95CDA"/>
    <w:rsid w:val="00C95D64"/>
    <w:rsid w:val="00C95DAB"/>
    <w:rsid w:val="00C95EB2"/>
    <w:rsid w:val="00C95EEE"/>
    <w:rsid w:val="00C95EEF"/>
    <w:rsid w:val="00C95F25"/>
    <w:rsid w:val="00C95F64"/>
    <w:rsid w:val="00C95F86"/>
    <w:rsid w:val="00C9606E"/>
    <w:rsid w:val="00C96084"/>
    <w:rsid w:val="00C9611F"/>
    <w:rsid w:val="00C96149"/>
    <w:rsid w:val="00C96179"/>
    <w:rsid w:val="00C961AF"/>
    <w:rsid w:val="00C961B9"/>
    <w:rsid w:val="00C962D8"/>
    <w:rsid w:val="00C96364"/>
    <w:rsid w:val="00C963F1"/>
    <w:rsid w:val="00C963FF"/>
    <w:rsid w:val="00C964C5"/>
    <w:rsid w:val="00C964CA"/>
    <w:rsid w:val="00C96568"/>
    <w:rsid w:val="00C96608"/>
    <w:rsid w:val="00C96630"/>
    <w:rsid w:val="00C96647"/>
    <w:rsid w:val="00C966DF"/>
    <w:rsid w:val="00C9679E"/>
    <w:rsid w:val="00C967F3"/>
    <w:rsid w:val="00C9681A"/>
    <w:rsid w:val="00C96961"/>
    <w:rsid w:val="00C969A0"/>
    <w:rsid w:val="00C969BF"/>
    <w:rsid w:val="00C969F9"/>
    <w:rsid w:val="00C96A58"/>
    <w:rsid w:val="00C96A7B"/>
    <w:rsid w:val="00C96AD0"/>
    <w:rsid w:val="00C96B4A"/>
    <w:rsid w:val="00C96BC2"/>
    <w:rsid w:val="00C96BF8"/>
    <w:rsid w:val="00C96C15"/>
    <w:rsid w:val="00C96C30"/>
    <w:rsid w:val="00C96DB2"/>
    <w:rsid w:val="00C96E6B"/>
    <w:rsid w:val="00C96E88"/>
    <w:rsid w:val="00C96E8D"/>
    <w:rsid w:val="00C96EBC"/>
    <w:rsid w:val="00C96EBD"/>
    <w:rsid w:val="00C96EFD"/>
    <w:rsid w:val="00C96F52"/>
    <w:rsid w:val="00C96FAF"/>
    <w:rsid w:val="00C96FD3"/>
    <w:rsid w:val="00C9702F"/>
    <w:rsid w:val="00C9712B"/>
    <w:rsid w:val="00C97137"/>
    <w:rsid w:val="00C9716E"/>
    <w:rsid w:val="00C9720B"/>
    <w:rsid w:val="00C972A0"/>
    <w:rsid w:val="00C972AA"/>
    <w:rsid w:val="00C972BD"/>
    <w:rsid w:val="00C972E5"/>
    <w:rsid w:val="00C973CD"/>
    <w:rsid w:val="00C9742A"/>
    <w:rsid w:val="00C97460"/>
    <w:rsid w:val="00C9747F"/>
    <w:rsid w:val="00C97506"/>
    <w:rsid w:val="00C9765E"/>
    <w:rsid w:val="00C977A0"/>
    <w:rsid w:val="00C97835"/>
    <w:rsid w:val="00C9785F"/>
    <w:rsid w:val="00C978FF"/>
    <w:rsid w:val="00C979B1"/>
    <w:rsid w:val="00C97A01"/>
    <w:rsid w:val="00C97AB2"/>
    <w:rsid w:val="00C97AB6"/>
    <w:rsid w:val="00C97B17"/>
    <w:rsid w:val="00C97B83"/>
    <w:rsid w:val="00C97B96"/>
    <w:rsid w:val="00C97D61"/>
    <w:rsid w:val="00C97DE6"/>
    <w:rsid w:val="00C97E71"/>
    <w:rsid w:val="00C97E85"/>
    <w:rsid w:val="00CA004B"/>
    <w:rsid w:val="00CA004F"/>
    <w:rsid w:val="00CA0087"/>
    <w:rsid w:val="00CA0093"/>
    <w:rsid w:val="00CA00A7"/>
    <w:rsid w:val="00CA019C"/>
    <w:rsid w:val="00CA01C3"/>
    <w:rsid w:val="00CA0251"/>
    <w:rsid w:val="00CA02BB"/>
    <w:rsid w:val="00CA0383"/>
    <w:rsid w:val="00CA03B3"/>
    <w:rsid w:val="00CA040A"/>
    <w:rsid w:val="00CA05E9"/>
    <w:rsid w:val="00CA0609"/>
    <w:rsid w:val="00CA0681"/>
    <w:rsid w:val="00CA06D4"/>
    <w:rsid w:val="00CA06F6"/>
    <w:rsid w:val="00CA078C"/>
    <w:rsid w:val="00CA08C0"/>
    <w:rsid w:val="00CA099B"/>
    <w:rsid w:val="00CA09E6"/>
    <w:rsid w:val="00CA0AAC"/>
    <w:rsid w:val="00CA0B56"/>
    <w:rsid w:val="00CA0C29"/>
    <w:rsid w:val="00CA0C66"/>
    <w:rsid w:val="00CA0D21"/>
    <w:rsid w:val="00CA0DD6"/>
    <w:rsid w:val="00CA0E40"/>
    <w:rsid w:val="00CA105F"/>
    <w:rsid w:val="00CA1060"/>
    <w:rsid w:val="00CA10A8"/>
    <w:rsid w:val="00CA1217"/>
    <w:rsid w:val="00CA1221"/>
    <w:rsid w:val="00CA1264"/>
    <w:rsid w:val="00CA12C9"/>
    <w:rsid w:val="00CA13F5"/>
    <w:rsid w:val="00CA142D"/>
    <w:rsid w:val="00CA149F"/>
    <w:rsid w:val="00CA172F"/>
    <w:rsid w:val="00CA1740"/>
    <w:rsid w:val="00CA1866"/>
    <w:rsid w:val="00CA18E3"/>
    <w:rsid w:val="00CA1916"/>
    <w:rsid w:val="00CA1981"/>
    <w:rsid w:val="00CA1994"/>
    <w:rsid w:val="00CA1A94"/>
    <w:rsid w:val="00CA1BFC"/>
    <w:rsid w:val="00CA1D0C"/>
    <w:rsid w:val="00CA1D0D"/>
    <w:rsid w:val="00CA1D82"/>
    <w:rsid w:val="00CA1E1C"/>
    <w:rsid w:val="00CA1E1F"/>
    <w:rsid w:val="00CA1E4F"/>
    <w:rsid w:val="00CA1E73"/>
    <w:rsid w:val="00CA1F36"/>
    <w:rsid w:val="00CA1F9F"/>
    <w:rsid w:val="00CA2096"/>
    <w:rsid w:val="00CA20DF"/>
    <w:rsid w:val="00CA227F"/>
    <w:rsid w:val="00CA22B9"/>
    <w:rsid w:val="00CA237E"/>
    <w:rsid w:val="00CA23C7"/>
    <w:rsid w:val="00CA2401"/>
    <w:rsid w:val="00CA2469"/>
    <w:rsid w:val="00CA2489"/>
    <w:rsid w:val="00CA25AB"/>
    <w:rsid w:val="00CA2644"/>
    <w:rsid w:val="00CA26F6"/>
    <w:rsid w:val="00CA27FB"/>
    <w:rsid w:val="00CA281D"/>
    <w:rsid w:val="00CA29BF"/>
    <w:rsid w:val="00CA2A3A"/>
    <w:rsid w:val="00CA2A3F"/>
    <w:rsid w:val="00CA2AE1"/>
    <w:rsid w:val="00CA2B12"/>
    <w:rsid w:val="00CA2B29"/>
    <w:rsid w:val="00CA2B51"/>
    <w:rsid w:val="00CA2B56"/>
    <w:rsid w:val="00CA2BCE"/>
    <w:rsid w:val="00CA2C17"/>
    <w:rsid w:val="00CA2C41"/>
    <w:rsid w:val="00CA2C6A"/>
    <w:rsid w:val="00CA2C9A"/>
    <w:rsid w:val="00CA2D0F"/>
    <w:rsid w:val="00CA2D34"/>
    <w:rsid w:val="00CA2D53"/>
    <w:rsid w:val="00CA2DF4"/>
    <w:rsid w:val="00CA2EA3"/>
    <w:rsid w:val="00CA2F12"/>
    <w:rsid w:val="00CA2F81"/>
    <w:rsid w:val="00CA300A"/>
    <w:rsid w:val="00CA307A"/>
    <w:rsid w:val="00CA3084"/>
    <w:rsid w:val="00CA30E5"/>
    <w:rsid w:val="00CA315D"/>
    <w:rsid w:val="00CA3265"/>
    <w:rsid w:val="00CA3307"/>
    <w:rsid w:val="00CA3342"/>
    <w:rsid w:val="00CA33DD"/>
    <w:rsid w:val="00CA33E5"/>
    <w:rsid w:val="00CA342D"/>
    <w:rsid w:val="00CA3494"/>
    <w:rsid w:val="00CA3533"/>
    <w:rsid w:val="00CA353E"/>
    <w:rsid w:val="00CA35B9"/>
    <w:rsid w:val="00CA35D9"/>
    <w:rsid w:val="00CA36B2"/>
    <w:rsid w:val="00CA36CC"/>
    <w:rsid w:val="00CA375F"/>
    <w:rsid w:val="00CA3849"/>
    <w:rsid w:val="00CA38A4"/>
    <w:rsid w:val="00CA38B9"/>
    <w:rsid w:val="00CA395D"/>
    <w:rsid w:val="00CA39F0"/>
    <w:rsid w:val="00CA3A69"/>
    <w:rsid w:val="00CA3A82"/>
    <w:rsid w:val="00CA3B4A"/>
    <w:rsid w:val="00CA3B63"/>
    <w:rsid w:val="00CA3DB2"/>
    <w:rsid w:val="00CA3E7C"/>
    <w:rsid w:val="00CA3EA0"/>
    <w:rsid w:val="00CA3EA3"/>
    <w:rsid w:val="00CA3FA6"/>
    <w:rsid w:val="00CA405B"/>
    <w:rsid w:val="00CA4070"/>
    <w:rsid w:val="00CA40C6"/>
    <w:rsid w:val="00CA40EC"/>
    <w:rsid w:val="00CA41CD"/>
    <w:rsid w:val="00CA41ED"/>
    <w:rsid w:val="00CA4269"/>
    <w:rsid w:val="00CA4274"/>
    <w:rsid w:val="00CA4366"/>
    <w:rsid w:val="00CA43BE"/>
    <w:rsid w:val="00CA4438"/>
    <w:rsid w:val="00CA443C"/>
    <w:rsid w:val="00CA44B2"/>
    <w:rsid w:val="00CA44C5"/>
    <w:rsid w:val="00CA44CE"/>
    <w:rsid w:val="00CA4503"/>
    <w:rsid w:val="00CA45BE"/>
    <w:rsid w:val="00CA4664"/>
    <w:rsid w:val="00CA4685"/>
    <w:rsid w:val="00CA4697"/>
    <w:rsid w:val="00CA46AB"/>
    <w:rsid w:val="00CA47A5"/>
    <w:rsid w:val="00CA496C"/>
    <w:rsid w:val="00CA497D"/>
    <w:rsid w:val="00CA4A1B"/>
    <w:rsid w:val="00CA4A7E"/>
    <w:rsid w:val="00CA4ABE"/>
    <w:rsid w:val="00CA4B19"/>
    <w:rsid w:val="00CA4BD5"/>
    <w:rsid w:val="00CA4C2B"/>
    <w:rsid w:val="00CA4C92"/>
    <w:rsid w:val="00CA4CA6"/>
    <w:rsid w:val="00CA4CD3"/>
    <w:rsid w:val="00CA4D28"/>
    <w:rsid w:val="00CA4E18"/>
    <w:rsid w:val="00CA4E91"/>
    <w:rsid w:val="00CA4E94"/>
    <w:rsid w:val="00CA4EA3"/>
    <w:rsid w:val="00CA4EB9"/>
    <w:rsid w:val="00CA50EE"/>
    <w:rsid w:val="00CA52C4"/>
    <w:rsid w:val="00CA52D6"/>
    <w:rsid w:val="00CA52E0"/>
    <w:rsid w:val="00CA5318"/>
    <w:rsid w:val="00CA532F"/>
    <w:rsid w:val="00CA534A"/>
    <w:rsid w:val="00CA53FB"/>
    <w:rsid w:val="00CA5463"/>
    <w:rsid w:val="00CA54B8"/>
    <w:rsid w:val="00CA5513"/>
    <w:rsid w:val="00CA5565"/>
    <w:rsid w:val="00CA5586"/>
    <w:rsid w:val="00CA558A"/>
    <w:rsid w:val="00CA55A7"/>
    <w:rsid w:val="00CA55FB"/>
    <w:rsid w:val="00CA57C4"/>
    <w:rsid w:val="00CA57EB"/>
    <w:rsid w:val="00CA588A"/>
    <w:rsid w:val="00CA58A7"/>
    <w:rsid w:val="00CA58AB"/>
    <w:rsid w:val="00CA58C3"/>
    <w:rsid w:val="00CA58F2"/>
    <w:rsid w:val="00CA5924"/>
    <w:rsid w:val="00CA59D9"/>
    <w:rsid w:val="00CA59F0"/>
    <w:rsid w:val="00CA5A1C"/>
    <w:rsid w:val="00CA5A3B"/>
    <w:rsid w:val="00CA5B84"/>
    <w:rsid w:val="00CA5B9C"/>
    <w:rsid w:val="00CA5C7D"/>
    <w:rsid w:val="00CA5D20"/>
    <w:rsid w:val="00CA5D3B"/>
    <w:rsid w:val="00CA5E46"/>
    <w:rsid w:val="00CA5E59"/>
    <w:rsid w:val="00CA5E69"/>
    <w:rsid w:val="00CA5EA6"/>
    <w:rsid w:val="00CA5EFF"/>
    <w:rsid w:val="00CA5F21"/>
    <w:rsid w:val="00CA6020"/>
    <w:rsid w:val="00CA6081"/>
    <w:rsid w:val="00CA60C1"/>
    <w:rsid w:val="00CA6101"/>
    <w:rsid w:val="00CA6149"/>
    <w:rsid w:val="00CA616B"/>
    <w:rsid w:val="00CA617B"/>
    <w:rsid w:val="00CA61D7"/>
    <w:rsid w:val="00CA6204"/>
    <w:rsid w:val="00CA6224"/>
    <w:rsid w:val="00CA6254"/>
    <w:rsid w:val="00CA627B"/>
    <w:rsid w:val="00CA62BB"/>
    <w:rsid w:val="00CA62D2"/>
    <w:rsid w:val="00CA6349"/>
    <w:rsid w:val="00CA636F"/>
    <w:rsid w:val="00CA63B1"/>
    <w:rsid w:val="00CA646A"/>
    <w:rsid w:val="00CA6510"/>
    <w:rsid w:val="00CA654E"/>
    <w:rsid w:val="00CA65D1"/>
    <w:rsid w:val="00CA66EE"/>
    <w:rsid w:val="00CA6764"/>
    <w:rsid w:val="00CA67D4"/>
    <w:rsid w:val="00CA6873"/>
    <w:rsid w:val="00CA68D3"/>
    <w:rsid w:val="00CA68DC"/>
    <w:rsid w:val="00CA6944"/>
    <w:rsid w:val="00CA69AA"/>
    <w:rsid w:val="00CA69B4"/>
    <w:rsid w:val="00CA69DD"/>
    <w:rsid w:val="00CA6B84"/>
    <w:rsid w:val="00CA6CEB"/>
    <w:rsid w:val="00CA6CFE"/>
    <w:rsid w:val="00CA6D17"/>
    <w:rsid w:val="00CA6D3E"/>
    <w:rsid w:val="00CA6DA7"/>
    <w:rsid w:val="00CA6E19"/>
    <w:rsid w:val="00CA6E65"/>
    <w:rsid w:val="00CA6EF1"/>
    <w:rsid w:val="00CA6F17"/>
    <w:rsid w:val="00CA6F30"/>
    <w:rsid w:val="00CA6F60"/>
    <w:rsid w:val="00CA6FED"/>
    <w:rsid w:val="00CA712A"/>
    <w:rsid w:val="00CA712F"/>
    <w:rsid w:val="00CA716D"/>
    <w:rsid w:val="00CA7212"/>
    <w:rsid w:val="00CA726A"/>
    <w:rsid w:val="00CA72DE"/>
    <w:rsid w:val="00CA7320"/>
    <w:rsid w:val="00CA733E"/>
    <w:rsid w:val="00CA734A"/>
    <w:rsid w:val="00CA7407"/>
    <w:rsid w:val="00CA7477"/>
    <w:rsid w:val="00CA74EF"/>
    <w:rsid w:val="00CA7509"/>
    <w:rsid w:val="00CA75ED"/>
    <w:rsid w:val="00CA75F6"/>
    <w:rsid w:val="00CA761B"/>
    <w:rsid w:val="00CA7664"/>
    <w:rsid w:val="00CA76FF"/>
    <w:rsid w:val="00CA7728"/>
    <w:rsid w:val="00CA77C4"/>
    <w:rsid w:val="00CA77E0"/>
    <w:rsid w:val="00CA77E4"/>
    <w:rsid w:val="00CA77E8"/>
    <w:rsid w:val="00CA780E"/>
    <w:rsid w:val="00CA78BB"/>
    <w:rsid w:val="00CA7911"/>
    <w:rsid w:val="00CA7991"/>
    <w:rsid w:val="00CA79CE"/>
    <w:rsid w:val="00CA7AB6"/>
    <w:rsid w:val="00CA7B99"/>
    <w:rsid w:val="00CA7BBE"/>
    <w:rsid w:val="00CA7C01"/>
    <w:rsid w:val="00CA7C15"/>
    <w:rsid w:val="00CA7C5E"/>
    <w:rsid w:val="00CA7D25"/>
    <w:rsid w:val="00CA7D3E"/>
    <w:rsid w:val="00CA7DCA"/>
    <w:rsid w:val="00CA7DED"/>
    <w:rsid w:val="00CA7E18"/>
    <w:rsid w:val="00CA7EFE"/>
    <w:rsid w:val="00CA7F77"/>
    <w:rsid w:val="00CA7FCA"/>
    <w:rsid w:val="00CB0024"/>
    <w:rsid w:val="00CB0090"/>
    <w:rsid w:val="00CB014D"/>
    <w:rsid w:val="00CB027E"/>
    <w:rsid w:val="00CB028A"/>
    <w:rsid w:val="00CB02A0"/>
    <w:rsid w:val="00CB02B7"/>
    <w:rsid w:val="00CB035F"/>
    <w:rsid w:val="00CB03C4"/>
    <w:rsid w:val="00CB03DF"/>
    <w:rsid w:val="00CB042B"/>
    <w:rsid w:val="00CB0551"/>
    <w:rsid w:val="00CB05DC"/>
    <w:rsid w:val="00CB0622"/>
    <w:rsid w:val="00CB0710"/>
    <w:rsid w:val="00CB072A"/>
    <w:rsid w:val="00CB08B9"/>
    <w:rsid w:val="00CB08CA"/>
    <w:rsid w:val="00CB08CC"/>
    <w:rsid w:val="00CB091A"/>
    <w:rsid w:val="00CB0928"/>
    <w:rsid w:val="00CB0946"/>
    <w:rsid w:val="00CB0987"/>
    <w:rsid w:val="00CB09E2"/>
    <w:rsid w:val="00CB0A04"/>
    <w:rsid w:val="00CB0A5A"/>
    <w:rsid w:val="00CB0AB2"/>
    <w:rsid w:val="00CB0B79"/>
    <w:rsid w:val="00CB0BA8"/>
    <w:rsid w:val="00CB0BF2"/>
    <w:rsid w:val="00CB0CC8"/>
    <w:rsid w:val="00CB0D31"/>
    <w:rsid w:val="00CB0D33"/>
    <w:rsid w:val="00CB0DD4"/>
    <w:rsid w:val="00CB0DE3"/>
    <w:rsid w:val="00CB0E10"/>
    <w:rsid w:val="00CB0E8B"/>
    <w:rsid w:val="00CB0EBC"/>
    <w:rsid w:val="00CB0EF8"/>
    <w:rsid w:val="00CB0F01"/>
    <w:rsid w:val="00CB0F1C"/>
    <w:rsid w:val="00CB0F66"/>
    <w:rsid w:val="00CB0F6F"/>
    <w:rsid w:val="00CB101E"/>
    <w:rsid w:val="00CB1083"/>
    <w:rsid w:val="00CB10CA"/>
    <w:rsid w:val="00CB10EC"/>
    <w:rsid w:val="00CB1115"/>
    <w:rsid w:val="00CB11E6"/>
    <w:rsid w:val="00CB11FA"/>
    <w:rsid w:val="00CB125B"/>
    <w:rsid w:val="00CB1289"/>
    <w:rsid w:val="00CB1312"/>
    <w:rsid w:val="00CB1384"/>
    <w:rsid w:val="00CB13B3"/>
    <w:rsid w:val="00CB13F6"/>
    <w:rsid w:val="00CB140D"/>
    <w:rsid w:val="00CB149D"/>
    <w:rsid w:val="00CB14A6"/>
    <w:rsid w:val="00CB14C2"/>
    <w:rsid w:val="00CB1555"/>
    <w:rsid w:val="00CB1564"/>
    <w:rsid w:val="00CB15C2"/>
    <w:rsid w:val="00CB15DF"/>
    <w:rsid w:val="00CB15F2"/>
    <w:rsid w:val="00CB1620"/>
    <w:rsid w:val="00CB1698"/>
    <w:rsid w:val="00CB16A7"/>
    <w:rsid w:val="00CB16BF"/>
    <w:rsid w:val="00CB16C3"/>
    <w:rsid w:val="00CB16C5"/>
    <w:rsid w:val="00CB1700"/>
    <w:rsid w:val="00CB1738"/>
    <w:rsid w:val="00CB1750"/>
    <w:rsid w:val="00CB17DB"/>
    <w:rsid w:val="00CB181B"/>
    <w:rsid w:val="00CB194D"/>
    <w:rsid w:val="00CB1997"/>
    <w:rsid w:val="00CB19B9"/>
    <w:rsid w:val="00CB1A53"/>
    <w:rsid w:val="00CB1C16"/>
    <w:rsid w:val="00CB1C4D"/>
    <w:rsid w:val="00CB1C75"/>
    <w:rsid w:val="00CB1CA8"/>
    <w:rsid w:val="00CB1CD1"/>
    <w:rsid w:val="00CB1E24"/>
    <w:rsid w:val="00CB1E8D"/>
    <w:rsid w:val="00CB1EBB"/>
    <w:rsid w:val="00CB1EBC"/>
    <w:rsid w:val="00CB1EEA"/>
    <w:rsid w:val="00CB1F04"/>
    <w:rsid w:val="00CB2076"/>
    <w:rsid w:val="00CB2123"/>
    <w:rsid w:val="00CB2184"/>
    <w:rsid w:val="00CB21C5"/>
    <w:rsid w:val="00CB21DF"/>
    <w:rsid w:val="00CB2314"/>
    <w:rsid w:val="00CB24DF"/>
    <w:rsid w:val="00CB24EA"/>
    <w:rsid w:val="00CB25CE"/>
    <w:rsid w:val="00CB2642"/>
    <w:rsid w:val="00CB2660"/>
    <w:rsid w:val="00CB2672"/>
    <w:rsid w:val="00CB26A2"/>
    <w:rsid w:val="00CB26BE"/>
    <w:rsid w:val="00CB26DF"/>
    <w:rsid w:val="00CB27B2"/>
    <w:rsid w:val="00CB27CC"/>
    <w:rsid w:val="00CB2886"/>
    <w:rsid w:val="00CB28A9"/>
    <w:rsid w:val="00CB2992"/>
    <w:rsid w:val="00CB29C6"/>
    <w:rsid w:val="00CB2A35"/>
    <w:rsid w:val="00CB2BED"/>
    <w:rsid w:val="00CB2C5D"/>
    <w:rsid w:val="00CB2D04"/>
    <w:rsid w:val="00CB2D5F"/>
    <w:rsid w:val="00CB2DF7"/>
    <w:rsid w:val="00CB308E"/>
    <w:rsid w:val="00CB30AE"/>
    <w:rsid w:val="00CB30D4"/>
    <w:rsid w:val="00CB30D8"/>
    <w:rsid w:val="00CB31DD"/>
    <w:rsid w:val="00CB3202"/>
    <w:rsid w:val="00CB32C6"/>
    <w:rsid w:val="00CB32E8"/>
    <w:rsid w:val="00CB3307"/>
    <w:rsid w:val="00CB3491"/>
    <w:rsid w:val="00CB34C5"/>
    <w:rsid w:val="00CB354B"/>
    <w:rsid w:val="00CB3568"/>
    <w:rsid w:val="00CB35C3"/>
    <w:rsid w:val="00CB35E8"/>
    <w:rsid w:val="00CB36F6"/>
    <w:rsid w:val="00CB38C8"/>
    <w:rsid w:val="00CB39B0"/>
    <w:rsid w:val="00CB39CB"/>
    <w:rsid w:val="00CB3A4A"/>
    <w:rsid w:val="00CB3ACB"/>
    <w:rsid w:val="00CB3AD4"/>
    <w:rsid w:val="00CB3AF2"/>
    <w:rsid w:val="00CB3B31"/>
    <w:rsid w:val="00CB3B88"/>
    <w:rsid w:val="00CB3C07"/>
    <w:rsid w:val="00CB3CE5"/>
    <w:rsid w:val="00CB3D0E"/>
    <w:rsid w:val="00CB3D28"/>
    <w:rsid w:val="00CB3D4C"/>
    <w:rsid w:val="00CB3D7C"/>
    <w:rsid w:val="00CB3DE5"/>
    <w:rsid w:val="00CB3E0D"/>
    <w:rsid w:val="00CB3E8D"/>
    <w:rsid w:val="00CB3ED0"/>
    <w:rsid w:val="00CB40D8"/>
    <w:rsid w:val="00CB40F6"/>
    <w:rsid w:val="00CB414A"/>
    <w:rsid w:val="00CB41C6"/>
    <w:rsid w:val="00CB41CB"/>
    <w:rsid w:val="00CB42D4"/>
    <w:rsid w:val="00CB42DA"/>
    <w:rsid w:val="00CB442B"/>
    <w:rsid w:val="00CB4475"/>
    <w:rsid w:val="00CB44FE"/>
    <w:rsid w:val="00CB45D5"/>
    <w:rsid w:val="00CB4683"/>
    <w:rsid w:val="00CB471A"/>
    <w:rsid w:val="00CB4781"/>
    <w:rsid w:val="00CB481F"/>
    <w:rsid w:val="00CB4890"/>
    <w:rsid w:val="00CB49D4"/>
    <w:rsid w:val="00CB4A76"/>
    <w:rsid w:val="00CB4B61"/>
    <w:rsid w:val="00CB4BBD"/>
    <w:rsid w:val="00CB4CA8"/>
    <w:rsid w:val="00CB4D76"/>
    <w:rsid w:val="00CB4D9E"/>
    <w:rsid w:val="00CB4EB7"/>
    <w:rsid w:val="00CB4EDB"/>
    <w:rsid w:val="00CB4F59"/>
    <w:rsid w:val="00CB4FFB"/>
    <w:rsid w:val="00CB5010"/>
    <w:rsid w:val="00CB511E"/>
    <w:rsid w:val="00CB5126"/>
    <w:rsid w:val="00CB5144"/>
    <w:rsid w:val="00CB5170"/>
    <w:rsid w:val="00CB52AB"/>
    <w:rsid w:val="00CB52CF"/>
    <w:rsid w:val="00CB5317"/>
    <w:rsid w:val="00CB5353"/>
    <w:rsid w:val="00CB53F0"/>
    <w:rsid w:val="00CB54D1"/>
    <w:rsid w:val="00CB55D0"/>
    <w:rsid w:val="00CB55EA"/>
    <w:rsid w:val="00CB56AB"/>
    <w:rsid w:val="00CB57A6"/>
    <w:rsid w:val="00CB5813"/>
    <w:rsid w:val="00CB5874"/>
    <w:rsid w:val="00CB58CB"/>
    <w:rsid w:val="00CB58D7"/>
    <w:rsid w:val="00CB595C"/>
    <w:rsid w:val="00CB5B24"/>
    <w:rsid w:val="00CB5B80"/>
    <w:rsid w:val="00CB5B8D"/>
    <w:rsid w:val="00CB5BE9"/>
    <w:rsid w:val="00CB5CA7"/>
    <w:rsid w:val="00CB5D1A"/>
    <w:rsid w:val="00CB5DB5"/>
    <w:rsid w:val="00CB5DCE"/>
    <w:rsid w:val="00CB5EAE"/>
    <w:rsid w:val="00CB5EB9"/>
    <w:rsid w:val="00CB5F2F"/>
    <w:rsid w:val="00CB5FBF"/>
    <w:rsid w:val="00CB5FD9"/>
    <w:rsid w:val="00CB601A"/>
    <w:rsid w:val="00CB60E2"/>
    <w:rsid w:val="00CB6191"/>
    <w:rsid w:val="00CB61A0"/>
    <w:rsid w:val="00CB628B"/>
    <w:rsid w:val="00CB62B5"/>
    <w:rsid w:val="00CB62F7"/>
    <w:rsid w:val="00CB6328"/>
    <w:rsid w:val="00CB6339"/>
    <w:rsid w:val="00CB6367"/>
    <w:rsid w:val="00CB63AD"/>
    <w:rsid w:val="00CB63C0"/>
    <w:rsid w:val="00CB63FA"/>
    <w:rsid w:val="00CB6518"/>
    <w:rsid w:val="00CB653A"/>
    <w:rsid w:val="00CB656F"/>
    <w:rsid w:val="00CB6577"/>
    <w:rsid w:val="00CB663C"/>
    <w:rsid w:val="00CB6660"/>
    <w:rsid w:val="00CB66EA"/>
    <w:rsid w:val="00CB6729"/>
    <w:rsid w:val="00CB6756"/>
    <w:rsid w:val="00CB6798"/>
    <w:rsid w:val="00CB67AE"/>
    <w:rsid w:val="00CB67BE"/>
    <w:rsid w:val="00CB67CD"/>
    <w:rsid w:val="00CB693F"/>
    <w:rsid w:val="00CB6981"/>
    <w:rsid w:val="00CB6996"/>
    <w:rsid w:val="00CB69B0"/>
    <w:rsid w:val="00CB6A4E"/>
    <w:rsid w:val="00CB6BF7"/>
    <w:rsid w:val="00CB6C00"/>
    <w:rsid w:val="00CB6C69"/>
    <w:rsid w:val="00CB6D73"/>
    <w:rsid w:val="00CB6DB2"/>
    <w:rsid w:val="00CB6DD0"/>
    <w:rsid w:val="00CB6E16"/>
    <w:rsid w:val="00CB6E28"/>
    <w:rsid w:val="00CB6E30"/>
    <w:rsid w:val="00CB6EEA"/>
    <w:rsid w:val="00CB6EF0"/>
    <w:rsid w:val="00CB6FBC"/>
    <w:rsid w:val="00CB6FF0"/>
    <w:rsid w:val="00CB6FF7"/>
    <w:rsid w:val="00CB6FFC"/>
    <w:rsid w:val="00CB70A8"/>
    <w:rsid w:val="00CB71B4"/>
    <w:rsid w:val="00CB724F"/>
    <w:rsid w:val="00CB7274"/>
    <w:rsid w:val="00CB72A6"/>
    <w:rsid w:val="00CB72B5"/>
    <w:rsid w:val="00CB72D7"/>
    <w:rsid w:val="00CB72D9"/>
    <w:rsid w:val="00CB734F"/>
    <w:rsid w:val="00CB744B"/>
    <w:rsid w:val="00CB7486"/>
    <w:rsid w:val="00CB7521"/>
    <w:rsid w:val="00CB7525"/>
    <w:rsid w:val="00CB7534"/>
    <w:rsid w:val="00CB756D"/>
    <w:rsid w:val="00CB75E2"/>
    <w:rsid w:val="00CB760F"/>
    <w:rsid w:val="00CB7694"/>
    <w:rsid w:val="00CB76BB"/>
    <w:rsid w:val="00CB770D"/>
    <w:rsid w:val="00CB771C"/>
    <w:rsid w:val="00CB78EF"/>
    <w:rsid w:val="00CB7932"/>
    <w:rsid w:val="00CB7980"/>
    <w:rsid w:val="00CB79A4"/>
    <w:rsid w:val="00CB79DE"/>
    <w:rsid w:val="00CB79F9"/>
    <w:rsid w:val="00CB7A0A"/>
    <w:rsid w:val="00CB7ACD"/>
    <w:rsid w:val="00CB7AD0"/>
    <w:rsid w:val="00CB7B2D"/>
    <w:rsid w:val="00CB7B3C"/>
    <w:rsid w:val="00CB7B83"/>
    <w:rsid w:val="00CB7BA7"/>
    <w:rsid w:val="00CB7BAA"/>
    <w:rsid w:val="00CB7C15"/>
    <w:rsid w:val="00CB7C8E"/>
    <w:rsid w:val="00CB7CB7"/>
    <w:rsid w:val="00CB7CC9"/>
    <w:rsid w:val="00CB7CD8"/>
    <w:rsid w:val="00CB7D7F"/>
    <w:rsid w:val="00CB7D95"/>
    <w:rsid w:val="00CB7DB2"/>
    <w:rsid w:val="00CB7DE4"/>
    <w:rsid w:val="00CB7F04"/>
    <w:rsid w:val="00CB7F5A"/>
    <w:rsid w:val="00CB7FA4"/>
    <w:rsid w:val="00CB7FE9"/>
    <w:rsid w:val="00CC0054"/>
    <w:rsid w:val="00CC007B"/>
    <w:rsid w:val="00CC0129"/>
    <w:rsid w:val="00CC019D"/>
    <w:rsid w:val="00CC038E"/>
    <w:rsid w:val="00CC0390"/>
    <w:rsid w:val="00CC03ED"/>
    <w:rsid w:val="00CC0413"/>
    <w:rsid w:val="00CC04CB"/>
    <w:rsid w:val="00CC04D5"/>
    <w:rsid w:val="00CC0517"/>
    <w:rsid w:val="00CC0579"/>
    <w:rsid w:val="00CC057D"/>
    <w:rsid w:val="00CC05AF"/>
    <w:rsid w:val="00CC05CE"/>
    <w:rsid w:val="00CC0663"/>
    <w:rsid w:val="00CC0678"/>
    <w:rsid w:val="00CC0683"/>
    <w:rsid w:val="00CC06A9"/>
    <w:rsid w:val="00CC06EF"/>
    <w:rsid w:val="00CC0706"/>
    <w:rsid w:val="00CC070B"/>
    <w:rsid w:val="00CC0789"/>
    <w:rsid w:val="00CC09A2"/>
    <w:rsid w:val="00CC0A0A"/>
    <w:rsid w:val="00CC0B48"/>
    <w:rsid w:val="00CC0B4C"/>
    <w:rsid w:val="00CC0BD9"/>
    <w:rsid w:val="00CC0C08"/>
    <w:rsid w:val="00CC0C5C"/>
    <w:rsid w:val="00CC0C64"/>
    <w:rsid w:val="00CC0C9C"/>
    <w:rsid w:val="00CC0CAA"/>
    <w:rsid w:val="00CC0DCA"/>
    <w:rsid w:val="00CC0E4E"/>
    <w:rsid w:val="00CC0EFD"/>
    <w:rsid w:val="00CC0EFF"/>
    <w:rsid w:val="00CC0F1D"/>
    <w:rsid w:val="00CC0F34"/>
    <w:rsid w:val="00CC0F3F"/>
    <w:rsid w:val="00CC0FF9"/>
    <w:rsid w:val="00CC1092"/>
    <w:rsid w:val="00CC10C1"/>
    <w:rsid w:val="00CC1130"/>
    <w:rsid w:val="00CC1160"/>
    <w:rsid w:val="00CC1212"/>
    <w:rsid w:val="00CC131E"/>
    <w:rsid w:val="00CC13AE"/>
    <w:rsid w:val="00CC13E6"/>
    <w:rsid w:val="00CC141E"/>
    <w:rsid w:val="00CC144D"/>
    <w:rsid w:val="00CC148F"/>
    <w:rsid w:val="00CC15BF"/>
    <w:rsid w:val="00CC1610"/>
    <w:rsid w:val="00CC16AB"/>
    <w:rsid w:val="00CC16BB"/>
    <w:rsid w:val="00CC17C9"/>
    <w:rsid w:val="00CC1803"/>
    <w:rsid w:val="00CC1878"/>
    <w:rsid w:val="00CC1898"/>
    <w:rsid w:val="00CC18CF"/>
    <w:rsid w:val="00CC1908"/>
    <w:rsid w:val="00CC196D"/>
    <w:rsid w:val="00CC1A07"/>
    <w:rsid w:val="00CC1A10"/>
    <w:rsid w:val="00CC1A96"/>
    <w:rsid w:val="00CC1AD8"/>
    <w:rsid w:val="00CC1C34"/>
    <w:rsid w:val="00CC1C4C"/>
    <w:rsid w:val="00CC1C7B"/>
    <w:rsid w:val="00CC1D05"/>
    <w:rsid w:val="00CC1D11"/>
    <w:rsid w:val="00CC1D53"/>
    <w:rsid w:val="00CC1D5E"/>
    <w:rsid w:val="00CC1D65"/>
    <w:rsid w:val="00CC1D73"/>
    <w:rsid w:val="00CC1E18"/>
    <w:rsid w:val="00CC1ED7"/>
    <w:rsid w:val="00CC1FE7"/>
    <w:rsid w:val="00CC206A"/>
    <w:rsid w:val="00CC2225"/>
    <w:rsid w:val="00CC2317"/>
    <w:rsid w:val="00CC235E"/>
    <w:rsid w:val="00CC2370"/>
    <w:rsid w:val="00CC23CC"/>
    <w:rsid w:val="00CC23F3"/>
    <w:rsid w:val="00CC23FE"/>
    <w:rsid w:val="00CC2479"/>
    <w:rsid w:val="00CC2481"/>
    <w:rsid w:val="00CC2486"/>
    <w:rsid w:val="00CC248A"/>
    <w:rsid w:val="00CC2493"/>
    <w:rsid w:val="00CC24B8"/>
    <w:rsid w:val="00CC2517"/>
    <w:rsid w:val="00CC25C0"/>
    <w:rsid w:val="00CC2604"/>
    <w:rsid w:val="00CC2606"/>
    <w:rsid w:val="00CC2642"/>
    <w:rsid w:val="00CC268D"/>
    <w:rsid w:val="00CC2698"/>
    <w:rsid w:val="00CC272C"/>
    <w:rsid w:val="00CC273A"/>
    <w:rsid w:val="00CC2777"/>
    <w:rsid w:val="00CC27E2"/>
    <w:rsid w:val="00CC2809"/>
    <w:rsid w:val="00CC28DD"/>
    <w:rsid w:val="00CC28EC"/>
    <w:rsid w:val="00CC2911"/>
    <w:rsid w:val="00CC29B3"/>
    <w:rsid w:val="00CC2A69"/>
    <w:rsid w:val="00CC2A85"/>
    <w:rsid w:val="00CC2AA9"/>
    <w:rsid w:val="00CC2B57"/>
    <w:rsid w:val="00CC2BC4"/>
    <w:rsid w:val="00CC2CD0"/>
    <w:rsid w:val="00CC2E87"/>
    <w:rsid w:val="00CC2EB5"/>
    <w:rsid w:val="00CC2ED4"/>
    <w:rsid w:val="00CC2F63"/>
    <w:rsid w:val="00CC2F9B"/>
    <w:rsid w:val="00CC3034"/>
    <w:rsid w:val="00CC305B"/>
    <w:rsid w:val="00CC307B"/>
    <w:rsid w:val="00CC3095"/>
    <w:rsid w:val="00CC312B"/>
    <w:rsid w:val="00CC3180"/>
    <w:rsid w:val="00CC31BD"/>
    <w:rsid w:val="00CC31CF"/>
    <w:rsid w:val="00CC321B"/>
    <w:rsid w:val="00CC32BF"/>
    <w:rsid w:val="00CC32C7"/>
    <w:rsid w:val="00CC32DE"/>
    <w:rsid w:val="00CC3348"/>
    <w:rsid w:val="00CC33D4"/>
    <w:rsid w:val="00CC33D8"/>
    <w:rsid w:val="00CC33F6"/>
    <w:rsid w:val="00CC34A0"/>
    <w:rsid w:val="00CC34DA"/>
    <w:rsid w:val="00CC3511"/>
    <w:rsid w:val="00CC3678"/>
    <w:rsid w:val="00CC37FA"/>
    <w:rsid w:val="00CC382D"/>
    <w:rsid w:val="00CC3858"/>
    <w:rsid w:val="00CC38B4"/>
    <w:rsid w:val="00CC38F0"/>
    <w:rsid w:val="00CC393A"/>
    <w:rsid w:val="00CC3940"/>
    <w:rsid w:val="00CC39D4"/>
    <w:rsid w:val="00CC3A02"/>
    <w:rsid w:val="00CC3AC6"/>
    <w:rsid w:val="00CC3B38"/>
    <w:rsid w:val="00CC3B39"/>
    <w:rsid w:val="00CC3B63"/>
    <w:rsid w:val="00CC3B84"/>
    <w:rsid w:val="00CC3C06"/>
    <w:rsid w:val="00CC3C72"/>
    <w:rsid w:val="00CC3CCE"/>
    <w:rsid w:val="00CC3D06"/>
    <w:rsid w:val="00CC3D48"/>
    <w:rsid w:val="00CC3D58"/>
    <w:rsid w:val="00CC3D89"/>
    <w:rsid w:val="00CC3E84"/>
    <w:rsid w:val="00CC3F05"/>
    <w:rsid w:val="00CC4015"/>
    <w:rsid w:val="00CC40A5"/>
    <w:rsid w:val="00CC40B2"/>
    <w:rsid w:val="00CC40BC"/>
    <w:rsid w:val="00CC40DF"/>
    <w:rsid w:val="00CC420B"/>
    <w:rsid w:val="00CC425B"/>
    <w:rsid w:val="00CC42B3"/>
    <w:rsid w:val="00CC4365"/>
    <w:rsid w:val="00CC437E"/>
    <w:rsid w:val="00CC4436"/>
    <w:rsid w:val="00CC44C9"/>
    <w:rsid w:val="00CC451E"/>
    <w:rsid w:val="00CC4529"/>
    <w:rsid w:val="00CC46B6"/>
    <w:rsid w:val="00CC4805"/>
    <w:rsid w:val="00CC48FF"/>
    <w:rsid w:val="00CC4950"/>
    <w:rsid w:val="00CC4971"/>
    <w:rsid w:val="00CC49B0"/>
    <w:rsid w:val="00CC49C8"/>
    <w:rsid w:val="00CC49E6"/>
    <w:rsid w:val="00CC49E8"/>
    <w:rsid w:val="00CC4A81"/>
    <w:rsid w:val="00CC4A8C"/>
    <w:rsid w:val="00CC4AB3"/>
    <w:rsid w:val="00CC4ABE"/>
    <w:rsid w:val="00CC4ADD"/>
    <w:rsid w:val="00CC4C5B"/>
    <w:rsid w:val="00CC4C93"/>
    <w:rsid w:val="00CC4D24"/>
    <w:rsid w:val="00CC4D2D"/>
    <w:rsid w:val="00CC4D36"/>
    <w:rsid w:val="00CC4D5D"/>
    <w:rsid w:val="00CC4D9C"/>
    <w:rsid w:val="00CC4E16"/>
    <w:rsid w:val="00CC4E2D"/>
    <w:rsid w:val="00CC4E64"/>
    <w:rsid w:val="00CC4EA0"/>
    <w:rsid w:val="00CC4F20"/>
    <w:rsid w:val="00CC500C"/>
    <w:rsid w:val="00CC5013"/>
    <w:rsid w:val="00CC5019"/>
    <w:rsid w:val="00CC50E9"/>
    <w:rsid w:val="00CC512F"/>
    <w:rsid w:val="00CC517B"/>
    <w:rsid w:val="00CC517E"/>
    <w:rsid w:val="00CC51C5"/>
    <w:rsid w:val="00CC524F"/>
    <w:rsid w:val="00CC5321"/>
    <w:rsid w:val="00CC5334"/>
    <w:rsid w:val="00CC533B"/>
    <w:rsid w:val="00CC5391"/>
    <w:rsid w:val="00CC53AE"/>
    <w:rsid w:val="00CC53D1"/>
    <w:rsid w:val="00CC5405"/>
    <w:rsid w:val="00CC543C"/>
    <w:rsid w:val="00CC54DD"/>
    <w:rsid w:val="00CC55B8"/>
    <w:rsid w:val="00CC55C0"/>
    <w:rsid w:val="00CC55EB"/>
    <w:rsid w:val="00CC57F5"/>
    <w:rsid w:val="00CC57FD"/>
    <w:rsid w:val="00CC5825"/>
    <w:rsid w:val="00CC5891"/>
    <w:rsid w:val="00CC58FA"/>
    <w:rsid w:val="00CC5A31"/>
    <w:rsid w:val="00CC5A63"/>
    <w:rsid w:val="00CC5A78"/>
    <w:rsid w:val="00CC5B6C"/>
    <w:rsid w:val="00CC5B6D"/>
    <w:rsid w:val="00CC5B80"/>
    <w:rsid w:val="00CC5BCC"/>
    <w:rsid w:val="00CC5D23"/>
    <w:rsid w:val="00CC5DBA"/>
    <w:rsid w:val="00CC5EFF"/>
    <w:rsid w:val="00CC5FE8"/>
    <w:rsid w:val="00CC5FF9"/>
    <w:rsid w:val="00CC6008"/>
    <w:rsid w:val="00CC6113"/>
    <w:rsid w:val="00CC612B"/>
    <w:rsid w:val="00CC615A"/>
    <w:rsid w:val="00CC6221"/>
    <w:rsid w:val="00CC6401"/>
    <w:rsid w:val="00CC6417"/>
    <w:rsid w:val="00CC6519"/>
    <w:rsid w:val="00CC6538"/>
    <w:rsid w:val="00CC6557"/>
    <w:rsid w:val="00CC657A"/>
    <w:rsid w:val="00CC6585"/>
    <w:rsid w:val="00CC678F"/>
    <w:rsid w:val="00CC6912"/>
    <w:rsid w:val="00CC6948"/>
    <w:rsid w:val="00CC6973"/>
    <w:rsid w:val="00CC698F"/>
    <w:rsid w:val="00CC699D"/>
    <w:rsid w:val="00CC6A24"/>
    <w:rsid w:val="00CC6A6F"/>
    <w:rsid w:val="00CC6AC3"/>
    <w:rsid w:val="00CC6B1F"/>
    <w:rsid w:val="00CC6B5A"/>
    <w:rsid w:val="00CC6B84"/>
    <w:rsid w:val="00CC6B93"/>
    <w:rsid w:val="00CC6C78"/>
    <w:rsid w:val="00CC6CE9"/>
    <w:rsid w:val="00CC6D6A"/>
    <w:rsid w:val="00CC6D95"/>
    <w:rsid w:val="00CC6DD2"/>
    <w:rsid w:val="00CC6F2B"/>
    <w:rsid w:val="00CC6FF6"/>
    <w:rsid w:val="00CC7030"/>
    <w:rsid w:val="00CC7033"/>
    <w:rsid w:val="00CC719E"/>
    <w:rsid w:val="00CC7233"/>
    <w:rsid w:val="00CC726E"/>
    <w:rsid w:val="00CC7396"/>
    <w:rsid w:val="00CC7445"/>
    <w:rsid w:val="00CC74B9"/>
    <w:rsid w:val="00CC74C1"/>
    <w:rsid w:val="00CC74DB"/>
    <w:rsid w:val="00CC74E4"/>
    <w:rsid w:val="00CC769E"/>
    <w:rsid w:val="00CC76C7"/>
    <w:rsid w:val="00CC7902"/>
    <w:rsid w:val="00CC7A34"/>
    <w:rsid w:val="00CC7A3A"/>
    <w:rsid w:val="00CC7BB1"/>
    <w:rsid w:val="00CC7C4A"/>
    <w:rsid w:val="00CC7E16"/>
    <w:rsid w:val="00CC7EAE"/>
    <w:rsid w:val="00CC7EEA"/>
    <w:rsid w:val="00CC7F35"/>
    <w:rsid w:val="00CC7F45"/>
    <w:rsid w:val="00CC7FA5"/>
    <w:rsid w:val="00CD0087"/>
    <w:rsid w:val="00CD00BA"/>
    <w:rsid w:val="00CD00E9"/>
    <w:rsid w:val="00CD0192"/>
    <w:rsid w:val="00CD01E9"/>
    <w:rsid w:val="00CD0223"/>
    <w:rsid w:val="00CD0248"/>
    <w:rsid w:val="00CD024C"/>
    <w:rsid w:val="00CD03BE"/>
    <w:rsid w:val="00CD03C2"/>
    <w:rsid w:val="00CD03DF"/>
    <w:rsid w:val="00CD0459"/>
    <w:rsid w:val="00CD0566"/>
    <w:rsid w:val="00CD05B3"/>
    <w:rsid w:val="00CD05E6"/>
    <w:rsid w:val="00CD061A"/>
    <w:rsid w:val="00CD071E"/>
    <w:rsid w:val="00CD0819"/>
    <w:rsid w:val="00CD0820"/>
    <w:rsid w:val="00CD0840"/>
    <w:rsid w:val="00CD08D3"/>
    <w:rsid w:val="00CD09A1"/>
    <w:rsid w:val="00CD09E1"/>
    <w:rsid w:val="00CD0B3D"/>
    <w:rsid w:val="00CD0C4B"/>
    <w:rsid w:val="00CD0C66"/>
    <w:rsid w:val="00CD0C72"/>
    <w:rsid w:val="00CD0D6F"/>
    <w:rsid w:val="00CD0D98"/>
    <w:rsid w:val="00CD0DAD"/>
    <w:rsid w:val="00CD0E63"/>
    <w:rsid w:val="00CD0E64"/>
    <w:rsid w:val="00CD0F47"/>
    <w:rsid w:val="00CD0F68"/>
    <w:rsid w:val="00CD102A"/>
    <w:rsid w:val="00CD104B"/>
    <w:rsid w:val="00CD1071"/>
    <w:rsid w:val="00CD10AE"/>
    <w:rsid w:val="00CD10FC"/>
    <w:rsid w:val="00CD111B"/>
    <w:rsid w:val="00CD1186"/>
    <w:rsid w:val="00CD11C5"/>
    <w:rsid w:val="00CD1229"/>
    <w:rsid w:val="00CD1258"/>
    <w:rsid w:val="00CD126B"/>
    <w:rsid w:val="00CD129B"/>
    <w:rsid w:val="00CD1382"/>
    <w:rsid w:val="00CD143D"/>
    <w:rsid w:val="00CD1454"/>
    <w:rsid w:val="00CD1492"/>
    <w:rsid w:val="00CD1507"/>
    <w:rsid w:val="00CD157E"/>
    <w:rsid w:val="00CD1625"/>
    <w:rsid w:val="00CD162B"/>
    <w:rsid w:val="00CD167F"/>
    <w:rsid w:val="00CD16CC"/>
    <w:rsid w:val="00CD1712"/>
    <w:rsid w:val="00CD17EF"/>
    <w:rsid w:val="00CD180F"/>
    <w:rsid w:val="00CD185A"/>
    <w:rsid w:val="00CD18A4"/>
    <w:rsid w:val="00CD18F9"/>
    <w:rsid w:val="00CD191C"/>
    <w:rsid w:val="00CD1960"/>
    <w:rsid w:val="00CD19DD"/>
    <w:rsid w:val="00CD19E0"/>
    <w:rsid w:val="00CD1A15"/>
    <w:rsid w:val="00CD1A33"/>
    <w:rsid w:val="00CD1ABC"/>
    <w:rsid w:val="00CD1B2A"/>
    <w:rsid w:val="00CD1C32"/>
    <w:rsid w:val="00CD1C60"/>
    <w:rsid w:val="00CD1CA5"/>
    <w:rsid w:val="00CD1CD3"/>
    <w:rsid w:val="00CD1D47"/>
    <w:rsid w:val="00CD1D48"/>
    <w:rsid w:val="00CD1DD9"/>
    <w:rsid w:val="00CD1E72"/>
    <w:rsid w:val="00CD1ECD"/>
    <w:rsid w:val="00CD1EEF"/>
    <w:rsid w:val="00CD1F26"/>
    <w:rsid w:val="00CD20E4"/>
    <w:rsid w:val="00CD22FC"/>
    <w:rsid w:val="00CD2371"/>
    <w:rsid w:val="00CD2374"/>
    <w:rsid w:val="00CD2394"/>
    <w:rsid w:val="00CD2443"/>
    <w:rsid w:val="00CD2459"/>
    <w:rsid w:val="00CD24CD"/>
    <w:rsid w:val="00CD24ED"/>
    <w:rsid w:val="00CD2524"/>
    <w:rsid w:val="00CD2587"/>
    <w:rsid w:val="00CD25CB"/>
    <w:rsid w:val="00CD25E2"/>
    <w:rsid w:val="00CD2675"/>
    <w:rsid w:val="00CD26A2"/>
    <w:rsid w:val="00CD26FD"/>
    <w:rsid w:val="00CD2782"/>
    <w:rsid w:val="00CD27EB"/>
    <w:rsid w:val="00CD27F3"/>
    <w:rsid w:val="00CD284A"/>
    <w:rsid w:val="00CD291F"/>
    <w:rsid w:val="00CD295B"/>
    <w:rsid w:val="00CD29BF"/>
    <w:rsid w:val="00CD29E0"/>
    <w:rsid w:val="00CD29FA"/>
    <w:rsid w:val="00CD2A0E"/>
    <w:rsid w:val="00CD2AAE"/>
    <w:rsid w:val="00CD2B0F"/>
    <w:rsid w:val="00CD2CB0"/>
    <w:rsid w:val="00CD2CCD"/>
    <w:rsid w:val="00CD2D12"/>
    <w:rsid w:val="00CD2D18"/>
    <w:rsid w:val="00CD2DC4"/>
    <w:rsid w:val="00CD2DF2"/>
    <w:rsid w:val="00CD2E06"/>
    <w:rsid w:val="00CD2E9B"/>
    <w:rsid w:val="00CD2EAC"/>
    <w:rsid w:val="00CD2FE9"/>
    <w:rsid w:val="00CD3001"/>
    <w:rsid w:val="00CD3073"/>
    <w:rsid w:val="00CD30B2"/>
    <w:rsid w:val="00CD3108"/>
    <w:rsid w:val="00CD311F"/>
    <w:rsid w:val="00CD31F0"/>
    <w:rsid w:val="00CD330F"/>
    <w:rsid w:val="00CD337B"/>
    <w:rsid w:val="00CD33E1"/>
    <w:rsid w:val="00CD346B"/>
    <w:rsid w:val="00CD3480"/>
    <w:rsid w:val="00CD3502"/>
    <w:rsid w:val="00CD350F"/>
    <w:rsid w:val="00CD3533"/>
    <w:rsid w:val="00CD3542"/>
    <w:rsid w:val="00CD35CC"/>
    <w:rsid w:val="00CD3631"/>
    <w:rsid w:val="00CD366F"/>
    <w:rsid w:val="00CD367D"/>
    <w:rsid w:val="00CD3687"/>
    <w:rsid w:val="00CD36CF"/>
    <w:rsid w:val="00CD371A"/>
    <w:rsid w:val="00CD3782"/>
    <w:rsid w:val="00CD37F8"/>
    <w:rsid w:val="00CD395F"/>
    <w:rsid w:val="00CD39BC"/>
    <w:rsid w:val="00CD3B8E"/>
    <w:rsid w:val="00CD3BC1"/>
    <w:rsid w:val="00CD3C26"/>
    <w:rsid w:val="00CD3C94"/>
    <w:rsid w:val="00CD3CDE"/>
    <w:rsid w:val="00CD3D69"/>
    <w:rsid w:val="00CD3D96"/>
    <w:rsid w:val="00CD3DA8"/>
    <w:rsid w:val="00CD3DBE"/>
    <w:rsid w:val="00CD3DE8"/>
    <w:rsid w:val="00CD3E1C"/>
    <w:rsid w:val="00CD3E53"/>
    <w:rsid w:val="00CD3EA9"/>
    <w:rsid w:val="00CD3FA8"/>
    <w:rsid w:val="00CD3FCB"/>
    <w:rsid w:val="00CD3FCD"/>
    <w:rsid w:val="00CD3FE6"/>
    <w:rsid w:val="00CD4018"/>
    <w:rsid w:val="00CD408F"/>
    <w:rsid w:val="00CD40B5"/>
    <w:rsid w:val="00CD4109"/>
    <w:rsid w:val="00CD4197"/>
    <w:rsid w:val="00CD41F9"/>
    <w:rsid w:val="00CD421A"/>
    <w:rsid w:val="00CD4248"/>
    <w:rsid w:val="00CD4293"/>
    <w:rsid w:val="00CD42CD"/>
    <w:rsid w:val="00CD42E5"/>
    <w:rsid w:val="00CD4302"/>
    <w:rsid w:val="00CD430A"/>
    <w:rsid w:val="00CD4343"/>
    <w:rsid w:val="00CD4381"/>
    <w:rsid w:val="00CD442F"/>
    <w:rsid w:val="00CD45CF"/>
    <w:rsid w:val="00CD464F"/>
    <w:rsid w:val="00CD4730"/>
    <w:rsid w:val="00CD4745"/>
    <w:rsid w:val="00CD474E"/>
    <w:rsid w:val="00CD4808"/>
    <w:rsid w:val="00CD48DA"/>
    <w:rsid w:val="00CD497C"/>
    <w:rsid w:val="00CD4A3A"/>
    <w:rsid w:val="00CD4B13"/>
    <w:rsid w:val="00CD4B1C"/>
    <w:rsid w:val="00CD4BE0"/>
    <w:rsid w:val="00CD4BF8"/>
    <w:rsid w:val="00CD4C73"/>
    <w:rsid w:val="00CD4CAC"/>
    <w:rsid w:val="00CD4CD4"/>
    <w:rsid w:val="00CD4D34"/>
    <w:rsid w:val="00CD4DE6"/>
    <w:rsid w:val="00CD4E7E"/>
    <w:rsid w:val="00CD4EA4"/>
    <w:rsid w:val="00CD4F15"/>
    <w:rsid w:val="00CD4F18"/>
    <w:rsid w:val="00CD4F24"/>
    <w:rsid w:val="00CD4F82"/>
    <w:rsid w:val="00CD500F"/>
    <w:rsid w:val="00CD5092"/>
    <w:rsid w:val="00CD50F0"/>
    <w:rsid w:val="00CD5118"/>
    <w:rsid w:val="00CD51F2"/>
    <w:rsid w:val="00CD52C4"/>
    <w:rsid w:val="00CD533D"/>
    <w:rsid w:val="00CD534F"/>
    <w:rsid w:val="00CD5365"/>
    <w:rsid w:val="00CD5438"/>
    <w:rsid w:val="00CD548F"/>
    <w:rsid w:val="00CD54BB"/>
    <w:rsid w:val="00CD5506"/>
    <w:rsid w:val="00CD555D"/>
    <w:rsid w:val="00CD5594"/>
    <w:rsid w:val="00CD5649"/>
    <w:rsid w:val="00CD5670"/>
    <w:rsid w:val="00CD5682"/>
    <w:rsid w:val="00CD56BA"/>
    <w:rsid w:val="00CD575B"/>
    <w:rsid w:val="00CD578F"/>
    <w:rsid w:val="00CD58E7"/>
    <w:rsid w:val="00CD591E"/>
    <w:rsid w:val="00CD5930"/>
    <w:rsid w:val="00CD594C"/>
    <w:rsid w:val="00CD596F"/>
    <w:rsid w:val="00CD5997"/>
    <w:rsid w:val="00CD59CF"/>
    <w:rsid w:val="00CD59F7"/>
    <w:rsid w:val="00CD5AC9"/>
    <w:rsid w:val="00CD5AEA"/>
    <w:rsid w:val="00CD5BA5"/>
    <w:rsid w:val="00CD5C4A"/>
    <w:rsid w:val="00CD5CA2"/>
    <w:rsid w:val="00CD5CF1"/>
    <w:rsid w:val="00CD5D55"/>
    <w:rsid w:val="00CD5D86"/>
    <w:rsid w:val="00CD5D8A"/>
    <w:rsid w:val="00CD5DE1"/>
    <w:rsid w:val="00CD5DF5"/>
    <w:rsid w:val="00CD5E12"/>
    <w:rsid w:val="00CD5E24"/>
    <w:rsid w:val="00CD5E41"/>
    <w:rsid w:val="00CD5F41"/>
    <w:rsid w:val="00CD5F88"/>
    <w:rsid w:val="00CD6052"/>
    <w:rsid w:val="00CD620E"/>
    <w:rsid w:val="00CD624B"/>
    <w:rsid w:val="00CD62E7"/>
    <w:rsid w:val="00CD62F4"/>
    <w:rsid w:val="00CD6346"/>
    <w:rsid w:val="00CD6358"/>
    <w:rsid w:val="00CD63A5"/>
    <w:rsid w:val="00CD63BB"/>
    <w:rsid w:val="00CD63C6"/>
    <w:rsid w:val="00CD63E2"/>
    <w:rsid w:val="00CD63FF"/>
    <w:rsid w:val="00CD6416"/>
    <w:rsid w:val="00CD642E"/>
    <w:rsid w:val="00CD642F"/>
    <w:rsid w:val="00CD651D"/>
    <w:rsid w:val="00CD6579"/>
    <w:rsid w:val="00CD6608"/>
    <w:rsid w:val="00CD6689"/>
    <w:rsid w:val="00CD6730"/>
    <w:rsid w:val="00CD677D"/>
    <w:rsid w:val="00CD6791"/>
    <w:rsid w:val="00CD67A2"/>
    <w:rsid w:val="00CD67A4"/>
    <w:rsid w:val="00CD67CD"/>
    <w:rsid w:val="00CD6875"/>
    <w:rsid w:val="00CD68C5"/>
    <w:rsid w:val="00CD6AB9"/>
    <w:rsid w:val="00CD6B04"/>
    <w:rsid w:val="00CD6B3B"/>
    <w:rsid w:val="00CD6B84"/>
    <w:rsid w:val="00CD6BB2"/>
    <w:rsid w:val="00CD6C26"/>
    <w:rsid w:val="00CD6CB7"/>
    <w:rsid w:val="00CD6D83"/>
    <w:rsid w:val="00CD6DF5"/>
    <w:rsid w:val="00CD6E41"/>
    <w:rsid w:val="00CD6E92"/>
    <w:rsid w:val="00CD6EA6"/>
    <w:rsid w:val="00CD6EA8"/>
    <w:rsid w:val="00CD701A"/>
    <w:rsid w:val="00CD719B"/>
    <w:rsid w:val="00CD719E"/>
    <w:rsid w:val="00CD71A4"/>
    <w:rsid w:val="00CD7229"/>
    <w:rsid w:val="00CD72B7"/>
    <w:rsid w:val="00CD72C7"/>
    <w:rsid w:val="00CD7316"/>
    <w:rsid w:val="00CD73BB"/>
    <w:rsid w:val="00CD73F3"/>
    <w:rsid w:val="00CD742B"/>
    <w:rsid w:val="00CD7442"/>
    <w:rsid w:val="00CD74CA"/>
    <w:rsid w:val="00CD751E"/>
    <w:rsid w:val="00CD7539"/>
    <w:rsid w:val="00CD7564"/>
    <w:rsid w:val="00CD758A"/>
    <w:rsid w:val="00CD760E"/>
    <w:rsid w:val="00CD7621"/>
    <w:rsid w:val="00CD764A"/>
    <w:rsid w:val="00CD766A"/>
    <w:rsid w:val="00CD76A1"/>
    <w:rsid w:val="00CD7777"/>
    <w:rsid w:val="00CD779A"/>
    <w:rsid w:val="00CD77A5"/>
    <w:rsid w:val="00CD77AB"/>
    <w:rsid w:val="00CD783A"/>
    <w:rsid w:val="00CD785D"/>
    <w:rsid w:val="00CD7915"/>
    <w:rsid w:val="00CD79BE"/>
    <w:rsid w:val="00CD79F6"/>
    <w:rsid w:val="00CD7A05"/>
    <w:rsid w:val="00CD7AAC"/>
    <w:rsid w:val="00CD7AAD"/>
    <w:rsid w:val="00CD7AE5"/>
    <w:rsid w:val="00CD7B28"/>
    <w:rsid w:val="00CD7B4B"/>
    <w:rsid w:val="00CD7B72"/>
    <w:rsid w:val="00CD7BA9"/>
    <w:rsid w:val="00CD7BE9"/>
    <w:rsid w:val="00CD7CEE"/>
    <w:rsid w:val="00CD7D9B"/>
    <w:rsid w:val="00CD7DB9"/>
    <w:rsid w:val="00CD7FEF"/>
    <w:rsid w:val="00CE00DF"/>
    <w:rsid w:val="00CE00F7"/>
    <w:rsid w:val="00CE021C"/>
    <w:rsid w:val="00CE024B"/>
    <w:rsid w:val="00CE0255"/>
    <w:rsid w:val="00CE0261"/>
    <w:rsid w:val="00CE0266"/>
    <w:rsid w:val="00CE02BD"/>
    <w:rsid w:val="00CE02D4"/>
    <w:rsid w:val="00CE03D0"/>
    <w:rsid w:val="00CE0415"/>
    <w:rsid w:val="00CE0460"/>
    <w:rsid w:val="00CE0467"/>
    <w:rsid w:val="00CE049F"/>
    <w:rsid w:val="00CE0668"/>
    <w:rsid w:val="00CE0688"/>
    <w:rsid w:val="00CE0689"/>
    <w:rsid w:val="00CE08A6"/>
    <w:rsid w:val="00CE0975"/>
    <w:rsid w:val="00CE098E"/>
    <w:rsid w:val="00CE09EC"/>
    <w:rsid w:val="00CE0CF9"/>
    <w:rsid w:val="00CE0D0C"/>
    <w:rsid w:val="00CE0D4D"/>
    <w:rsid w:val="00CE0D97"/>
    <w:rsid w:val="00CE0E10"/>
    <w:rsid w:val="00CE0E23"/>
    <w:rsid w:val="00CE0E29"/>
    <w:rsid w:val="00CE0EAA"/>
    <w:rsid w:val="00CE0EDA"/>
    <w:rsid w:val="00CE0F4D"/>
    <w:rsid w:val="00CE0F61"/>
    <w:rsid w:val="00CE0FBD"/>
    <w:rsid w:val="00CE0FC3"/>
    <w:rsid w:val="00CE0FD1"/>
    <w:rsid w:val="00CE0FF6"/>
    <w:rsid w:val="00CE101D"/>
    <w:rsid w:val="00CE107C"/>
    <w:rsid w:val="00CE1133"/>
    <w:rsid w:val="00CE11BF"/>
    <w:rsid w:val="00CE11CA"/>
    <w:rsid w:val="00CE1221"/>
    <w:rsid w:val="00CE12F5"/>
    <w:rsid w:val="00CE133C"/>
    <w:rsid w:val="00CE1515"/>
    <w:rsid w:val="00CE1529"/>
    <w:rsid w:val="00CE1540"/>
    <w:rsid w:val="00CE1575"/>
    <w:rsid w:val="00CE15C5"/>
    <w:rsid w:val="00CE15E3"/>
    <w:rsid w:val="00CE16CA"/>
    <w:rsid w:val="00CE17A4"/>
    <w:rsid w:val="00CE17EE"/>
    <w:rsid w:val="00CE18AD"/>
    <w:rsid w:val="00CE190A"/>
    <w:rsid w:val="00CE1931"/>
    <w:rsid w:val="00CE193D"/>
    <w:rsid w:val="00CE1950"/>
    <w:rsid w:val="00CE1A03"/>
    <w:rsid w:val="00CE1A23"/>
    <w:rsid w:val="00CE1A4A"/>
    <w:rsid w:val="00CE1AA1"/>
    <w:rsid w:val="00CE1AAF"/>
    <w:rsid w:val="00CE1AC5"/>
    <w:rsid w:val="00CE1BA0"/>
    <w:rsid w:val="00CE1C6A"/>
    <w:rsid w:val="00CE1C88"/>
    <w:rsid w:val="00CE1D00"/>
    <w:rsid w:val="00CE1E1C"/>
    <w:rsid w:val="00CE1E4E"/>
    <w:rsid w:val="00CE1E71"/>
    <w:rsid w:val="00CE2022"/>
    <w:rsid w:val="00CE209C"/>
    <w:rsid w:val="00CE21D6"/>
    <w:rsid w:val="00CE23E0"/>
    <w:rsid w:val="00CE23E8"/>
    <w:rsid w:val="00CE246B"/>
    <w:rsid w:val="00CE246D"/>
    <w:rsid w:val="00CE24E0"/>
    <w:rsid w:val="00CE25CC"/>
    <w:rsid w:val="00CE261A"/>
    <w:rsid w:val="00CE2630"/>
    <w:rsid w:val="00CE27C1"/>
    <w:rsid w:val="00CE27D1"/>
    <w:rsid w:val="00CE2874"/>
    <w:rsid w:val="00CE29DA"/>
    <w:rsid w:val="00CE2BA9"/>
    <w:rsid w:val="00CE2BEA"/>
    <w:rsid w:val="00CE2C5C"/>
    <w:rsid w:val="00CE2D8A"/>
    <w:rsid w:val="00CE2DDC"/>
    <w:rsid w:val="00CE2DE7"/>
    <w:rsid w:val="00CE2E14"/>
    <w:rsid w:val="00CE2F19"/>
    <w:rsid w:val="00CE2F51"/>
    <w:rsid w:val="00CE2F52"/>
    <w:rsid w:val="00CE2F5E"/>
    <w:rsid w:val="00CE2FDF"/>
    <w:rsid w:val="00CE30C8"/>
    <w:rsid w:val="00CE30D7"/>
    <w:rsid w:val="00CE31AC"/>
    <w:rsid w:val="00CE32C2"/>
    <w:rsid w:val="00CE32E9"/>
    <w:rsid w:val="00CE3317"/>
    <w:rsid w:val="00CE3322"/>
    <w:rsid w:val="00CE33AD"/>
    <w:rsid w:val="00CE349F"/>
    <w:rsid w:val="00CE34EF"/>
    <w:rsid w:val="00CE3551"/>
    <w:rsid w:val="00CE3560"/>
    <w:rsid w:val="00CE36BB"/>
    <w:rsid w:val="00CE3735"/>
    <w:rsid w:val="00CE3754"/>
    <w:rsid w:val="00CE3780"/>
    <w:rsid w:val="00CE37DE"/>
    <w:rsid w:val="00CE37F3"/>
    <w:rsid w:val="00CE3848"/>
    <w:rsid w:val="00CE384C"/>
    <w:rsid w:val="00CE395F"/>
    <w:rsid w:val="00CE39D3"/>
    <w:rsid w:val="00CE3A23"/>
    <w:rsid w:val="00CE3A2F"/>
    <w:rsid w:val="00CE3A5C"/>
    <w:rsid w:val="00CE3BEC"/>
    <w:rsid w:val="00CE3C9F"/>
    <w:rsid w:val="00CE3CB5"/>
    <w:rsid w:val="00CE3D56"/>
    <w:rsid w:val="00CE3E44"/>
    <w:rsid w:val="00CE3E9F"/>
    <w:rsid w:val="00CE3F16"/>
    <w:rsid w:val="00CE406F"/>
    <w:rsid w:val="00CE40FE"/>
    <w:rsid w:val="00CE41D3"/>
    <w:rsid w:val="00CE41FA"/>
    <w:rsid w:val="00CE4249"/>
    <w:rsid w:val="00CE429C"/>
    <w:rsid w:val="00CE4322"/>
    <w:rsid w:val="00CE4332"/>
    <w:rsid w:val="00CE43A7"/>
    <w:rsid w:val="00CE444B"/>
    <w:rsid w:val="00CE4871"/>
    <w:rsid w:val="00CE4874"/>
    <w:rsid w:val="00CE4879"/>
    <w:rsid w:val="00CE4A3D"/>
    <w:rsid w:val="00CE4A56"/>
    <w:rsid w:val="00CE4B7F"/>
    <w:rsid w:val="00CE4BA5"/>
    <w:rsid w:val="00CE4BB8"/>
    <w:rsid w:val="00CE4BE4"/>
    <w:rsid w:val="00CE4BEE"/>
    <w:rsid w:val="00CE4CE2"/>
    <w:rsid w:val="00CE4D4F"/>
    <w:rsid w:val="00CE4D50"/>
    <w:rsid w:val="00CE4D56"/>
    <w:rsid w:val="00CE4D7C"/>
    <w:rsid w:val="00CE4D90"/>
    <w:rsid w:val="00CE4E26"/>
    <w:rsid w:val="00CE4E9F"/>
    <w:rsid w:val="00CE4F44"/>
    <w:rsid w:val="00CE4F88"/>
    <w:rsid w:val="00CE5068"/>
    <w:rsid w:val="00CE51E3"/>
    <w:rsid w:val="00CE5284"/>
    <w:rsid w:val="00CE529A"/>
    <w:rsid w:val="00CE5342"/>
    <w:rsid w:val="00CE53DF"/>
    <w:rsid w:val="00CE5436"/>
    <w:rsid w:val="00CE54CE"/>
    <w:rsid w:val="00CE55B3"/>
    <w:rsid w:val="00CE55F8"/>
    <w:rsid w:val="00CE5637"/>
    <w:rsid w:val="00CE56FF"/>
    <w:rsid w:val="00CE5760"/>
    <w:rsid w:val="00CE576F"/>
    <w:rsid w:val="00CE5775"/>
    <w:rsid w:val="00CE57B1"/>
    <w:rsid w:val="00CE57B6"/>
    <w:rsid w:val="00CE57DC"/>
    <w:rsid w:val="00CE5903"/>
    <w:rsid w:val="00CE598D"/>
    <w:rsid w:val="00CE5993"/>
    <w:rsid w:val="00CE59AE"/>
    <w:rsid w:val="00CE59D4"/>
    <w:rsid w:val="00CE5A4F"/>
    <w:rsid w:val="00CE5A99"/>
    <w:rsid w:val="00CE5AC3"/>
    <w:rsid w:val="00CE5B8C"/>
    <w:rsid w:val="00CE5C1A"/>
    <w:rsid w:val="00CE5C2F"/>
    <w:rsid w:val="00CE5C9A"/>
    <w:rsid w:val="00CE5CBE"/>
    <w:rsid w:val="00CE5CDC"/>
    <w:rsid w:val="00CE5CE0"/>
    <w:rsid w:val="00CE5D07"/>
    <w:rsid w:val="00CE5D39"/>
    <w:rsid w:val="00CE5D6F"/>
    <w:rsid w:val="00CE5D7F"/>
    <w:rsid w:val="00CE5DA0"/>
    <w:rsid w:val="00CE5E83"/>
    <w:rsid w:val="00CE5F59"/>
    <w:rsid w:val="00CE5F96"/>
    <w:rsid w:val="00CE6077"/>
    <w:rsid w:val="00CE608E"/>
    <w:rsid w:val="00CE6143"/>
    <w:rsid w:val="00CE6151"/>
    <w:rsid w:val="00CE6179"/>
    <w:rsid w:val="00CE639C"/>
    <w:rsid w:val="00CE63DD"/>
    <w:rsid w:val="00CE63EC"/>
    <w:rsid w:val="00CE649F"/>
    <w:rsid w:val="00CE6529"/>
    <w:rsid w:val="00CE657A"/>
    <w:rsid w:val="00CE658F"/>
    <w:rsid w:val="00CE65A4"/>
    <w:rsid w:val="00CE65AD"/>
    <w:rsid w:val="00CE6603"/>
    <w:rsid w:val="00CE6673"/>
    <w:rsid w:val="00CE66A3"/>
    <w:rsid w:val="00CE66CA"/>
    <w:rsid w:val="00CE66F2"/>
    <w:rsid w:val="00CE6708"/>
    <w:rsid w:val="00CE6763"/>
    <w:rsid w:val="00CE676F"/>
    <w:rsid w:val="00CE67F4"/>
    <w:rsid w:val="00CE694C"/>
    <w:rsid w:val="00CE69DD"/>
    <w:rsid w:val="00CE69E4"/>
    <w:rsid w:val="00CE6A0B"/>
    <w:rsid w:val="00CE6A4B"/>
    <w:rsid w:val="00CE6B20"/>
    <w:rsid w:val="00CE6B9B"/>
    <w:rsid w:val="00CE6BC7"/>
    <w:rsid w:val="00CE6C47"/>
    <w:rsid w:val="00CE6C84"/>
    <w:rsid w:val="00CE6CA8"/>
    <w:rsid w:val="00CE6CF7"/>
    <w:rsid w:val="00CE6CFF"/>
    <w:rsid w:val="00CE6D82"/>
    <w:rsid w:val="00CE6DED"/>
    <w:rsid w:val="00CE6EC6"/>
    <w:rsid w:val="00CE6F28"/>
    <w:rsid w:val="00CE6FB3"/>
    <w:rsid w:val="00CE704F"/>
    <w:rsid w:val="00CE709E"/>
    <w:rsid w:val="00CE70C1"/>
    <w:rsid w:val="00CE720A"/>
    <w:rsid w:val="00CE7250"/>
    <w:rsid w:val="00CE72BA"/>
    <w:rsid w:val="00CE72CF"/>
    <w:rsid w:val="00CE72DD"/>
    <w:rsid w:val="00CE7312"/>
    <w:rsid w:val="00CE732E"/>
    <w:rsid w:val="00CE7424"/>
    <w:rsid w:val="00CE742A"/>
    <w:rsid w:val="00CE74E1"/>
    <w:rsid w:val="00CE7527"/>
    <w:rsid w:val="00CE761D"/>
    <w:rsid w:val="00CE769B"/>
    <w:rsid w:val="00CE76C2"/>
    <w:rsid w:val="00CE7736"/>
    <w:rsid w:val="00CE7758"/>
    <w:rsid w:val="00CE7804"/>
    <w:rsid w:val="00CE7814"/>
    <w:rsid w:val="00CE78A7"/>
    <w:rsid w:val="00CE78A9"/>
    <w:rsid w:val="00CE78D5"/>
    <w:rsid w:val="00CE7918"/>
    <w:rsid w:val="00CE7994"/>
    <w:rsid w:val="00CE79D4"/>
    <w:rsid w:val="00CE79E8"/>
    <w:rsid w:val="00CE7A14"/>
    <w:rsid w:val="00CE7A1A"/>
    <w:rsid w:val="00CE7A20"/>
    <w:rsid w:val="00CE7A49"/>
    <w:rsid w:val="00CE7A59"/>
    <w:rsid w:val="00CE7AA6"/>
    <w:rsid w:val="00CE7B97"/>
    <w:rsid w:val="00CE7C2B"/>
    <w:rsid w:val="00CE7C65"/>
    <w:rsid w:val="00CE7D7F"/>
    <w:rsid w:val="00CE7E29"/>
    <w:rsid w:val="00CE7E2F"/>
    <w:rsid w:val="00CE7F07"/>
    <w:rsid w:val="00CF00E4"/>
    <w:rsid w:val="00CF015F"/>
    <w:rsid w:val="00CF01C6"/>
    <w:rsid w:val="00CF01DC"/>
    <w:rsid w:val="00CF01EA"/>
    <w:rsid w:val="00CF01F6"/>
    <w:rsid w:val="00CF023F"/>
    <w:rsid w:val="00CF0243"/>
    <w:rsid w:val="00CF0266"/>
    <w:rsid w:val="00CF02F2"/>
    <w:rsid w:val="00CF032C"/>
    <w:rsid w:val="00CF03AB"/>
    <w:rsid w:val="00CF03BB"/>
    <w:rsid w:val="00CF043E"/>
    <w:rsid w:val="00CF04A0"/>
    <w:rsid w:val="00CF05C3"/>
    <w:rsid w:val="00CF0616"/>
    <w:rsid w:val="00CF06B6"/>
    <w:rsid w:val="00CF06C0"/>
    <w:rsid w:val="00CF06F2"/>
    <w:rsid w:val="00CF06F4"/>
    <w:rsid w:val="00CF0722"/>
    <w:rsid w:val="00CF0768"/>
    <w:rsid w:val="00CF077D"/>
    <w:rsid w:val="00CF07CD"/>
    <w:rsid w:val="00CF07EF"/>
    <w:rsid w:val="00CF09AB"/>
    <w:rsid w:val="00CF09D3"/>
    <w:rsid w:val="00CF09E2"/>
    <w:rsid w:val="00CF0A5D"/>
    <w:rsid w:val="00CF0ABB"/>
    <w:rsid w:val="00CF0AC4"/>
    <w:rsid w:val="00CF0B6A"/>
    <w:rsid w:val="00CF0B88"/>
    <w:rsid w:val="00CF0B96"/>
    <w:rsid w:val="00CF0BE6"/>
    <w:rsid w:val="00CF0CCD"/>
    <w:rsid w:val="00CF0CD8"/>
    <w:rsid w:val="00CF0CFE"/>
    <w:rsid w:val="00CF0E7D"/>
    <w:rsid w:val="00CF0E8F"/>
    <w:rsid w:val="00CF0F83"/>
    <w:rsid w:val="00CF0FC2"/>
    <w:rsid w:val="00CF1006"/>
    <w:rsid w:val="00CF1026"/>
    <w:rsid w:val="00CF103D"/>
    <w:rsid w:val="00CF1186"/>
    <w:rsid w:val="00CF11FA"/>
    <w:rsid w:val="00CF127C"/>
    <w:rsid w:val="00CF12AB"/>
    <w:rsid w:val="00CF1369"/>
    <w:rsid w:val="00CF13C4"/>
    <w:rsid w:val="00CF142A"/>
    <w:rsid w:val="00CF144A"/>
    <w:rsid w:val="00CF145C"/>
    <w:rsid w:val="00CF14A1"/>
    <w:rsid w:val="00CF14D5"/>
    <w:rsid w:val="00CF150C"/>
    <w:rsid w:val="00CF1516"/>
    <w:rsid w:val="00CF15EE"/>
    <w:rsid w:val="00CF1602"/>
    <w:rsid w:val="00CF1686"/>
    <w:rsid w:val="00CF1694"/>
    <w:rsid w:val="00CF16D9"/>
    <w:rsid w:val="00CF1750"/>
    <w:rsid w:val="00CF1766"/>
    <w:rsid w:val="00CF177A"/>
    <w:rsid w:val="00CF1794"/>
    <w:rsid w:val="00CF1861"/>
    <w:rsid w:val="00CF186B"/>
    <w:rsid w:val="00CF1875"/>
    <w:rsid w:val="00CF187C"/>
    <w:rsid w:val="00CF18F8"/>
    <w:rsid w:val="00CF190D"/>
    <w:rsid w:val="00CF1922"/>
    <w:rsid w:val="00CF1952"/>
    <w:rsid w:val="00CF1B39"/>
    <w:rsid w:val="00CF1B85"/>
    <w:rsid w:val="00CF1BD0"/>
    <w:rsid w:val="00CF1BF5"/>
    <w:rsid w:val="00CF1C59"/>
    <w:rsid w:val="00CF1C91"/>
    <w:rsid w:val="00CF1C9C"/>
    <w:rsid w:val="00CF1CAD"/>
    <w:rsid w:val="00CF1CCB"/>
    <w:rsid w:val="00CF1D1F"/>
    <w:rsid w:val="00CF1DD0"/>
    <w:rsid w:val="00CF1E08"/>
    <w:rsid w:val="00CF1ECC"/>
    <w:rsid w:val="00CF1F12"/>
    <w:rsid w:val="00CF1F19"/>
    <w:rsid w:val="00CF1F2C"/>
    <w:rsid w:val="00CF1F5A"/>
    <w:rsid w:val="00CF1FF3"/>
    <w:rsid w:val="00CF208C"/>
    <w:rsid w:val="00CF209D"/>
    <w:rsid w:val="00CF219D"/>
    <w:rsid w:val="00CF2263"/>
    <w:rsid w:val="00CF228A"/>
    <w:rsid w:val="00CF22EA"/>
    <w:rsid w:val="00CF23B9"/>
    <w:rsid w:val="00CF23D2"/>
    <w:rsid w:val="00CF241B"/>
    <w:rsid w:val="00CF2527"/>
    <w:rsid w:val="00CF252A"/>
    <w:rsid w:val="00CF257A"/>
    <w:rsid w:val="00CF2659"/>
    <w:rsid w:val="00CF2702"/>
    <w:rsid w:val="00CF2756"/>
    <w:rsid w:val="00CF2758"/>
    <w:rsid w:val="00CF278C"/>
    <w:rsid w:val="00CF280B"/>
    <w:rsid w:val="00CF2842"/>
    <w:rsid w:val="00CF28C2"/>
    <w:rsid w:val="00CF2904"/>
    <w:rsid w:val="00CF2913"/>
    <w:rsid w:val="00CF2A72"/>
    <w:rsid w:val="00CF2A80"/>
    <w:rsid w:val="00CF2AFE"/>
    <w:rsid w:val="00CF2B90"/>
    <w:rsid w:val="00CF2BE4"/>
    <w:rsid w:val="00CF2C4C"/>
    <w:rsid w:val="00CF2CC2"/>
    <w:rsid w:val="00CF2CEA"/>
    <w:rsid w:val="00CF2E04"/>
    <w:rsid w:val="00CF2E4F"/>
    <w:rsid w:val="00CF2E56"/>
    <w:rsid w:val="00CF2E5F"/>
    <w:rsid w:val="00CF2E79"/>
    <w:rsid w:val="00CF2EA8"/>
    <w:rsid w:val="00CF2F15"/>
    <w:rsid w:val="00CF2FF0"/>
    <w:rsid w:val="00CF3074"/>
    <w:rsid w:val="00CF309F"/>
    <w:rsid w:val="00CF3192"/>
    <w:rsid w:val="00CF31A4"/>
    <w:rsid w:val="00CF33BC"/>
    <w:rsid w:val="00CF33CF"/>
    <w:rsid w:val="00CF3446"/>
    <w:rsid w:val="00CF3473"/>
    <w:rsid w:val="00CF3485"/>
    <w:rsid w:val="00CF349D"/>
    <w:rsid w:val="00CF3541"/>
    <w:rsid w:val="00CF3599"/>
    <w:rsid w:val="00CF35B3"/>
    <w:rsid w:val="00CF35B8"/>
    <w:rsid w:val="00CF35DC"/>
    <w:rsid w:val="00CF36E7"/>
    <w:rsid w:val="00CF3716"/>
    <w:rsid w:val="00CF3753"/>
    <w:rsid w:val="00CF37E4"/>
    <w:rsid w:val="00CF388A"/>
    <w:rsid w:val="00CF3898"/>
    <w:rsid w:val="00CF38B2"/>
    <w:rsid w:val="00CF38B4"/>
    <w:rsid w:val="00CF3A04"/>
    <w:rsid w:val="00CF3AAC"/>
    <w:rsid w:val="00CF3AB2"/>
    <w:rsid w:val="00CF3AFA"/>
    <w:rsid w:val="00CF3B96"/>
    <w:rsid w:val="00CF3BB4"/>
    <w:rsid w:val="00CF3D6C"/>
    <w:rsid w:val="00CF3DA9"/>
    <w:rsid w:val="00CF3DCA"/>
    <w:rsid w:val="00CF3DFC"/>
    <w:rsid w:val="00CF3E18"/>
    <w:rsid w:val="00CF3F06"/>
    <w:rsid w:val="00CF4071"/>
    <w:rsid w:val="00CF40FB"/>
    <w:rsid w:val="00CF4118"/>
    <w:rsid w:val="00CF4129"/>
    <w:rsid w:val="00CF4172"/>
    <w:rsid w:val="00CF418D"/>
    <w:rsid w:val="00CF4239"/>
    <w:rsid w:val="00CF428E"/>
    <w:rsid w:val="00CF42BB"/>
    <w:rsid w:val="00CF4324"/>
    <w:rsid w:val="00CF4336"/>
    <w:rsid w:val="00CF4409"/>
    <w:rsid w:val="00CF4537"/>
    <w:rsid w:val="00CF45CB"/>
    <w:rsid w:val="00CF468E"/>
    <w:rsid w:val="00CF46D8"/>
    <w:rsid w:val="00CF47C6"/>
    <w:rsid w:val="00CF47CD"/>
    <w:rsid w:val="00CF4848"/>
    <w:rsid w:val="00CF48C5"/>
    <w:rsid w:val="00CF48D9"/>
    <w:rsid w:val="00CF4902"/>
    <w:rsid w:val="00CF490D"/>
    <w:rsid w:val="00CF4976"/>
    <w:rsid w:val="00CF4A1A"/>
    <w:rsid w:val="00CF4A4A"/>
    <w:rsid w:val="00CF4BEA"/>
    <w:rsid w:val="00CF4CEF"/>
    <w:rsid w:val="00CF4E06"/>
    <w:rsid w:val="00CF50B5"/>
    <w:rsid w:val="00CF50EE"/>
    <w:rsid w:val="00CF51EE"/>
    <w:rsid w:val="00CF522C"/>
    <w:rsid w:val="00CF5256"/>
    <w:rsid w:val="00CF5284"/>
    <w:rsid w:val="00CF52E5"/>
    <w:rsid w:val="00CF5306"/>
    <w:rsid w:val="00CF534A"/>
    <w:rsid w:val="00CF5372"/>
    <w:rsid w:val="00CF54C5"/>
    <w:rsid w:val="00CF56ED"/>
    <w:rsid w:val="00CF575D"/>
    <w:rsid w:val="00CF57AC"/>
    <w:rsid w:val="00CF57DE"/>
    <w:rsid w:val="00CF57F5"/>
    <w:rsid w:val="00CF5871"/>
    <w:rsid w:val="00CF587B"/>
    <w:rsid w:val="00CF5895"/>
    <w:rsid w:val="00CF58CA"/>
    <w:rsid w:val="00CF590A"/>
    <w:rsid w:val="00CF595B"/>
    <w:rsid w:val="00CF59DD"/>
    <w:rsid w:val="00CF59FB"/>
    <w:rsid w:val="00CF5AC3"/>
    <w:rsid w:val="00CF5B54"/>
    <w:rsid w:val="00CF5BD3"/>
    <w:rsid w:val="00CF5C1D"/>
    <w:rsid w:val="00CF5CA9"/>
    <w:rsid w:val="00CF5CB8"/>
    <w:rsid w:val="00CF5D84"/>
    <w:rsid w:val="00CF5D8D"/>
    <w:rsid w:val="00CF5EE7"/>
    <w:rsid w:val="00CF5FA6"/>
    <w:rsid w:val="00CF6026"/>
    <w:rsid w:val="00CF60E3"/>
    <w:rsid w:val="00CF614F"/>
    <w:rsid w:val="00CF61B8"/>
    <w:rsid w:val="00CF61CC"/>
    <w:rsid w:val="00CF625A"/>
    <w:rsid w:val="00CF62BD"/>
    <w:rsid w:val="00CF62C9"/>
    <w:rsid w:val="00CF63DB"/>
    <w:rsid w:val="00CF63DC"/>
    <w:rsid w:val="00CF643B"/>
    <w:rsid w:val="00CF6473"/>
    <w:rsid w:val="00CF6504"/>
    <w:rsid w:val="00CF6538"/>
    <w:rsid w:val="00CF655F"/>
    <w:rsid w:val="00CF6585"/>
    <w:rsid w:val="00CF66E0"/>
    <w:rsid w:val="00CF6728"/>
    <w:rsid w:val="00CF677A"/>
    <w:rsid w:val="00CF67D8"/>
    <w:rsid w:val="00CF6800"/>
    <w:rsid w:val="00CF682B"/>
    <w:rsid w:val="00CF6861"/>
    <w:rsid w:val="00CF6913"/>
    <w:rsid w:val="00CF691F"/>
    <w:rsid w:val="00CF69CF"/>
    <w:rsid w:val="00CF69F6"/>
    <w:rsid w:val="00CF6A0A"/>
    <w:rsid w:val="00CF6B3E"/>
    <w:rsid w:val="00CF6B4A"/>
    <w:rsid w:val="00CF6B52"/>
    <w:rsid w:val="00CF6BBA"/>
    <w:rsid w:val="00CF6CB0"/>
    <w:rsid w:val="00CF6CC9"/>
    <w:rsid w:val="00CF6D7D"/>
    <w:rsid w:val="00CF6DDC"/>
    <w:rsid w:val="00CF6F17"/>
    <w:rsid w:val="00CF6F8D"/>
    <w:rsid w:val="00CF6F96"/>
    <w:rsid w:val="00CF7013"/>
    <w:rsid w:val="00CF7018"/>
    <w:rsid w:val="00CF706B"/>
    <w:rsid w:val="00CF70F2"/>
    <w:rsid w:val="00CF7117"/>
    <w:rsid w:val="00CF718C"/>
    <w:rsid w:val="00CF71D5"/>
    <w:rsid w:val="00CF71E3"/>
    <w:rsid w:val="00CF7285"/>
    <w:rsid w:val="00CF73B3"/>
    <w:rsid w:val="00CF73BE"/>
    <w:rsid w:val="00CF7463"/>
    <w:rsid w:val="00CF747D"/>
    <w:rsid w:val="00CF74E6"/>
    <w:rsid w:val="00CF754B"/>
    <w:rsid w:val="00CF755E"/>
    <w:rsid w:val="00CF75A3"/>
    <w:rsid w:val="00CF76C3"/>
    <w:rsid w:val="00CF77A2"/>
    <w:rsid w:val="00CF77E5"/>
    <w:rsid w:val="00CF781C"/>
    <w:rsid w:val="00CF787D"/>
    <w:rsid w:val="00CF78B4"/>
    <w:rsid w:val="00CF7977"/>
    <w:rsid w:val="00CF7A86"/>
    <w:rsid w:val="00CF7AA6"/>
    <w:rsid w:val="00CF7AB6"/>
    <w:rsid w:val="00CF7AFC"/>
    <w:rsid w:val="00CF7B36"/>
    <w:rsid w:val="00CF7B9A"/>
    <w:rsid w:val="00CF7B9B"/>
    <w:rsid w:val="00CF7CAD"/>
    <w:rsid w:val="00CF7CFD"/>
    <w:rsid w:val="00CF7E98"/>
    <w:rsid w:val="00CF7ECF"/>
    <w:rsid w:val="00CF7ED9"/>
    <w:rsid w:val="00CF7FB6"/>
    <w:rsid w:val="00CF7FDB"/>
    <w:rsid w:val="00D00018"/>
    <w:rsid w:val="00D0018C"/>
    <w:rsid w:val="00D00197"/>
    <w:rsid w:val="00D00244"/>
    <w:rsid w:val="00D002F0"/>
    <w:rsid w:val="00D00367"/>
    <w:rsid w:val="00D00412"/>
    <w:rsid w:val="00D004EB"/>
    <w:rsid w:val="00D00580"/>
    <w:rsid w:val="00D005A0"/>
    <w:rsid w:val="00D00655"/>
    <w:rsid w:val="00D00677"/>
    <w:rsid w:val="00D0068B"/>
    <w:rsid w:val="00D006F3"/>
    <w:rsid w:val="00D0074C"/>
    <w:rsid w:val="00D00795"/>
    <w:rsid w:val="00D007C0"/>
    <w:rsid w:val="00D007EB"/>
    <w:rsid w:val="00D0088A"/>
    <w:rsid w:val="00D008C7"/>
    <w:rsid w:val="00D00970"/>
    <w:rsid w:val="00D009DC"/>
    <w:rsid w:val="00D00B53"/>
    <w:rsid w:val="00D00C31"/>
    <w:rsid w:val="00D00C45"/>
    <w:rsid w:val="00D00C60"/>
    <w:rsid w:val="00D00CC8"/>
    <w:rsid w:val="00D00D7C"/>
    <w:rsid w:val="00D00D90"/>
    <w:rsid w:val="00D00D97"/>
    <w:rsid w:val="00D00E5A"/>
    <w:rsid w:val="00D00E69"/>
    <w:rsid w:val="00D00F0C"/>
    <w:rsid w:val="00D00F54"/>
    <w:rsid w:val="00D0106E"/>
    <w:rsid w:val="00D01094"/>
    <w:rsid w:val="00D010A1"/>
    <w:rsid w:val="00D010BC"/>
    <w:rsid w:val="00D010CA"/>
    <w:rsid w:val="00D010D9"/>
    <w:rsid w:val="00D011B3"/>
    <w:rsid w:val="00D0122E"/>
    <w:rsid w:val="00D013B3"/>
    <w:rsid w:val="00D013CF"/>
    <w:rsid w:val="00D014E1"/>
    <w:rsid w:val="00D01528"/>
    <w:rsid w:val="00D016E5"/>
    <w:rsid w:val="00D016EA"/>
    <w:rsid w:val="00D01786"/>
    <w:rsid w:val="00D01874"/>
    <w:rsid w:val="00D0188D"/>
    <w:rsid w:val="00D01902"/>
    <w:rsid w:val="00D0192E"/>
    <w:rsid w:val="00D019A6"/>
    <w:rsid w:val="00D01A57"/>
    <w:rsid w:val="00D01A68"/>
    <w:rsid w:val="00D01AA3"/>
    <w:rsid w:val="00D01AEB"/>
    <w:rsid w:val="00D01B00"/>
    <w:rsid w:val="00D01B42"/>
    <w:rsid w:val="00D01C7C"/>
    <w:rsid w:val="00D01CA1"/>
    <w:rsid w:val="00D01CDA"/>
    <w:rsid w:val="00D01D0F"/>
    <w:rsid w:val="00D01D13"/>
    <w:rsid w:val="00D01D50"/>
    <w:rsid w:val="00D01DA3"/>
    <w:rsid w:val="00D01E0C"/>
    <w:rsid w:val="00D01E78"/>
    <w:rsid w:val="00D01F22"/>
    <w:rsid w:val="00D0205C"/>
    <w:rsid w:val="00D02073"/>
    <w:rsid w:val="00D02123"/>
    <w:rsid w:val="00D0214E"/>
    <w:rsid w:val="00D02171"/>
    <w:rsid w:val="00D02286"/>
    <w:rsid w:val="00D02290"/>
    <w:rsid w:val="00D022C3"/>
    <w:rsid w:val="00D02318"/>
    <w:rsid w:val="00D02336"/>
    <w:rsid w:val="00D02341"/>
    <w:rsid w:val="00D02377"/>
    <w:rsid w:val="00D023CA"/>
    <w:rsid w:val="00D0243F"/>
    <w:rsid w:val="00D0247F"/>
    <w:rsid w:val="00D024F2"/>
    <w:rsid w:val="00D024F7"/>
    <w:rsid w:val="00D02526"/>
    <w:rsid w:val="00D0260A"/>
    <w:rsid w:val="00D0261C"/>
    <w:rsid w:val="00D026D7"/>
    <w:rsid w:val="00D0274F"/>
    <w:rsid w:val="00D028F3"/>
    <w:rsid w:val="00D02918"/>
    <w:rsid w:val="00D02947"/>
    <w:rsid w:val="00D02B20"/>
    <w:rsid w:val="00D02BAC"/>
    <w:rsid w:val="00D02BCE"/>
    <w:rsid w:val="00D02C49"/>
    <w:rsid w:val="00D02CAC"/>
    <w:rsid w:val="00D02D08"/>
    <w:rsid w:val="00D02D66"/>
    <w:rsid w:val="00D02DB7"/>
    <w:rsid w:val="00D02F20"/>
    <w:rsid w:val="00D03014"/>
    <w:rsid w:val="00D030F8"/>
    <w:rsid w:val="00D0318C"/>
    <w:rsid w:val="00D031F9"/>
    <w:rsid w:val="00D03219"/>
    <w:rsid w:val="00D0322B"/>
    <w:rsid w:val="00D032F3"/>
    <w:rsid w:val="00D032FA"/>
    <w:rsid w:val="00D032FD"/>
    <w:rsid w:val="00D033CA"/>
    <w:rsid w:val="00D033DE"/>
    <w:rsid w:val="00D033FE"/>
    <w:rsid w:val="00D03484"/>
    <w:rsid w:val="00D0348C"/>
    <w:rsid w:val="00D034C6"/>
    <w:rsid w:val="00D034DD"/>
    <w:rsid w:val="00D03554"/>
    <w:rsid w:val="00D03601"/>
    <w:rsid w:val="00D03615"/>
    <w:rsid w:val="00D03620"/>
    <w:rsid w:val="00D03626"/>
    <w:rsid w:val="00D0366A"/>
    <w:rsid w:val="00D03675"/>
    <w:rsid w:val="00D036D2"/>
    <w:rsid w:val="00D037A6"/>
    <w:rsid w:val="00D038B6"/>
    <w:rsid w:val="00D03938"/>
    <w:rsid w:val="00D039E8"/>
    <w:rsid w:val="00D03A46"/>
    <w:rsid w:val="00D03AF6"/>
    <w:rsid w:val="00D03B60"/>
    <w:rsid w:val="00D03BAC"/>
    <w:rsid w:val="00D03BE4"/>
    <w:rsid w:val="00D03C2C"/>
    <w:rsid w:val="00D03C94"/>
    <w:rsid w:val="00D03D4E"/>
    <w:rsid w:val="00D03E7F"/>
    <w:rsid w:val="00D03E99"/>
    <w:rsid w:val="00D03EC3"/>
    <w:rsid w:val="00D03F83"/>
    <w:rsid w:val="00D03FC2"/>
    <w:rsid w:val="00D03FE5"/>
    <w:rsid w:val="00D04058"/>
    <w:rsid w:val="00D04072"/>
    <w:rsid w:val="00D040B0"/>
    <w:rsid w:val="00D0415B"/>
    <w:rsid w:val="00D0425D"/>
    <w:rsid w:val="00D042D2"/>
    <w:rsid w:val="00D0439C"/>
    <w:rsid w:val="00D04422"/>
    <w:rsid w:val="00D0443D"/>
    <w:rsid w:val="00D04462"/>
    <w:rsid w:val="00D04669"/>
    <w:rsid w:val="00D0466D"/>
    <w:rsid w:val="00D04684"/>
    <w:rsid w:val="00D046CF"/>
    <w:rsid w:val="00D0474B"/>
    <w:rsid w:val="00D047BA"/>
    <w:rsid w:val="00D04821"/>
    <w:rsid w:val="00D04862"/>
    <w:rsid w:val="00D0489B"/>
    <w:rsid w:val="00D0489C"/>
    <w:rsid w:val="00D0499D"/>
    <w:rsid w:val="00D049D2"/>
    <w:rsid w:val="00D04ACF"/>
    <w:rsid w:val="00D04AE2"/>
    <w:rsid w:val="00D04AEE"/>
    <w:rsid w:val="00D04B1F"/>
    <w:rsid w:val="00D04BB8"/>
    <w:rsid w:val="00D04BC5"/>
    <w:rsid w:val="00D04C4F"/>
    <w:rsid w:val="00D04CBE"/>
    <w:rsid w:val="00D04D73"/>
    <w:rsid w:val="00D04E8F"/>
    <w:rsid w:val="00D04E91"/>
    <w:rsid w:val="00D04E9B"/>
    <w:rsid w:val="00D04F1A"/>
    <w:rsid w:val="00D04F2F"/>
    <w:rsid w:val="00D0501C"/>
    <w:rsid w:val="00D0502C"/>
    <w:rsid w:val="00D0502E"/>
    <w:rsid w:val="00D05118"/>
    <w:rsid w:val="00D05186"/>
    <w:rsid w:val="00D051AC"/>
    <w:rsid w:val="00D0535F"/>
    <w:rsid w:val="00D05461"/>
    <w:rsid w:val="00D054A3"/>
    <w:rsid w:val="00D0550F"/>
    <w:rsid w:val="00D0553E"/>
    <w:rsid w:val="00D0560B"/>
    <w:rsid w:val="00D05648"/>
    <w:rsid w:val="00D0564F"/>
    <w:rsid w:val="00D0565A"/>
    <w:rsid w:val="00D056AD"/>
    <w:rsid w:val="00D056D5"/>
    <w:rsid w:val="00D056F4"/>
    <w:rsid w:val="00D05723"/>
    <w:rsid w:val="00D0572A"/>
    <w:rsid w:val="00D05770"/>
    <w:rsid w:val="00D057A3"/>
    <w:rsid w:val="00D058E0"/>
    <w:rsid w:val="00D05998"/>
    <w:rsid w:val="00D0599F"/>
    <w:rsid w:val="00D059A3"/>
    <w:rsid w:val="00D059DE"/>
    <w:rsid w:val="00D05ACA"/>
    <w:rsid w:val="00D05AD1"/>
    <w:rsid w:val="00D05B00"/>
    <w:rsid w:val="00D05B13"/>
    <w:rsid w:val="00D05B43"/>
    <w:rsid w:val="00D05C3C"/>
    <w:rsid w:val="00D05DBC"/>
    <w:rsid w:val="00D05DED"/>
    <w:rsid w:val="00D05E02"/>
    <w:rsid w:val="00D05E43"/>
    <w:rsid w:val="00D05E86"/>
    <w:rsid w:val="00D05EA6"/>
    <w:rsid w:val="00D05EAF"/>
    <w:rsid w:val="00D05EDC"/>
    <w:rsid w:val="00D05EE0"/>
    <w:rsid w:val="00D05F0D"/>
    <w:rsid w:val="00D05FA9"/>
    <w:rsid w:val="00D05FFA"/>
    <w:rsid w:val="00D060C6"/>
    <w:rsid w:val="00D06137"/>
    <w:rsid w:val="00D0624B"/>
    <w:rsid w:val="00D06252"/>
    <w:rsid w:val="00D0625B"/>
    <w:rsid w:val="00D06260"/>
    <w:rsid w:val="00D06278"/>
    <w:rsid w:val="00D062B0"/>
    <w:rsid w:val="00D06349"/>
    <w:rsid w:val="00D06431"/>
    <w:rsid w:val="00D06473"/>
    <w:rsid w:val="00D06478"/>
    <w:rsid w:val="00D0649E"/>
    <w:rsid w:val="00D064C8"/>
    <w:rsid w:val="00D064F3"/>
    <w:rsid w:val="00D065CE"/>
    <w:rsid w:val="00D06621"/>
    <w:rsid w:val="00D06681"/>
    <w:rsid w:val="00D06779"/>
    <w:rsid w:val="00D067A7"/>
    <w:rsid w:val="00D06894"/>
    <w:rsid w:val="00D06912"/>
    <w:rsid w:val="00D069B0"/>
    <w:rsid w:val="00D06B0F"/>
    <w:rsid w:val="00D06C02"/>
    <w:rsid w:val="00D06CC8"/>
    <w:rsid w:val="00D06DD8"/>
    <w:rsid w:val="00D06DE4"/>
    <w:rsid w:val="00D06E17"/>
    <w:rsid w:val="00D06EF3"/>
    <w:rsid w:val="00D070BF"/>
    <w:rsid w:val="00D07292"/>
    <w:rsid w:val="00D072BA"/>
    <w:rsid w:val="00D07332"/>
    <w:rsid w:val="00D073AA"/>
    <w:rsid w:val="00D073B5"/>
    <w:rsid w:val="00D07431"/>
    <w:rsid w:val="00D074E0"/>
    <w:rsid w:val="00D0754F"/>
    <w:rsid w:val="00D07574"/>
    <w:rsid w:val="00D07590"/>
    <w:rsid w:val="00D07698"/>
    <w:rsid w:val="00D0769E"/>
    <w:rsid w:val="00D07740"/>
    <w:rsid w:val="00D077BF"/>
    <w:rsid w:val="00D0793A"/>
    <w:rsid w:val="00D07A0F"/>
    <w:rsid w:val="00D07A10"/>
    <w:rsid w:val="00D07A13"/>
    <w:rsid w:val="00D07B27"/>
    <w:rsid w:val="00D07B90"/>
    <w:rsid w:val="00D07BB3"/>
    <w:rsid w:val="00D07BEF"/>
    <w:rsid w:val="00D07C2B"/>
    <w:rsid w:val="00D07C70"/>
    <w:rsid w:val="00D07D0E"/>
    <w:rsid w:val="00D07D62"/>
    <w:rsid w:val="00D07D79"/>
    <w:rsid w:val="00D07D81"/>
    <w:rsid w:val="00D07D9E"/>
    <w:rsid w:val="00D07E4C"/>
    <w:rsid w:val="00D07EE0"/>
    <w:rsid w:val="00D07F1C"/>
    <w:rsid w:val="00D07F48"/>
    <w:rsid w:val="00D07F56"/>
    <w:rsid w:val="00D07F5B"/>
    <w:rsid w:val="00D100C1"/>
    <w:rsid w:val="00D102F4"/>
    <w:rsid w:val="00D103A0"/>
    <w:rsid w:val="00D103A7"/>
    <w:rsid w:val="00D1042B"/>
    <w:rsid w:val="00D104AE"/>
    <w:rsid w:val="00D10571"/>
    <w:rsid w:val="00D105AC"/>
    <w:rsid w:val="00D10684"/>
    <w:rsid w:val="00D10696"/>
    <w:rsid w:val="00D10781"/>
    <w:rsid w:val="00D1082B"/>
    <w:rsid w:val="00D1082F"/>
    <w:rsid w:val="00D10870"/>
    <w:rsid w:val="00D108DA"/>
    <w:rsid w:val="00D10915"/>
    <w:rsid w:val="00D10935"/>
    <w:rsid w:val="00D109B4"/>
    <w:rsid w:val="00D109FA"/>
    <w:rsid w:val="00D10A25"/>
    <w:rsid w:val="00D10AFB"/>
    <w:rsid w:val="00D10B0C"/>
    <w:rsid w:val="00D10B5D"/>
    <w:rsid w:val="00D10BA8"/>
    <w:rsid w:val="00D10BE1"/>
    <w:rsid w:val="00D10C21"/>
    <w:rsid w:val="00D10C53"/>
    <w:rsid w:val="00D10C8E"/>
    <w:rsid w:val="00D10CD1"/>
    <w:rsid w:val="00D10D2D"/>
    <w:rsid w:val="00D10D32"/>
    <w:rsid w:val="00D111EE"/>
    <w:rsid w:val="00D11238"/>
    <w:rsid w:val="00D1124F"/>
    <w:rsid w:val="00D11299"/>
    <w:rsid w:val="00D112D0"/>
    <w:rsid w:val="00D113B0"/>
    <w:rsid w:val="00D11412"/>
    <w:rsid w:val="00D1141B"/>
    <w:rsid w:val="00D11473"/>
    <w:rsid w:val="00D1149D"/>
    <w:rsid w:val="00D114C2"/>
    <w:rsid w:val="00D11549"/>
    <w:rsid w:val="00D115AB"/>
    <w:rsid w:val="00D115EF"/>
    <w:rsid w:val="00D115F1"/>
    <w:rsid w:val="00D1163A"/>
    <w:rsid w:val="00D11680"/>
    <w:rsid w:val="00D116A3"/>
    <w:rsid w:val="00D11757"/>
    <w:rsid w:val="00D11790"/>
    <w:rsid w:val="00D11975"/>
    <w:rsid w:val="00D119CE"/>
    <w:rsid w:val="00D11A22"/>
    <w:rsid w:val="00D11AF6"/>
    <w:rsid w:val="00D11B07"/>
    <w:rsid w:val="00D11B16"/>
    <w:rsid w:val="00D11B4D"/>
    <w:rsid w:val="00D11BCB"/>
    <w:rsid w:val="00D11C0C"/>
    <w:rsid w:val="00D11C82"/>
    <w:rsid w:val="00D11D7C"/>
    <w:rsid w:val="00D11E49"/>
    <w:rsid w:val="00D11E6C"/>
    <w:rsid w:val="00D11E7A"/>
    <w:rsid w:val="00D11EBB"/>
    <w:rsid w:val="00D11F72"/>
    <w:rsid w:val="00D11FD0"/>
    <w:rsid w:val="00D11FD4"/>
    <w:rsid w:val="00D11FEB"/>
    <w:rsid w:val="00D12107"/>
    <w:rsid w:val="00D12120"/>
    <w:rsid w:val="00D1216A"/>
    <w:rsid w:val="00D12251"/>
    <w:rsid w:val="00D1235D"/>
    <w:rsid w:val="00D12405"/>
    <w:rsid w:val="00D124F7"/>
    <w:rsid w:val="00D1262C"/>
    <w:rsid w:val="00D12642"/>
    <w:rsid w:val="00D12686"/>
    <w:rsid w:val="00D12713"/>
    <w:rsid w:val="00D12733"/>
    <w:rsid w:val="00D12865"/>
    <w:rsid w:val="00D1286D"/>
    <w:rsid w:val="00D1287C"/>
    <w:rsid w:val="00D129A0"/>
    <w:rsid w:val="00D129AC"/>
    <w:rsid w:val="00D129B2"/>
    <w:rsid w:val="00D12A11"/>
    <w:rsid w:val="00D12AF4"/>
    <w:rsid w:val="00D12BEE"/>
    <w:rsid w:val="00D12C6A"/>
    <w:rsid w:val="00D12D10"/>
    <w:rsid w:val="00D12D2E"/>
    <w:rsid w:val="00D12E22"/>
    <w:rsid w:val="00D12EEB"/>
    <w:rsid w:val="00D12F0F"/>
    <w:rsid w:val="00D12F27"/>
    <w:rsid w:val="00D12F6C"/>
    <w:rsid w:val="00D12F7B"/>
    <w:rsid w:val="00D12FB3"/>
    <w:rsid w:val="00D13012"/>
    <w:rsid w:val="00D13049"/>
    <w:rsid w:val="00D13097"/>
    <w:rsid w:val="00D13111"/>
    <w:rsid w:val="00D131C0"/>
    <w:rsid w:val="00D131D5"/>
    <w:rsid w:val="00D13216"/>
    <w:rsid w:val="00D13219"/>
    <w:rsid w:val="00D13233"/>
    <w:rsid w:val="00D13249"/>
    <w:rsid w:val="00D1324F"/>
    <w:rsid w:val="00D1327E"/>
    <w:rsid w:val="00D132CE"/>
    <w:rsid w:val="00D13301"/>
    <w:rsid w:val="00D13313"/>
    <w:rsid w:val="00D13455"/>
    <w:rsid w:val="00D13468"/>
    <w:rsid w:val="00D13562"/>
    <w:rsid w:val="00D1365A"/>
    <w:rsid w:val="00D136B6"/>
    <w:rsid w:val="00D136C6"/>
    <w:rsid w:val="00D1381F"/>
    <w:rsid w:val="00D138E8"/>
    <w:rsid w:val="00D138EC"/>
    <w:rsid w:val="00D1390F"/>
    <w:rsid w:val="00D139D1"/>
    <w:rsid w:val="00D13B4A"/>
    <w:rsid w:val="00D13BD4"/>
    <w:rsid w:val="00D13C0A"/>
    <w:rsid w:val="00D13C33"/>
    <w:rsid w:val="00D13CAF"/>
    <w:rsid w:val="00D13CC6"/>
    <w:rsid w:val="00D13CF8"/>
    <w:rsid w:val="00D13D42"/>
    <w:rsid w:val="00D13D86"/>
    <w:rsid w:val="00D13DEE"/>
    <w:rsid w:val="00D13DFE"/>
    <w:rsid w:val="00D13E75"/>
    <w:rsid w:val="00D13EB2"/>
    <w:rsid w:val="00D13EDA"/>
    <w:rsid w:val="00D1405B"/>
    <w:rsid w:val="00D140B8"/>
    <w:rsid w:val="00D140FB"/>
    <w:rsid w:val="00D14105"/>
    <w:rsid w:val="00D14132"/>
    <w:rsid w:val="00D1416F"/>
    <w:rsid w:val="00D141A2"/>
    <w:rsid w:val="00D141B9"/>
    <w:rsid w:val="00D141F0"/>
    <w:rsid w:val="00D14220"/>
    <w:rsid w:val="00D14262"/>
    <w:rsid w:val="00D1428F"/>
    <w:rsid w:val="00D142E9"/>
    <w:rsid w:val="00D142FD"/>
    <w:rsid w:val="00D14339"/>
    <w:rsid w:val="00D143AD"/>
    <w:rsid w:val="00D143FF"/>
    <w:rsid w:val="00D1452C"/>
    <w:rsid w:val="00D1464F"/>
    <w:rsid w:val="00D1477B"/>
    <w:rsid w:val="00D1480C"/>
    <w:rsid w:val="00D1481C"/>
    <w:rsid w:val="00D148AE"/>
    <w:rsid w:val="00D149AC"/>
    <w:rsid w:val="00D149F0"/>
    <w:rsid w:val="00D14A34"/>
    <w:rsid w:val="00D14A96"/>
    <w:rsid w:val="00D14AA8"/>
    <w:rsid w:val="00D14AEA"/>
    <w:rsid w:val="00D14B98"/>
    <w:rsid w:val="00D14BC7"/>
    <w:rsid w:val="00D14BE2"/>
    <w:rsid w:val="00D14BF2"/>
    <w:rsid w:val="00D14C8E"/>
    <w:rsid w:val="00D14CD5"/>
    <w:rsid w:val="00D14D0B"/>
    <w:rsid w:val="00D14D72"/>
    <w:rsid w:val="00D14DB9"/>
    <w:rsid w:val="00D14DC7"/>
    <w:rsid w:val="00D14DF3"/>
    <w:rsid w:val="00D14E0F"/>
    <w:rsid w:val="00D14E11"/>
    <w:rsid w:val="00D14E2E"/>
    <w:rsid w:val="00D14E2F"/>
    <w:rsid w:val="00D14E3C"/>
    <w:rsid w:val="00D14E7E"/>
    <w:rsid w:val="00D15040"/>
    <w:rsid w:val="00D150A1"/>
    <w:rsid w:val="00D15112"/>
    <w:rsid w:val="00D1511A"/>
    <w:rsid w:val="00D151AB"/>
    <w:rsid w:val="00D15209"/>
    <w:rsid w:val="00D1524C"/>
    <w:rsid w:val="00D152B1"/>
    <w:rsid w:val="00D152FB"/>
    <w:rsid w:val="00D15395"/>
    <w:rsid w:val="00D15449"/>
    <w:rsid w:val="00D154AB"/>
    <w:rsid w:val="00D1551B"/>
    <w:rsid w:val="00D155F0"/>
    <w:rsid w:val="00D155FB"/>
    <w:rsid w:val="00D156F4"/>
    <w:rsid w:val="00D15768"/>
    <w:rsid w:val="00D15773"/>
    <w:rsid w:val="00D157FF"/>
    <w:rsid w:val="00D15819"/>
    <w:rsid w:val="00D1585D"/>
    <w:rsid w:val="00D1590B"/>
    <w:rsid w:val="00D159A2"/>
    <w:rsid w:val="00D159FB"/>
    <w:rsid w:val="00D15AFA"/>
    <w:rsid w:val="00D15B06"/>
    <w:rsid w:val="00D15B9D"/>
    <w:rsid w:val="00D15BC5"/>
    <w:rsid w:val="00D15BEC"/>
    <w:rsid w:val="00D15CEA"/>
    <w:rsid w:val="00D15D33"/>
    <w:rsid w:val="00D15D5E"/>
    <w:rsid w:val="00D15EE9"/>
    <w:rsid w:val="00D15FD7"/>
    <w:rsid w:val="00D16049"/>
    <w:rsid w:val="00D160D5"/>
    <w:rsid w:val="00D16237"/>
    <w:rsid w:val="00D162C9"/>
    <w:rsid w:val="00D162F6"/>
    <w:rsid w:val="00D163B0"/>
    <w:rsid w:val="00D163D9"/>
    <w:rsid w:val="00D163E4"/>
    <w:rsid w:val="00D1640C"/>
    <w:rsid w:val="00D16410"/>
    <w:rsid w:val="00D16443"/>
    <w:rsid w:val="00D1645E"/>
    <w:rsid w:val="00D16526"/>
    <w:rsid w:val="00D16529"/>
    <w:rsid w:val="00D1658A"/>
    <w:rsid w:val="00D1663D"/>
    <w:rsid w:val="00D16706"/>
    <w:rsid w:val="00D1676E"/>
    <w:rsid w:val="00D16886"/>
    <w:rsid w:val="00D168B2"/>
    <w:rsid w:val="00D168EA"/>
    <w:rsid w:val="00D16933"/>
    <w:rsid w:val="00D16987"/>
    <w:rsid w:val="00D16A99"/>
    <w:rsid w:val="00D16B28"/>
    <w:rsid w:val="00D16B89"/>
    <w:rsid w:val="00D16BF2"/>
    <w:rsid w:val="00D16C1C"/>
    <w:rsid w:val="00D16D15"/>
    <w:rsid w:val="00D16E28"/>
    <w:rsid w:val="00D16E9F"/>
    <w:rsid w:val="00D16EB6"/>
    <w:rsid w:val="00D16EBA"/>
    <w:rsid w:val="00D16ED5"/>
    <w:rsid w:val="00D17018"/>
    <w:rsid w:val="00D170F1"/>
    <w:rsid w:val="00D1714B"/>
    <w:rsid w:val="00D17176"/>
    <w:rsid w:val="00D17207"/>
    <w:rsid w:val="00D1723A"/>
    <w:rsid w:val="00D17312"/>
    <w:rsid w:val="00D17345"/>
    <w:rsid w:val="00D17383"/>
    <w:rsid w:val="00D173B5"/>
    <w:rsid w:val="00D17406"/>
    <w:rsid w:val="00D17446"/>
    <w:rsid w:val="00D17473"/>
    <w:rsid w:val="00D174D4"/>
    <w:rsid w:val="00D17518"/>
    <w:rsid w:val="00D1751A"/>
    <w:rsid w:val="00D1757B"/>
    <w:rsid w:val="00D175F4"/>
    <w:rsid w:val="00D17688"/>
    <w:rsid w:val="00D17742"/>
    <w:rsid w:val="00D1777F"/>
    <w:rsid w:val="00D17835"/>
    <w:rsid w:val="00D1786C"/>
    <w:rsid w:val="00D17A32"/>
    <w:rsid w:val="00D17A81"/>
    <w:rsid w:val="00D17AEE"/>
    <w:rsid w:val="00D17AFD"/>
    <w:rsid w:val="00D17B10"/>
    <w:rsid w:val="00D17BBD"/>
    <w:rsid w:val="00D17BC7"/>
    <w:rsid w:val="00D17CB3"/>
    <w:rsid w:val="00D17D13"/>
    <w:rsid w:val="00D17D94"/>
    <w:rsid w:val="00D17E13"/>
    <w:rsid w:val="00D17E95"/>
    <w:rsid w:val="00D17EB7"/>
    <w:rsid w:val="00D17F8C"/>
    <w:rsid w:val="00D17FFE"/>
    <w:rsid w:val="00D20134"/>
    <w:rsid w:val="00D2024B"/>
    <w:rsid w:val="00D202A3"/>
    <w:rsid w:val="00D20325"/>
    <w:rsid w:val="00D20340"/>
    <w:rsid w:val="00D2037E"/>
    <w:rsid w:val="00D2038F"/>
    <w:rsid w:val="00D20441"/>
    <w:rsid w:val="00D204FF"/>
    <w:rsid w:val="00D20529"/>
    <w:rsid w:val="00D206E0"/>
    <w:rsid w:val="00D20A75"/>
    <w:rsid w:val="00D20AC6"/>
    <w:rsid w:val="00D20B99"/>
    <w:rsid w:val="00D20BC7"/>
    <w:rsid w:val="00D20BF6"/>
    <w:rsid w:val="00D20C52"/>
    <w:rsid w:val="00D20C8E"/>
    <w:rsid w:val="00D20DA3"/>
    <w:rsid w:val="00D20DDA"/>
    <w:rsid w:val="00D20E19"/>
    <w:rsid w:val="00D20E47"/>
    <w:rsid w:val="00D20E67"/>
    <w:rsid w:val="00D20EA1"/>
    <w:rsid w:val="00D20EAA"/>
    <w:rsid w:val="00D20EC6"/>
    <w:rsid w:val="00D20FDA"/>
    <w:rsid w:val="00D21147"/>
    <w:rsid w:val="00D211F8"/>
    <w:rsid w:val="00D21206"/>
    <w:rsid w:val="00D21270"/>
    <w:rsid w:val="00D21275"/>
    <w:rsid w:val="00D212D7"/>
    <w:rsid w:val="00D212E1"/>
    <w:rsid w:val="00D2148B"/>
    <w:rsid w:val="00D2148F"/>
    <w:rsid w:val="00D214F3"/>
    <w:rsid w:val="00D2167B"/>
    <w:rsid w:val="00D216BE"/>
    <w:rsid w:val="00D2176B"/>
    <w:rsid w:val="00D2176C"/>
    <w:rsid w:val="00D21796"/>
    <w:rsid w:val="00D21798"/>
    <w:rsid w:val="00D2182E"/>
    <w:rsid w:val="00D21841"/>
    <w:rsid w:val="00D218F0"/>
    <w:rsid w:val="00D2192B"/>
    <w:rsid w:val="00D2195E"/>
    <w:rsid w:val="00D219E1"/>
    <w:rsid w:val="00D21A2D"/>
    <w:rsid w:val="00D21ABD"/>
    <w:rsid w:val="00D21AC2"/>
    <w:rsid w:val="00D21AC6"/>
    <w:rsid w:val="00D21B76"/>
    <w:rsid w:val="00D21C99"/>
    <w:rsid w:val="00D21E83"/>
    <w:rsid w:val="00D22023"/>
    <w:rsid w:val="00D2204A"/>
    <w:rsid w:val="00D2205A"/>
    <w:rsid w:val="00D22110"/>
    <w:rsid w:val="00D22295"/>
    <w:rsid w:val="00D222D2"/>
    <w:rsid w:val="00D223DB"/>
    <w:rsid w:val="00D2243A"/>
    <w:rsid w:val="00D2243F"/>
    <w:rsid w:val="00D22610"/>
    <w:rsid w:val="00D22613"/>
    <w:rsid w:val="00D22673"/>
    <w:rsid w:val="00D2268A"/>
    <w:rsid w:val="00D226C6"/>
    <w:rsid w:val="00D22700"/>
    <w:rsid w:val="00D22737"/>
    <w:rsid w:val="00D227E9"/>
    <w:rsid w:val="00D22803"/>
    <w:rsid w:val="00D228A0"/>
    <w:rsid w:val="00D228D0"/>
    <w:rsid w:val="00D2292A"/>
    <w:rsid w:val="00D2292B"/>
    <w:rsid w:val="00D22A01"/>
    <w:rsid w:val="00D22A07"/>
    <w:rsid w:val="00D22B7E"/>
    <w:rsid w:val="00D22CB2"/>
    <w:rsid w:val="00D22CE4"/>
    <w:rsid w:val="00D22D2D"/>
    <w:rsid w:val="00D22D53"/>
    <w:rsid w:val="00D22D9F"/>
    <w:rsid w:val="00D22DDF"/>
    <w:rsid w:val="00D22E1A"/>
    <w:rsid w:val="00D22E54"/>
    <w:rsid w:val="00D22EF2"/>
    <w:rsid w:val="00D22F0D"/>
    <w:rsid w:val="00D22F29"/>
    <w:rsid w:val="00D22F63"/>
    <w:rsid w:val="00D23052"/>
    <w:rsid w:val="00D23073"/>
    <w:rsid w:val="00D231BD"/>
    <w:rsid w:val="00D232C4"/>
    <w:rsid w:val="00D23342"/>
    <w:rsid w:val="00D2335E"/>
    <w:rsid w:val="00D233B9"/>
    <w:rsid w:val="00D23424"/>
    <w:rsid w:val="00D23488"/>
    <w:rsid w:val="00D234A6"/>
    <w:rsid w:val="00D234EF"/>
    <w:rsid w:val="00D23568"/>
    <w:rsid w:val="00D2356D"/>
    <w:rsid w:val="00D23582"/>
    <w:rsid w:val="00D235E1"/>
    <w:rsid w:val="00D235E8"/>
    <w:rsid w:val="00D23627"/>
    <w:rsid w:val="00D23711"/>
    <w:rsid w:val="00D23744"/>
    <w:rsid w:val="00D237FC"/>
    <w:rsid w:val="00D238C8"/>
    <w:rsid w:val="00D23951"/>
    <w:rsid w:val="00D2396E"/>
    <w:rsid w:val="00D23AB6"/>
    <w:rsid w:val="00D23C28"/>
    <w:rsid w:val="00D23CDA"/>
    <w:rsid w:val="00D23DA5"/>
    <w:rsid w:val="00D23DBD"/>
    <w:rsid w:val="00D23EC4"/>
    <w:rsid w:val="00D23F42"/>
    <w:rsid w:val="00D23F82"/>
    <w:rsid w:val="00D23FBE"/>
    <w:rsid w:val="00D24023"/>
    <w:rsid w:val="00D2410C"/>
    <w:rsid w:val="00D2414C"/>
    <w:rsid w:val="00D2416B"/>
    <w:rsid w:val="00D24191"/>
    <w:rsid w:val="00D241C8"/>
    <w:rsid w:val="00D24277"/>
    <w:rsid w:val="00D2429F"/>
    <w:rsid w:val="00D24372"/>
    <w:rsid w:val="00D243BB"/>
    <w:rsid w:val="00D243BE"/>
    <w:rsid w:val="00D2452B"/>
    <w:rsid w:val="00D2453E"/>
    <w:rsid w:val="00D2461C"/>
    <w:rsid w:val="00D2463D"/>
    <w:rsid w:val="00D24649"/>
    <w:rsid w:val="00D2467F"/>
    <w:rsid w:val="00D24697"/>
    <w:rsid w:val="00D246E0"/>
    <w:rsid w:val="00D246ED"/>
    <w:rsid w:val="00D24780"/>
    <w:rsid w:val="00D247DE"/>
    <w:rsid w:val="00D247E5"/>
    <w:rsid w:val="00D2487D"/>
    <w:rsid w:val="00D2491E"/>
    <w:rsid w:val="00D249EE"/>
    <w:rsid w:val="00D24A47"/>
    <w:rsid w:val="00D24A51"/>
    <w:rsid w:val="00D24AB6"/>
    <w:rsid w:val="00D24B36"/>
    <w:rsid w:val="00D24C8E"/>
    <w:rsid w:val="00D24D1D"/>
    <w:rsid w:val="00D24D7D"/>
    <w:rsid w:val="00D24E83"/>
    <w:rsid w:val="00D24ED5"/>
    <w:rsid w:val="00D25149"/>
    <w:rsid w:val="00D25213"/>
    <w:rsid w:val="00D252E3"/>
    <w:rsid w:val="00D25342"/>
    <w:rsid w:val="00D25381"/>
    <w:rsid w:val="00D2538C"/>
    <w:rsid w:val="00D25544"/>
    <w:rsid w:val="00D25567"/>
    <w:rsid w:val="00D2565D"/>
    <w:rsid w:val="00D25793"/>
    <w:rsid w:val="00D2584B"/>
    <w:rsid w:val="00D25894"/>
    <w:rsid w:val="00D25930"/>
    <w:rsid w:val="00D25958"/>
    <w:rsid w:val="00D259C8"/>
    <w:rsid w:val="00D25A0C"/>
    <w:rsid w:val="00D25A7C"/>
    <w:rsid w:val="00D25AB8"/>
    <w:rsid w:val="00D25B2A"/>
    <w:rsid w:val="00D25BAF"/>
    <w:rsid w:val="00D25BDD"/>
    <w:rsid w:val="00D25BED"/>
    <w:rsid w:val="00D25C1C"/>
    <w:rsid w:val="00D25DA4"/>
    <w:rsid w:val="00D25DA9"/>
    <w:rsid w:val="00D25E87"/>
    <w:rsid w:val="00D25EA1"/>
    <w:rsid w:val="00D25F03"/>
    <w:rsid w:val="00D25FA1"/>
    <w:rsid w:val="00D26075"/>
    <w:rsid w:val="00D26182"/>
    <w:rsid w:val="00D261A8"/>
    <w:rsid w:val="00D261E6"/>
    <w:rsid w:val="00D26269"/>
    <w:rsid w:val="00D262D1"/>
    <w:rsid w:val="00D26345"/>
    <w:rsid w:val="00D2634F"/>
    <w:rsid w:val="00D263D1"/>
    <w:rsid w:val="00D26450"/>
    <w:rsid w:val="00D26462"/>
    <w:rsid w:val="00D26542"/>
    <w:rsid w:val="00D2657D"/>
    <w:rsid w:val="00D26588"/>
    <w:rsid w:val="00D265A3"/>
    <w:rsid w:val="00D266B2"/>
    <w:rsid w:val="00D2670C"/>
    <w:rsid w:val="00D2672E"/>
    <w:rsid w:val="00D2675F"/>
    <w:rsid w:val="00D267A1"/>
    <w:rsid w:val="00D269DB"/>
    <w:rsid w:val="00D26A0A"/>
    <w:rsid w:val="00D26A14"/>
    <w:rsid w:val="00D26A5B"/>
    <w:rsid w:val="00D26AF6"/>
    <w:rsid w:val="00D26B2F"/>
    <w:rsid w:val="00D26B9C"/>
    <w:rsid w:val="00D26BBC"/>
    <w:rsid w:val="00D26CC7"/>
    <w:rsid w:val="00D26DF1"/>
    <w:rsid w:val="00D26E6C"/>
    <w:rsid w:val="00D26ECE"/>
    <w:rsid w:val="00D26F02"/>
    <w:rsid w:val="00D26F62"/>
    <w:rsid w:val="00D26F9D"/>
    <w:rsid w:val="00D26FAF"/>
    <w:rsid w:val="00D27076"/>
    <w:rsid w:val="00D270F5"/>
    <w:rsid w:val="00D27119"/>
    <w:rsid w:val="00D2713B"/>
    <w:rsid w:val="00D27193"/>
    <w:rsid w:val="00D2723E"/>
    <w:rsid w:val="00D27257"/>
    <w:rsid w:val="00D27301"/>
    <w:rsid w:val="00D27329"/>
    <w:rsid w:val="00D2733D"/>
    <w:rsid w:val="00D2737E"/>
    <w:rsid w:val="00D27440"/>
    <w:rsid w:val="00D2751A"/>
    <w:rsid w:val="00D275C2"/>
    <w:rsid w:val="00D2762D"/>
    <w:rsid w:val="00D276A9"/>
    <w:rsid w:val="00D2771B"/>
    <w:rsid w:val="00D27733"/>
    <w:rsid w:val="00D2777E"/>
    <w:rsid w:val="00D27786"/>
    <w:rsid w:val="00D277A5"/>
    <w:rsid w:val="00D277E9"/>
    <w:rsid w:val="00D27803"/>
    <w:rsid w:val="00D2790F"/>
    <w:rsid w:val="00D2791A"/>
    <w:rsid w:val="00D2795D"/>
    <w:rsid w:val="00D27978"/>
    <w:rsid w:val="00D279F1"/>
    <w:rsid w:val="00D27A63"/>
    <w:rsid w:val="00D27A70"/>
    <w:rsid w:val="00D27AB6"/>
    <w:rsid w:val="00D27AEA"/>
    <w:rsid w:val="00D27B30"/>
    <w:rsid w:val="00D27BB7"/>
    <w:rsid w:val="00D27BC8"/>
    <w:rsid w:val="00D27BCE"/>
    <w:rsid w:val="00D27BF9"/>
    <w:rsid w:val="00D27BFA"/>
    <w:rsid w:val="00D27C26"/>
    <w:rsid w:val="00D27C2C"/>
    <w:rsid w:val="00D27C48"/>
    <w:rsid w:val="00D27D26"/>
    <w:rsid w:val="00D27DC3"/>
    <w:rsid w:val="00D27E2A"/>
    <w:rsid w:val="00D27E46"/>
    <w:rsid w:val="00D27F14"/>
    <w:rsid w:val="00D27F6A"/>
    <w:rsid w:val="00D27F79"/>
    <w:rsid w:val="00D27F88"/>
    <w:rsid w:val="00D30067"/>
    <w:rsid w:val="00D30114"/>
    <w:rsid w:val="00D3012C"/>
    <w:rsid w:val="00D3016A"/>
    <w:rsid w:val="00D30199"/>
    <w:rsid w:val="00D3024C"/>
    <w:rsid w:val="00D30324"/>
    <w:rsid w:val="00D3037F"/>
    <w:rsid w:val="00D30396"/>
    <w:rsid w:val="00D3043C"/>
    <w:rsid w:val="00D304DB"/>
    <w:rsid w:val="00D30522"/>
    <w:rsid w:val="00D3054B"/>
    <w:rsid w:val="00D30772"/>
    <w:rsid w:val="00D307FB"/>
    <w:rsid w:val="00D307FC"/>
    <w:rsid w:val="00D30823"/>
    <w:rsid w:val="00D308AF"/>
    <w:rsid w:val="00D3090D"/>
    <w:rsid w:val="00D30944"/>
    <w:rsid w:val="00D309CB"/>
    <w:rsid w:val="00D309FC"/>
    <w:rsid w:val="00D30A7F"/>
    <w:rsid w:val="00D30A9F"/>
    <w:rsid w:val="00D30B0B"/>
    <w:rsid w:val="00D30BF3"/>
    <w:rsid w:val="00D30C0A"/>
    <w:rsid w:val="00D30C27"/>
    <w:rsid w:val="00D30C68"/>
    <w:rsid w:val="00D30CBE"/>
    <w:rsid w:val="00D30E44"/>
    <w:rsid w:val="00D30E4E"/>
    <w:rsid w:val="00D30E8B"/>
    <w:rsid w:val="00D30EFD"/>
    <w:rsid w:val="00D30F80"/>
    <w:rsid w:val="00D30FB6"/>
    <w:rsid w:val="00D30FD7"/>
    <w:rsid w:val="00D30FDC"/>
    <w:rsid w:val="00D31001"/>
    <w:rsid w:val="00D3102C"/>
    <w:rsid w:val="00D31040"/>
    <w:rsid w:val="00D31059"/>
    <w:rsid w:val="00D310A8"/>
    <w:rsid w:val="00D31151"/>
    <w:rsid w:val="00D31206"/>
    <w:rsid w:val="00D31231"/>
    <w:rsid w:val="00D3125E"/>
    <w:rsid w:val="00D31273"/>
    <w:rsid w:val="00D3127E"/>
    <w:rsid w:val="00D31280"/>
    <w:rsid w:val="00D313C0"/>
    <w:rsid w:val="00D31422"/>
    <w:rsid w:val="00D314E1"/>
    <w:rsid w:val="00D3157A"/>
    <w:rsid w:val="00D315CD"/>
    <w:rsid w:val="00D315EE"/>
    <w:rsid w:val="00D31670"/>
    <w:rsid w:val="00D3170C"/>
    <w:rsid w:val="00D317FB"/>
    <w:rsid w:val="00D3187C"/>
    <w:rsid w:val="00D3188F"/>
    <w:rsid w:val="00D318F7"/>
    <w:rsid w:val="00D31920"/>
    <w:rsid w:val="00D31937"/>
    <w:rsid w:val="00D31961"/>
    <w:rsid w:val="00D319EB"/>
    <w:rsid w:val="00D31A2C"/>
    <w:rsid w:val="00D31A72"/>
    <w:rsid w:val="00D31A7F"/>
    <w:rsid w:val="00D31A81"/>
    <w:rsid w:val="00D31A87"/>
    <w:rsid w:val="00D31C5D"/>
    <w:rsid w:val="00D31C7A"/>
    <w:rsid w:val="00D31C9A"/>
    <w:rsid w:val="00D31CBF"/>
    <w:rsid w:val="00D31D2B"/>
    <w:rsid w:val="00D31E80"/>
    <w:rsid w:val="00D320AE"/>
    <w:rsid w:val="00D320EA"/>
    <w:rsid w:val="00D3211A"/>
    <w:rsid w:val="00D32154"/>
    <w:rsid w:val="00D3217A"/>
    <w:rsid w:val="00D32202"/>
    <w:rsid w:val="00D32282"/>
    <w:rsid w:val="00D3241A"/>
    <w:rsid w:val="00D3242E"/>
    <w:rsid w:val="00D324F6"/>
    <w:rsid w:val="00D3252F"/>
    <w:rsid w:val="00D32558"/>
    <w:rsid w:val="00D32610"/>
    <w:rsid w:val="00D3262B"/>
    <w:rsid w:val="00D3280D"/>
    <w:rsid w:val="00D328B9"/>
    <w:rsid w:val="00D32998"/>
    <w:rsid w:val="00D32A78"/>
    <w:rsid w:val="00D32AD3"/>
    <w:rsid w:val="00D32BBD"/>
    <w:rsid w:val="00D32BD7"/>
    <w:rsid w:val="00D32BE8"/>
    <w:rsid w:val="00D32BF4"/>
    <w:rsid w:val="00D32D52"/>
    <w:rsid w:val="00D32DEC"/>
    <w:rsid w:val="00D32DEE"/>
    <w:rsid w:val="00D32E02"/>
    <w:rsid w:val="00D32E08"/>
    <w:rsid w:val="00D32E2F"/>
    <w:rsid w:val="00D32E98"/>
    <w:rsid w:val="00D32EA6"/>
    <w:rsid w:val="00D3301D"/>
    <w:rsid w:val="00D33040"/>
    <w:rsid w:val="00D33053"/>
    <w:rsid w:val="00D3309B"/>
    <w:rsid w:val="00D330AD"/>
    <w:rsid w:val="00D330C4"/>
    <w:rsid w:val="00D330E0"/>
    <w:rsid w:val="00D33136"/>
    <w:rsid w:val="00D33196"/>
    <w:rsid w:val="00D331A1"/>
    <w:rsid w:val="00D331BC"/>
    <w:rsid w:val="00D331CA"/>
    <w:rsid w:val="00D3327C"/>
    <w:rsid w:val="00D3328F"/>
    <w:rsid w:val="00D333D9"/>
    <w:rsid w:val="00D3344D"/>
    <w:rsid w:val="00D3358C"/>
    <w:rsid w:val="00D335B6"/>
    <w:rsid w:val="00D335EC"/>
    <w:rsid w:val="00D33610"/>
    <w:rsid w:val="00D33618"/>
    <w:rsid w:val="00D33620"/>
    <w:rsid w:val="00D337CB"/>
    <w:rsid w:val="00D33877"/>
    <w:rsid w:val="00D3395E"/>
    <w:rsid w:val="00D33961"/>
    <w:rsid w:val="00D33A1C"/>
    <w:rsid w:val="00D33A41"/>
    <w:rsid w:val="00D33A4D"/>
    <w:rsid w:val="00D33AAC"/>
    <w:rsid w:val="00D33B20"/>
    <w:rsid w:val="00D33B55"/>
    <w:rsid w:val="00D33B8F"/>
    <w:rsid w:val="00D33C23"/>
    <w:rsid w:val="00D33C58"/>
    <w:rsid w:val="00D33C89"/>
    <w:rsid w:val="00D33C9A"/>
    <w:rsid w:val="00D33D2C"/>
    <w:rsid w:val="00D33D49"/>
    <w:rsid w:val="00D33D5F"/>
    <w:rsid w:val="00D33FFA"/>
    <w:rsid w:val="00D34050"/>
    <w:rsid w:val="00D3408E"/>
    <w:rsid w:val="00D340E4"/>
    <w:rsid w:val="00D340FD"/>
    <w:rsid w:val="00D34105"/>
    <w:rsid w:val="00D3411A"/>
    <w:rsid w:val="00D3413A"/>
    <w:rsid w:val="00D341CE"/>
    <w:rsid w:val="00D341F4"/>
    <w:rsid w:val="00D341F7"/>
    <w:rsid w:val="00D3431D"/>
    <w:rsid w:val="00D343D9"/>
    <w:rsid w:val="00D343DF"/>
    <w:rsid w:val="00D3445A"/>
    <w:rsid w:val="00D34618"/>
    <w:rsid w:val="00D346E0"/>
    <w:rsid w:val="00D346FE"/>
    <w:rsid w:val="00D34713"/>
    <w:rsid w:val="00D34760"/>
    <w:rsid w:val="00D347C2"/>
    <w:rsid w:val="00D3485F"/>
    <w:rsid w:val="00D348ED"/>
    <w:rsid w:val="00D34929"/>
    <w:rsid w:val="00D34938"/>
    <w:rsid w:val="00D34A15"/>
    <w:rsid w:val="00D34B08"/>
    <w:rsid w:val="00D34B49"/>
    <w:rsid w:val="00D34C28"/>
    <w:rsid w:val="00D34CE4"/>
    <w:rsid w:val="00D34D19"/>
    <w:rsid w:val="00D34DD7"/>
    <w:rsid w:val="00D34DFF"/>
    <w:rsid w:val="00D34F30"/>
    <w:rsid w:val="00D35038"/>
    <w:rsid w:val="00D350CB"/>
    <w:rsid w:val="00D350DE"/>
    <w:rsid w:val="00D35181"/>
    <w:rsid w:val="00D35196"/>
    <w:rsid w:val="00D35232"/>
    <w:rsid w:val="00D3525C"/>
    <w:rsid w:val="00D35274"/>
    <w:rsid w:val="00D352E8"/>
    <w:rsid w:val="00D353AA"/>
    <w:rsid w:val="00D354A0"/>
    <w:rsid w:val="00D35503"/>
    <w:rsid w:val="00D35514"/>
    <w:rsid w:val="00D355A3"/>
    <w:rsid w:val="00D3562F"/>
    <w:rsid w:val="00D356EB"/>
    <w:rsid w:val="00D3576F"/>
    <w:rsid w:val="00D3580B"/>
    <w:rsid w:val="00D35888"/>
    <w:rsid w:val="00D35897"/>
    <w:rsid w:val="00D358FF"/>
    <w:rsid w:val="00D3593F"/>
    <w:rsid w:val="00D3594B"/>
    <w:rsid w:val="00D35A0C"/>
    <w:rsid w:val="00D35A13"/>
    <w:rsid w:val="00D35A32"/>
    <w:rsid w:val="00D35A7E"/>
    <w:rsid w:val="00D35B4D"/>
    <w:rsid w:val="00D35B5C"/>
    <w:rsid w:val="00D35C8C"/>
    <w:rsid w:val="00D35C93"/>
    <w:rsid w:val="00D35CCB"/>
    <w:rsid w:val="00D35D58"/>
    <w:rsid w:val="00D35D84"/>
    <w:rsid w:val="00D35E97"/>
    <w:rsid w:val="00D35EA5"/>
    <w:rsid w:val="00D35EB5"/>
    <w:rsid w:val="00D35EEB"/>
    <w:rsid w:val="00D35F10"/>
    <w:rsid w:val="00D35F27"/>
    <w:rsid w:val="00D35F40"/>
    <w:rsid w:val="00D35F99"/>
    <w:rsid w:val="00D35FFF"/>
    <w:rsid w:val="00D3603A"/>
    <w:rsid w:val="00D3604B"/>
    <w:rsid w:val="00D3608C"/>
    <w:rsid w:val="00D360FF"/>
    <w:rsid w:val="00D36106"/>
    <w:rsid w:val="00D36139"/>
    <w:rsid w:val="00D36158"/>
    <w:rsid w:val="00D36193"/>
    <w:rsid w:val="00D361A5"/>
    <w:rsid w:val="00D361EA"/>
    <w:rsid w:val="00D362C3"/>
    <w:rsid w:val="00D36307"/>
    <w:rsid w:val="00D36324"/>
    <w:rsid w:val="00D3637A"/>
    <w:rsid w:val="00D36450"/>
    <w:rsid w:val="00D36467"/>
    <w:rsid w:val="00D364A8"/>
    <w:rsid w:val="00D364E2"/>
    <w:rsid w:val="00D364F5"/>
    <w:rsid w:val="00D364FA"/>
    <w:rsid w:val="00D36503"/>
    <w:rsid w:val="00D36591"/>
    <w:rsid w:val="00D36738"/>
    <w:rsid w:val="00D36757"/>
    <w:rsid w:val="00D3676B"/>
    <w:rsid w:val="00D367A7"/>
    <w:rsid w:val="00D367FB"/>
    <w:rsid w:val="00D36855"/>
    <w:rsid w:val="00D368D8"/>
    <w:rsid w:val="00D36A28"/>
    <w:rsid w:val="00D36A3D"/>
    <w:rsid w:val="00D36AF5"/>
    <w:rsid w:val="00D36B71"/>
    <w:rsid w:val="00D36D37"/>
    <w:rsid w:val="00D36D41"/>
    <w:rsid w:val="00D36D86"/>
    <w:rsid w:val="00D36D87"/>
    <w:rsid w:val="00D36DB3"/>
    <w:rsid w:val="00D36DEC"/>
    <w:rsid w:val="00D36E4A"/>
    <w:rsid w:val="00D36E98"/>
    <w:rsid w:val="00D36EFC"/>
    <w:rsid w:val="00D36F8D"/>
    <w:rsid w:val="00D371AD"/>
    <w:rsid w:val="00D37277"/>
    <w:rsid w:val="00D372EB"/>
    <w:rsid w:val="00D37300"/>
    <w:rsid w:val="00D3739F"/>
    <w:rsid w:val="00D3744D"/>
    <w:rsid w:val="00D374E8"/>
    <w:rsid w:val="00D37546"/>
    <w:rsid w:val="00D3756D"/>
    <w:rsid w:val="00D37688"/>
    <w:rsid w:val="00D376B0"/>
    <w:rsid w:val="00D37807"/>
    <w:rsid w:val="00D37876"/>
    <w:rsid w:val="00D3787F"/>
    <w:rsid w:val="00D378CA"/>
    <w:rsid w:val="00D379CE"/>
    <w:rsid w:val="00D379FB"/>
    <w:rsid w:val="00D37A14"/>
    <w:rsid w:val="00D37AFF"/>
    <w:rsid w:val="00D37B11"/>
    <w:rsid w:val="00D37B45"/>
    <w:rsid w:val="00D37B71"/>
    <w:rsid w:val="00D37C66"/>
    <w:rsid w:val="00D37C6E"/>
    <w:rsid w:val="00D37D1C"/>
    <w:rsid w:val="00D37D23"/>
    <w:rsid w:val="00D37D27"/>
    <w:rsid w:val="00D37D7D"/>
    <w:rsid w:val="00D37EC8"/>
    <w:rsid w:val="00D37EEF"/>
    <w:rsid w:val="00D37F36"/>
    <w:rsid w:val="00D37F9C"/>
    <w:rsid w:val="00D37F9E"/>
    <w:rsid w:val="00D37FCE"/>
    <w:rsid w:val="00D4001E"/>
    <w:rsid w:val="00D4007F"/>
    <w:rsid w:val="00D401D4"/>
    <w:rsid w:val="00D401EB"/>
    <w:rsid w:val="00D4020B"/>
    <w:rsid w:val="00D40225"/>
    <w:rsid w:val="00D4027A"/>
    <w:rsid w:val="00D402E1"/>
    <w:rsid w:val="00D403D0"/>
    <w:rsid w:val="00D404F5"/>
    <w:rsid w:val="00D4052D"/>
    <w:rsid w:val="00D4056B"/>
    <w:rsid w:val="00D405BA"/>
    <w:rsid w:val="00D405DA"/>
    <w:rsid w:val="00D40615"/>
    <w:rsid w:val="00D40620"/>
    <w:rsid w:val="00D406D0"/>
    <w:rsid w:val="00D407A3"/>
    <w:rsid w:val="00D407C1"/>
    <w:rsid w:val="00D40854"/>
    <w:rsid w:val="00D4097A"/>
    <w:rsid w:val="00D40B87"/>
    <w:rsid w:val="00D40BB8"/>
    <w:rsid w:val="00D40C26"/>
    <w:rsid w:val="00D40CC5"/>
    <w:rsid w:val="00D40CE9"/>
    <w:rsid w:val="00D40CF7"/>
    <w:rsid w:val="00D40D4D"/>
    <w:rsid w:val="00D40E70"/>
    <w:rsid w:val="00D40E93"/>
    <w:rsid w:val="00D40F7D"/>
    <w:rsid w:val="00D4118D"/>
    <w:rsid w:val="00D41352"/>
    <w:rsid w:val="00D413DC"/>
    <w:rsid w:val="00D414E0"/>
    <w:rsid w:val="00D4155D"/>
    <w:rsid w:val="00D41630"/>
    <w:rsid w:val="00D416BB"/>
    <w:rsid w:val="00D4170B"/>
    <w:rsid w:val="00D4179A"/>
    <w:rsid w:val="00D4180E"/>
    <w:rsid w:val="00D41813"/>
    <w:rsid w:val="00D41892"/>
    <w:rsid w:val="00D41902"/>
    <w:rsid w:val="00D41948"/>
    <w:rsid w:val="00D41996"/>
    <w:rsid w:val="00D41A4E"/>
    <w:rsid w:val="00D41A5E"/>
    <w:rsid w:val="00D41A6D"/>
    <w:rsid w:val="00D41ADF"/>
    <w:rsid w:val="00D41B4B"/>
    <w:rsid w:val="00D41B6B"/>
    <w:rsid w:val="00D41C46"/>
    <w:rsid w:val="00D41DBE"/>
    <w:rsid w:val="00D41E83"/>
    <w:rsid w:val="00D41EB3"/>
    <w:rsid w:val="00D41EC0"/>
    <w:rsid w:val="00D41FA7"/>
    <w:rsid w:val="00D41FAE"/>
    <w:rsid w:val="00D41FED"/>
    <w:rsid w:val="00D42083"/>
    <w:rsid w:val="00D421B6"/>
    <w:rsid w:val="00D4221A"/>
    <w:rsid w:val="00D4230E"/>
    <w:rsid w:val="00D42377"/>
    <w:rsid w:val="00D4237D"/>
    <w:rsid w:val="00D4251F"/>
    <w:rsid w:val="00D4264F"/>
    <w:rsid w:val="00D42720"/>
    <w:rsid w:val="00D4276D"/>
    <w:rsid w:val="00D42800"/>
    <w:rsid w:val="00D42816"/>
    <w:rsid w:val="00D42942"/>
    <w:rsid w:val="00D42A06"/>
    <w:rsid w:val="00D42A4F"/>
    <w:rsid w:val="00D42AD9"/>
    <w:rsid w:val="00D42B02"/>
    <w:rsid w:val="00D42BC0"/>
    <w:rsid w:val="00D42CD4"/>
    <w:rsid w:val="00D42CF3"/>
    <w:rsid w:val="00D42D0B"/>
    <w:rsid w:val="00D42DE0"/>
    <w:rsid w:val="00D42E11"/>
    <w:rsid w:val="00D42E3E"/>
    <w:rsid w:val="00D42E4B"/>
    <w:rsid w:val="00D42F13"/>
    <w:rsid w:val="00D42F5A"/>
    <w:rsid w:val="00D42F5B"/>
    <w:rsid w:val="00D42FE2"/>
    <w:rsid w:val="00D42FEF"/>
    <w:rsid w:val="00D430A4"/>
    <w:rsid w:val="00D430F2"/>
    <w:rsid w:val="00D43134"/>
    <w:rsid w:val="00D43137"/>
    <w:rsid w:val="00D4313E"/>
    <w:rsid w:val="00D4317E"/>
    <w:rsid w:val="00D43195"/>
    <w:rsid w:val="00D4319E"/>
    <w:rsid w:val="00D43227"/>
    <w:rsid w:val="00D43245"/>
    <w:rsid w:val="00D4326E"/>
    <w:rsid w:val="00D4329A"/>
    <w:rsid w:val="00D43311"/>
    <w:rsid w:val="00D4333E"/>
    <w:rsid w:val="00D4337E"/>
    <w:rsid w:val="00D4345D"/>
    <w:rsid w:val="00D434B9"/>
    <w:rsid w:val="00D43542"/>
    <w:rsid w:val="00D43577"/>
    <w:rsid w:val="00D4358A"/>
    <w:rsid w:val="00D43601"/>
    <w:rsid w:val="00D4361C"/>
    <w:rsid w:val="00D436D5"/>
    <w:rsid w:val="00D4370F"/>
    <w:rsid w:val="00D43762"/>
    <w:rsid w:val="00D43774"/>
    <w:rsid w:val="00D43897"/>
    <w:rsid w:val="00D43974"/>
    <w:rsid w:val="00D439AB"/>
    <w:rsid w:val="00D439B4"/>
    <w:rsid w:val="00D43A70"/>
    <w:rsid w:val="00D43AF6"/>
    <w:rsid w:val="00D43B23"/>
    <w:rsid w:val="00D43B7E"/>
    <w:rsid w:val="00D43CA5"/>
    <w:rsid w:val="00D43D8C"/>
    <w:rsid w:val="00D43DEB"/>
    <w:rsid w:val="00D43E27"/>
    <w:rsid w:val="00D43E37"/>
    <w:rsid w:val="00D43E54"/>
    <w:rsid w:val="00D43E6A"/>
    <w:rsid w:val="00D43EEA"/>
    <w:rsid w:val="00D43EF0"/>
    <w:rsid w:val="00D43F37"/>
    <w:rsid w:val="00D43FB9"/>
    <w:rsid w:val="00D43FCF"/>
    <w:rsid w:val="00D44056"/>
    <w:rsid w:val="00D440A0"/>
    <w:rsid w:val="00D4415B"/>
    <w:rsid w:val="00D44184"/>
    <w:rsid w:val="00D441E2"/>
    <w:rsid w:val="00D44279"/>
    <w:rsid w:val="00D44289"/>
    <w:rsid w:val="00D442AC"/>
    <w:rsid w:val="00D442FD"/>
    <w:rsid w:val="00D44370"/>
    <w:rsid w:val="00D4437D"/>
    <w:rsid w:val="00D44383"/>
    <w:rsid w:val="00D44469"/>
    <w:rsid w:val="00D4449A"/>
    <w:rsid w:val="00D4455F"/>
    <w:rsid w:val="00D44561"/>
    <w:rsid w:val="00D445BE"/>
    <w:rsid w:val="00D446E6"/>
    <w:rsid w:val="00D44754"/>
    <w:rsid w:val="00D447E8"/>
    <w:rsid w:val="00D448F7"/>
    <w:rsid w:val="00D4492D"/>
    <w:rsid w:val="00D44988"/>
    <w:rsid w:val="00D44989"/>
    <w:rsid w:val="00D4499F"/>
    <w:rsid w:val="00D449AD"/>
    <w:rsid w:val="00D449F5"/>
    <w:rsid w:val="00D44A62"/>
    <w:rsid w:val="00D44D53"/>
    <w:rsid w:val="00D44E22"/>
    <w:rsid w:val="00D44FA2"/>
    <w:rsid w:val="00D44FB8"/>
    <w:rsid w:val="00D450B8"/>
    <w:rsid w:val="00D450BB"/>
    <w:rsid w:val="00D450E2"/>
    <w:rsid w:val="00D450E6"/>
    <w:rsid w:val="00D4514A"/>
    <w:rsid w:val="00D45185"/>
    <w:rsid w:val="00D452AB"/>
    <w:rsid w:val="00D4530C"/>
    <w:rsid w:val="00D453A0"/>
    <w:rsid w:val="00D453FC"/>
    <w:rsid w:val="00D45431"/>
    <w:rsid w:val="00D454FE"/>
    <w:rsid w:val="00D45539"/>
    <w:rsid w:val="00D4559B"/>
    <w:rsid w:val="00D45676"/>
    <w:rsid w:val="00D456C2"/>
    <w:rsid w:val="00D4579D"/>
    <w:rsid w:val="00D457B3"/>
    <w:rsid w:val="00D457E7"/>
    <w:rsid w:val="00D45960"/>
    <w:rsid w:val="00D45993"/>
    <w:rsid w:val="00D459A1"/>
    <w:rsid w:val="00D45A01"/>
    <w:rsid w:val="00D45A0C"/>
    <w:rsid w:val="00D45A74"/>
    <w:rsid w:val="00D45A79"/>
    <w:rsid w:val="00D45AF2"/>
    <w:rsid w:val="00D45BB1"/>
    <w:rsid w:val="00D45D2D"/>
    <w:rsid w:val="00D45D34"/>
    <w:rsid w:val="00D45D7C"/>
    <w:rsid w:val="00D45DFB"/>
    <w:rsid w:val="00D45EE4"/>
    <w:rsid w:val="00D45EEE"/>
    <w:rsid w:val="00D45F53"/>
    <w:rsid w:val="00D45F7F"/>
    <w:rsid w:val="00D45F8C"/>
    <w:rsid w:val="00D46013"/>
    <w:rsid w:val="00D4604A"/>
    <w:rsid w:val="00D4611B"/>
    <w:rsid w:val="00D462B7"/>
    <w:rsid w:val="00D46306"/>
    <w:rsid w:val="00D4636A"/>
    <w:rsid w:val="00D463E5"/>
    <w:rsid w:val="00D46421"/>
    <w:rsid w:val="00D46490"/>
    <w:rsid w:val="00D46544"/>
    <w:rsid w:val="00D46646"/>
    <w:rsid w:val="00D46776"/>
    <w:rsid w:val="00D46783"/>
    <w:rsid w:val="00D467B6"/>
    <w:rsid w:val="00D467DB"/>
    <w:rsid w:val="00D46872"/>
    <w:rsid w:val="00D46889"/>
    <w:rsid w:val="00D46A1E"/>
    <w:rsid w:val="00D46A70"/>
    <w:rsid w:val="00D46BF8"/>
    <w:rsid w:val="00D46C1D"/>
    <w:rsid w:val="00D46CB0"/>
    <w:rsid w:val="00D46CB9"/>
    <w:rsid w:val="00D46CC7"/>
    <w:rsid w:val="00D46D6E"/>
    <w:rsid w:val="00D46E31"/>
    <w:rsid w:val="00D47051"/>
    <w:rsid w:val="00D47060"/>
    <w:rsid w:val="00D470B6"/>
    <w:rsid w:val="00D470D6"/>
    <w:rsid w:val="00D4710D"/>
    <w:rsid w:val="00D47136"/>
    <w:rsid w:val="00D4718D"/>
    <w:rsid w:val="00D47207"/>
    <w:rsid w:val="00D47226"/>
    <w:rsid w:val="00D47314"/>
    <w:rsid w:val="00D47441"/>
    <w:rsid w:val="00D474DF"/>
    <w:rsid w:val="00D47523"/>
    <w:rsid w:val="00D47545"/>
    <w:rsid w:val="00D47651"/>
    <w:rsid w:val="00D4767B"/>
    <w:rsid w:val="00D47691"/>
    <w:rsid w:val="00D476C9"/>
    <w:rsid w:val="00D47746"/>
    <w:rsid w:val="00D477A6"/>
    <w:rsid w:val="00D47805"/>
    <w:rsid w:val="00D4783A"/>
    <w:rsid w:val="00D478C7"/>
    <w:rsid w:val="00D47A20"/>
    <w:rsid w:val="00D47A4C"/>
    <w:rsid w:val="00D47B68"/>
    <w:rsid w:val="00D47BA2"/>
    <w:rsid w:val="00D47BA7"/>
    <w:rsid w:val="00D47C0E"/>
    <w:rsid w:val="00D47C89"/>
    <w:rsid w:val="00D47CF1"/>
    <w:rsid w:val="00D47D0A"/>
    <w:rsid w:val="00D47D18"/>
    <w:rsid w:val="00D47D20"/>
    <w:rsid w:val="00D47E1F"/>
    <w:rsid w:val="00D47F4D"/>
    <w:rsid w:val="00D47FCE"/>
    <w:rsid w:val="00D47FF2"/>
    <w:rsid w:val="00D5006E"/>
    <w:rsid w:val="00D500F0"/>
    <w:rsid w:val="00D5013C"/>
    <w:rsid w:val="00D501BC"/>
    <w:rsid w:val="00D5022D"/>
    <w:rsid w:val="00D50339"/>
    <w:rsid w:val="00D5033F"/>
    <w:rsid w:val="00D50353"/>
    <w:rsid w:val="00D50360"/>
    <w:rsid w:val="00D50372"/>
    <w:rsid w:val="00D503EA"/>
    <w:rsid w:val="00D5046C"/>
    <w:rsid w:val="00D504B2"/>
    <w:rsid w:val="00D504F9"/>
    <w:rsid w:val="00D50504"/>
    <w:rsid w:val="00D5055A"/>
    <w:rsid w:val="00D505C2"/>
    <w:rsid w:val="00D50640"/>
    <w:rsid w:val="00D50677"/>
    <w:rsid w:val="00D506A4"/>
    <w:rsid w:val="00D506B0"/>
    <w:rsid w:val="00D507A3"/>
    <w:rsid w:val="00D507BC"/>
    <w:rsid w:val="00D507CE"/>
    <w:rsid w:val="00D50892"/>
    <w:rsid w:val="00D50959"/>
    <w:rsid w:val="00D50B15"/>
    <w:rsid w:val="00D50B17"/>
    <w:rsid w:val="00D50B6B"/>
    <w:rsid w:val="00D50B98"/>
    <w:rsid w:val="00D50BAD"/>
    <w:rsid w:val="00D50C6D"/>
    <w:rsid w:val="00D50C8E"/>
    <w:rsid w:val="00D50D3E"/>
    <w:rsid w:val="00D50E02"/>
    <w:rsid w:val="00D50E2E"/>
    <w:rsid w:val="00D50E69"/>
    <w:rsid w:val="00D50EFF"/>
    <w:rsid w:val="00D50F14"/>
    <w:rsid w:val="00D50F54"/>
    <w:rsid w:val="00D50F6D"/>
    <w:rsid w:val="00D50FEF"/>
    <w:rsid w:val="00D51054"/>
    <w:rsid w:val="00D510D6"/>
    <w:rsid w:val="00D51105"/>
    <w:rsid w:val="00D51187"/>
    <w:rsid w:val="00D51197"/>
    <w:rsid w:val="00D511EC"/>
    <w:rsid w:val="00D511F8"/>
    <w:rsid w:val="00D5124D"/>
    <w:rsid w:val="00D5128F"/>
    <w:rsid w:val="00D512DB"/>
    <w:rsid w:val="00D512F5"/>
    <w:rsid w:val="00D51343"/>
    <w:rsid w:val="00D513E7"/>
    <w:rsid w:val="00D514B4"/>
    <w:rsid w:val="00D515A2"/>
    <w:rsid w:val="00D515A8"/>
    <w:rsid w:val="00D5164D"/>
    <w:rsid w:val="00D5172B"/>
    <w:rsid w:val="00D5176D"/>
    <w:rsid w:val="00D517B3"/>
    <w:rsid w:val="00D517D2"/>
    <w:rsid w:val="00D51871"/>
    <w:rsid w:val="00D51A98"/>
    <w:rsid w:val="00D51B3E"/>
    <w:rsid w:val="00D51B70"/>
    <w:rsid w:val="00D51BCD"/>
    <w:rsid w:val="00D51BD2"/>
    <w:rsid w:val="00D51C17"/>
    <w:rsid w:val="00D51C32"/>
    <w:rsid w:val="00D51C54"/>
    <w:rsid w:val="00D51C81"/>
    <w:rsid w:val="00D51CF6"/>
    <w:rsid w:val="00D51D0E"/>
    <w:rsid w:val="00D51E26"/>
    <w:rsid w:val="00D51E48"/>
    <w:rsid w:val="00D51E53"/>
    <w:rsid w:val="00D51E86"/>
    <w:rsid w:val="00D51EA4"/>
    <w:rsid w:val="00D51EC8"/>
    <w:rsid w:val="00D51F20"/>
    <w:rsid w:val="00D51F37"/>
    <w:rsid w:val="00D5200B"/>
    <w:rsid w:val="00D52023"/>
    <w:rsid w:val="00D52072"/>
    <w:rsid w:val="00D5210C"/>
    <w:rsid w:val="00D5230C"/>
    <w:rsid w:val="00D52434"/>
    <w:rsid w:val="00D52486"/>
    <w:rsid w:val="00D524B6"/>
    <w:rsid w:val="00D525F5"/>
    <w:rsid w:val="00D5263B"/>
    <w:rsid w:val="00D52650"/>
    <w:rsid w:val="00D528A4"/>
    <w:rsid w:val="00D528D2"/>
    <w:rsid w:val="00D5290B"/>
    <w:rsid w:val="00D52928"/>
    <w:rsid w:val="00D52962"/>
    <w:rsid w:val="00D5299A"/>
    <w:rsid w:val="00D52A16"/>
    <w:rsid w:val="00D52A3D"/>
    <w:rsid w:val="00D52A9E"/>
    <w:rsid w:val="00D52B8C"/>
    <w:rsid w:val="00D52BC0"/>
    <w:rsid w:val="00D52CB7"/>
    <w:rsid w:val="00D52D3C"/>
    <w:rsid w:val="00D52D3F"/>
    <w:rsid w:val="00D52D62"/>
    <w:rsid w:val="00D52D7D"/>
    <w:rsid w:val="00D52EA9"/>
    <w:rsid w:val="00D52EBC"/>
    <w:rsid w:val="00D52ECE"/>
    <w:rsid w:val="00D52FB3"/>
    <w:rsid w:val="00D53042"/>
    <w:rsid w:val="00D530F6"/>
    <w:rsid w:val="00D5312F"/>
    <w:rsid w:val="00D5313F"/>
    <w:rsid w:val="00D53251"/>
    <w:rsid w:val="00D5326F"/>
    <w:rsid w:val="00D53273"/>
    <w:rsid w:val="00D53320"/>
    <w:rsid w:val="00D53460"/>
    <w:rsid w:val="00D53471"/>
    <w:rsid w:val="00D534F7"/>
    <w:rsid w:val="00D53557"/>
    <w:rsid w:val="00D53562"/>
    <w:rsid w:val="00D53615"/>
    <w:rsid w:val="00D53636"/>
    <w:rsid w:val="00D53670"/>
    <w:rsid w:val="00D53723"/>
    <w:rsid w:val="00D5383C"/>
    <w:rsid w:val="00D538CE"/>
    <w:rsid w:val="00D538DF"/>
    <w:rsid w:val="00D53919"/>
    <w:rsid w:val="00D53961"/>
    <w:rsid w:val="00D5397F"/>
    <w:rsid w:val="00D5398D"/>
    <w:rsid w:val="00D539A1"/>
    <w:rsid w:val="00D539E6"/>
    <w:rsid w:val="00D53A3A"/>
    <w:rsid w:val="00D53B2E"/>
    <w:rsid w:val="00D53B59"/>
    <w:rsid w:val="00D53BD4"/>
    <w:rsid w:val="00D53BE0"/>
    <w:rsid w:val="00D53BF5"/>
    <w:rsid w:val="00D53EBE"/>
    <w:rsid w:val="00D53ED5"/>
    <w:rsid w:val="00D53FFF"/>
    <w:rsid w:val="00D540F7"/>
    <w:rsid w:val="00D5418B"/>
    <w:rsid w:val="00D5419E"/>
    <w:rsid w:val="00D541FB"/>
    <w:rsid w:val="00D54227"/>
    <w:rsid w:val="00D54341"/>
    <w:rsid w:val="00D543F1"/>
    <w:rsid w:val="00D54421"/>
    <w:rsid w:val="00D54442"/>
    <w:rsid w:val="00D544E9"/>
    <w:rsid w:val="00D54595"/>
    <w:rsid w:val="00D545B1"/>
    <w:rsid w:val="00D54627"/>
    <w:rsid w:val="00D54683"/>
    <w:rsid w:val="00D54775"/>
    <w:rsid w:val="00D54841"/>
    <w:rsid w:val="00D54905"/>
    <w:rsid w:val="00D54919"/>
    <w:rsid w:val="00D549D5"/>
    <w:rsid w:val="00D549E9"/>
    <w:rsid w:val="00D54A4D"/>
    <w:rsid w:val="00D54ACD"/>
    <w:rsid w:val="00D54BBC"/>
    <w:rsid w:val="00D54C07"/>
    <w:rsid w:val="00D54D34"/>
    <w:rsid w:val="00D54D71"/>
    <w:rsid w:val="00D54DB1"/>
    <w:rsid w:val="00D54DCA"/>
    <w:rsid w:val="00D54E60"/>
    <w:rsid w:val="00D54E64"/>
    <w:rsid w:val="00D54EC5"/>
    <w:rsid w:val="00D54EF8"/>
    <w:rsid w:val="00D55019"/>
    <w:rsid w:val="00D55026"/>
    <w:rsid w:val="00D550BA"/>
    <w:rsid w:val="00D55137"/>
    <w:rsid w:val="00D551D2"/>
    <w:rsid w:val="00D554A4"/>
    <w:rsid w:val="00D5553E"/>
    <w:rsid w:val="00D555AD"/>
    <w:rsid w:val="00D55627"/>
    <w:rsid w:val="00D55660"/>
    <w:rsid w:val="00D556C7"/>
    <w:rsid w:val="00D5570E"/>
    <w:rsid w:val="00D55756"/>
    <w:rsid w:val="00D557D9"/>
    <w:rsid w:val="00D558A0"/>
    <w:rsid w:val="00D558FB"/>
    <w:rsid w:val="00D55919"/>
    <w:rsid w:val="00D5597F"/>
    <w:rsid w:val="00D559BB"/>
    <w:rsid w:val="00D55BCC"/>
    <w:rsid w:val="00D55C02"/>
    <w:rsid w:val="00D55D40"/>
    <w:rsid w:val="00D55D88"/>
    <w:rsid w:val="00D55D98"/>
    <w:rsid w:val="00D55E27"/>
    <w:rsid w:val="00D55E5B"/>
    <w:rsid w:val="00D55E64"/>
    <w:rsid w:val="00D55EC6"/>
    <w:rsid w:val="00D55FB5"/>
    <w:rsid w:val="00D56123"/>
    <w:rsid w:val="00D56140"/>
    <w:rsid w:val="00D56215"/>
    <w:rsid w:val="00D5624A"/>
    <w:rsid w:val="00D5624E"/>
    <w:rsid w:val="00D5632A"/>
    <w:rsid w:val="00D563BD"/>
    <w:rsid w:val="00D5640B"/>
    <w:rsid w:val="00D56451"/>
    <w:rsid w:val="00D5649E"/>
    <w:rsid w:val="00D5651E"/>
    <w:rsid w:val="00D5655B"/>
    <w:rsid w:val="00D5659B"/>
    <w:rsid w:val="00D565A6"/>
    <w:rsid w:val="00D565B1"/>
    <w:rsid w:val="00D56659"/>
    <w:rsid w:val="00D5666B"/>
    <w:rsid w:val="00D56725"/>
    <w:rsid w:val="00D567C4"/>
    <w:rsid w:val="00D5682C"/>
    <w:rsid w:val="00D56967"/>
    <w:rsid w:val="00D56990"/>
    <w:rsid w:val="00D569BD"/>
    <w:rsid w:val="00D569CC"/>
    <w:rsid w:val="00D569D9"/>
    <w:rsid w:val="00D569F1"/>
    <w:rsid w:val="00D56AC6"/>
    <w:rsid w:val="00D56B0D"/>
    <w:rsid w:val="00D56B16"/>
    <w:rsid w:val="00D56BCF"/>
    <w:rsid w:val="00D56BD7"/>
    <w:rsid w:val="00D56BFD"/>
    <w:rsid w:val="00D56C01"/>
    <w:rsid w:val="00D56CBE"/>
    <w:rsid w:val="00D56DFF"/>
    <w:rsid w:val="00D56E22"/>
    <w:rsid w:val="00D56EEE"/>
    <w:rsid w:val="00D56F42"/>
    <w:rsid w:val="00D56F9A"/>
    <w:rsid w:val="00D56FC8"/>
    <w:rsid w:val="00D57027"/>
    <w:rsid w:val="00D57145"/>
    <w:rsid w:val="00D5719E"/>
    <w:rsid w:val="00D5720E"/>
    <w:rsid w:val="00D57229"/>
    <w:rsid w:val="00D57291"/>
    <w:rsid w:val="00D57297"/>
    <w:rsid w:val="00D5731C"/>
    <w:rsid w:val="00D5734E"/>
    <w:rsid w:val="00D57364"/>
    <w:rsid w:val="00D573EF"/>
    <w:rsid w:val="00D5745A"/>
    <w:rsid w:val="00D574A3"/>
    <w:rsid w:val="00D574A5"/>
    <w:rsid w:val="00D574C3"/>
    <w:rsid w:val="00D576C5"/>
    <w:rsid w:val="00D576EB"/>
    <w:rsid w:val="00D57771"/>
    <w:rsid w:val="00D5777E"/>
    <w:rsid w:val="00D5778C"/>
    <w:rsid w:val="00D5779D"/>
    <w:rsid w:val="00D577A2"/>
    <w:rsid w:val="00D57893"/>
    <w:rsid w:val="00D578EC"/>
    <w:rsid w:val="00D578EE"/>
    <w:rsid w:val="00D57921"/>
    <w:rsid w:val="00D57945"/>
    <w:rsid w:val="00D57982"/>
    <w:rsid w:val="00D579E9"/>
    <w:rsid w:val="00D57A81"/>
    <w:rsid w:val="00D57A8E"/>
    <w:rsid w:val="00D57B34"/>
    <w:rsid w:val="00D57B93"/>
    <w:rsid w:val="00D57BAE"/>
    <w:rsid w:val="00D57BC2"/>
    <w:rsid w:val="00D57BC6"/>
    <w:rsid w:val="00D57C16"/>
    <w:rsid w:val="00D57C1A"/>
    <w:rsid w:val="00D57C8E"/>
    <w:rsid w:val="00D57CE7"/>
    <w:rsid w:val="00D57E28"/>
    <w:rsid w:val="00D57EAD"/>
    <w:rsid w:val="00D57F05"/>
    <w:rsid w:val="00D57F2D"/>
    <w:rsid w:val="00D57F38"/>
    <w:rsid w:val="00D57F61"/>
    <w:rsid w:val="00D57F92"/>
    <w:rsid w:val="00D57FB5"/>
    <w:rsid w:val="00D6000D"/>
    <w:rsid w:val="00D6002B"/>
    <w:rsid w:val="00D6002C"/>
    <w:rsid w:val="00D600E3"/>
    <w:rsid w:val="00D6011B"/>
    <w:rsid w:val="00D60124"/>
    <w:rsid w:val="00D6012F"/>
    <w:rsid w:val="00D60135"/>
    <w:rsid w:val="00D6014E"/>
    <w:rsid w:val="00D601CE"/>
    <w:rsid w:val="00D602D0"/>
    <w:rsid w:val="00D602D4"/>
    <w:rsid w:val="00D602DD"/>
    <w:rsid w:val="00D60392"/>
    <w:rsid w:val="00D604B2"/>
    <w:rsid w:val="00D604DC"/>
    <w:rsid w:val="00D60524"/>
    <w:rsid w:val="00D60555"/>
    <w:rsid w:val="00D6055F"/>
    <w:rsid w:val="00D60580"/>
    <w:rsid w:val="00D6058E"/>
    <w:rsid w:val="00D60599"/>
    <w:rsid w:val="00D60709"/>
    <w:rsid w:val="00D60798"/>
    <w:rsid w:val="00D607DC"/>
    <w:rsid w:val="00D6086E"/>
    <w:rsid w:val="00D608CA"/>
    <w:rsid w:val="00D6097C"/>
    <w:rsid w:val="00D6098F"/>
    <w:rsid w:val="00D60A19"/>
    <w:rsid w:val="00D60A4D"/>
    <w:rsid w:val="00D60AE3"/>
    <w:rsid w:val="00D60AF6"/>
    <w:rsid w:val="00D60B24"/>
    <w:rsid w:val="00D60B59"/>
    <w:rsid w:val="00D60B91"/>
    <w:rsid w:val="00D60C33"/>
    <w:rsid w:val="00D60C55"/>
    <w:rsid w:val="00D60C63"/>
    <w:rsid w:val="00D60C7A"/>
    <w:rsid w:val="00D60CCE"/>
    <w:rsid w:val="00D60CDD"/>
    <w:rsid w:val="00D60D6C"/>
    <w:rsid w:val="00D60D8B"/>
    <w:rsid w:val="00D60E35"/>
    <w:rsid w:val="00D60E40"/>
    <w:rsid w:val="00D60F19"/>
    <w:rsid w:val="00D60F28"/>
    <w:rsid w:val="00D60F3D"/>
    <w:rsid w:val="00D60F3E"/>
    <w:rsid w:val="00D6100E"/>
    <w:rsid w:val="00D61046"/>
    <w:rsid w:val="00D6104C"/>
    <w:rsid w:val="00D61109"/>
    <w:rsid w:val="00D6110A"/>
    <w:rsid w:val="00D6117D"/>
    <w:rsid w:val="00D611CC"/>
    <w:rsid w:val="00D611CE"/>
    <w:rsid w:val="00D611D1"/>
    <w:rsid w:val="00D6123D"/>
    <w:rsid w:val="00D61250"/>
    <w:rsid w:val="00D61261"/>
    <w:rsid w:val="00D6126A"/>
    <w:rsid w:val="00D6135A"/>
    <w:rsid w:val="00D61367"/>
    <w:rsid w:val="00D61400"/>
    <w:rsid w:val="00D614A8"/>
    <w:rsid w:val="00D6151E"/>
    <w:rsid w:val="00D6157A"/>
    <w:rsid w:val="00D616CA"/>
    <w:rsid w:val="00D616EC"/>
    <w:rsid w:val="00D61749"/>
    <w:rsid w:val="00D61777"/>
    <w:rsid w:val="00D6181B"/>
    <w:rsid w:val="00D618DD"/>
    <w:rsid w:val="00D61913"/>
    <w:rsid w:val="00D6195A"/>
    <w:rsid w:val="00D619A5"/>
    <w:rsid w:val="00D619CC"/>
    <w:rsid w:val="00D61A02"/>
    <w:rsid w:val="00D61A83"/>
    <w:rsid w:val="00D61A8E"/>
    <w:rsid w:val="00D61AF1"/>
    <w:rsid w:val="00D61BA5"/>
    <w:rsid w:val="00D61BF9"/>
    <w:rsid w:val="00D61C39"/>
    <w:rsid w:val="00D61C80"/>
    <w:rsid w:val="00D61E6A"/>
    <w:rsid w:val="00D61EF7"/>
    <w:rsid w:val="00D61F38"/>
    <w:rsid w:val="00D61F4C"/>
    <w:rsid w:val="00D61F71"/>
    <w:rsid w:val="00D61FA9"/>
    <w:rsid w:val="00D61FBC"/>
    <w:rsid w:val="00D61FBD"/>
    <w:rsid w:val="00D62014"/>
    <w:rsid w:val="00D6201A"/>
    <w:rsid w:val="00D62044"/>
    <w:rsid w:val="00D62100"/>
    <w:rsid w:val="00D62128"/>
    <w:rsid w:val="00D62173"/>
    <w:rsid w:val="00D62192"/>
    <w:rsid w:val="00D621EE"/>
    <w:rsid w:val="00D6221D"/>
    <w:rsid w:val="00D6232A"/>
    <w:rsid w:val="00D623EE"/>
    <w:rsid w:val="00D623F4"/>
    <w:rsid w:val="00D62409"/>
    <w:rsid w:val="00D62436"/>
    <w:rsid w:val="00D6247E"/>
    <w:rsid w:val="00D62484"/>
    <w:rsid w:val="00D62499"/>
    <w:rsid w:val="00D624AC"/>
    <w:rsid w:val="00D624F8"/>
    <w:rsid w:val="00D6251B"/>
    <w:rsid w:val="00D6256F"/>
    <w:rsid w:val="00D62599"/>
    <w:rsid w:val="00D62617"/>
    <w:rsid w:val="00D62629"/>
    <w:rsid w:val="00D6268A"/>
    <w:rsid w:val="00D62757"/>
    <w:rsid w:val="00D627A1"/>
    <w:rsid w:val="00D627A9"/>
    <w:rsid w:val="00D627CA"/>
    <w:rsid w:val="00D62827"/>
    <w:rsid w:val="00D62946"/>
    <w:rsid w:val="00D6295A"/>
    <w:rsid w:val="00D62960"/>
    <w:rsid w:val="00D62962"/>
    <w:rsid w:val="00D62A0E"/>
    <w:rsid w:val="00D62A5F"/>
    <w:rsid w:val="00D62AA1"/>
    <w:rsid w:val="00D62B21"/>
    <w:rsid w:val="00D62BA4"/>
    <w:rsid w:val="00D62C7E"/>
    <w:rsid w:val="00D62CB3"/>
    <w:rsid w:val="00D62CE0"/>
    <w:rsid w:val="00D62D7D"/>
    <w:rsid w:val="00D62F0C"/>
    <w:rsid w:val="00D62FFA"/>
    <w:rsid w:val="00D6301D"/>
    <w:rsid w:val="00D6308B"/>
    <w:rsid w:val="00D63111"/>
    <w:rsid w:val="00D63115"/>
    <w:rsid w:val="00D6315E"/>
    <w:rsid w:val="00D6317B"/>
    <w:rsid w:val="00D6318F"/>
    <w:rsid w:val="00D6319D"/>
    <w:rsid w:val="00D631D9"/>
    <w:rsid w:val="00D63201"/>
    <w:rsid w:val="00D63267"/>
    <w:rsid w:val="00D632A8"/>
    <w:rsid w:val="00D6331B"/>
    <w:rsid w:val="00D633AE"/>
    <w:rsid w:val="00D634DB"/>
    <w:rsid w:val="00D63723"/>
    <w:rsid w:val="00D63758"/>
    <w:rsid w:val="00D6376D"/>
    <w:rsid w:val="00D637FF"/>
    <w:rsid w:val="00D63A12"/>
    <w:rsid w:val="00D63A19"/>
    <w:rsid w:val="00D63A29"/>
    <w:rsid w:val="00D63A49"/>
    <w:rsid w:val="00D63AA7"/>
    <w:rsid w:val="00D63AEB"/>
    <w:rsid w:val="00D63B54"/>
    <w:rsid w:val="00D63BCA"/>
    <w:rsid w:val="00D63C35"/>
    <w:rsid w:val="00D63CFB"/>
    <w:rsid w:val="00D63D05"/>
    <w:rsid w:val="00D63D93"/>
    <w:rsid w:val="00D63E43"/>
    <w:rsid w:val="00D63F29"/>
    <w:rsid w:val="00D6403F"/>
    <w:rsid w:val="00D6408D"/>
    <w:rsid w:val="00D64223"/>
    <w:rsid w:val="00D642A7"/>
    <w:rsid w:val="00D642E8"/>
    <w:rsid w:val="00D643B0"/>
    <w:rsid w:val="00D643BA"/>
    <w:rsid w:val="00D643D8"/>
    <w:rsid w:val="00D643DC"/>
    <w:rsid w:val="00D644AA"/>
    <w:rsid w:val="00D644BD"/>
    <w:rsid w:val="00D644D4"/>
    <w:rsid w:val="00D644DB"/>
    <w:rsid w:val="00D645CE"/>
    <w:rsid w:val="00D6464C"/>
    <w:rsid w:val="00D646DE"/>
    <w:rsid w:val="00D64750"/>
    <w:rsid w:val="00D64753"/>
    <w:rsid w:val="00D64756"/>
    <w:rsid w:val="00D6487B"/>
    <w:rsid w:val="00D64918"/>
    <w:rsid w:val="00D6498D"/>
    <w:rsid w:val="00D649B6"/>
    <w:rsid w:val="00D649D2"/>
    <w:rsid w:val="00D649E7"/>
    <w:rsid w:val="00D64A8C"/>
    <w:rsid w:val="00D64AAB"/>
    <w:rsid w:val="00D64B39"/>
    <w:rsid w:val="00D64B50"/>
    <w:rsid w:val="00D64BB2"/>
    <w:rsid w:val="00D64D1B"/>
    <w:rsid w:val="00D64D45"/>
    <w:rsid w:val="00D64D73"/>
    <w:rsid w:val="00D64D7B"/>
    <w:rsid w:val="00D64DA2"/>
    <w:rsid w:val="00D64DDA"/>
    <w:rsid w:val="00D64ED7"/>
    <w:rsid w:val="00D64F01"/>
    <w:rsid w:val="00D64F20"/>
    <w:rsid w:val="00D64F26"/>
    <w:rsid w:val="00D64F4D"/>
    <w:rsid w:val="00D6502A"/>
    <w:rsid w:val="00D6503D"/>
    <w:rsid w:val="00D6504C"/>
    <w:rsid w:val="00D650A6"/>
    <w:rsid w:val="00D65167"/>
    <w:rsid w:val="00D651A9"/>
    <w:rsid w:val="00D651B8"/>
    <w:rsid w:val="00D651DF"/>
    <w:rsid w:val="00D65224"/>
    <w:rsid w:val="00D652D3"/>
    <w:rsid w:val="00D652D4"/>
    <w:rsid w:val="00D652EE"/>
    <w:rsid w:val="00D65346"/>
    <w:rsid w:val="00D65347"/>
    <w:rsid w:val="00D653B0"/>
    <w:rsid w:val="00D653FB"/>
    <w:rsid w:val="00D6542D"/>
    <w:rsid w:val="00D65449"/>
    <w:rsid w:val="00D6557A"/>
    <w:rsid w:val="00D655FD"/>
    <w:rsid w:val="00D65627"/>
    <w:rsid w:val="00D65634"/>
    <w:rsid w:val="00D656BE"/>
    <w:rsid w:val="00D656C1"/>
    <w:rsid w:val="00D65737"/>
    <w:rsid w:val="00D65769"/>
    <w:rsid w:val="00D6578B"/>
    <w:rsid w:val="00D657F5"/>
    <w:rsid w:val="00D65827"/>
    <w:rsid w:val="00D65871"/>
    <w:rsid w:val="00D65919"/>
    <w:rsid w:val="00D65958"/>
    <w:rsid w:val="00D659D9"/>
    <w:rsid w:val="00D65A3C"/>
    <w:rsid w:val="00D65AB7"/>
    <w:rsid w:val="00D65ADF"/>
    <w:rsid w:val="00D65AF8"/>
    <w:rsid w:val="00D65B3C"/>
    <w:rsid w:val="00D65C5D"/>
    <w:rsid w:val="00D65CEB"/>
    <w:rsid w:val="00D65D6B"/>
    <w:rsid w:val="00D65D72"/>
    <w:rsid w:val="00D65D96"/>
    <w:rsid w:val="00D65E64"/>
    <w:rsid w:val="00D65F01"/>
    <w:rsid w:val="00D65FA1"/>
    <w:rsid w:val="00D65FF3"/>
    <w:rsid w:val="00D66020"/>
    <w:rsid w:val="00D660A2"/>
    <w:rsid w:val="00D660B2"/>
    <w:rsid w:val="00D66109"/>
    <w:rsid w:val="00D6613B"/>
    <w:rsid w:val="00D6615D"/>
    <w:rsid w:val="00D661AF"/>
    <w:rsid w:val="00D661F6"/>
    <w:rsid w:val="00D6621A"/>
    <w:rsid w:val="00D66263"/>
    <w:rsid w:val="00D662E7"/>
    <w:rsid w:val="00D6630E"/>
    <w:rsid w:val="00D66396"/>
    <w:rsid w:val="00D663C0"/>
    <w:rsid w:val="00D6641B"/>
    <w:rsid w:val="00D6643B"/>
    <w:rsid w:val="00D665AE"/>
    <w:rsid w:val="00D66619"/>
    <w:rsid w:val="00D66639"/>
    <w:rsid w:val="00D666B5"/>
    <w:rsid w:val="00D666F7"/>
    <w:rsid w:val="00D66728"/>
    <w:rsid w:val="00D6678B"/>
    <w:rsid w:val="00D667A6"/>
    <w:rsid w:val="00D66822"/>
    <w:rsid w:val="00D6692A"/>
    <w:rsid w:val="00D669BE"/>
    <w:rsid w:val="00D669DD"/>
    <w:rsid w:val="00D669F2"/>
    <w:rsid w:val="00D66ADD"/>
    <w:rsid w:val="00D66B59"/>
    <w:rsid w:val="00D66C48"/>
    <w:rsid w:val="00D66C78"/>
    <w:rsid w:val="00D66CB0"/>
    <w:rsid w:val="00D66CFA"/>
    <w:rsid w:val="00D66F32"/>
    <w:rsid w:val="00D66FA7"/>
    <w:rsid w:val="00D67031"/>
    <w:rsid w:val="00D67082"/>
    <w:rsid w:val="00D67094"/>
    <w:rsid w:val="00D67181"/>
    <w:rsid w:val="00D671D2"/>
    <w:rsid w:val="00D671FE"/>
    <w:rsid w:val="00D67235"/>
    <w:rsid w:val="00D6724F"/>
    <w:rsid w:val="00D67273"/>
    <w:rsid w:val="00D673DB"/>
    <w:rsid w:val="00D67411"/>
    <w:rsid w:val="00D674B4"/>
    <w:rsid w:val="00D674E7"/>
    <w:rsid w:val="00D6752A"/>
    <w:rsid w:val="00D675A8"/>
    <w:rsid w:val="00D675BE"/>
    <w:rsid w:val="00D676C5"/>
    <w:rsid w:val="00D676F6"/>
    <w:rsid w:val="00D677CC"/>
    <w:rsid w:val="00D677F1"/>
    <w:rsid w:val="00D679BC"/>
    <w:rsid w:val="00D67A2F"/>
    <w:rsid w:val="00D67A59"/>
    <w:rsid w:val="00D67A61"/>
    <w:rsid w:val="00D67B33"/>
    <w:rsid w:val="00D67B84"/>
    <w:rsid w:val="00D67BAB"/>
    <w:rsid w:val="00D67C51"/>
    <w:rsid w:val="00D67D8A"/>
    <w:rsid w:val="00D67DA8"/>
    <w:rsid w:val="00D67DB9"/>
    <w:rsid w:val="00D67DC2"/>
    <w:rsid w:val="00D67E4A"/>
    <w:rsid w:val="00D67E6B"/>
    <w:rsid w:val="00D67ECF"/>
    <w:rsid w:val="00D67ED0"/>
    <w:rsid w:val="00D70055"/>
    <w:rsid w:val="00D70069"/>
    <w:rsid w:val="00D7009A"/>
    <w:rsid w:val="00D7028E"/>
    <w:rsid w:val="00D702D7"/>
    <w:rsid w:val="00D7030B"/>
    <w:rsid w:val="00D70375"/>
    <w:rsid w:val="00D70380"/>
    <w:rsid w:val="00D703AB"/>
    <w:rsid w:val="00D70448"/>
    <w:rsid w:val="00D70548"/>
    <w:rsid w:val="00D7064D"/>
    <w:rsid w:val="00D70708"/>
    <w:rsid w:val="00D7070C"/>
    <w:rsid w:val="00D7073B"/>
    <w:rsid w:val="00D70760"/>
    <w:rsid w:val="00D707B1"/>
    <w:rsid w:val="00D707B9"/>
    <w:rsid w:val="00D70803"/>
    <w:rsid w:val="00D70823"/>
    <w:rsid w:val="00D70859"/>
    <w:rsid w:val="00D70926"/>
    <w:rsid w:val="00D70A25"/>
    <w:rsid w:val="00D70A3A"/>
    <w:rsid w:val="00D70A5B"/>
    <w:rsid w:val="00D70BED"/>
    <w:rsid w:val="00D70C05"/>
    <w:rsid w:val="00D70D44"/>
    <w:rsid w:val="00D70DF7"/>
    <w:rsid w:val="00D70E03"/>
    <w:rsid w:val="00D70E51"/>
    <w:rsid w:val="00D70F36"/>
    <w:rsid w:val="00D70FB6"/>
    <w:rsid w:val="00D71177"/>
    <w:rsid w:val="00D7120E"/>
    <w:rsid w:val="00D7122A"/>
    <w:rsid w:val="00D712A0"/>
    <w:rsid w:val="00D7136D"/>
    <w:rsid w:val="00D713F8"/>
    <w:rsid w:val="00D713FB"/>
    <w:rsid w:val="00D7142D"/>
    <w:rsid w:val="00D7149C"/>
    <w:rsid w:val="00D714C2"/>
    <w:rsid w:val="00D71505"/>
    <w:rsid w:val="00D7152F"/>
    <w:rsid w:val="00D7154F"/>
    <w:rsid w:val="00D7161B"/>
    <w:rsid w:val="00D716F5"/>
    <w:rsid w:val="00D71709"/>
    <w:rsid w:val="00D7177A"/>
    <w:rsid w:val="00D717B0"/>
    <w:rsid w:val="00D717F2"/>
    <w:rsid w:val="00D71803"/>
    <w:rsid w:val="00D71892"/>
    <w:rsid w:val="00D718DD"/>
    <w:rsid w:val="00D718F6"/>
    <w:rsid w:val="00D71A3E"/>
    <w:rsid w:val="00D71A8E"/>
    <w:rsid w:val="00D71AB7"/>
    <w:rsid w:val="00D71B2B"/>
    <w:rsid w:val="00D71B64"/>
    <w:rsid w:val="00D71C12"/>
    <w:rsid w:val="00D71C87"/>
    <w:rsid w:val="00D71CC8"/>
    <w:rsid w:val="00D71CCD"/>
    <w:rsid w:val="00D71D78"/>
    <w:rsid w:val="00D71D88"/>
    <w:rsid w:val="00D71E21"/>
    <w:rsid w:val="00D71E54"/>
    <w:rsid w:val="00D71E61"/>
    <w:rsid w:val="00D71EA5"/>
    <w:rsid w:val="00D71EDC"/>
    <w:rsid w:val="00D71F05"/>
    <w:rsid w:val="00D72005"/>
    <w:rsid w:val="00D72142"/>
    <w:rsid w:val="00D72161"/>
    <w:rsid w:val="00D7216A"/>
    <w:rsid w:val="00D7216B"/>
    <w:rsid w:val="00D721AD"/>
    <w:rsid w:val="00D721C0"/>
    <w:rsid w:val="00D722CF"/>
    <w:rsid w:val="00D7233E"/>
    <w:rsid w:val="00D7238D"/>
    <w:rsid w:val="00D724F9"/>
    <w:rsid w:val="00D7252E"/>
    <w:rsid w:val="00D72555"/>
    <w:rsid w:val="00D725A1"/>
    <w:rsid w:val="00D725C5"/>
    <w:rsid w:val="00D726AE"/>
    <w:rsid w:val="00D72709"/>
    <w:rsid w:val="00D72755"/>
    <w:rsid w:val="00D727C4"/>
    <w:rsid w:val="00D72845"/>
    <w:rsid w:val="00D72854"/>
    <w:rsid w:val="00D7288A"/>
    <w:rsid w:val="00D72901"/>
    <w:rsid w:val="00D7290E"/>
    <w:rsid w:val="00D72928"/>
    <w:rsid w:val="00D72960"/>
    <w:rsid w:val="00D7296C"/>
    <w:rsid w:val="00D729BD"/>
    <w:rsid w:val="00D72A1D"/>
    <w:rsid w:val="00D72A46"/>
    <w:rsid w:val="00D72AA3"/>
    <w:rsid w:val="00D72B97"/>
    <w:rsid w:val="00D72BDA"/>
    <w:rsid w:val="00D72BDC"/>
    <w:rsid w:val="00D72BE3"/>
    <w:rsid w:val="00D72C16"/>
    <w:rsid w:val="00D72D3A"/>
    <w:rsid w:val="00D72DEF"/>
    <w:rsid w:val="00D72E09"/>
    <w:rsid w:val="00D72E37"/>
    <w:rsid w:val="00D72EA8"/>
    <w:rsid w:val="00D72FE8"/>
    <w:rsid w:val="00D73023"/>
    <w:rsid w:val="00D7302F"/>
    <w:rsid w:val="00D7305A"/>
    <w:rsid w:val="00D730C5"/>
    <w:rsid w:val="00D73129"/>
    <w:rsid w:val="00D7316E"/>
    <w:rsid w:val="00D7319D"/>
    <w:rsid w:val="00D731DC"/>
    <w:rsid w:val="00D731EE"/>
    <w:rsid w:val="00D73205"/>
    <w:rsid w:val="00D732FA"/>
    <w:rsid w:val="00D73460"/>
    <w:rsid w:val="00D73488"/>
    <w:rsid w:val="00D7359E"/>
    <w:rsid w:val="00D73683"/>
    <w:rsid w:val="00D737F6"/>
    <w:rsid w:val="00D7382C"/>
    <w:rsid w:val="00D7389C"/>
    <w:rsid w:val="00D73939"/>
    <w:rsid w:val="00D7396E"/>
    <w:rsid w:val="00D73993"/>
    <w:rsid w:val="00D73A09"/>
    <w:rsid w:val="00D73B38"/>
    <w:rsid w:val="00D73B41"/>
    <w:rsid w:val="00D73B4D"/>
    <w:rsid w:val="00D73B9B"/>
    <w:rsid w:val="00D73B9E"/>
    <w:rsid w:val="00D73BCF"/>
    <w:rsid w:val="00D73BDF"/>
    <w:rsid w:val="00D73C61"/>
    <w:rsid w:val="00D73D00"/>
    <w:rsid w:val="00D73D32"/>
    <w:rsid w:val="00D73D98"/>
    <w:rsid w:val="00D73DC8"/>
    <w:rsid w:val="00D73EEB"/>
    <w:rsid w:val="00D73F0D"/>
    <w:rsid w:val="00D73F27"/>
    <w:rsid w:val="00D73F61"/>
    <w:rsid w:val="00D73F68"/>
    <w:rsid w:val="00D73FB7"/>
    <w:rsid w:val="00D73FB9"/>
    <w:rsid w:val="00D74010"/>
    <w:rsid w:val="00D7409F"/>
    <w:rsid w:val="00D7411C"/>
    <w:rsid w:val="00D741A2"/>
    <w:rsid w:val="00D74251"/>
    <w:rsid w:val="00D742BA"/>
    <w:rsid w:val="00D742CF"/>
    <w:rsid w:val="00D74385"/>
    <w:rsid w:val="00D743BD"/>
    <w:rsid w:val="00D743FE"/>
    <w:rsid w:val="00D7447C"/>
    <w:rsid w:val="00D744B7"/>
    <w:rsid w:val="00D744C3"/>
    <w:rsid w:val="00D74500"/>
    <w:rsid w:val="00D74557"/>
    <w:rsid w:val="00D7457A"/>
    <w:rsid w:val="00D7459F"/>
    <w:rsid w:val="00D745D2"/>
    <w:rsid w:val="00D745F8"/>
    <w:rsid w:val="00D74600"/>
    <w:rsid w:val="00D74626"/>
    <w:rsid w:val="00D7462F"/>
    <w:rsid w:val="00D74642"/>
    <w:rsid w:val="00D7467B"/>
    <w:rsid w:val="00D746AE"/>
    <w:rsid w:val="00D746C9"/>
    <w:rsid w:val="00D74764"/>
    <w:rsid w:val="00D747E5"/>
    <w:rsid w:val="00D747FF"/>
    <w:rsid w:val="00D74827"/>
    <w:rsid w:val="00D74881"/>
    <w:rsid w:val="00D748A1"/>
    <w:rsid w:val="00D7499B"/>
    <w:rsid w:val="00D74A60"/>
    <w:rsid w:val="00D74B83"/>
    <w:rsid w:val="00D74C36"/>
    <w:rsid w:val="00D74C9C"/>
    <w:rsid w:val="00D74CEF"/>
    <w:rsid w:val="00D74D11"/>
    <w:rsid w:val="00D74D12"/>
    <w:rsid w:val="00D74D36"/>
    <w:rsid w:val="00D74D74"/>
    <w:rsid w:val="00D74ED7"/>
    <w:rsid w:val="00D74EF8"/>
    <w:rsid w:val="00D74FE6"/>
    <w:rsid w:val="00D75048"/>
    <w:rsid w:val="00D750AD"/>
    <w:rsid w:val="00D75164"/>
    <w:rsid w:val="00D751D1"/>
    <w:rsid w:val="00D75208"/>
    <w:rsid w:val="00D752C2"/>
    <w:rsid w:val="00D75317"/>
    <w:rsid w:val="00D75458"/>
    <w:rsid w:val="00D754A7"/>
    <w:rsid w:val="00D754FB"/>
    <w:rsid w:val="00D755A8"/>
    <w:rsid w:val="00D75634"/>
    <w:rsid w:val="00D756A6"/>
    <w:rsid w:val="00D75708"/>
    <w:rsid w:val="00D7578F"/>
    <w:rsid w:val="00D758A5"/>
    <w:rsid w:val="00D75A73"/>
    <w:rsid w:val="00D75AC6"/>
    <w:rsid w:val="00D75B05"/>
    <w:rsid w:val="00D75B2A"/>
    <w:rsid w:val="00D75B4C"/>
    <w:rsid w:val="00D75B71"/>
    <w:rsid w:val="00D75B83"/>
    <w:rsid w:val="00D75BA6"/>
    <w:rsid w:val="00D75C4F"/>
    <w:rsid w:val="00D75C7B"/>
    <w:rsid w:val="00D75C8D"/>
    <w:rsid w:val="00D75D6A"/>
    <w:rsid w:val="00D75DD5"/>
    <w:rsid w:val="00D75E0A"/>
    <w:rsid w:val="00D75F4A"/>
    <w:rsid w:val="00D75F5F"/>
    <w:rsid w:val="00D75FCB"/>
    <w:rsid w:val="00D75FFA"/>
    <w:rsid w:val="00D75FFB"/>
    <w:rsid w:val="00D7600A"/>
    <w:rsid w:val="00D7603D"/>
    <w:rsid w:val="00D76070"/>
    <w:rsid w:val="00D760A1"/>
    <w:rsid w:val="00D761AE"/>
    <w:rsid w:val="00D761B2"/>
    <w:rsid w:val="00D761ED"/>
    <w:rsid w:val="00D76295"/>
    <w:rsid w:val="00D762ED"/>
    <w:rsid w:val="00D763A7"/>
    <w:rsid w:val="00D763FC"/>
    <w:rsid w:val="00D7641E"/>
    <w:rsid w:val="00D7645A"/>
    <w:rsid w:val="00D764ED"/>
    <w:rsid w:val="00D7651F"/>
    <w:rsid w:val="00D76560"/>
    <w:rsid w:val="00D765A3"/>
    <w:rsid w:val="00D7662D"/>
    <w:rsid w:val="00D76704"/>
    <w:rsid w:val="00D767F3"/>
    <w:rsid w:val="00D76A4C"/>
    <w:rsid w:val="00D76AA8"/>
    <w:rsid w:val="00D76ADF"/>
    <w:rsid w:val="00D76B67"/>
    <w:rsid w:val="00D76B78"/>
    <w:rsid w:val="00D76BA6"/>
    <w:rsid w:val="00D76BDF"/>
    <w:rsid w:val="00D76BE0"/>
    <w:rsid w:val="00D76C12"/>
    <w:rsid w:val="00D76CDD"/>
    <w:rsid w:val="00D76DA0"/>
    <w:rsid w:val="00D76DA4"/>
    <w:rsid w:val="00D76E06"/>
    <w:rsid w:val="00D76E7F"/>
    <w:rsid w:val="00D76F68"/>
    <w:rsid w:val="00D77017"/>
    <w:rsid w:val="00D770B5"/>
    <w:rsid w:val="00D77133"/>
    <w:rsid w:val="00D771BF"/>
    <w:rsid w:val="00D771D2"/>
    <w:rsid w:val="00D771DC"/>
    <w:rsid w:val="00D771F8"/>
    <w:rsid w:val="00D7725B"/>
    <w:rsid w:val="00D7728F"/>
    <w:rsid w:val="00D77318"/>
    <w:rsid w:val="00D77361"/>
    <w:rsid w:val="00D77362"/>
    <w:rsid w:val="00D773AB"/>
    <w:rsid w:val="00D77462"/>
    <w:rsid w:val="00D77555"/>
    <w:rsid w:val="00D7758C"/>
    <w:rsid w:val="00D775AA"/>
    <w:rsid w:val="00D775B2"/>
    <w:rsid w:val="00D775F4"/>
    <w:rsid w:val="00D7761C"/>
    <w:rsid w:val="00D77630"/>
    <w:rsid w:val="00D77944"/>
    <w:rsid w:val="00D77963"/>
    <w:rsid w:val="00D779DB"/>
    <w:rsid w:val="00D77AC1"/>
    <w:rsid w:val="00D77B14"/>
    <w:rsid w:val="00D77B9C"/>
    <w:rsid w:val="00D77BA5"/>
    <w:rsid w:val="00D77BF9"/>
    <w:rsid w:val="00D77C1F"/>
    <w:rsid w:val="00D77C2B"/>
    <w:rsid w:val="00D77CF7"/>
    <w:rsid w:val="00D77CFC"/>
    <w:rsid w:val="00D77D2B"/>
    <w:rsid w:val="00D77D31"/>
    <w:rsid w:val="00D77DC9"/>
    <w:rsid w:val="00D77E6C"/>
    <w:rsid w:val="00D77E89"/>
    <w:rsid w:val="00D77EA5"/>
    <w:rsid w:val="00D77FCB"/>
    <w:rsid w:val="00D80060"/>
    <w:rsid w:val="00D8006E"/>
    <w:rsid w:val="00D80095"/>
    <w:rsid w:val="00D800CE"/>
    <w:rsid w:val="00D800E3"/>
    <w:rsid w:val="00D800F7"/>
    <w:rsid w:val="00D8029D"/>
    <w:rsid w:val="00D80314"/>
    <w:rsid w:val="00D80318"/>
    <w:rsid w:val="00D803F9"/>
    <w:rsid w:val="00D804B5"/>
    <w:rsid w:val="00D804BA"/>
    <w:rsid w:val="00D80549"/>
    <w:rsid w:val="00D80568"/>
    <w:rsid w:val="00D80635"/>
    <w:rsid w:val="00D806C1"/>
    <w:rsid w:val="00D80718"/>
    <w:rsid w:val="00D8071A"/>
    <w:rsid w:val="00D80770"/>
    <w:rsid w:val="00D807C4"/>
    <w:rsid w:val="00D807E3"/>
    <w:rsid w:val="00D80831"/>
    <w:rsid w:val="00D808D4"/>
    <w:rsid w:val="00D8090B"/>
    <w:rsid w:val="00D8095E"/>
    <w:rsid w:val="00D80A88"/>
    <w:rsid w:val="00D80AB7"/>
    <w:rsid w:val="00D80B31"/>
    <w:rsid w:val="00D80B85"/>
    <w:rsid w:val="00D80B88"/>
    <w:rsid w:val="00D80C03"/>
    <w:rsid w:val="00D80C2C"/>
    <w:rsid w:val="00D80D46"/>
    <w:rsid w:val="00D80DA9"/>
    <w:rsid w:val="00D80DF2"/>
    <w:rsid w:val="00D80E07"/>
    <w:rsid w:val="00D80EF8"/>
    <w:rsid w:val="00D80FD6"/>
    <w:rsid w:val="00D810A2"/>
    <w:rsid w:val="00D81102"/>
    <w:rsid w:val="00D81141"/>
    <w:rsid w:val="00D811FF"/>
    <w:rsid w:val="00D81232"/>
    <w:rsid w:val="00D8127F"/>
    <w:rsid w:val="00D813CA"/>
    <w:rsid w:val="00D813D1"/>
    <w:rsid w:val="00D813F9"/>
    <w:rsid w:val="00D81410"/>
    <w:rsid w:val="00D81424"/>
    <w:rsid w:val="00D8153D"/>
    <w:rsid w:val="00D81554"/>
    <w:rsid w:val="00D815E7"/>
    <w:rsid w:val="00D815F9"/>
    <w:rsid w:val="00D816B1"/>
    <w:rsid w:val="00D816EF"/>
    <w:rsid w:val="00D81700"/>
    <w:rsid w:val="00D817A5"/>
    <w:rsid w:val="00D8181E"/>
    <w:rsid w:val="00D819A3"/>
    <w:rsid w:val="00D81A4C"/>
    <w:rsid w:val="00D81BD2"/>
    <w:rsid w:val="00D81C77"/>
    <w:rsid w:val="00D81CA1"/>
    <w:rsid w:val="00D81D8F"/>
    <w:rsid w:val="00D81E11"/>
    <w:rsid w:val="00D81E2B"/>
    <w:rsid w:val="00D81E38"/>
    <w:rsid w:val="00D81E64"/>
    <w:rsid w:val="00D81F5F"/>
    <w:rsid w:val="00D81F60"/>
    <w:rsid w:val="00D81FB0"/>
    <w:rsid w:val="00D81FD0"/>
    <w:rsid w:val="00D81FED"/>
    <w:rsid w:val="00D81FF5"/>
    <w:rsid w:val="00D82032"/>
    <w:rsid w:val="00D82050"/>
    <w:rsid w:val="00D8207C"/>
    <w:rsid w:val="00D8207D"/>
    <w:rsid w:val="00D8231F"/>
    <w:rsid w:val="00D8238A"/>
    <w:rsid w:val="00D8245D"/>
    <w:rsid w:val="00D824F9"/>
    <w:rsid w:val="00D82535"/>
    <w:rsid w:val="00D8263B"/>
    <w:rsid w:val="00D8266F"/>
    <w:rsid w:val="00D8267D"/>
    <w:rsid w:val="00D82688"/>
    <w:rsid w:val="00D82737"/>
    <w:rsid w:val="00D827CD"/>
    <w:rsid w:val="00D8280E"/>
    <w:rsid w:val="00D8283A"/>
    <w:rsid w:val="00D82974"/>
    <w:rsid w:val="00D829F2"/>
    <w:rsid w:val="00D82A50"/>
    <w:rsid w:val="00D82B0C"/>
    <w:rsid w:val="00D82B75"/>
    <w:rsid w:val="00D82B85"/>
    <w:rsid w:val="00D82C34"/>
    <w:rsid w:val="00D82C54"/>
    <w:rsid w:val="00D82D05"/>
    <w:rsid w:val="00D82D59"/>
    <w:rsid w:val="00D82D5A"/>
    <w:rsid w:val="00D82E39"/>
    <w:rsid w:val="00D82E4D"/>
    <w:rsid w:val="00D82EDD"/>
    <w:rsid w:val="00D82F37"/>
    <w:rsid w:val="00D82FC3"/>
    <w:rsid w:val="00D83050"/>
    <w:rsid w:val="00D830DF"/>
    <w:rsid w:val="00D830E5"/>
    <w:rsid w:val="00D8312E"/>
    <w:rsid w:val="00D83134"/>
    <w:rsid w:val="00D8319A"/>
    <w:rsid w:val="00D83491"/>
    <w:rsid w:val="00D8349B"/>
    <w:rsid w:val="00D8350C"/>
    <w:rsid w:val="00D8354F"/>
    <w:rsid w:val="00D83588"/>
    <w:rsid w:val="00D835F5"/>
    <w:rsid w:val="00D83672"/>
    <w:rsid w:val="00D836A1"/>
    <w:rsid w:val="00D83742"/>
    <w:rsid w:val="00D83744"/>
    <w:rsid w:val="00D837A7"/>
    <w:rsid w:val="00D837AA"/>
    <w:rsid w:val="00D83860"/>
    <w:rsid w:val="00D83882"/>
    <w:rsid w:val="00D83914"/>
    <w:rsid w:val="00D8391E"/>
    <w:rsid w:val="00D8394C"/>
    <w:rsid w:val="00D83955"/>
    <w:rsid w:val="00D8396A"/>
    <w:rsid w:val="00D8397F"/>
    <w:rsid w:val="00D839AD"/>
    <w:rsid w:val="00D83A77"/>
    <w:rsid w:val="00D83ADA"/>
    <w:rsid w:val="00D83CAD"/>
    <w:rsid w:val="00D83D44"/>
    <w:rsid w:val="00D83DCA"/>
    <w:rsid w:val="00D83E85"/>
    <w:rsid w:val="00D83EDE"/>
    <w:rsid w:val="00D83F81"/>
    <w:rsid w:val="00D83FA1"/>
    <w:rsid w:val="00D84028"/>
    <w:rsid w:val="00D8405E"/>
    <w:rsid w:val="00D840DE"/>
    <w:rsid w:val="00D840E0"/>
    <w:rsid w:val="00D8417C"/>
    <w:rsid w:val="00D842FE"/>
    <w:rsid w:val="00D84304"/>
    <w:rsid w:val="00D8431D"/>
    <w:rsid w:val="00D8441F"/>
    <w:rsid w:val="00D844BA"/>
    <w:rsid w:val="00D844C3"/>
    <w:rsid w:val="00D84538"/>
    <w:rsid w:val="00D84546"/>
    <w:rsid w:val="00D8469A"/>
    <w:rsid w:val="00D8469B"/>
    <w:rsid w:val="00D84737"/>
    <w:rsid w:val="00D8475B"/>
    <w:rsid w:val="00D84767"/>
    <w:rsid w:val="00D8477E"/>
    <w:rsid w:val="00D84810"/>
    <w:rsid w:val="00D848F8"/>
    <w:rsid w:val="00D84943"/>
    <w:rsid w:val="00D84961"/>
    <w:rsid w:val="00D84A19"/>
    <w:rsid w:val="00D84BBB"/>
    <w:rsid w:val="00D84BE5"/>
    <w:rsid w:val="00D84C06"/>
    <w:rsid w:val="00D84C2D"/>
    <w:rsid w:val="00D84C45"/>
    <w:rsid w:val="00D84C80"/>
    <w:rsid w:val="00D84CF9"/>
    <w:rsid w:val="00D84DC0"/>
    <w:rsid w:val="00D84DF6"/>
    <w:rsid w:val="00D84E1A"/>
    <w:rsid w:val="00D84E29"/>
    <w:rsid w:val="00D84E5B"/>
    <w:rsid w:val="00D84EE4"/>
    <w:rsid w:val="00D85030"/>
    <w:rsid w:val="00D85080"/>
    <w:rsid w:val="00D8516B"/>
    <w:rsid w:val="00D8516C"/>
    <w:rsid w:val="00D851D1"/>
    <w:rsid w:val="00D851D5"/>
    <w:rsid w:val="00D8533B"/>
    <w:rsid w:val="00D8533D"/>
    <w:rsid w:val="00D85343"/>
    <w:rsid w:val="00D85350"/>
    <w:rsid w:val="00D85382"/>
    <w:rsid w:val="00D85425"/>
    <w:rsid w:val="00D8545F"/>
    <w:rsid w:val="00D854DB"/>
    <w:rsid w:val="00D85593"/>
    <w:rsid w:val="00D85644"/>
    <w:rsid w:val="00D85667"/>
    <w:rsid w:val="00D856F2"/>
    <w:rsid w:val="00D8582F"/>
    <w:rsid w:val="00D858E9"/>
    <w:rsid w:val="00D8592F"/>
    <w:rsid w:val="00D85986"/>
    <w:rsid w:val="00D859D0"/>
    <w:rsid w:val="00D859EF"/>
    <w:rsid w:val="00D85B53"/>
    <w:rsid w:val="00D85BE1"/>
    <w:rsid w:val="00D85CA9"/>
    <w:rsid w:val="00D85CEF"/>
    <w:rsid w:val="00D85DD8"/>
    <w:rsid w:val="00D85DF6"/>
    <w:rsid w:val="00D85E1F"/>
    <w:rsid w:val="00D85F3E"/>
    <w:rsid w:val="00D85FF5"/>
    <w:rsid w:val="00D8600A"/>
    <w:rsid w:val="00D8608F"/>
    <w:rsid w:val="00D862BE"/>
    <w:rsid w:val="00D8633C"/>
    <w:rsid w:val="00D8633E"/>
    <w:rsid w:val="00D8647F"/>
    <w:rsid w:val="00D864EA"/>
    <w:rsid w:val="00D8650B"/>
    <w:rsid w:val="00D8655D"/>
    <w:rsid w:val="00D86580"/>
    <w:rsid w:val="00D86635"/>
    <w:rsid w:val="00D86643"/>
    <w:rsid w:val="00D866EA"/>
    <w:rsid w:val="00D8681C"/>
    <w:rsid w:val="00D86898"/>
    <w:rsid w:val="00D868B1"/>
    <w:rsid w:val="00D8693E"/>
    <w:rsid w:val="00D8696E"/>
    <w:rsid w:val="00D86988"/>
    <w:rsid w:val="00D869C0"/>
    <w:rsid w:val="00D869CE"/>
    <w:rsid w:val="00D869D7"/>
    <w:rsid w:val="00D86AB9"/>
    <w:rsid w:val="00D86AC1"/>
    <w:rsid w:val="00D86B2A"/>
    <w:rsid w:val="00D86C1D"/>
    <w:rsid w:val="00D86C75"/>
    <w:rsid w:val="00D86C90"/>
    <w:rsid w:val="00D86CDB"/>
    <w:rsid w:val="00D86D23"/>
    <w:rsid w:val="00D86D2A"/>
    <w:rsid w:val="00D86D74"/>
    <w:rsid w:val="00D86D91"/>
    <w:rsid w:val="00D86E0F"/>
    <w:rsid w:val="00D86FA2"/>
    <w:rsid w:val="00D86FA7"/>
    <w:rsid w:val="00D87074"/>
    <w:rsid w:val="00D87118"/>
    <w:rsid w:val="00D87182"/>
    <w:rsid w:val="00D87357"/>
    <w:rsid w:val="00D873C7"/>
    <w:rsid w:val="00D873E0"/>
    <w:rsid w:val="00D87417"/>
    <w:rsid w:val="00D874A4"/>
    <w:rsid w:val="00D8756E"/>
    <w:rsid w:val="00D87606"/>
    <w:rsid w:val="00D87614"/>
    <w:rsid w:val="00D87618"/>
    <w:rsid w:val="00D8765E"/>
    <w:rsid w:val="00D876A6"/>
    <w:rsid w:val="00D87796"/>
    <w:rsid w:val="00D877D0"/>
    <w:rsid w:val="00D8783B"/>
    <w:rsid w:val="00D878B2"/>
    <w:rsid w:val="00D8796E"/>
    <w:rsid w:val="00D87984"/>
    <w:rsid w:val="00D879BE"/>
    <w:rsid w:val="00D879F4"/>
    <w:rsid w:val="00D87A85"/>
    <w:rsid w:val="00D87A8E"/>
    <w:rsid w:val="00D87ADE"/>
    <w:rsid w:val="00D87B4F"/>
    <w:rsid w:val="00D87B90"/>
    <w:rsid w:val="00D87B9E"/>
    <w:rsid w:val="00D87D4B"/>
    <w:rsid w:val="00D87DAC"/>
    <w:rsid w:val="00D87DB8"/>
    <w:rsid w:val="00D87DFE"/>
    <w:rsid w:val="00D87E36"/>
    <w:rsid w:val="00D87E91"/>
    <w:rsid w:val="00D87EE2"/>
    <w:rsid w:val="00D87F77"/>
    <w:rsid w:val="00D87FB7"/>
    <w:rsid w:val="00D87FE8"/>
    <w:rsid w:val="00D901CB"/>
    <w:rsid w:val="00D902C6"/>
    <w:rsid w:val="00D902ED"/>
    <w:rsid w:val="00D90388"/>
    <w:rsid w:val="00D903DF"/>
    <w:rsid w:val="00D90455"/>
    <w:rsid w:val="00D90469"/>
    <w:rsid w:val="00D904AC"/>
    <w:rsid w:val="00D906B4"/>
    <w:rsid w:val="00D9077E"/>
    <w:rsid w:val="00D907B2"/>
    <w:rsid w:val="00D908C5"/>
    <w:rsid w:val="00D908F7"/>
    <w:rsid w:val="00D908FC"/>
    <w:rsid w:val="00D90952"/>
    <w:rsid w:val="00D9096D"/>
    <w:rsid w:val="00D909D4"/>
    <w:rsid w:val="00D90A2E"/>
    <w:rsid w:val="00D90A59"/>
    <w:rsid w:val="00D90A7A"/>
    <w:rsid w:val="00D90A8A"/>
    <w:rsid w:val="00D90AAC"/>
    <w:rsid w:val="00D90BAD"/>
    <w:rsid w:val="00D90BE8"/>
    <w:rsid w:val="00D90C7B"/>
    <w:rsid w:val="00D90C9E"/>
    <w:rsid w:val="00D90D86"/>
    <w:rsid w:val="00D90DF6"/>
    <w:rsid w:val="00D90E13"/>
    <w:rsid w:val="00D90ECE"/>
    <w:rsid w:val="00D90F5E"/>
    <w:rsid w:val="00D90F76"/>
    <w:rsid w:val="00D90FD5"/>
    <w:rsid w:val="00D91076"/>
    <w:rsid w:val="00D910E3"/>
    <w:rsid w:val="00D91173"/>
    <w:rsid w:val="00D911D5"/>
    <w:rsid w:val="00D91266"/>
    <w:rsid w:val="00D912BF"/>
    <w:rsid w:val="00D9146C"/>
    <w:rsid w:val="00D914D5"/>
    <w:rsid w:val="00D91525"/>
    <w:rsid w:val="00D9160C"/>
    <w:rsid w:val="00D917A7"/>
    <w:rsid w:val="00D917BF"/>
    <w:rsid w:val="00D917F2"/>
    <w:rsid w:val="00D917F8"/>
    <w:rsid w:val="00D918A6"/>
    <w:rsid w:val="00D918F9"/>
    <w:rsid w:val="00D91A0B"/>
    <w:rsid w:val="00D91A23"/>
    <w:rsid w:val="00D91A49"/>
    <w:rsid w:val="00D91AAC"/>
    <w:rsid w:val="00D91AD4"/>
    <w:rsid w:val="00D91B31"/>
    <w:rsid w:val="00D91B5C"/>
    <w:rsid w:val="00D91C2C"/>
    <w:rsid w:val="00D91C7A"/>
    <w:rsid w:val="00D91C8C"/>
    <w:rsid w:val="00D91CA7"/>
    <w:rsid w:val="00D91CB1"/>
    <w:rsid w:val="00D91E92"/>
    <w:rsid w:val="00D91F1F"/>
    <w:rsid w:val="00D91FB0"/>
    <w:rsid w:val="00D9204F"/>
    <w:rsid w:val="00D92053"/>
    <w:rsid w:val="00D920E5"/>
    <w:rsid w:val="00D920FA"/>
    <w:rsid w:val="00D9213D"/>
    <w:rsid w:val="00D92148"/>
    <w:rsid w:val="00D9217B"/>
    <w:rsid w:val="00D921B8"/>
    <w:rsid w:val="00D921FC"/>
    <w:rsid w:val="00D92248"/>
    <w:rsid w:val="00D9224E"/>
    <w:rsid w:val="00D922B2"/>
    <w:rsid w:val="00D9230D"/>
    <w:rsid w:val="00D92342"/>
    <w:rsid w:val="00D9238B"/>
    <w:rsid w:val="00D92399"/>
    <w:rsid w:val="00D92415"/>
    <w:rsid w:val="00D924E4"/>
    <w:rsid w:val="00D9253B"/>
    <w:rsid w:val="00D9254D"/>
    <w:rsid w:val="00D9258D"/>
    <w:rsid w:val="00D925C5"/>
    <w:rsid w:val="00D9265E"/>
    <w:rsid w:val="00D9274E"/>
    <w:rsid w:val="00D9277E"/>
    <w:rsid w:val="00D92783"/>
    <w:rsid w:val="00D927BF"/>
    <w:rsid w:val="00D92890"/>
    <w:rsid w:val="00D928C2"/>
    <w:rsid w:val="00D928CE"/>
    <w:rsid w:val="00D92977"/>
    <w:rsid w:val="00D929CC"/>
    <w:rsid w:val="00D92A05"/>
    <w:rsid w:val="00D92A16"/>
    <w:rsid w:val="00D92B4B"/>
    <w:rsid w:val="00D92BE5"/>
    <w:rsid w:val="00D92C10"/>
    <w:rsid w:val="00D92CF6"/>
    <w:rsid w:val="00D92D37"/>
    <w:rsid w:val="00D92DD1"/>
    <w:rsid w:val="00D92DE6"/>
    <w:rsid w:val="00D92E5F"/>
    <w:rsid w:val="00D92E79"/>
    <w:rsid w:val="00D92F33"/>
    <w:rsid w:val="00D92FFE"/>
    <w:rsid w:val="00D93024"/>
    <w:rsid w:val="00D9303D"/>
    <w:rsid w:val="00D93063"/>
    <w:rsid w:val="00D930F2"/>
    <w:rsid w:val="00D9310C"/>
    <w:rsid w:val="00D93207"/>
    <w:rsid w:val="00D9322D"/>
    <w:rsid w:val="00D9322E"/>
    <w:rsid w:val="00D93230"/>
    <w:rsid w:val="00D9323C"/>
    <w:rsid w:val="00D932BF"/>
    <w:rsid w:val="00D932D3"/>
    <w:rsid w:val="00D932D9"/>
    <w:rsid w:val="00D9339B"/>
    <w:rsid w:val="00D933A5"/>
    <w:rsid w:val="00D93482"/>
    <w:rsid w:val="00D9359A"/>
    <w:rsid w:val="00D935EE"/>
    <w:rsid w:val="00D93663"/>
    <w:rsid w:val="00D936C7"/>
    <w:rsid w:val="00D9378F"/>
    <w:rsid w:val="00D9383C"/>
    <w:rsid w:val="00D93883"/>
    <w:rsid w:val="00D938EB"/>
    <w:rsid w:val="00D93936"/>
    <w:rsid w:val="00D939C5"/>
    <w:rsid w:val="00D93A6E"/>
    <w:rsid w:val="00D93AB6"/>
    <w:rsid w:val="00D93B71"/>
    <w:rsid w:val="00D93BC6"/>
    <w:rsid w:val="00D93BF5"/>
    <w:rsid w:val="00D93C40"/>
    <w:rsid w:val="00D93DAA"/>
    <w:rsid w:val="00D93DF0"/>
    <w:rsid w:val="00D93DFB"/>
    <w:rsid w:val="00D93E24"/>
    <w:rsid w:val="00D93E86"/>
    <w:rsid w:val="00D93EE3"/>
    <w:rsid w:val="00D93F47"/>
    <w:rsid w:val="00D93FD6"/>
    <w:rsid w:val="00D9408E"/>
    <w:rsid w:val="00D94114"/>
    <w:rsid w:val="00D9417F"/>
    <w:rsid w:val="00D94276"/>
    <w:rsid w:val="00D94281"/>
    <w:rsid w:val="00D94286"/>
    <w:rsid w:val="00D942B3"/>
    <w:rsid w:val="00D94338"/>
    <w:rsid w:val="00D9439C"/>
    <w:rsid w:val="00D943B6"/>
    <w:rsid w:val="00D943B7"/>
    <w:rsid w:val="00D94509"/>
    <w:rsid w:val="00D94526"/>
    <w:rsid w:val="00D946A6"/>
    <w:rsid w:val="00D946E7"/>
    <w:rsid w:val="00D94711"/>
    <w:rsid w:val="00D94776"/>
    <w:rsid w:val="00D94788"/>
    <w:rsid w:val="00D9491E"/>
    <w:rsid w:val="00D94925"/>
    <w:rsid w:val="00D9493D"/>
    <w:rsid w:val="00D949BA"/>
    <w:rsid w:val="00D949ED"/>
    <w:rsid w:val="00D94B2F"/>
    <w:rsid w:val="00D94B3A"/>
    <w:rsid w:val="00D94B94"/>
    <w:rsid w:val="00D94BB0"/>
    <w:rsid w:val="00D94C59"/>
    <w:rsid w:val="00D94D1B"/>
    <w:rsid w:val="00D94E5D"/>
    <w:rsid w:val="00D94F8B"/>
    <w:rsid w:val="00D95133"/>
    <w:rsid w:val="00D95171"/>
    <w:rsid w:val="00D95216"/>
    <w:rsid w:val="00D9523F"/>
    <w:rsid w:val="00D952B8"/>
    <w:rsid w:val="00D9531F"/>
    <w:rsid w:val="00D95335"/>
    <w:rsid w:val="00D953C2"/>
    <w:rsid w:val="00D9540A"/>
    <w:rsid w:val="00D95450"/>
    <w:rsid w:val="00D95507"/>
    <w:rsid w:val="00D95587"/>
    <w:rsid w:val="00D9565B"/>
    <w:rsid w:val="00D9571A"/>
    <w:rsid w:val="00D957D5"/>
    <w:rsid w:val="00D957FD"/>
    <w:rsid w:val="00D9580A"/>
    <w:rsid w:val="00D9583C"/>
    <w:rsid w:val="00D9584A"/>
    <w:rsid w:val="00D958EC"/>
    <w:rsid w:val="00D95B8C"/>
    <w:rsid w:val="00D95BF9"/>
    <w:rsid w:val="00D95BFB"/>
    <w:rsid w:val="00D95C3F"/>
    <w:rsid w:val="00D95D07"/>
    <w:rsid w:val="00D95D4D"/>
    <w:rsid w:val="00D95D88"/>
    <w:rsid w:val="00D95DFF"/>
    <w:rsid w:val="00D95F19"/>
    <w:rsid w:val="00D95F1D"/>
    <w:rsid w:val="00D95F7B"/>
    <w:rsid w:val="00D95FBB"/>
    <w:rsid w:val="00D95FD1"/>
    <w:rsid w:val="00D96012"/>
    <w:rsid w:val="00D96051"/>
    <w:rsid w:val="00D9605C"/>
    <w:rsid w:val="00D961A6"/>
    <w:rsid w:val="00D96218"/>
    <w:rsid w:val="00D9621D"/>
    <w:rsid w:val="00D96250"/>
    <w:rsid w:val="00D96251"/>
    <w:rsid w:val="00D9637B"/>
    <w:rsid w:val="00D9639B"/>
    <w:rsid w:val="00D963BF"/>
    <w:rsid w:val="00D963FF"/>
    <w:rsid w:val="00D9647E"/>
    <w:rsid w:val="00D964C7"/>
    <w:rsid w:val="00D964E3"/>
    <w:rsid w:val="00D96527"/>
    <w:rsid w:val="00D965CC"/>
    <w:rsid w:val="00D9660F"/>
    <w:rsid w:val="00D96626"/>
    <w:rsid w:val="00D967EB"/>
    <w:rsid w:val="00D9682A"/>
    <w:rsid w:val="00D968CB"/>
    <w:rsid w:val="00D96943"/>
    <w:rsid w:val="00D96977"/>
    <w:rsid w:val="00D969C8"/>
    <w:rsid w:val="00D969EB"/>
    <w:rsid w:val="00D96A3F"/>
    <w:rsid w:val="00D96A9F"/>
    <w:rsid w:val="00D96AE0"/>
    <w:rsid w:val="00D96B34"/>
    <w:rsid w:val="00D96BC5"/>
    <w:rsid w:val="00D96D0D"/>
    <w:rsid w:val="00D96D5A"/>
    <w:rsid w:val="00D96DE1"/>
    <w:rsid w:val="00D96DF2"/>
    <w:rsid w:val="00D96E1B"/>
    <w:rsid w:val="00D96EB2"/>
    <w:rsid w:val="00D96EB5"/>
    <w:rsid w:val="00D96F01"/>
    <w:rsid w:val="00D96F05"/>
    <w:rsid w:val="00D96F1E"/>
    <w:rsid w:val="00D96F21"/>
    <w:rsid w:val="00D96F5D"/>
    <w:rsid w:val="00D96F60"/>
    <w:rsid w:val="00D96F89"/>
    <w:rsid w:val="00D96FAE"/>
    <w:rsid w:val="00D96FCE"/>
    <w:rsid w:val="00D97008"/>
    <w:rsid w:val="00D970DB"/>
    <w:rsid w:val="00D97109"/>
    <w:rsid w:val="00D972A5"/>
    <w:rsid w:val="00D97336"/>
    <w:rsid w:val="00D97353"/>
    <w:rsid w:val="00D9738C"/>
    <w:rsid w:val="00D97395"/>
    <w:rsid w:val="00D97487"/>
    <w:rsid w:val="00D974D9"/>
    <w:rsid w:val="00D97577"/>
    <w:rsid w:val="00D975CB"/>
    <w:rsid w:val="00D975D1"/>
    <w:rsid w:val="00D975F0"/>
    <w:rsid w:val="00D975F4"/>
    <w:rsid w:val="00D97620"/>
    <w:rsid w:val="00D97671"/>
    <w:rsid w:val="00D9769F"/>
    <w:rsid w:val="00D97785"/>
    <w:rsid w:val="00D97798"/>
    <w:rsid w:val="00D97A95"/>
    <w:rsid w:val="00D97B35"/>
    <w:rsid w:val="00D97B38"/>
    <w:rsid w:val="00D97B95"/>
    <w:rsid w:val="00D97C3A"/>
    <w:rsid w:val="00D97C46"/>
    <w:rsid w:val="00D97C71"/>
    <w:rsid w:val="00D97D0A"/>
    <w:rsid w:val="00D97D50"/>
    <w:rsid w:val="00D97DA8"/>
    <w:rsid w:val="00D97E14"/>
    <w:rsid w:val="00D97E18"/>
    <w:rsid w:val="00D97F0F"/>
    <w:rsid w:val="00D97F14"/>
    <w:rsid w:val="00D97F24"/>
    <w:rsid w:val="00D97F9F"/>
    <w:rsid w:val="00D97FB7"/>
    <w:rsid w:val="00DA0127"/>
    <w:rsid w:val="00DA024F"/>
    <w:rsid w:val="00DA051E"/>
    <w:rsid w:val="00DA0549"/>
    <w:rsid w:val="00DA05E1"/>
    <w:rsid w:val="00DA0695"/>
    <w:rsid w:val="00DA088B"/>
    <w:rsid w:val="00DA0922"/>
    <w:rsid w:val="00DA0983"/>
    <w:rsid w:val="00DA0AE9"/>
    <w:rsid w:val="00DA0B23"/>
    <w:rsid w:val="00DA0B44"/>
    <w:rsid w:val="00DA0B91"/>
    <w:rsid w:val="00DA0C62"/>
    <w:rsid w:val="00DA0D1D"/>
    <w:rsid w:val="00DA0E34"/>
    <w:rsid w:val="00DA0E61"/>
    <w:rsid w:val="00DA0E9F"/>
    <w:rsid w:val="00DA0EB1"/>
    <w:rsid w:val="00DA0F17"/>
    <w:rsid w:val="00DA1028"/>
    <w:rsid w:val="00DA1093"/>
    <w:rsid w:val="00DA10C0"/>
    <w:rsid w:val="00DA10DE"/>
    <w:rsid w:val="00DA1138"/>
    <w:rsid w:val="00DA120C"/>
    <w:rsid w:val="00DA1265"/>
    <w:rsid w:val="00DA127B"/>
    <w:rsid w:val="00DA128A"/>
    <w:rsid w:val="00DA12D5"/>
    <w:rsid w:val="00DA138B"/>
    <w:rsid w:val="00DA13B4"/>
    <w:rsid w:val="00DA14B3"/>
    <w:rsid w:val="00DA14C3"/>
    <w:rsid w:val="00DA1589"/>
    <w:rsid w:val="00DA15F7"/>
    <w:rsid w:val="00DA1707"/>
    <w:rsid w:val="00DA172A"/>
    <w:rsid w:val="00DA1822"/>
    <w:rsid w:val="00DA1829"/>
    <w:rsid w:val="00DA185C"/>
    <w:rsid w:val="00DA1A3D"/>
    <w:rsid w:val="00DA1B34"/>
    <w:rsid w:val="00DA1BF6"/>
    <w:rsid w:val="00DA1C12"/>
    <w:rsid w:val="00DA1CAF"/>
    <w:rsid w:val="00DA1CF0"/>
    <w:rsid w:val="00DA1CFD"/>
    <w:rsid w:val="00DA1D0E"/>
    <w:rsid w:val="00DA1D24"/>
    <w:rsid w:val="00DA1E14"/>
    <w:rsid w:val="00DA1E22"/>
    <w:rsid w:val="00DA1E6A"/>
    <w:rsid w:val="00DA1EDC"/>
    <w:rsid w:val="00DA1EE7"/>
    <w:rsid w:val="00DA1F99"/>
    <w:rsid w:val="00DA1FF9"/>
    <w:rsid w:val="00DA20CC"/>
    <w:rsid w:val="00DA2139"/>
    <w:rsid w:val="00DA2234"/>
    <w:rsid w:val="00DA22D7"/>
    <w:rsid w:val="00DA22E4"/>
    <w:rsid w:val="00DA2338"/>
    <w:rsid w:val="00DA233B"/>
    <w:rsid w:val="00DA23A3"/>
    <w:rsid w:val="00DA23A9"/>
    <w:rsid w:val="00DA2488"/>
    <w:rsid w:val="00DA24B2"/>
    <w:rsid w:val="00DA24BD"/>
    <w:rsid w:val="00DA2504"/>
    <w:rsid w:val="00DA250B"/>
    <w:rsid w:val="00DA25C4"/>
    <w:rsid w:val="00DA2600"/>
    <w:rsid w:val="00DA265D"/>
    <w:rsid w:val="00DA266A"/>
    <w:rsid w:val="00DA26BD"/>
    <w:rsid w:val="00DA27A7"/>
    <w:rsid w:val="00DA2852"/>
    <w:rsid w:val="00DA2860"/>
    <w:rsid w:val="00DA28B9"/>
    <w:rsid w:val="00DA28D0"/>
    <w:rsid w:val="00DA2926"/>
    <w:rsid w:val="00DA29D2"/>
    <w:rsid w:val="00DA2AB6"/>
    <w:rsid w:val="00DA2AE6"/>
    <w:rsid w:val="00DA2B2B"/>
    <w:rsid w:val="00DA2B8B"/>
    <w:rsid w:val="00DA2C22"/>
    <w:rsid w:val="00DA2C98"/>
    <w:rsid w:val="00DA2CBC"/>
    <w:rsid w:val="00DA2CC8"/>
    <w:rsid w:val="00DA2CFA"/>
    <w:rsid w:val="00DA2D04"/>
    <w:rsid w:val="00DA2D27"/>
    <w:rsid w:val="00DA2D44"/>
    <w:rsid w:val="00DA2DC7"/>
    <w:rsid w:val="00DA2DF5"/>
    <w:rsid w:val="00DA2F04"/>
    <w:rsid w:val="00DA2F3D"/>
    <w:rsid w:val="00DA2F75"/>
    <w:rsid w:val="00DA2F80"/>
    <w:rsid w:val="00DA2FAC"/>
    <w:rsid w:val="00DA2FC0"/>
    <w:rsid w:val="00DA2FF6"/>
    <w:rsid w:val="00DA3004"/>
    <w:rsid w:val="00DA300D"/>
    <w:rsid w:val="00DA302C"/>
    <w:rsid w:val="00DA305B"/>
    <w:rsid w:val="00DA3093"/>
    <w:rsid w:val="00DA31CD"/>
    <w:rsid w:val="00DA320B"/>
    <w:rsid w:val="00DA3214"/>
    <w:rsid w:val="00DA322A"/>
    <w:rsid w:val="00DA335A"/>
    <w:rsid w:val="00DA3538"/>
    <w:rsid w:val="00DA35D0"/>
    <w:rsid w:val="00DA362B"/>
    <w:rsid w:val="00DA363E"/>
    <w:rsid w:val="00DA370C"/>
    <w:rsid w:val="00DA371E"/>
    <w:rsid w:val="00DA3758"/>
    <w:rsid w:val="00DA3787"/>
    <w:rsid w:val="00DA3793"/>
    <w:rsid w:val="00DA38E3"/>
    <w:rsid w:val="00DA38E9"/>
    <w:rsid w:val="00DA38F4"/>
    <w:rsid w:val="00DA399D"/>
    <w:rsid w:val="00DA3A0D"/>
    <w:rsid w:val="00DA3A3C"/>
    <w:rsid w:val="00DA3AE2"/>
    <w:rsid w:val="00DA3AE9"/>
    <w:rsid w:val="00DA3B76"/>
    <w:rsid w:val="00DA3BA7"/>
    <w:rsid w:val="00DA3BBB"/>
    <w:rsid w:val="00DA3BE7"/>
    <w:rsid w:val="00DA3BF9"/>
    <w:rsid w:val="00DA3C32"/>
    <w:rsid w:val="00DA3D1A"/>
    <w:rsid w:val="00DA3D8E"/>
    <w:rsid w:val="00DA3E56"/>
    <w:rsid w:val="00DA3E97"/>
    <w:rsid w:val="00DA3F49"/>
    <w:rsid w:val="00DA3F60"/>
    <w:rsid w:val="00DA3FA6"/>
    <w:rsid w:val="00DA3FBE"/>
    <w:rsid w:val="00DA400C"/>
    <w:rsid w:val="00DA403D"/>
    <w:rsid w:val="00DA408D"/>
    <w:rsid w:val="00DA40FA"/>
    <w:rsid w:val="00DA41D5"/>
    <w:rsid w:val="00DA41E5"/>
    <w:rsid w:val="00DA4263"/>
    <w:rsid w:val="00DA436F"/>
    <w:rsid w:val="00DA43A6"/>
    <w:rsid w:val="00DA43C8"/>
    <w:rsid w:val="00DA4419"/>
    <w:rsid w:val="00DA4422"/>
    <w:rsid w:val="00DA445B"/>
    <w:rsid w:val="00DA44E3"/>
    <w:rsid w:val="00DA460C"/>
    <w:rsid w:val="00DA4627"/>
    <w:rsid w:val="00DA47B5"/>
    <w:rsid w:val="00DA4801"/>
    <w:rsid w:val="00DA4826"/>
    <w:rsid w:val="00DA4841"/>
    <w:rsid w:val="00DA487C"/>
    <w:rsid w:val="00DA48DB"/>
    <w:rsid w:val="00DA48DF"/>
    <w:rsid w:val="00DA4A49"/>
    <w:rsid w:val="00DA4AE0"/>
    <w:rsid w:val="00DA4C35"/>
    <w:rsid w:val="00DA4C4E"/>
    <w:rsid w:val="00DA4C98"/>
    <w:rsid w:val="00DA4C9B"/>
    <w:rsid w:val="00DA4D5B"/>
    <w:rsid w:val="00DA4DC8"/>
    <w:rsid w:val="00DA4EF6"/>
    <w:rsid w:val="00DA4EFA"/>
    <w:rsid w:val="00DA4F6D"/>
    <w:rsid w:val="00DA4FAD"/>
    <w:rsid w:val="00DA5005"/>
    <w:rsid w:val="00DA50D0"/>
    <w:rsid w:val="00DA5120"/>
    <w:rsid w:val="00DA518F"/>
    <w:rsid w:val="00DA51DD"/>
    <w:rsid w:val="00DA5230"/>
    <w:rsid w:val="00DA5268"/>
    <w:rsid w:val="00DA5276"/>
    <w:rsid w:val="00DA533C"/>
    <w:rsid w:val="00DA53AA"/>
    <w:rsid w:val="00DA53AE"/>
    <w:rsid w:val="00DA53E3"/>
    <w:rsid w:val="00DA5435"/>
    <w:rsid w:val="00DA550D"/>
    <w:rsid w:val="00DA56AB"/>
    <w:rsid w:val="00DA56D3"/>
    <w:rsid w:val="00DA56E1"/>
    <w:rsid w:val="00DA5783"/>
    <w:rsid w:val="00DA57CB"/>
    <w:rsid w:val="00DA5806"/>
    <w:rsid w:val="00DA58B9"/>
    <w:rsid w:val="00DA58C8"/>
    <w:rsid w:val="00DA58E7"/>
    <w:rsid w:val="00DA5905"/>
    <w:rsid w:val="00DA5944"/>
    <w:rsid w:val="00DA5979"/>
    <w:rsid w:val="00DA598B"/>
    <w:rsid w:val="00DA59AB"/>
    <w:rsid w:val="00DA59D7"/>
    <w:rsid w:val="00DA5A27"/>
    <w:rsid w:val="00DA5B11"/>
    <w:rsid w:val="00DA5B74"/>
    <w:rsid w:val="00DA5BD5"/>
    <w:rsid w:val="00DA5C09"/>
    <w:rsid w:val="00DA5C62"/>
    <w:rsid w:val="00DA5C86"/>
    <w:rsid w:val="00DA5D68"/>
    <w:rsid w:val="00DA5E03"/>
    <w:rsid w:val="00DA5E66"/>
    <w:rsid w:val="00DA5EEC"/>
    <w:rsid w:val="00DA5EF4"/>
    <w:rsid w:val="00DA5F17"/>
    <w:rsid w:val="00DA5F4F"/>
    <w:rsid w:val="00DA6003"/>
    <w:rsid w:val="00DA6028"/>
    <w:rsid w:val="00DA6048"/>
    <w:rsid w:val="00DA6060"/>
    <w:rsid w:val="00DA610A"/>
    <w:rsid w:val="00DA619B"/>
    <w:rsid w:val="00DA61C7"/>
    <w:rsid w:val="00DA61F0"/>
    <w:rsid w:val="00DA6215"/>
    <w:rsid w:val="00DA624C"/>
    <w:rsid w:val="00DA62C4"/>
    <w:rsid w:val="00DA62F7"/>
    <w:rsid w:val="00DA6321"/>
    <w:rsid w:val="00DA6337"/>
    <w:rsid w:val="00DA636E"/>
    <w:rsid w:val="00DA638A"/>
    <w:rsid w:val="00DA6397"/>
    <w:rsid w:val="00DA63CB"/>
    <w:rsid w:val="00DA6552"/>
    <w:rsid w:val="00DA668B"/>
    <w:rsid w:val="00DA6697"/>
    <w:rsid w:val="00DA66AF"/>
    <w:rsid w:val="00DA66D5"/>
    <w:rsid w:val="00DA670F"/>
    <w:rsid w:val="00DA67A1"/>
    <w:rsid w:val="00DA68E3"/>
    <w:rsid w:val="00DA692D"/>
    <w:rsid w:val="00DA69D1"/>
    <w:rsid w:val="00DA6A4C"/>
    <w:rsid w:val="00DA6A5D"/>
    <w:rsid w:val="00DA6AE4"/>
    <w:rsid w:val="00DA6B34"/>
    <w:rsid w:val="00DA6BEC"/>
    <w:rsid w:val="00DA6D28"/>
    <w:rsid w:val="00DA6D44"/>
    <w:rsid w:val="00DA6E18"/>
    <w:rsid w:val="00DA6E98"/>
    <w:rsid w:val="00DA6EAC"/>
    <w:rsid w:val="00DA6F0A"/>
    <w:rsid w:val="00DA6F14"/>
    <w:rsid w:val="00DA6F41"/>
    <w:rsid w:val="00DA70A7"/>
    <w:rsid w:val="00DA70C9"/>
    <w:rsid w:val="00DA7152"/>
    <w:rsid w:val="00DA7180"/>
    <w:rsid w:val="00DA71B1"/>
    <w:rsid w:val="00DA71B3"/>
    <w:rsid w:val="00DA7255"/>
    <w:rsid w:val="00DA733E"/>
    <w:rsid w:val="00DA7361"/>
    <w:rsid w:val="00DA74D4"/>
    <w:rsid w:val="00DA74F1"/>
    <w:rsid w:val="00DA752F"/>
    <w:rsid w:val="00DA7625"/>
    <w:rsid w:val="00DA7738"/>
    <w:rsid w:val="00DA7755"/>
    <w:rsid w:val="00DA77BE"/>
    <w:rsid w:val="00DA77E3"/>
    <w:rsid w:val="00DA77FA"/>
    <w:rsid w:val="00DA7860"/>
    <w:rsid w:val="00DA78CD"/>
    <w:rsid w:val="00DA78E1"/>
    <w:rsid w:val="00DA7943"/>
    <w:rsid w:val="00DA79AF"/>
    <w:rsid w:val="00DA79F4"/>
    <w:rsid w:val="00DA7A09"/>
    <w:rsid w:val="00DA7A47"/>
    <w:rsid w:val="00DA7B05"/>
    <w:rsid w:val="00DA7B26"/>
    <w:rsid w:val="00DA7B62"/>
    <w:rsid w:val="00DA7B84"/>
    <w:rsid w:val="00DA7BC6"/>
    <w:rsid w:val="00DA7C27"/>
    <w:rsid w:val="00DA7C62"/>
    <w:rsid w:val="00DA7C85"/>
    <w:rsid w:val="00DA7D65"/>
    <w:rsid w:val="00DA7DD4"/>
    <w:rsid w:val="00DA7DED"/>
    <w:rsid w:val="00DA7E2C"/>
    <w:rsid w:val="00DA7E83"/>
    <w:rsid w:val="00DA7F6A"/>
    <w:rsid w:val="00DA7F9E"/>
    <w:rsid w:val="00DA7FE3"/>
    <w:rsid w:val="00DB013C"/>
    <w:rsid w:val="00DB0166"/>
    <w:rsid w:val="00DB01EE"/>
    <w:rsid w:val="00DB021B"/>
    <w:rsid w:val="00DB0249"/>
    <w:rsid w:val="00DB0285"/>
    <w:rsid w:val="00DB032C"/>
    <w:rsid w:val="00DB0393"/>
    <w:rsid w:val="00DB039F"/>
    <w:rsid w:val="00DB03F3"/>
    <w:rsid w:val="00DB04A7"/>
    <w:rsid w:val="00DB05BA"/>
    <w:rsid w:val="00DB05D8"/>
    <w:rsid w:val="00DB060B"/>
    <w:rsid w:val="00DB0611"/>
    <w:rsid w:val="00DB06B5"/>
    <w:rsid w:val="00DB06C3"/>
    <w:rsid w:val="00DB0726"/>
    <w:rsid w:val="00DB07ED"/>
    <w:rsid w:val="00DB07F9"/>
    <w:rsid w:val="00DB0831"/>
    <w:rsid w:val="00DB0849"/>
    <w:rsid w:val="00DB0852"/>
    <w:rsid w:val="00DB087A"/>
    <w:rsid w:val="00DB089F"/>
    <w:rsid w:val="00DB08E9"/>
    <w:rsid w:val="00DB0961"/>
    <w:rsid w:val="00DB09FA"/>
    <w:rsid w:val="00DB0A98"/>
    <w:rsid w:val="00DB0AA1"/>
    <w:rsid w:val="00DB0B17"/>
    <w:rsid w:val="00DB0B1C"/>
    <w:rsid w:val="00DB0B20"/>
    <w:rsid w:val="00DB0BC4"/>
    <w:rsid w:val="00DB0BF4"/>
    <w:rsid w:val="00DB0C20"/>
    <w:rsid w:val="00DB0C55"/>
    <w:rsid w:val="00DB0CBA"/>
    <w:rsid w:val="00DB0D5F"/>
    <w:rsid w:val="00DB0D70"/>
    <w:rsid w:val="00DB0D75"/>
    <w:rsid w:val="00DB0D8E"/>
    <w:rsid w:val="00DB0DBD"/>
    <w:rsid w:val="00DB0E20"/>
    <w:rsid w:val="00DB0E4D"/>
    <w:rsid w:val="00DB0E5C"/>
    <w:rsid w:val="00DB0ED6"/>
    <w:rsid w:val="00DB0EEC"/>
    <w:rsid w:val="00DB0F03"/>
    <w:rsid w:val="00DB0F7C"/>
    <w:rsid w:val="00DB0F9A"/>
    <w:rsid w:val="00DB0FF1"/>
    <w:rsid w:val="00DB10E1"/>
    <w:rsid w:val="00DB1162"/>
    <w:rsid w:val="00DB1297"/>
    <w:rsid w:val="00DB12AD"/>
    <w:rsid w:val="00DB12B9"/>
    <w:rsid w:val="00DB12CE"/>
    <w:rsid w:val="00DB1413"/>
    <w:rsid w:val="00DB1436"/>
    <w:rsid w:val="00DB1494"/>
    <w:rsid w:val="00DB1504"/>
    <w:rsid w:val="00DB15BD"/>
    <w:rsid w:val="00DB169D"/>
    <w:rsid w:val="00DB1744"/>
    <w:rsid w:val="00DB1758"/>
    <w:rsid w:val="00DB186B"/>
    <w:rsid w:val="00DB1877"/>
    <w:rsid w:val="00DB1A1C"/>
    <w:rsid w:val="00DB1A87"/>
    <w:rsid w:val="00DB1B12"/>
    <w:rsid w:val="00DB1B6D"/>
    <w:rsid w:val="00DB1B8F"/>
    <w:rsid w:val="00DB1BAA"/>
    <w:rsid w:val="00DB1BBE"/>
    <w:rsid w:val="00DB1C29"/>
    <w:rsid w:val="00DB1D15"/>
    <w:rsid w:val="00DB1D54"/>
    <w:rsid w:val="00DB1E07"/>
    <w:rsid w:val="00DB1F10"/>
    <w:rsid w:val="00DB200C"/>
    <w:rsid w:val="00DB2083"/>
    <w:rsid w:val="00DB20BB"/>
    <w:rsid w:val="00DB218E"/>
    <w:rsid w:val="00DB224D"/>
    <w:rsid w:val="00DB22A9"/>
    <w:rsid w:val="00DB22D2"/>
    <w:rsid w:val="00DB240D"/>
    <w:rsid w:val="00DB240F"/>
    <w:rsid w:val="00DB2659"/>
    <w:rsid w:val="00DB26B6"/>
    <w:rsid w:val="00DB26FE"/>
    <w:rsid w:val="00DB277E"/>
    <w:rsid w:val="00DB278B"/>
    <w:rsid w:val="00DB27AC"/>
    <w:rsid w:val="00DB2970"/>
    <w:rsid w:val="00DB29EF"/>
    <w:rsid w:val="00DB2AD6"/>
    <w:rsid w:val="00DB2B20"/>
    <w:rsid w:val="00DB2B2A"/>
    <w:rsid w:val="00DB2BA3"/>
    <w:rsid w:val="00DB2BAC"/>
    <w:rsid w:val="00DB2BCA"/>
    <w:rsid w:val="00DB2C18"/>
    <w:rsid w:val="00DB2CBD"/>
    <w:rsid w:val="00DB2D7F"/>
    <w:rsid w:val="00DB2D8D"/>
    <w:rsid w:val="00DB2DCF"/>
    <w:rsid w:val="00DB2DE3"/>
    <w:rsid w:val="00DB2E0C"/>
    <w:rsid w:val="00DB2E61"/>
    <w:rsid w:val="00DB2EFE"/>
    <w:rsid w:val="00DB2F74"/>
    <w:rsid w:val="00DB2F86"/>
    <w:rsid w:val="00DB2FA2"/>
    <w:rsid w:val="00DB3044"/>
    <w:rsid w:val="00DB30AA"/>
    <w:rsid w:val="00DB30CB"/>
    <w:rsid w:val="00DB3112"/>
    <w:rsid w:val="00DB3237"/>
    <w:rsid w:val="00DB32D5"/>
    <w:rsid w:val="00DB32F5"/>
    <w:rsid w:val="00DB3336"/>
    <w:rsid w:val="00DB3344"/>
    <w:rsid w:val="00DB338D"/>
    <w:rsid w:val="00DB33AE"/>
    <w:rsid w:val="00DB34E2"/>
    <w:rsid w:val="00DB3552"/>
    <w:rsid w:val="00DB360B"/>
    <w:rsid w:val="00DB3647"/>
    <w:rsid w:val="00DB36A6"/>
    <w:rsid w:val="00DB3720"/>
    <w:rsid w:val="00DB37E7"/>
    <w:rsid w:val="00DB3881"/>
    <w:rsid w:val="00DB3986"/>
    <w:rsid w:val="00DB39AC"/>
    <w:rsid w:val="00DB39D9"/>
    <w:rsid w:val="00DB39EC"/>
    <w:rsid w:val="00DB3A06"/>
    <w:rsid w:val="00DB3A10"/>
    <w:rsid w:val="00DB3B02"/>
    <w:rsid w:val="00DB3B36"/>
    <w:rsid w:val="00DB3BC6"/>
    <w:rsid w:val="00DB3D4B"/>
    <w:rsid w:val="00DB3E5B"/>
    <w:rsid w:val="00DB3FF9"/>
    <w:rsid w:val="00DB4079"/>
    <w:rsid w:val="00DB4098"/>
    <w:rsid w:val="00DB4112"/>
    <w:rsid w:val="00DB4116"/>
    <w:rsid w:val="00DB412B"/>
    <w:rsid w:val="00DB41D6"/>
    <w:rsid w:val="00DB4202"/>
    <w:rsid w:val="00DB4219"/>
    <w:rsid w:val="00DB4380"/>
    <w:rsid w:val="00DB43B4"/>
    <w:rsid w:val="00DB441D"/>
    <w:rsid w:val="00DB4448"/>
    <w:rsid w:val="00DB450B"/>
    <w:rsid w:val="00DB450C"/>
    <w:rsid w:val="00DB4582"/>
    <w:rsid w:val="00DB4639"/>
    <w:rsid w:val="00DB463D"/>
    <w:rsid w:val="00DB467B"/>
    <w:rsid w:val="00DB4697"/>
    <w:rsid w:val="00DB47DF"/>
    <w:rsid w:val="00DB48A7"/>
    <w:rsid w:val="00DB48E1"/>
    <w:rsid w:val="00DB492F"/>
    <w:rsid w:val="00DB4949"/>
    <w:rsid w:val="00DB49EA"/>
    <w:rsid w:val="00DB4B1F"/>
    <w:rsid w:val="00DB4B6D"/>
    <w:rsid w:val="00DB4C29"/>
    <w:rsid w:val="00DB4CA2"/>
    <w:rsid w:val="00DB4D65"/>
    <w:rsid w:val="00DB4DD5"/>
    <w:rsid w:val="00DB4DE2"/>
    <w:rsid w:val="00DB4E02"/>
    <w:rsid w:val="00DB4E09"/>
    <w:rsid w:val="00DB4EDB"/>
    <w:rsid w:val="00DB4F54"/>
    <w:rsid w:val="00DB4F69"/>
    <w:rsid w:val="00DB5038"/>
    <w:rsid w:val="00DB504F"/>
    <w:rsid w:val="00DB5053"/>
    <w:rsid w:val="00DB50D9"/>
    <w:rsid w:val="00DB5112"/>
    <w:rsid w:val="00DB5169"/>
    <w:rsid w:val="00DB5200"/>
    <w:rsid w:val="00DB5263"/>
    <w:rsid w:val="00DB5499"/>
    <w:rsid w:val="00DB54B2"/>
    <w:rsid w:val="00DB5541"/>
    <w:rsid w:val="00DB5651"/>
    <w:rsid w:val="00DB565F"/>
    <w:rsid w:val="00DB5662"/>
    <w:rsid w:val="00DB56A2"/>
    <w:rsid w:val="00DB56E7"/>
    <w:rsid w:val="00DB5717"/>
    <w:rsid w:val="00DB5758"/>
    <w:rsid w:val="00DB5769"/>
    <w:rsid w:val="00DB5776"/>
    <w:rsid w:val="00DB57FB"/>
    <w:rsid w:val="00DB5935"/>
    <w:rsid w:val="00DB5A02"/>
    <w:rsid w:val="00DB5BB3"/>
    <w:rsid w:val="00DB5BBE"/>
    <w:rsid w:val="00DB5BEE"/>
    <w:rsid w:val="00DB5BF5"/>
    <w:rsid w:val="00DB5C3C"/>
    <w:rsid w:val="00DB5C4A"/>
    <w:rsid w:val="00DB5CD9"/>
    <w:rsid w:val="00DB5DD5"/>
    <w:rsid w:val="00DB5DF0"/>
    <w:rsid w:val="00DB5ECD"/>
    <w:rsid w:val="00DB60C8"/>
    <w:rsid w:val="00DB60E8"/>
    <w:rsid w:val="00DB60F4"/>
    <w:rsid w:val="00DB615F"/>
    <w:rsid w:val="00DB617D"/>
    <w:rsid w:val="00DB61B9"/>
    <w:rsid w:val="00DB61BC"/>
    <w:rsid w:val="00DB61CF"/>
    <w:rsid w:val="00DB61F6"/>
    <w:rsid w:val="00DB62F2"/>
    <w:rsid w:val="00DB6305"/>
    <w:rsid w:val="00DB6310"/>
    <w:rsid w:val="00DB6456"/>
    <w:rsid w:val="00DB64F2"/>
    <w:rsid w:val="00DB65B7"/>
    <w:rsid w:val="00DB65F6"/>
    <w:rsid w:val="00DB663C"/>
    <w:rsid w:val="00DB6671"/>
    <w:rsid w:val="00DB66F3"/>
    <w:rsid w:val="00DB6710"/>
    <w:rsid w:val="00DB6726"/>
    <w:rsid w:val="00DB6727"/>
    <w:rsid w:val="00DB67D5"/>
    <w:rsid w:val="00DB680A"/>
    <w:rsid w:val="00DB6834"/>
    <w:rsid w:val="00DB689A"/>
    <w:rsid w:val="00DB69A0"/>
    <w:rsid w:val="00DB69E0"/>
    <w:rsid w:val="00DB69EE"/>
    <w:rsid w:val="00DB6ADD"/>
    <w:rsid w:val="00DB6B43"/>
    <w:rsid w:val="00DB6B4E"/>
    <w:rsid w:val="00DB6B82"/>
    <w:rsid w:val="00DB6C2B"/>
    <w:rsid w:val="00DB6C93"/>
    <w:rsid w:val="00DB6CFF"/>
    <w:rsid w:val="00DB6D48"/>
    <w:rsid w:val="00DB6D9B"/>
    <w:rsid w:val="00DB6DCD"/>
    <w:rsid w:val="00DB6E93"/>
    <w:rsid w:val="00DB6F33"/>
    <w:rsid w:val="00DB6F90"/>
    <w:rsid w:val="00DB6F98"/>
    <w:rsid w:val="00DB705D"/>
    <w:rsid w:val="00DB708B"/>
    <w:rsid w:val="00DB7130"/>
    <w:rsid w:val="00DB7135"/>
    <w:rsid w:val="00DB7171"/>
    <w:rsid w:val="00DB7183"/>
    <w:rsid w:val="00DB71C5"/>
    <w:rsid w:val="00DB733B"/>
    <w:rsid w:val="00DB7507"/>
    <w:rsid w:val="00DB75A4"/>
    <w:rsid w:val="00DB76A2"/>
    <w:rsid w:val="00DB770F"/>
    <w:rsid w:val="00DB7740"/>
    <w:rsid w:val="00DB778A"/>
    <w:rsid w:val="00DB77FE"/>
    <w:rsid w:val="00DB7857"/>
    <w:rsid w:val="00DB7884"/>
    <w:rsid w:val="00DB78E8"/>
    <w:rsid w:val="00DB792F"/>
    <w:rsid w:val="00DB796F"/>
    <w:rsid w:val="00DB79F9"/>
    <w:rsid w:val="00DB79FF"/>
    <w:rsid w:val="00DB7A0B"/>
    <w:rsid w:val="00DB7A63"/>
    <w:rsid w:val="00DB7ACE"/>
    <w:rsid w:val="00DB7B66"/>
    <w:rsid w:val="00DB7C53"/>
    <w:rsid w:val="00DB7CB2"/>
    <w:rsid w:val="00DB7CB7"/>
    <w:rsid w:val="00DB7CC0"/>
    <w:rsid w:val="00DB7EC1"/>
    <w:rsid w:val="00DB7F02"/>
    <w:rsid w:val="00DB7F56"/>
    <w:rsid w:val="00DB7F70"/>
    <w:rsid w:val="00DC0021"/>
    <w:rsid w:val="00DC003E"/>
    <w:rsid w:val="00DC004D"/>
    <w:rsid w:val="00DC012D"/>
    <w:rsid w:val="00DC01A7"/>
    <w:rsid w:val="00DC01D5"/>
    <w:rsid w:val="00DC0277"/>
    <w:rsid w:val="00DC027F"/>
    <w:rsid w:val="00DC0318"/>
    <w:rsid w:val="00DC0350"/>
    <w:rsid w:val="00DC03E5"/>
    <w:rsid w:val="00DC04A1"/>
    <w:rsid w:val="00DC04FB"/>
    <w:rsid w:val="00DC0635"/>
    <w:rsid w:val="00DC06D6"/>
    <w:rsid w:val="00DC077C"/>
    <w:rsid w:val="00DC07B4"/>
    <w:rsid w:val="00DC07D4"/>
    <w:rsid w:val="00DC07D8"/>
    <w:rsid w:val="00DC07E1"/>
    <w:rsid w:val="00DC082E"/>
    <w:rsid w:val="00DC0871"/>
    <w:rsid w:val="00DC08F8"/>
    <w:rsid w:val="00DC090F"/>
    <w:rsid w:val="00DC091F"/>
    <w:rsid w:val="00DC0A16"/>
    <w:rsid w:val="00DC0A30"/>
    <w:rsid w:val="00DC0A97"/>
    <w:rsid w:val="00DC0AE9"/>
    <w:rsid w:val="00DC0B39"/>
    <w:rsid w:val="00DC0B65"/>
    <w:rsid w:val="00DC0B81"/>
    <w:rsid w:val="00DC0B9F"/>
    <w:rsid w:val="00DC0D5C"/>
    <w:rsid w:val="00DC0D5D"/>
    <w:rsid w:val="00DC0D7B"/>
    <w:rsid w:val="00DC0E22"/>
    <w:rsid w:val="00DC0E51"/>
    <w:rsid w:val="00DC0EAB"/>
    <w:rsid w:val="00DC0F28"/>
    <w:rsid w:val="00DC0F7D"/>
    <w:rsid w:val="00DC0FE5"/>
    <w:rsid w:val="00DC1050"/>
    <w:rsid w:val="00DC11EF"/>
    <w:rsid w:val="00DC13ED"/>
    <w:rsid w:val="00DC1426"/>
    <w:rsid w:val="00DC158E"/>
    <w:rsid w:val="00DC163E"/>
    <w:rsid w:val="00DC1663"/>
    <w:rsid w:val="00DC1670"/>
    <w:rsid w:val="00DC167E"/>
    <w:rsid w:val="00DC16C1"/>
    <w:rsid w:val="00DC1766"/>
    <w:rsid w:val="00DC1818"/>
    <w:rsid w:val="00DC1878"/>
    <w:rsid w:val="00DC1893"/>
    <w:rsid w:val="00DC18D5"/>
    <w:rsid w:val="00DC190A"/>
    <w:rsid w:val="00DC1922"/>
    <w:rsid w:val="00DC19BF"/>
    <w:rsid w:val="00DC19EA"/>
    <w:rsid w:val="00DC1A60"/>
    <w:rsid w:val="00DC1AD6"/>
    <w:rsid w:val="00DC1BD2"/>
    <w:rsid w:val="00DC1D49"/>
    <w:rsid w:val="00DC1D56"/>
    <w:rsid w:val="00DC1DE7"/>
    <w:rsid w:val="00DC1ECD"/>
    <w:rsid w:val="00DC1ED7"/>
    <w:rsid w:val="00DC1FA1"/>
    <w:rsid w:val="00DC1FE5"/>
    <w:rsid w:val="00DC2036"/>
    <w:rsid w:val="00DC2079"/>
    <w:rsid w:val="00DC20FF"/>
    <w:rsid w:val="00DC2105"/>
    <w:rsid w:val="00DC2229"/>
    <w:rsid w:val="00DC2234"/>
    <w:rsid w:val="00DC2260"/>
    <w:rsid w:val="00DC2313"/>
    <w:rsid w:val="00DC23C8"/>
    <w:rsid w:val="00DC23EE"/>
    <w:rsid w:val="00DC2492"/>
    <w:rsid w:val="00DC2561"/>
    <w:rsid w:val="00DC25B1"/>
    <w:rsid w:val="00DC265B"/>
    <w:rsid w:val="00DC2665"/>
    <w:rsid w:val="00DC26B7"/>
    <w:rsid w:val="00DC272D"/>
    <w:rsid w:val="00DC2775"/>
    <w:rsid w:val="00DC285A"/>
    <w:rsid w:val="00DC28B7"/>
    <w:rsid w:val="00DC29C2"/>
    <w:rsid w:val="00DC2AE7"/>
    <w:rsid w:val="00DC2B35"/>
    <w:rsid w:val="00DC2B61"/>
    <w:rsid w:val="00DC2B78"/>
    <w:rsid w:val="00DC2C47"/>
    <w:rsid w:val="00DC2CA6"/>
    <w:rsid w:val="00DC2D42"/>
    <w:rsid w:val="00DC2D7A"/>
    <w:rsid w:val="00DC2D83"/>
    <w:rsid w:val="00DC2D91"/>
    <w:rsid w:val="00DC2DAB"/>
    <w:rsid w:val="00DC2DBE"/>
    <w:rsid w:val="00DC2DC3"/>
    <w:rsid w:val="00DC2E40"/>
    <w:rsid w:val="00DC2F53"/>
    <w:rsid w:val="00DC2F5C"/>
    <w:rsid w:val="00DC2FD1"/>
    <w:rsid w:val="00DC30CD"/>
    <w:rsid w:val="00DC3104"/>
    <w:rsid w:val="00DC3157"/>
    <w:rsid w:val="00DC31D1"/>
    <w:rsid w:val="00DC32A0"/>
    <w:rsid w:val="00DC32E6"/>
    <w:rsid w:val="00DC32FD"/>
    <w:rsid w:val="00DC336D"/>
    <w:rsid w:val="00DC3381"/>
    <w:rsid w:val="00DC33A4"/>
    <w:rsid w:val="00DC33B1"/>
    <w:rsid w:val="00DC342F"/>
    <w:rsid w:val="00DC344A"/>
    <w:rsid w:val="00DC349A"/>
    <w:rsid w:val="00DC34CA"/>
    <w:rsid w:val="00DC3537"/>
    <w:rsid w:val="00DC3560"/>
    <w:rsid w:val="00DC3575"/>
    <w:rsid w:val="00DC360E"/>
    <w:rsid w:val="00DC3643"/>
    <w:rsid w:val="00DC369D"/>
    <w:rsid w:val="00DC36CC"/>
    <w:rsid w:val="00DC375D"/>
    <w:rsid w:val="00DC37B7"/>
    <w:rsid w:val="00DC37E1"/>
    <w:rsid w:val="00DC3900"/>
    <w:rsid w:val="00DC3964"/>
    <w:rsid w:val="00DC398B"/>
    <w:rsid w:val="00DC39C2"/>
    <w:rsid w:val="00DC3A96"/>
    <w:rsid w:val="00DC3AD2"/>
    <w:rsid w:val="00DC3B72"/>
    <w:rsid w:val="00DC3BA7"/>
    <w:rsid w:val="00DC3D21"/>
    <w:rsid w:val="00DC3E91"/>
    <w:rsid w:val="00DC3F0B"/>
    <w:rsid w:val="00DC3F37"/>
    <w:rsid w:val="00DC3F65"/>
    <w:rsid w:val="00DC3F72"/>
    <w:rsid w:val="00DC3F7C"/>
    <w:rsid w:val="00DC4085"/>
    <w:rsid w:val="00DC40E1"/>
    <w:rsid w:val="00DC4115"/>
    <w:rsid w:val="00DC414D"/>
    <w:rsid w:val="00DC4191"/>
    <w:rsid w:val="00DC41DD"/>
    <w:rsid w:val="00DC429C"/>
    <w:rsid w:val="00DC42B2"/>
    <w:rsid w:val="00DC42DC"/>
    <w:rsid w:val="00DC42ED"/>
    <w:rsid w:val="00DC4559"/>
    <w:rsid w:val="00DC4584"/>
    <w:rsid w:val="00DC45FD"/>
    <w:rsid w:val="00DC4633"/>
    <w:rsid w:val="00DC4635"/>
    <w:rsid w:val="00DC46B2"/>
    <w:rsid w:val="00DC46BA"/>
    <w:rsid w:val="00DC4730"/>
    <w:rsid w:val="00DC47A4"/>
    <w:rsid w:val="00DC47A8"/>
    <w:rsid w:val="00DC47CB"/>
    <w:rsid w:val="00DC47E9"/>
    <w:rsid w:val="00DC4801"/>
    <w:rsid w:val="00DC4808"/>
    <w:rsid w:val="00DC4841"/>
    <w:rsid w:val="00DC4878"/>
    <w:rsid w:val="00DC48CE"/>
    <w:rsid w:val="00DC48FF"/>
    <w:rsid w:val="00DC4910"/>
    <w:rsid w:val="00DC4973"/>
    <w:rsid w:val="00DC4A02"/>
    <w:rsid w:val="00DC4A4D"/>
    <w:rsid w:val="00DC4A61"/>
    <w:rsid w:val="00DC4A93"/>
    <w:rsid w:val="00DC4B55"/>
    <w:rsid w:val="00DC4BDA"/>
    <w:rsid w:val="00DC4CCC"/>
    <w:rsid w:val="00DC4D8A"/>
    <w:rsid w:val="00DC4DAF"/>
    <w:rsid w:val="00DC4ECB"/>
    <w:rsid w:val="00DC4F55"/>
    <w:rsid w:val="00DC4FA0"/>
    <w:rsid w:val="00DC4FBE"/>
    <w:rsid w:val="00DC502C"/>
    <w:rsid w:val="00DC5140"/>
    <w:rsid w:val="00DC525C"/>
    <w:rsid w:val="00DC5266"/>
    <w:rsid w:val="00DC5298"/>
    <w:rsid w:val="00DC53CF"/>
    <w:rsid w:val="00DC5554"/>
    <w:rsid w:val="00DC5582"/>
    <w:rsid w:val="00DC5596"/>
    <w:rsid w:val="00DC5663"/>
    <w:rsid w:val="00DC56B4"/>
    <w:rsid w:val="00DC5782"/>
    <w:rsid w:val="00DC57BE"/>
    <w:rsid w:val="00DC588E"/>
    <w:rsid w:val="00DC597A"/>
    <w:rsid w:val="00DC5981"/>
    <w:rsid w:val="00DC59FB"/>
    <w:rsid w:val="00DC5A78"/>
    <w:rsid w:val="00DC5AEF"/>
    <w:rsid w:val="00DC5B47"/>
    <w:rsid w:val="00DC5B50"/>
    <w:rsid w:val="00DC5B70"/>
    <w:rsid w:val="00DC5B9A"/>
    <w:rsid w:val="00DC5BA3"/>
    <w:rsid w:val="00DC5BC1"/>
    <w:rsid w:val="00DC5BE6"/>
    <w:rsid w:val="00DC5C5C"/>
    <w:rsid w:val="00DC5CF2"/>
    <w:rsid w:val="00DC5D19"/>
    <w:rsid w:val="00DC5D78"/>
    <w:rsid w:val="00DC5EB1"/>
    <w:rsid w:val="00DC5F61"/>
    <w:rsid w:val="00DC5FA4"/>
    <w:rsid w:val="00DC6039"/>
    <w:rsid w:val="00DC60E3"/>
    <w:rsid w:val="00DC62D0"/>
    <w:rsid w:val="00DC62E5"/>
    <w:rsid w:val="00DC6323"/>
    <w:rsid w:val="00DC634C"/>
    <w:rsid w:val="00DC6408"/>
    <w:rsid w:val="00DC643D"/>
    <w:rsid w:val="00DC64BE"/>
    <w:rsid w:val="00DC651C"/>
    <w:rsid w:val="00DC6528"/>
    <w:rsid w:val="00DC6601"/>
    <w:rsid w:val="00DC6606"/>
    <w:rsid w:val="00DC6615"/>
    <w:rsid w:val="00DC662F"/>
    <w:rsid w:val="00DC671F"/>
    <w:rsid w:val="00DC69AB"/>
    <w:rsid w:val="00DC69F0"/>
    <w:rsid w:val="00DC6A31"/>
    <w:rsid w:val="00DC6A78"/>
    <w:rsid w:val="00DC6AEC"/>
    <w:rsid w:val="00DC6B22"/>
    <w:rsid w:val="00DC6B6B"/>
    <w:rsid w:val="00DC6BA6"/>
    <w:rsid w:val="00DC6BEA"/>
    <w:rsid w:val="00DC6C03"/>
    <w:rsid w:val="00DC6D2D"/>
    <w:rsid w:val="00DC6DA1"/>
    <w:rsid w:val="00DC6DB3"/>
    <w:rsid w:val="00DC6EA2"/>
    <w:rsid w:val="00DC6EE0"/>
    <w:rsid w:val="00DC6EEA"/>
    <w:rsid w:val="00DC6EFB"/>
    <w:rsid w:val="00DC6F20"/>
    <w:rsid w:val="00DC6F90"/>
    <w:rsid w:val="00DC70D1"/>
    <w:rsid w:val="00DC718C"/>
    <w:rsid w:val="00DC7206"/>
    <w:rsid w:val="00DC7236"/>
    <w:rsid w:val="00DC72C9"/>
    <w:rsid w:val="00DC7336"/>
    <w:rsid w:val="00DC7374"/>
    <w:rsid w:val="00DC739B"/>
    <w:rsid w:val="00DC743F"/>
    <w:rsid w:val="00DC747A"/>
    <w:rsid w:val="00DC748A"/>
    <w:rsid w:val="00DC74A5"/>
    <w:rsid w:val="00DC7501"/>
    <w:rsid w:val="00DC750A"/>
    <w:rsid w:val="00DC759A"/>
    <w:rsid w:val="00DC768D"/>
    <w:rsid w:val="00DC768E"/>
    <w:rsid w:val="00DC76C0"/>
    <w:rsid w:val="00DC7707"/>
    <w:rsid w:val="00DC777E"/>
    <w:rsid w:val="00DC77C7"/>
    <w:rsid w:val="00DC785B"/>
    <w:rsid w:val="00DC7899"/>
    <w:rsid w:val="00DC7929"/>
    <w:rsid w:val="00DC79AB"/>
    <w:rsid w:val="00DC79B1"/>
    <w:rsid w:val="00DC79DD"/>
    <w:rsid w:val="00DC7A84"/>
    <w:rsid w:val="00DC7B86"/>
    <w:rsid w:val="00DC7B8C"/>
    <w:rsid w:val="00DC7BAE"/>
    <w:rsid w:val="00DC7D5D"/>
    <w:rsid w:val="00DC7D96"/>
    <w:rsid w:val="00DC7DA1"/>
    <w:rsid w:val="00DC7F35"/>
    <w:rsid w:val="00DC7F44"/>
    <w:rsid w:val="00DD0009"/>
    <w:rsid w:val="00DD0110"/>
    <w:rsid w:val="00DD0181"/>
    <w:rsid w:val="00DD018C"/>
    <w:rsid w:val="00DD01BD"/>
    <w:rsid w:val="00DD01E3"/>
    <w:rsid w:val="00DD0211"/>
    <w:rsid w:val="00DD024F"/>
    <w:rsid w:val="00DD0281"/>
    <w:rsid w:val="00DD028C"/>
    <w:rsid w:val="00DD0290"/>
    <w:rsid w:val="00DD02A8"/>
    <w:rsid w:val="00DD051C"/>
    <w:rsid w:val="00DD0526"/>
    <w:rsid w:val="00DD05AE"/>
    <w:rsid w:val="00DD0689"/>
    <w:rsid w:val="00DD068A"/>
    <w:rsid w:val="00DD06BE"/>
    <w:rsid w:val="00DD06CF"/>
    <w:rsid w:val="00DD0903"/>
    <w:rsid w:val="00DD0973"/>
    <w:rsid w:val="00DD0A1A"/>
    <w:rsid w:val="00DD0A8A"/>
    <w:rsid w:val="00DD0AFC"/>
    <w:rsid w:val="00DD0BB9"/>
    <w:rsid w:val="00DD0C80"/>
    <w:rsid w:val="00DD0D29"/>
    <w:rsid w:val="00DD0EDA"/>
    <w:rsid w:val="00DD0F04"/>
    <w:rsid w:val="00DD0F30"/>
    <w:rsid w:val="00DD0F46"/>
    <w:rsid w:val="00DD0F4C"/>
    <w:rsid w:val="00DD0FA1"/>
    <w:rsid w:val="00DD0FA6"/>
    <w:rsid w:val="00DD1043"/>
    <w:rsid w:val="00DD104D"/>
    <w:rsid w:val="00DD1115"/>
    <w:rsid w:val="00DD116A"/>
    <w:rsid w:val="00DD11D2"/>
    <w:rsid w:val="00DD11ED"/>
    <w:rsid w:val="00DD1227"/>
    <w:rsid w:val="00DD12C6"/>
    <w:rsid w:val="00DD132C"/>
    <w:rsid w:val="00DD13C7"/>
    <w:rsid w:val="00DD1411"/>
    <w:rsid w:val="00DD1415"/>
    <w:rsid w:val="00DD143F"/>
    <w:rsid w:val="00DD14F2"/>
    <w:rsid w:val="00DD1520"/>
    <w:rsid w:val="00DD153E"/>
    <w:rsid w:val="00DD1563"/>
    <w:rsid w:val="00DD156E"/>
    <w:rsid w:val="00DD1581"/>
    <w:rsid w:val="00DD15C6"/>
    <w:rsid w:val="00DD15F3"/>
    <w:rsid w:val="00DD16B8"/>
    <w:rsid w:val="00DD170F"/>
    <w:rsid w:val="00DD1714"/>
    <w:rsid w:val="00DD172E"/>
    <w:rsid w:val="00DD1777"/>
    <w:rsid w:val="00DD17CE"/>
    <w:rsid w:val="00DD185F"/>
    <w:rsid w:val="00DD1887"/>
    <w:rsid w:val="00DD18A5"/>
    <w:rsid w:val="00DD19C0"/>
    <w:rsid w:val="00DD19C8"/>
    <w:rsid w:val="00DD19DA"/>
    <w:rsid w:val="00DD1B14"/>
    <w:rsid w:val="00DD1B39"/>
    <w:rsid w:val="00DD1B7A"/>
    <w:rsid w:val="00DD1BCF"/>
    <w:rsid w:val="00DD1C07"/>
    <w:rsid w:val="00DD1CED"/>
    <w:rsid w:val="00DD1DDB"/>
    <w:rsid w:val="00DD1EC5"/>
    <w:rsid w:val="00DD1EE9"/>
    <w:rsid w:val="00DD1F0D"/>
    <w:rsid w:val="00DD1F22"/>
    <w:rsid w:val="00DD1FB3"/>
    <w:rsid w:val="00DD2029"/>
    <w:rsid w:val="00DD2096"/>
    <w:rsid w:val="00DD20CF"/>
    <w:rsid w:val="00DD20DE"/>
    <w:rsid w:val="00DD2104"/>
    <w:rsid w:val="00DD2110"/>
    <w:rsid w:val="00DD211E"/>
    <w:rsid w:val="00DD219F"/>
    <w:rsid w:val="00DD2265"/>
    <w:rsid w:val="00DD2349"/>
    <w:rsid w:val="00DD23C6"/>
    <w:rsid w:val="00DD23F1"/>
    <w:rsid w:val="00DD2423"/>
    <w:rsid w:val="00DD2434"/>
    <w:rsid w:val="00DD24ED"/>
    <w:rsid w:val="00DD256F"/>
    <w:rsid w:val="00DD2575"/>
    <w:rsid w:val="00DD2579"/>
    <w:rsid w:val="00DD266D"/>
    <w:rsid w:val="00DD2770"/>
    <w:rsid w:val="00DD29B6"/>
    <w:rsid w:val="00DD2A4E"/>
    <w:rsid w:val="00DD2AC3"/>
    <w:rsid w:val="00DD2ADF"/>
    <w:rsid w:val="00DD2B72"/>
    <w:rsid w:val="00DD2B73"/>
    <w:rsid w:val="00DD2C08"/>
    <w:rsid w:val="00DD2C33"/>
    <w:rsid w:val="00DD2C44"/>
    <w:rsid w:val="00DD2CA5"/>
    <w:rsid w:val="00DD2D0E"/>
    <w:rsid w:val="00DD2DC2"/>
    <w:rsid w:val="00DD2E39"/>
    <w:rsid w:val="00DD2E46"/>
    <w:rsid w:val="00DD2EB9"/>
    <w:rsid w:val="00DD2F70"/>
    <w:rsid w:val="00DD2F7F"/>
    <w:rsid w:val="00DD2F80"/>
    <w:rsid w:val="00DD2FE3"/>
    <w:rsid w:val="00DD3025"/>
    <w:rsid w:val="00DD3092"/>
    <w:rsid w:val="00DD30DF"/>
    <w:rsid w:val="00DD3109"/>
    <w:rsid w:val="00DD3389"/>
    <w:rsid w:val="00DD3406"/>
    <w:rsid w:val="00DD343C"/>
    <w:rsid w:val="00DD34DE"/>
    <w:rsid w:val="00DD354A"/>
    <w:rsid w:val="00DD3588"/>
    <w:rsid w:val="00DD369D"/>
    <w:rsid w:val="00DD36AA"/>
    <w:rsid w:val="00DD36EF"/>
    <w:rsid w:val="00DD37D1"/>
    <w:rsid w:val="00DD38E9"/>
    <w:rsid w:val="00DD38FA"/>
    <w:rsid w:val="00DD3901"/>
    <w:rsid w:val="00DD3A24"/>
    <w:rsid w:val="00DD3ACC"/>
    <w:rsid w:val="00DD3ACF"/>
    <w:rsid w:val="00DD3B43"/>
    <w:rsid w:val="00DD3B4F"/>
    <w:rsid w:val="00DD3B72"/>
    <w:rsid w:val="00DD3C39"/>
    <w:rsid w:val="00DD3D60"/>
    <w:rsid w:val="00DD3D79"/>
    <w:rsid w:val="00DD3DB0"/>
    <w:rsid w:val="00DD3DB1"/>
    <w:rsid w:val="00DD3E88"/>
    <w:rsid w:val="00DD3E98"/>
    <w:rsid w:val="00DD3FE1"/>
    <w:rsid w:val="00DD4024"/>
    <w:rsid w:val="00DD4074"/>
    <w:rsid w:val="00DD40C1"/>
    <w:rsid w:val="00DD412A"/>
    <w:rsid w:val="00DD4199"/>
    <w:rsid w:val="00DD41DE"/>
    <w:rsid w:val="00DD42B6"/>
    <w:rsid w:val="00DD430B"/>
    <w:rsid w:val="00DD4343"/>
    <w:rsid w:val="00DD43DC"/>
    <w:rsid w:val="00DD43EC"/>
    <w:rsid w:val="00DD4476"/>
    <w:rsid w:val="00DD4543"/>
    <w:rsid w:val="00DD463E"/>
    <w:rsid w:val="00DD46E0"/>
    <w:rsid w:val="00DD477C"/>
    <w:rsid w:val="00DD478A"/>
    <w:rsid w:val="00DD47F0"/>
    <w:rsid w:val="00DD481B"/>
    <w:rsid w:val="00DD4921"/>
    <w:rsid w:val="00DD4A27"/>
    <w:rsid w:val="00DD4A59"/>
    <w:rsid w:val="00DD4AA5"/>
    <w:rsid w:val="00DD4AF2"/>
    <w:rsid w:val="00DD4BAC"/>
    <w:rsid w:val="00DD4BF7"/>
    <w:rsid w:val="00DD4C2B"/>
    <w:rsid w:val="00DD4C49"/>
    <w:rsid w:val="00DD4C66"/>
    <w:rsid w:val="00DD4CB7"/>
    <w:rsid w:val="00DD4CC1"/>
    <w:rsid w:val="00DD4D11"/>
    <w:rsid w:val="00DD4D12"/>
    <w:rsid w:val="00DD4D63"/>
    <w:rsid w:val="00DD4D69"/>
    <w:rsid w:val="00DD4E43"/>
    <w:rsid w:val="00DD4E98"/>
    <w:rsid w:val="00DD4F90"/>
    <w:rsid w:val="00DD5027"/>
    <w:rsid w:val="00DD5050"/>
    <w:rsid w:val="00DD50DF"/>
    <w:rsid w:val="00DD5235"/>
    <w:rsid w:val="00DD5277"/>
    <w:rsid w:val="00DD52A9"/>
    <w:rsid w:val="00DD52DA"/>
    <w:rsid w:val="00DD5379"/>
    <w:rsid w:val="00DD5385"/>
    <w:rsid w:val="00DD54A4"/>
    <w:rsid w:val="00DD54D6"/>
    <w:rsid w:val="00DD55CC"/>
    <w:rsid w:val="00DD5635"/>
    <w:rsid w:val="00DD56ED"/>
    <w:rsid w:val="00DD56F4"/>
    <w:rsid w:val="00DD57BB"/>
    <w:rsid w:val="00DD57DB"/>
    <w:rsid w:val="00DD5969"/>
    <w:rsid w:val="00DD598B"/>
    <w:rsid w:val="00DD5A65"/>
    <w:rsid w:val="00DD5ABE"/>
    <w:rsid w:val="00DD5ACA"/>
    <w:rsid w:val="00DD5B20"/>
    <w:rsid w:val="00DD5B74"/>
    <w:rsid w:val="00DD5BD1"/>
    <w:rsid w:val="00DD5BD3"/>
    <w:rsid w:val="00DD5CA3"/>
    <w:rsid w:val="00DD5CFC"/>
    <w:rsid w:val="00DD5D39"/>
    <w:rsid w:val="00DD5E1B"/>
    <w:rsid w:val="00DD5E56"/>
    <w:rsid w:val="00DD5FB5"/>
    <w:rsid w:val="00DD6057"/>
    <w:rsid w:val="00DD60A7"/>
    <w:rsid w:val="00DD614D"/>
    <w:rsid w:val="00DD624A"/>
    <w:rsid w:val="00DD6269"/>
    <w:rsid w:val="00DD6324"/>
    <w:rsid w:val="00DD6406"/>
    <w:rsid w:val="00DD6575"/>
    <w:rsid w:val="00DD6657"/>
    <w:rsid w:val="00DD6705"/>
    <w:rsid w:val="00DD687D"/>
    <w:rsid w:val="00DD696A"/>
    <w:rsid w:val="00DD6976"/>
    <w:rsid w:val="00DD6994"/>
    <w:rsid w:val="00DD69A4"/>
    <w:rsid w:val="00DD69AB"/>
    <w:rsid w:val="00DD69CC"/>
    <w:rsid w:val="00DD69D2"/>
    <w:rsid w:val="00DD6A29"/>
    <w:rsid w:val="00DD6A6D"/>
    <w:rsid w:val="00DD6AED"/>
    <w:rsid w:val="00DD6C1A"/>
    <w:rsid w:val="00DD6C1C"/>
    <w:rsid w:val="00DD6C86"/>
    <w:rsid w:val="00DD6CCA"/>
    <w:rsid w:val="00DD6D6C"/>
    <w:rsid w:val="00DD6E4C"/>
    <w:rsid w:val="00DD6E8C"/>
    <w:rsid w:val="00DD6EEC"/>
    <w:rsid w:val="00DD6F01"/>
    <w:rsid w:val="00DD6F06"/>
    <w:rsid w:val="00DD6F43"/>
    <w:rsid w:val="00DD6FCF"/>
    <w:rsid w:val="00DD6FD5"/>
    <w:rsid w:val="00DD6FDC"/>
    <w:rsid w:val="00DD70E2"/>
    <w:rsid w:val="00DD716F"/>
    <w:rsid w:val="00DD733C"/>
    <w:rsid w:val="00DD7396"/>
    <w:rsid w:val="00DD7409"/>
    <w:rsid w:val="00DD7415"/>
    <w:rsid w:val="00DD7428"/>
    <w:rsid w:val="00DD74D9"/>
    <w:rsid w:val="00DD74FE"/>
    <w:rsid w:val="00DD753D"/>
    <w:rsid w:val="00DD7542"/>
    <w:rsid w:val="00DD7546"/>
    <w:rsid w:val="00DD75B1"/>
    <w:rsid w:val="00DD75DA"/>
    <w:rsid w:val="00DD7676"/>
    <w:rsid w:val="00DD7722"/>
    <w:rsid w:val="00DD774B"/>
    <w:rsid w:val="00DD7756"/>
    <w:rsid w:val="00DD7773"/>
    <w:rsid w:val="00DD7774"/>
    <w:rsid w:val="00DD7782"/>
    <w:rsid w:val="00DD77B6"/>
    <w:rsid w:val="00DD77DA"/>
    <w:rsid w:val="00DD77DE"/>
    <w:rsid w:val="00DD77E5"/>
    <w:rsid w:val="00DD78A2"/>
    <w:rsid w:val="00DD7923"/>
    <w:rsid w:val="00DD796F"/>
    <w:rsid w:val="00DD79B6"/>
    <w:rsid w:val="00DD7A3F"/>
    <w:rsid w:val="00DD7A56"/>
    <w:rsid w:val="00DD7A5F"/>
    <w:rsid w:val="00DD7A60"/>
    <w:rsid w:val="00DD7BBE"/>
    <w:rsid w:val="00DD7BF2"/>
    <w:rsid w:val="00DD7C44"/>
    <w:rsid w:val="00DD7CE6"/>
    <w:rsid w:val="00DD7D19"/>
    <w:rsid w:val="00DD7D4C"/>
    <w:rsid w:val="00DD7D81"/>
    <w:rsid w:val="00DD7E14"/>
    <w:rsid w:val="00DD7E53"/>
    <w:rsid w:val="00DD7EBD"/>
    <w:rsid w:val="00DD7F46"/>
    <w:rsid w:val="00DD7F4F"/>
    <w:rsid w:val="00DD7F67"/>
    <w:rsid w:val="00DD7F70"/>
    <w:rsid w:val="00DD7FDF"/>
    <w:rsid w:val="00DE002E"/>
    <w:rsid w:val="00DE0072"/>
    <w:rsid w:val="00DE00C9"/>
    <w:rsid w:val="00DE012C"/>
    <w:rsid w:val="00DE01AD"/>
    <w:rsid w:val="00DE01F8"/>
    <w:rsid w:val="00DE0200"/>
    <w:rsid w:val="00DE0270"/>
    <w:rsid w:val="00DE027C"/>
    <w:rsid w:val="00DE0290"/>
    <w:rsid w:val="00DE0297"/>
    <w:rsid w:val="00DE02AA"/>
    <w:rsid w:val="00DE02B2"/>
    <w:rsid w:val="00DE0307"/>
    <w:rsid w:val="00DE031E"/>
    <w:rsid w:val="00DE03B3"/>
    <w:rsid w:val="00DE03E7"/>
    <w:rsid w:val="00DE0465"/>
    <w:rsid w:val="00DE0478"/>
    <w:rsid w:val="00DE04A4"/>
    <w:rsid w:val="00DE04F9"/>
    <w:rsid w:val="00DE059E"/>
    <w:rsid w:val="00DE05A2"/>
    <w:rsid w:val="00DE066E"/>
    <w:rsid w:val="00DE0681"/>
    <w:rsid w:val="00DE06DE"/>
    <w:rsid w:val="00DE0706"/>
    <w:rsid w:val="00DE08AF"/>
    <w:rsid w:val="00DE0928"/>
    <w:rsid w:val="00DE09BB"/>
    <w:rsid w:val="00DE09D0"/>
    <w:rsid w:val="00DE09D6"/>
    <w:rsid w:val="00DE0A19"/>
    <w:rsid w:val="00DE0B4B"/>
    <w:rsid w:val="00DE0C75"/>
    <w:rsid w:val="00DE0CA0"/>
    <w:rsid w:val="00DE0D31"/>
    <w:rsid w:val="00DE0D50"/>
    <w:rsid w:val="00DE0DC7"/>
    <w:rsid w:val="00DE0E34"/>
    <w:rsid w:val="00DE0ECB"/>
    <w:rsid w:val="00DE0F81"/>
    <w:rsid w:val="00DE0F93"/>
    <w:rsid w:val="00DE0FD7"/>
    <w:rsid w:val="00DE1025"/>
    <w:rsid w:val="00DE10D0"/>
    <w:rsid w:val="00DE1142"/>
    <w:rsid w:val="00DE11EA"/>
    <w:rsid w:val="00DE1229"/>
    <w:rsid w:val="00DE127B"/>
    <w:rsid w:val="00DE1300"/>
    <w:rsid w:val="00DE13A4"/>
    <w:rsid w:val="00DE13BC"/>
    <w:rsid w:val="00DE141E"/>
    <w:rsid w:val="00DE14F6"/>
    <w:rsid w:val="00DE1509"/>
    <w:rsid w:val="00DE1512"/>
    <w:rsid w:val="00DE1514"/>
    <w:rsid w:val="00DE15A1"/>
    <w:rsid w:val="00DE15F0"/>
    <w:rsid w:val="00DE161B"/>
    <w:rsid w:val="00DE1652"/>
    <w:rsid w:val="00DE16BA"/>
    <w:rsid w:val="00DE16DE"/>
    <w:rsid w:val="00DE16EC"/>
    <w:rsid w:val="00DE184F"/>
    <w:rsid w:val="00DE1859"/>
    <w:rsid w:val="00DE197A"/>
    <w:rsid w:val="00DE1A78"/>
    <w:rsid w:val="00DE1AF0"/>
    <w:rsid w:val="00DE1B2F"/>
    <w:rsid w:val="00DE1BD1"/>
    <w:rsid w:val="00DE1C5D"/>
    <w:rsid w:val="00DE1C9A"/>
    <w:rsid w:val="00DE1D3B"/>
    <w:rsid w:val="00DE1D7C"/>
    <w:rsid w:val="00DE1DBB"/>
    <w:rsid w:val="00DE1DEB"/>
    <w:rsid w:val="00DE1EFD"/>
    <w:rsid w:val="00DE1F07"/>
    <w:rsid w:val="00DE1F32"/>
    <w:rsid w:val="00DE1F51"/>
    <w:rsid w:val="00DE1F5D"/>
    <w:rsid w:val="00DE2156"/>
    <w:rsid w:val="00DE215F"/>
    <w:rsid w:val="00DE2168"/>
    <w:rsid w:val="00DE21B2"/>
    <w:rsid w:val="00DE2363"/>
    <w:rsid w:val="00DE23FF"/>
    <w:rsid w:val="00DE248C"/>
    <w:rsid w:val="00DE24A3"/>
    <w:rsid w:val="00DE2518"/>
    <w:rsid w:val="00DE2815"/>
    <w:rsid w:val="00DE283B"/>
    <w:rsid w:val="00DE2866"/>
    <w:rsid w:val="00DE28A4"/>
    <w:rsid w:val="00DE2922"/>
    <w:rsid w:val="00DE2953"/>
    <w:rsid w:val="00DE2978"/>
    <w:rsid w:val="00DE298B"/>
    <w:rsid w:val="00DE2997"/>
    <w:rsid w:val="00DE29AC"/>
    <w:rsid w:val="00DE2A57"/>
    <w:rsid w:val="00DE2A8D"/>
    <w:rsid w:val="00DE2AAC"/>
    <w:rsid w:val="00DE2ADF"/>
    <w:rsid w:val="00DE2B20"/>
    <w:rsid w:val="00DE2BD1"/>
    <w:rsid w:val="00DE2BDD"/>
    <w:rsid w:val="00DE2BF5"/>
    <w:rsid w:val="00DE2BFA"/>
    <w:rsid w:val="00DE2C6C"/>
    <w:rsid w:val="00DE2DC4"/>
    <w:rsid w:val="00DE2E3D"/>
    <w:rsid w:val="00DE2EA9"/>
    <w:rsid w:val="00DE2F06"/>
    <w:rsid w:val="00DE2F37"/>
    <w:rsid w:val="00DE2F3D"/>
    <w:rsid w:val="00DE2F55"/>
    <w:rsid w:val="00DE3067"/>
    <w:rsid w:val="00DE31B2"/>
    <w:rsid w:val="00DE31DE"/>
    <w:rsid w:val="00DE32A0"/>
    <w:rsid w:val="00DE3307"/>
    <w:rsid w:val="00DE3372"/>
    <w:rsid w:val="00DE33CB"/>
    <w:rsid w:val="00DE33FA"/>
    <w:rsid w:val="00DE342B"/>
    <w:rsid w:val="00DE3502"/>
    <w:rsid w:val="00DE3512"/>
    <w:rsid w:val="00DE3576"/>
    <w:rsid w:val="00DE358E"/>
    <w:rsid w:val="00DE35BF"/>
    <w:rsid w:val="00DE3698"/>
    <w:rsid w:val="00DE36AA"/>
    <w:rsid w:val="00DE3710"/>
    <w:rsid w:val="00DE3757"/>
    <w:rsid w:val="00DE38EC"/>
    <w:rsid w:val="00DE3938"/>
    <w:rsid w:val="00DE399D"/>
    <w:rsid w:val="00DE39E2"/>
    <w:rsid w:val="00DE39E6"/>
    <w:rsid w:val="00DE3A37"/>
    <w:rsid w:val="00DE3AC7"/>
    <w:rsid w:val="00DE3AC8"/>
    <w:rsid w:val="00DE3AEB"/>
    <w:rsid w:val="00DE3B23"/>
    <w:rsid w:val="00DE3BC0"/>
    <w:rsid w:val="00DE3CB9"/>
    <w:rsid w:val="00DE3D73"/>
    <w:rsid w:val="00DE3D9D"/>
    <w:rsid w:val="00DE3DD5"/>
    <w:rsid w:val="00DE3DD7"/>
    <w:rsid w:val="00DE3E80"/>
    <w:rsid w:val="00DE3F0E"/>
    <w:rsid w:val="00DE3F98"/>
    <w:rsid w:val="00DE402D"/>
    <w:rsid w:val="00DE41E0"/>
    <w:rsid w:val="00DE420F"/>
    <w:rsid w:val="00DE42C5"/>
    <w:rsid w:val="00DE439E"/>
    <w:rsid w:val="00DE43B4"/>
    <w:rsid w:val="00DE43F0"/>
    <w:rsid w:val="00DE4457"/>
    <w:rsid w:val="00DE44E2"/>
    <w:rsid w:val="00DE4539"/>
    <w:rsid w:val="00DE4592"/>
    <w:rsid w:val="00DE4650"/>
    <w:rsid w:val="00DE46D9"/>
    <w:rsid w:val="00DE4732"/>
    <w:rsid w:val="00DE4734"/>
    <w:rsid w:val="00DE4736"/>
    <w:rsid w:val="00DE4878"/>
    <w:rsid w:val="00DE490B"/>
    <w:rsid w:val="00DE493F"/>
    <w:rsid w:val="00DE4974"/>
    <w:rsid w:val="00DE4975"/>
    <w:rsid w:val="00DE49BE"/>
    <w:rsid w:val="00DE4B5E"/>
    <w:rsid w:val="00DE4B74"/>
    <w:rsid w:val="00DE4B8F"/>
    <w:rsid w:val="00DE4BD6"/>
    <w:rsid w:val="00DE4C08"/>
    <w:rsid w:val="00DE4EE4"/>
    <w:rsid w:val="00DE4F93"/>
    <w:rsid w:val="00DE506B"/>
    <w:rsid w:val="00DE509F"/>
    <w:rsid w:val="00DE5118"/>
    <w:rsid w:val="00DE5158"/>
    <w:rsid w:val="00DE5195"/>
    <w:rsid w:val="00DE525B"/>
    <w:rsid w:val="00DE52C1"/>
    <w:rsid w:val="00DE5317"/>
    <w:rsid w:val="00DE539D"/>
    <w:rsid w:val="00DE544B"/>
    <w:rsid w:val="00DE5462"/>
    <w:rsid w:val="00DE54CA"/>
    <w:rsid w:val="00DE553D"/>
    <w:rsid w:val="00DE55A8"/>
    <w:rsid w:val="00DE5630"/>
    <w:rsid w:val="00DE5690"/>
    <w:rsid w:val="00DE5786"/>
    <w:rsid w:val="00DE5787"/>
    <w:rsid w:val="00DE57A5"/>
    <w:rsid w:val="00DE57D4"/>
    <w:rsid w:val="00DE581B"/>
    <w:rsid w:val="00DE584E"/>
    <w:rsid w:val="00DE5862"/>
    <w:rsid w:val="00DE590F"/>
    <w:rsid w:val="00DE591A"/>
    <w:rsid w:val="00DE59C5"/>
    <w:rsid w:val="00DE5A1E"/>
    <w:rsid w:val="00DE5A8A"/>
    <w:rsid w:val="00DE5AD8"/>
    <w:rsid w:val="00DE5B27"/>
    <w:rsid w:val="00DE5C16"/>
    <w:rsid w:val="00DE5C6B"/>
    <w:rsid w:val="00DE5CA4"/>
    <w:rsid w:val="00DE5CD8"/>
    <w:rsid w:val="00DE5D29"/>
    <w:rsid w:val="00DE5D35"/>
    <w:rsid w:val="00DE5D3A"/>
    <w:rsid w:val="00DE5D5F"/>
    <w:rsid w:val="00DE5EA4"/>
    <w:rsid w:val="00DE5EB0"/>
    <w:rsid w:val="00DE5F43"/>
    <w:rsid w:val="00DE5F5B"/>
    <w:rsid w:val="00DE5F84"/>
    <w:rsid w:val="00DE5F9D"/>
    <w:rsid w:val="00DE5FC1"/>
    <w:rsid w:val="00DE6058"/>
    <w:rsid w:val="00DE60A0"/>
    <w:rsid w:val="00DE612C"/>
    <w:rsid w:val="00DE6142"/>
    <w:rsid w:val="00DE61E4"/>
    <w:rsid w:val="00DE61F7"/>
    <w:rsid w:val="00DE6235"/>
    <w:rsid w:val="00DE6256"/>
    <w:rsid w:val="00DE62BA"/>
    <w:rsid w:val="00DE632A"/>
    <w:rsid w:val="00DE6476"/>
    <w:rsid w:val="00DE64B8"/>
    <w:rsid w:val="00DE6574"/>
    <w:rsid w:val="00DE65F8"/>
    <w:rsid w:val="00DE660E"/>
    <w:rsid w:val="00DE66BD"/>
    <w:rsid w:val="00DE66E2"/>
    <w:rsid w:val="00DE6826"/>
    <w:rsid w:val="00DE6851"/>
    <w:rsid w:val="00DE6888"/>
    <w:rsid w:val="00DE6AB5"/>
    <w:rsid w:val="00DE6B15"/>
    <w:rsid w:val="00DE6B4C"/>
    <w:rsid w:val="00DE6BC4"/>
    <w:rsid w:val="00DE6C26"/>
    <w:rsid w:val="00DE6C4A"/>
    <w:rsid w:val="00DE6CDA"/>
    <w:rsid w:val="00DE6D6A"/>
    <w:rsid w:val="00DE6E75"/>
    <w:rsid w:val="00DE6E83"/>
    <w:rsid w:val="00DE6ECF"/>
    <w:rsid w:val="00DE6F29"/>
    <w:rsid w:val="00DE6F91"/>
    <w:rsid w:val="00DE708B"/>
    <w:rsid w:val="00DE728B"/>
    <w:rsid w:val="00DE7385"/>
    <w:rsid w:val="00DE73A4"/>
    <w:rsid w:val="00DE740F"/>
    <w:rsid w:val="00DE744F"/>
    <w:rsid w:val="00DE7462"/>
    <w:rsid w:val="00DE7494"/>
    <w:rsid w:val="00DE74C8"/>
    <w:rsid w:val="00DE75AC"/>
    <w:rsid w:val="00DE75CA"/>
    <w:rsid w:val="00DE760E"/>
    <w:rsid w:val="00DE7681"/>
    <w:rsid w:val="00DE76A2"/>
    <w:rsid w:val="00DE76E2"/>
    <w:rsid w:val="00DE7721"/>
    <w:rsid w:val="00DE78FA"/>
    <w:rsid w:val="00DE7A17"/>
    <w:rsid w:val="00DE7A5C"/>
    <w:rsid w:val="00DE7A94"/>
    <w:rsid w:val="00DE7A95"/>
    <w:rsid w:val="00DE7AD2"/>
    <w:rsid w:val="00DE7B35"/>
    <w:rsid w:val="00DE7B5A"/>
    <w:rsid w:val="00DE7B5B"/>
    <w:rsid w:val="00DE7C09"/>
    <w:rsid w:val="00DE7C1B"/>
    <w:rsid w:val="00DE7C2E"/>
    <w:rsid w:val="00DE7C43"/>
    <w:rsid w:val="00DE7CCE"/>
    <w:rsid w:val="00DE7D6B"/>
    <w:rsid w:val="00DE7D8B"/>
    <w:rsid w:val="00DE7D92"/>
    <w:rsid w:val="00DE7DC4"/>
    <w:rsid w:val="00DE7E81"/>
    <w:rsid w:val="00DE7E89"/>
    <w:rsid w:val="00DE7E9B"/>
    <w:rsid w:val="00DE7EBA"/>
    <w:rsid w:val="00DE7ED4"/>
    <w:rsid w:val="00DE7FE0"/>
    <w:rsid w:val="00DE7FE5"/>
    <w:rsid w:val="00DF0039"/>
    <w:rsid w:val="00DF00B5"/>
    <w:rsid w:val="00DF012A"/>
    <w:rsid w:val="00DF0164"/>
    <w:rsid w:val="00DF0202"/>
    <w:rsid w:val="00DF020C"/>
    <w:rsid w:val="00DF02A2"/>
    <w:rsid w:val="00DF02C2"/>
    <w:rsid w:val="00DF0313"/>
    <w:rsid w:val="00DF0356"/>
    <w:rsid w:val="00DF03C5"/>
    <w:rsid w:val="00DF03D0"/>
    <w:rsid w:val="00DF040B"/>
    <w:rsid w:val="00DF0539"/>
    <w:rsid w:val="00DF058D"/>
    <w:rsid w:val="00DF06A3"/>
    <w:rsid w:val="00DF06E2"/>
    <w:rsid w:val="00DF0726"/>
    <w:rsid w:val="00DF07E5"/>
    <w:rsid w:val="00DF081E"/>
    <w:rsid w:val="00DF08B6"/>
    <w:rsid w:val="00DF0961"/>
    <w:rsid w:val="00DF0A5C"/>
    <w:rsid w:val="00DF0A92"/>
    <w:rsid w:val="00DF0AA9"/>
    <w:rsid w:val="00DF0AEA"/>
    <w:rsid w:val="00DF0B60"/>
    <w:rsid w:val="00DF0B97"/>
    <w:rsid w:val="00DF0C36"/>
    <w:rsid w:val="00DF0C39"/>
    <w:rsid w:val="00DF0C4C"/>
    <w:rsid w:val="00DF0CD2"/>
    <w:rsid w:val="00DF0DC6"/>
    <w:rsid w:val="00DF0E36"/>
    <w:rsid w:val="00DF0E64"/>
    <w:rsid w:val="00DF0E6C"/>
    <w:rsid w:val="00DF0F24"/>
    <w:rsid w:val="00DF0F84"/>
    <w:rsid w:val="00DF0F85"/>
    <w:rsid w:val="00DF0FCA"/>
    <w:rsid w:val="00DF0FEA"/>
    <w:rsid w:val="00DF106D"/>
    <w:rsid w:val="00DF1139"/>
    <w:rsid w:val="00DF11EA"/>
    <w:rsid w:val="00DF1235"/>
    <w:rsid w:val="00DF1237"/>
    <w:rsid w:val="00DF1242"/>
    <w:rsid w:val="00DF1248"/>
    <w:rsid w:val="00DF13C6"/>
    <w:rsid w:val="00DF144A"/>
    <w:rsid w:val="00DF144D"/>
    <w:rsid w:val="00DF1465"/>
    <w:rsid w:val="00DF1469"/>
    <w:rsid w:val="00DF146A"/>
    <w:rsid w:val="00DF147A"/>
    <w:rsid w:val="00DF1494"/>
    <w:rsid w:val="00DF150A"/>
    <w:rsid w:val="00DF158A"/>
    <w:rsid w:val="00DF162B"/>
    <w:rsid w:val="00DF167B"/>
    <w:rsid w:val="00DF17C4"/>
    <w:rsid w:val="00DF1833"/>
    <w:rsid w:val="00DF183D"/>
    <w:rsid w:val="00DF18C5"/>
    <w:rsid w:val="00DF18CD"/>
    <w:rsid w:val="00DF18CF"/>
    <w:rsid w:val="00DF1901"/>
    <w:rsid w:val="00DF193D"/>
    <w:rsid w:val="00DF1956"/>
    <w:rsid w:val="00DF19B5"/>
    <w:rsid w:val="00DF1A2B"/>
    <w:rsid w:val="00DF1A56"/>
    <w:rsid w:val="00DF1A73"/>
    <w:rsid w:val="00DF1A84"/>
    <w:rsid w:val="00DF1AB9"/>
    <w:rsid w:val="00DF1B93"/>
    <w:rsid w:val="00DF1BE9"/>
    <w:rsid w:val="00DF1C86"/>
    <w:rsid w:val="00DF1D2E"/>
    <w:rsid w:val="00DF1D78"/>
    <w:rsid w:val="00DF1DA5"/>
    <w:rsid w:val="00DF1DE6"/>
    <w:rsid w:val="00DF1F6E"/>
    <w:rsid w:val="00DF1FDD"/>
    <w:rsid w:val="00DF2024"/>
    <w:rsid w:val="00DF20EF"/>
    <w:rsid w:val="00DF2131"/>
    <w:rsid w:val="00DF215E"/>
    <w:rsid w:val="00DF219B"/>
    <w:rsid w:val="00DF21B8"/>
    <w:rsid w:val="00DF225D"/>
    <w:rsid w:val="00DF2316"/>
    <w:rsid w:val="00DF231B"/>
    <w:rsid w:val="00DF2388"/>
    <w:rsid w:val="00DF2462"/>
    <w:rsid w:val="00DF24F0"/>
    <w:rsid w:val="00DF2500"/>
    <w:rsid w:val="00DF2580"/>
    <w:rsid w:val="00DF25CA"/>
    <w:rsid w:val="00DF25F1"/>
    <w:rsid w:val="00DF2629"/>
    <w:rsid w:val="00DF2633"/>
    <w:rsid w:val="00DF2677"/>
    <w:rsid w:val="00DF26DE"/>
    <w:rsid w:val="00DF2860"/>
    <w:rsid w:val="00DF2874"/>
    <w:rsid w:val="00DF291E"/>
    <w:rsid w:val="00DF297A"/>
    <w:rsid w:val="00DF2988"/>
    <w:rsid w:val="00DF2AA8"/>
    <w:rsid w:val="00DF2BF6"/>
    <w:rsid w:val="00DF2D21"/>
    <w:rsid w:val="00DF2DA5"/>
    <w:rsid w:val="00DF2DED"/>
    <w:rsid w:val="00DF2E10"/>
    <w:rsid w:val="00DF2E15"/>
    <w:rsid w:val="00DF2E7B"/>
    <w:rsid w:val="00DF2E91"/>
    <w:rsid w:val="00DF2F3B"/>
    <w:rsid w:val="00DF2F69"/>
    <w:rsid w:val="00DF2FF7"/>
    <w:rsid w:val="00DF306B"/>
    <w:rsid w:val="00DF307F"/>
    <w:rsid w:val="00DF30A2"/>
    <w:rsid w:val="00DF30B7"/>
    <w:rsid w:val="00DF30D0"/>
    <w:rsid w:val="00DF30E9"/>
    <w:rsid w:val="00DF3117"/>
    <w:rsid w:val="00DF3138"/>
    <w:rsid w:val="00DF3147"/>
    <w:rsid w:val="00DF314E"/>
    <w:rsid w:val="00DF3175"/>
    <w:rsid w:val="00DF319C"/>
    <w:rsid w:val="00DF3225"/>
    <w:rsid w:val="00DF3298"/>
    <w:rsid w:val="00DF32C1"/>
    <w:rsid w:val="00DF32E3"/>
    <w:rsid w:val="00DF32ED"/>
    <w:rsid w:val="00DF3469"/>
    <w:rsid w:val="00DF3591"/>
    <w:rsid w:val="00DF3716"/>
    <w:rsid w:val="00DF3755"/>
    <w:rsid w:val="00DF37F7"/>
    <w:rsid w:val="00DF382E"/>
    <w:rsid w:val="00DF38AD"/>
    <w:rsid w:val="00DF38D9"/>
    <w:rsid w:val="00DF3931"/>
    <w:rsid w:val="00DF396A"/>
    <w:rsid w:val="00DF3A75"/>
    <w:rsid w:val="00DF3B8E"/>
    <w:rsid w:val="00DF3B90"/>
    <w:rsid w:val="00DF3BE7"/>
    <w:rsid w:val="00DF3C15"/>
    <w:rsid w:val="00DF3C57"/>
    <w:rsid w:val="00DF3D11"/>
    <w:rsid w:val="00DF3D2B"/>
    <w:rsid w:val="00DF3D7F"/>
    <w:rsid w:val="00DF3DE2"/>
    <w:rsid w:val="00DF3E02"/>
    <w:rsid w:val="00DF3E0B"/>
    <w:rsid w:val="00DF3F3C"/>
    <w:rsid w:val="00DF3F3E"/>
    <w:rsid w:val="00DF3F5D"/>
    <w:rsid w:val="00DF3F68"/>
    <w:rsid w:val="00DF3FA3"/>
    <w:rsid w:val="00DF3FF3"/>
    <w:rsid w:val="00DF4046"/>
    <w:rsid w:val="00DF404D"/>
    <w:rsid w:val="00DF4058"/>
    <w:rsid w:val="00DF409B"/>
    <w:rsid w:val="00DF411D"/>
    <w:rsid w:val="00DF41C7"/>
    <w:rsid w:val="00DF4226"/>
    <w:rsid w:val="00DF4262"/>
    <w:rsid w:val="00DF42E7"/>
    <w:rsid w:val="00DF42FC"/>
    <w:rsid w:val="00DF4396"/>
    <w:rsid w:val="00DF43BE"/>
    <w:rsid w:val="00DF4404"/>
    <w:rsid w:val="00DF4415"/>
    <w:rsid w:val="00DF4445"/>
    <w:rsid w:val="00DF44AF"/>
    <w:rsid w:val="00DF4594"/>
    <w:rsid w:val="00DF466E"/>
    <w:rsid w:val="00DF4675"/>
    <w:rsid w:val="00DF467B"/>
    <w:rsid w:val="00DF46F0"/>
    <w:rsid w:val="00DF47E3"/>
    <w:rsid w:val="00DF4845"/>
    <w:rsid w:val="00DF4865"/>
    <w:rsid w:val="00DF4879"/>
    <w:rsid w:val="00DF4A1F"/>
    <w:rsid w:val="00DF4A4B"/>
    <w:rsid w:val="00DF4A79"/>
    <w:rsid w:val="00DF4B1A"/>
    <w:rsid w:val="00DF4B45"/>
    <w:rsid w:val="00DF4B54"/>
    <w:rsid w:val="00DF4C05"/>
    <w:rsid w:val="00DF4C60"/>
    <w:rsid w:val="00DF4E74"/>
    <w:rsid w:val="00DF4F17"/>
    <w:rsid w:val="00DF4F9F"/>
    <w:rsid w:val="00DF4FC6"/>
    <w:rsid w:val="00DF5032"/>
    <w:rsid w:val="00DF50C1"/>
    <w:rsid w:val="00DF50C2"/>
    <w:rsid w:val="00DF51DF"/>
    <w:rsid w:val="00DF51F1"/>
    <w:rsid w:val="00DF5303"/>
    <w:rsid w:val="00DF5430"/>
    <w:rsid w:val="00DF54F8"/>
    <w:rsid w:val="00DF55B4"/>
    <w:rsid w:val="00DF55B9"/>
    <w:rsid w:val="00DF5631"/>
    <w:rsid w:val="00DF566C"/>
    <w:rsid w:val="00DF57BD"/>
    <w:rsid w:val="00DF57DC"/>
    <w:rsid w:val="00DF58AD"/>
    <w:rsid w:val="00DF59A0"/>
    <w:rsid w:val="00DF5AA5"/>
    <w:rsid w:val="00DF5AE1"/>
    <w:rsid w:val="00DF5D52"/>
    <w:rsid w:val="00DF5D70"/>
    <w:rsid w:val="00DF5DC0"/>
    <w:rsid w:val="00DF5DE2"/>
    <w:rsid w:val="00DF5E04"/>
    <w:rsid w:val="00DF5E47"/>
    <w:rsid w:val="00DF5E4F"/>
    <w:rsid w:val="00DF5EF7"/>
    <w:rsid w:val="00DF5F0E"/>
    <w:rsid w:val="00DF5F0F"/>
    <w:rsid w:val="00DF5F13"/>
    <w:rsid w:val="00DF5F52"/>
    <w:rsid w:val="00DF5F86"/>
    <w:rsid w:val="00DF601A"/>
    <w:rsid w:val="00DF6075"/>
    <w:rsid w:val="00DF6199"/>
    <w:rsid w:val="00DF61A9"/>
    <w:rsid w:val="00DF61D3"/>
    <w:rsid w:val="00DF6208"/>
    <w:rsid w:val="00DF63F4"/>
    <w:rsid w:val="00DF64A6"/>
    <w:rsid w:val="00DF6522"/>
    <w:rsid w:val="00DF6664"/>
    <w:rsid w:val="00DF66DB"/>
    <w:rsid w:val="00DF67D5"/>
    <w:rsid w:val="00DF67D8"/>
    <w:rsid w:val="00DF67F0"/>
    <w:rsid w:val="00DF67F7"/>
    <w:rsid w:val="00DF680D"/>
    <w:rsid w:val="00DF6822"/>
    <w:rsid w:val="00DF6911"/>
    <w:rsid w:val="00DF695E"/>
    <w:rsid w:val="00DF6A64"/>
    <w:rsid w:val="00DF6A87"/>
    <w:rsid w:val="00DF6AC5"/>
    <w:rsid w:val="00DF6AFB"/>
    <w:rsid w:val="00DF6B44"/>
    <w:rsid w:val="00DF6B63"/>
    <w:rsid w:val="00DF6BA9"/>
    <w:rsid w:val="00DF6CEF"/>
    <w:rsid w:val="00DF6CFE"/>
    <w:rsid w:val="00DF6D98"/>
    <w:rsid w:val="00DF6DC1"/>
    <w:rsid w:val="00DF6E32"/>
    <w:rsid w:val="00DF6ED0"/>
    <w:rsid w:val="00DF6F43"/>
    <w:rsid w:val="00DF6F78"/>
    <w:rsid w:val="00DF6FB1"/>
    <w:rsid w:val="00DF6FF6"/>
    <w:rsid w:val="00DF70AC"/>
    <w:rsid w:val="00DF7120"/>
    <w:rsid w:val="00DF7121"/>
    <w:rsid w:val="00DF7123"/>
    <w:rsid w:val="00DF7195"/>
    <w:rsid w:val="00DF71DA"/>
    <w:rsid w:val="00DF71FC"/>
    <w:rsid w:val="00DF72A5"/>
    <w:rsid w:val="00DF72E7"/>
    <w:rsid w:val="00DF7437"/>
    <w:rsid w:val="00DF7471"/>
    <w:rsid w:val="00DF747F"/>
    <w:rsid w:val="00DF7482"/>
    <w:rsid w:val="00DF74F1"/>
    <w:rsid w:val="00DF7512"/>
    <w:rsid w:val="00DF7542"/>
    <w:rsid w:val="00DF7550"/>
    <w:rsid w:val="00DF7589"/>
    <w:rsid w:val="00DF75DE"/>
    <w:rsid w:val="00DF7664"/>
    <w:rsid w:val="00DF76F7"/>
    <w:rsid w:val="00DF7721"/>
    <w:rsid w:val="00DF773C"/>
    <w:rsid w:val="00DF7755"/>
    <w:rsid w:val="00DF778C"/>
    <w:rsid w:val="00DF77C8"/>
    <w:rsid w:val="00DF7867"/>
    <w:rsid w:val="00DF78CF"/>
    <w:rsid w:val="00DF7913"/>
    <w:rsid w:val="00DF798C"/>
    <w:rsid w:val="00DF7A27"/>
    <w:rsid w:val="00DF7AAB"/>
    <w:rsid w:val="00DF7B1E"/>
    <w:rsid w:val="00DF7B46"/>
    <w:rsid w:val="00DF7CA4"/>
    <w:rsid w:val="00DF7CB3"/>
    <w:rsid w:val="00DF7CDC"/>
    <w:rsid w:val="00DF7D41"/>
    <w:rsid w:val="00DF7D81"/>
    <w:rsid w:val="00DF7DAF"/>
    <w:rsid w:val="00DF7DDE"/>
    <w:rsid w:val="00DF7DFC"/>
    <w:rsid w:val="00DF7ED3"/>
    <w:rsid w:val="00DF7F3F"/>
    <w:rsid w:val="00DF7F43"/>
    <w:rsid w:val="00DF7F48"/>
    <w:rsid w:val="00DF7F76"/>
    <w:rsid w:val="00DF7FE7"/>
    <w:rsid w:val="00E00007"/>
    <w:rsid w:val="00E0000F"/>
    <w:rsid w:val="00E00059"/>
    <w:rsid w:val="00E001A4"/>
    <w:rsid w:val="00E001EA"/>
    <w:rsid w:val="00E0022E"/>
    <w:rsid w:val="00E00272"/>
    <w:rsid w:val="00E0029A"/>
    <w:rsid w:val="00E00384"/>
    <w:rsid w:val="00E003B7"/>
    <w:rsid w:val="00E00404"/>
    <w:rsid w:val="00E00410"/>
    <w:rsid w:val="00E00425"/>
    <w:rsid w:val="00E00441"/>
    <w:rsid w:val="00E0048D"/>
    <w:rsid w:val="00E0049B"/>
    <w:rsid w:val="00E00505"/>
    <w:rsid w:val="00E00523"/>
    <w:rsid w:val="00E0055E"/>
    <w:rsid w:val="00E00585"/>
    <w:rsid w:val="00E00597"/>
    <w:rsid w:val="00E00599"/>
    <w:rsid w:val="00E00605"/>
    <w:rsid w:val="00E0078C"/>
    <w:rsid w:val="00E00794"/>
    <w:rsid w:val="00E007F7"/>
    <w:rsid w:val="00E00845"/>
    <w:rsid w:val="00E008A7"/>
    <w:rsid w:val="00E009A6"/>
    <w:rsid w:val="00E00A1C"/>
    <w:rsid w:val="00E00A24"/>
    <w:rsid w:val="00E00A6A"/>
    <w:rsid w:val="00E00AE4"/>
    <w:rsid w:val="00E00B03"/>
    <w:rsid w:val="00E00C79"/>
    <w:rsid w:val="00E00CBD"/>
    <w:rsid w:val="00E00D95"/>
    <w:rsid w:val="00E00EFE"/>
    <w:rsid w:val="00E00F16"/>
    <w:rsid w:val="00E00F88"/>
    <w:rsid w:val="00E00FA1"/>
    <w:rsid w:val="00E0104E"/>
    <w:rsid w:val="00E01058"/>
    <w:rsid w:val="00E010A8"/>
    <w:rsid w:val="00E010E4"/>
    <w:rsid w:val="00E012BB"/>
    <w:rsid w:val="00E012E3"/>
    <w:rsid w:val="00E01352"/>
    <w:rsid w:val="00E01380"/>
    <w:rsid w:val="00E0139F"/>
    <w:rsid w:val="00E01457"/>
    <w:rsid w:val="00E01472"/>
    <w:rsid w:val="00E01484"/>
    <w:rsid w:val="00E0152B"/>
    <w:rsid w:val="00E0152F"/>
    <w:rsid w:val="00E0154C"/>
    <w:rsid w:val="00E015F4"/>
    <w:rsid w:val="00E01630"/>
    <w:rsid w:val="00E01653"/>
    <w:rsid w:val="00E01704"/>
    <w:rsid w:val="00E01732"/>
    <w:rsid w:val="00E01745"/>
    <w:rsid w:val="00E01819"/>
    <w:rsid w:val="00E0184F"/>
    <w:rsid w:val="00E0192C"/>
    <w:rsid w:val="00E01934"/>
    <w:rsid w:val="00E01977"/>
    <w:rsid w:val="00E01985"/>
    <w:rsid w:val="00E019E6"/>
    <w:rsid w:val="00E019F8"/>
    <w:rsid w:val="00E01B7B"/>
    <w:rsid w:val="00E01B89"/>
    <w:rsid w:val="00E01BA7"/>
    <w:rsid w:val="00E01D20"/>
    <w:rsid w:val="00E01D36"/>
    <w:rsid w:val="00E01D3A"/>
    <w:rsid w:val="00E01D41"/>
    <w:rsid w:val="00E01E41"/>
    <w:rsid w:val="00E01E50"/>
    <w:rsid w:val="00E01E9F"/>
    <w:rsid w:val="00E01EED"/>
    <w:rsid w:val="00E01F3A"/>
    <w:rsid w:val="00E01F70"/>
    <w:rsid w:val="00E01FC8"/>
    <w:rsid w:val="00E01FCD"/>
    <w:rsid w:val="00E01FEE"/>
    <w:rsid w:val="00E02015"/>
    <w:rsid w:val="00E0207C"/>
    <w:rsid w:val="00E020ED"/>
    <w:rsid w:val="00E0214F"/>
    <w:rsid w:val="00E02195"/>
    <w:rsid w:val="00E0220C"/>
    <w:rsid w:val="00E02247"/>
    <w:rsid w:val="00E022BA"/>
    <w:rsid w:val="00E022DF"/>
    <w:rsid w:val="00E022E4"/>
    <w:rsid w:val="00E02376"/>
    <w:rsid w:val="00E02468"/>
    <w:rsid w:val="00E0246B"/>
    <w:rsid w:val="00E024DC"/>
    <w:rsid w:val="00E02511"/>
    <w:rsid w:val="00E02649"/>
    <w:rsid w:val="00E0267D"/>
    <w:rsid w:val="00E02693"/>
    <w:rsid w:val="00E0273E"/>
    <w:rsid w:val="00E027B8"/>
    <w:rsid w:val="00E027E7"/>
    <w:rsid w:val="00E02802"/>
    <w:rsid w:val="00E02824"/>
    <w:rsid w:val="00E02897"/>
    <w:rsid w:val="00E028D0"/>
    <w:rsid w:val="00E028DC"/>
    <w:rsid w:val="00E02949"/>
    <w:rsid w:val="00E029C9"/>
    <w:rsid w:val="00E02A13"/>
    <w:rsid w:val="00E02A74"/>
    <w:rsid w:val="00E02AE2"/>
    <w:rsid w:val="00E02AFC"/>
    <w:rsid w:val="00E02B0D"/>
    <w:rsid w:val="00E02B39"/>
    <w:rsid w:val="00E02B3C"/>
    <w:rsid w:val="00E02BE4"/>
    <w:rsid w:val="00E02D5A"/>
    <w:rsid w:val="00E02D97"/>
    <w:rsid w:val="00E02E92"/>
    <w:rsid w:val="00E02EED"/>
    <w:rsid w:val="00E02F0B"/>
    <w:rsid w:val="00E02F59"/>
    <w:rsid w:val="00E02FFA"/>
    <w:rsid w:val="00E03072"/>
    <w:rsid w:val="00E03074"/>
    <w:rsid w:val="00E030D1"/>
    <w:rsid w:val="00E03144"/>
    <w:rsid w:val="00E03146"/>
    <w:rsid w:val="00E03148"/>
    <w:rsid w:val="00E031AA"/>
    <w:rsid w:val="00E031AC"/>
    <w:rsid w:val="00E0322E"/>
    <w:rsid w:val="00E03234"/>
    <w:rsid w:val="00E032A2"/>
    <w:rsid w:val="00E032C3"/>
    <w:rsid w:val="00E032CA"/>
    <w:rsid w:val="00E032F3"/>
    <w:rsid w:val="00E03321"/>
    <w:rsid w:val="00E0333B"/>
    <w:rsid w:val="00E03357"/>
    <w:rsid w:val="00E03396"/>
    <w:rsid w:val="00E0340F"/>
    <w:rsid w:val="00E03415"/>
    <w:rsid w:val="00E034E3"/>
    <w:rsid w:val="00E0354D"/>
    <w:rsid w:val="00E03554"/>
    <w:rsid w:val="00E0356A"/>
    <w:rsid w:val="00E0359C"/>
    <w:rsid w:val="00E035A7"/>
    <w:rsid w:val="00E035D6"/>
    <w:rsid w:val="00E035D7"/>
    <w:rsid w:val="00E03662"/>
    <w:rsid w:val="00E03694"/>
    <w:rsid w:val="00E036C1"/>
    <w:rsid w:val="00E0379E"/>
    <w:rsid w:val="00E038CD"/>
    <w:rsid w:val="00E03939"/>
    <w:rsid w:val="00E03993"/>
    <w:rsid w:val="00E03A5E"/>
    <w:rsid w:val="00E03AB6"/>
    <w:rsid w:val="00E03B5F"/>
    <w:rsid w:val="00E03BEB"/>
    <w:rsid w:val="00E03C97"/>
    <w:rsid w:val="00E03D4B"/>
    <w:rsid w:val="00E03D80"/>
    <w:rsid w:val="00E03DBC"/>
    <w:rsid w:val="00E03DCA"/>
    <w:rsid w:val="00E03DD1"/>
    <w:rsid w:val="00E03E65"/>
    <w:rsid w:val="00E03EC3"/>
    <w:rsid w:val="00E03EC6"/>
    <w:rsid w:val="00E03ED3"/>
    <w:rsid w:val="00E03EF7"/>
    <w:rsid w:val="00E03F22"/>
    <w:rsid w:val="00E03F6B"/>
    <w:rsid w:val="00E03FCD"/>
    <w:rsid w:val="00E0405B"/>
    <w:rsid w:val="00E04108"/>
    <w:rsid w:val="00E04135"/>
    <w:rsid w:val="00E0414E"/>
    <w:rsid w:val="00E041AC"/>
    <w:rsid w:val="00E041B4"/>
    <w:rsid w:val="00E041F9"/>
    <w:rsid w:val="00E0422E"/>
    <w:rsid w:val="00E04270"/>
    <w:rsid w:val="00E04280"/>
    <w:rsid w:val="00E04448"/>
    <w:rsid w:val="00E04483"/>
    <w:rsid w:val="00E0455E"/>
    <w:rsid w:val="00E04574"/>
    <w:rsid w:val="00E0468C"/>
    <w:rsid w:val="00E046E1"/>
    <w:rsid w:val="00E046F1"/>
    <w:rsid w:val="00E04880"/>
    <w:rsid w:val="00E048BC"/>
    <w:rsid w:val="00E048C5"/>
    <w:rsid w:val="00E048E7"/>
    <w:rsid w:val="00E0494A"/>
    <w:rsid w:val="00E0499E"/>
    <w:rsid w:val="00E049C1"/>
    <w:rsid w:val="00E049E4"/>
    <w:rsid w:val="00E04A55"/>
    <w:rsid w:val="00E04AA5"/>
    <w:rsid w:val="00E04AE8"/>
    <w:rsid w:val="00E04B67"/>
    <w:rsid w:val="00E04B75"/>
    <w:rsid w:val="00E04B89"/>
    <w:rsid w:val="00E04BA8"/>
    <w:rsid w:val="00E04BB3"/>
    <w:rsid w:val="00E04BE2"/>
    <w:rsid w:val="00E04C29"/>
    <w:rsid w:val="00E04D09"/>
    <w:rsid w:val="00E04DF4"/>
    <w:rsid w:val="00E04E39"/>
    <w:rsid w:val="00E04E80"/>
    <w:rsid w:val="00E04EF6"/>
    <w:rsid w:val="00E04FA9"/>
    <w:rsid w:val="00E05126"/>
    <w:rsid w:val="00E0514F"/>
    <w:rsid w:val="00E05183"/>
    <w:rsid w:val="00E051C3"/>
    <w:rsid w:val="00E051D2"/>
    <w:rsid w:val="00E053C9"/>
    <w:rsid w:val="00E0546F"/>
    <w:rsid w:val="00E05492"/>
    <w:rsid w:val="00E054C6"/>
    <w:rsid w:val="00E054DB"/>
    <w:rsid w:val="00E0550D"/>
    <w:rsid w:val="00E0552B"/>
    <w:rsid w:val="00E055BB"/>
    <w:rsid w:val="00E056CD"/>
    <w:rsid w:val="00E056D8"/>
    <w:rsid w:val="00E05716"/>
    <w:rsid w:val="00E05754"/>
    <w:rsid w:val="00E0580A"/>
    <w:rsid w:val="00E0581E"/>
    <w:rsid w:val="00E05868"/>
    <w:rsid w:val="00E0587F"/>
    <w:rsid w:val="00E0599F"/>
    <w:rsid w:val="00E05A3D"/>
    <w:rsid w:val="00E05A57"/>
    <w:rsid w:val="00E05AED"/>
    <w:rsid w:val="00E05BE3"/>
    <w:rsid w:val="00E05C47"/>
    <w:rsid w:val="00E05C6B"/>
    <w:rsid w:val="00E05CA6"/>
    <w:rsid w:val="00E05D85"/>
    <w:rsid w:val="00E05F37"/>
    <w:rsid w:val="00E06011"/>
    <w:rsid w:val="00E0617A"/>
    <w:rsid w:val="00E06217"/>
    <w:rsid w:val="00E06294"/>
    <w:rsid w:val="00E062E6"/>
    <w:rsid w:val="00E062F3"/>
    <w:rsid w:val="00E06374"/>
    <w:rsid w:val="00E0640A"/>
    <w:rsid w:val="00E064A7"/>
    <w:rsid w:val="00E064CE"/>
    <w:rsid w:val="00E06509"/>
    <w:rsid w:val="00E06559"/>
    <w:rsid w:val="00E065E6"/>
    <w:rsid w:val="00E066AF"/>
    <w:rsid w:val="00E0672E"/>
    <w:rsid w:val="00E0674D"/>
    <w:rsid w:val="00E06779"/>
    <w:rsid w:val="00E067B6"/>
    <w:rsid w:val="00E068EF"/>
    <w:rsid w:val="00E06A1E"/>
    <w:rsid w:val="00E06A1F"/>
    <w:rsid w:val="00E06A4B"/>
    <w:rsid w:val="00E06AAF"/>
    <w:rsid w:val="00E06B61"/>
    <w:rsid w:val="00E06B67"/>
    <w:rsid w:val="00E06BB0"/>
    <w:rsid w:val="00E06BF9"/>
    <w:rsid w:val="00E06C20"/>
    <w:rsid w:val="00E06C67"/>
    <w:rsid w:val="00E06CDA"/>
    <w:rsid w:val="00E06D30"/>
    <w:rsid w:val="00E06D48"/>
    <w:rsid w:val="00E06D5A"/>
    <w:rsid w:val="00E06D75"/>
    <w:rsid w:val="00E06DB7"/>
    <w:rsid w:val="00E06E51"/>
    <w:rsid w:val="00E06F01"/>
    <w:rsid w:val="00E06FD8"/>
    <w:rsid w:val="00E07023"/>
    <w:rsid w:val="00E071A2"/>
    <w:rsid w:val="00E07221"/>
    <w:rsid w:val="00E0726C"/>
    <w:rsid w:val="00E072A8"/>
    <w:rsid w:val="00E072D5"/>
    <w:rsid w:val="00E072E1"/>
    <w:rsid w:val="00E072F8"/>
    <w:rsid w:val="00E07323"/>
    <w:rsid w:val="00E073CA"/>
    <w:rsid w:val="00E07468"/>
    <w:rsid w:val="00E074A4"/>
    <w:rsid w:val="00E07560"/>
    <w:rsid w:val="00E07580"/>
    <w:rsid w:val="00E07628"/>
    <w:rsid w:val="00E07629"/>
    <w:rsid w:val="00E076A1"/>
    <w:rsid w:val="00E076AA"/>
    <w:rsid w:val="00E076BC"/>
    <w:rsid w:val="00E078E6"/>
    <w:rsid w:val="00E079F1"/>
    <w:rsid w:val="00E07BB3"/>
    <w:rsid w:val="00E07BD7"/>
    <w:rsid w:val="00E07BF5"/>
    <w:rsid w:val="00E07C15"/>
    <w:rsid w:val="00E07CA8"/>
    <w:rsid w:val="00E07CF6"/>
    <w:rsid w:val="00E07D4F"/>
    <w:rsid w:val="00E07E05"/>
    <w:rsid w:val="00E07E75"/>
    <w:rsid w:val="00E07E9C"/>
    <w:rsid w:val="00E07F5F"/>
    <w:rsid w:val="00E07F94"/>
    <w:rsid w:val="00E07FCA"/>
    <w:rsid w:val="00E10031"/>
    <w:rsid w:val="00E100F7"/>
    <w:rsid w:val="00E10104"/>
    <w:rsid w:val="00E101F2"/>
    <w:rsid w:val="00E10211"/>
    <w:rsid w:val="00E10292"/>
    <w:rsid w:val="00E10319"/>
    <w:rsid w:val="00E1031B"/>
    <w:rsid w:val="00E10337"/>
    <w:rsid w:val="00E10377"/>
    <w:rsid w:val="00E103CF"/>
    <w:rsid w:val="00E103D0"/>
    <w:rsid w:val="00E10470"/>
    <w:rsid w:val="00E1047C"/>
    <w:rsid w:val="00E1047F"/>
    <w:rsid w:val="00E104E1"/>
    <w:rsid w:val="00E106A4"/>
    <w:rsid w:val="00E106D3"/>
    <w:rsid w:val="00E1070B"/>
    <w:rsid w:val="00E10756"/>
    <w:rsid w:val="00E10877"/>
    <w:rsid w:val="00E1090F"/>
    <w:rsid w:val="00E1093E"/>
    <w:rsid w:val="00E109FE"/>
    <w:rsid w:val="00E10A0A"/>
    <w:rsid w:val="00E10A0F"/>
    <w:rsid w:val="00E10B7B"/>
    <w:rsid w:val="00E10BF8"/>
    <w:rsid w:val="00E10C68"/>
    <w:rsid w:val="00E10C6F"/>
    <w:rsid w:val="00E10CF5"/>
    <w:rsid w:val="00E10D45"/>
    <w:rsid w:val="00E10DE6"/>
    <w:rsid w:val="00E10F24"/>
    <w:rsid w:val="00E10F56"/>
    <w:rsid w:val="00E10FB7"/>
    <w:rsid w:val="00E11005"/>
    <w:rsid w:val="00E110D6"/>
    <w:rsid w:val="00E11175"/>
    <w:rsid w:val="00E111C9"/>
    <w:rsid w:val="00E11201"/>
    <w:rsid w:val="00E1121A"/>
    <w:rsid w:val="00E112CA"/>
    <w:rsid w:val="00E112D3"/>
    <w:rsid w:val="00E11326"/>
    <w:rsid w:val="00E11388"/>
    <w:rsid w:val="00E113F0"/>
    <w:rsid w:val="00E11444"/>
    <w:rsid w:val="00E11503"/>
    <w:rsid w:val="00E115B0"/>
    <w:rsid w:val="00E115C8"/>
    <w:rsid w:val="00E11721"/>
    <w:rsid w:val="00E11750"/>
    <w:rsid w:val="00E11840"/>
    <w:rsid w:val="00E11871"/>
    <w:rsid w:val="00E11961"/>
    <w:rsid w:val="00E11976"/>
    <w:rsid w:val="00E11991"/>
    <w:rsid w:val="00E119A8"/>
    <w:rsid w:val="00E119BF"/>
    <w:rsid w:val="00E11A43"/>
    <w:rsid w:val="00E11A81"/>
    <w:rsid w:val="00E11ACD"/>
    <w:rsid w:val="00E11AD9"/>
    <w:rsid w:val="00E11BCD"/>
    <w:rsid w:val="00E11D34"/>
    <w:rsid w:val="00E11DEE"/>
    <w:rsid w:val="00E11FD0"/>
    <w:rsid w:val="00E1202F"/>
    <w:rsid w:val="00E1204D"/>
    <w:rsid w:val="00E120A3"/>
    <w:rsid w:val="00E12108"/>
    <w:rsid w:val="00E12193"/>
    <w:rsid w:val="00E121B9"/>
    <w:rsid w:val="00E121EF"/>
    <w:rsid w:val="00E1220C"/>
    <w:rsid w:val="00E12243"/>
    <w:rsid w:val="00E122DC"/>
    <w:rsid w:val="00E1236B"/>
    <w:rsid w:val="00E123D7"/>
    <w:rsid w:val="00E1241C"/>
    <w:rsid w:val="00E12424"/>
    <w:rsid w:val="00E1247D"/>
    <w:rsid w:val="00E125C8"/>
    <w:rsid w:val="00E126D7"/>
    <w:rsid w:val="00E12728"/>
    <w:rsid w:val="00E12754"/>
    <w:rsid w:val="00E12774"/>
    <w:rsid w:val="00E1279A"/>
    <w:rsid w:val="00E127F9"/>
    <w:rsid w:val="00E1283F"/>
    <w:rsid w:val="00E1286F"/>
    <w:rsid w:val="00E128C3"/>
    <w:rsid w:val="00E12908"/>
    <w:rsid w:val="00E1291D"/>
    <w:rsid w:val="00E12920"/>
    <w:rsid w:val="00E12AC6"/>
    <w:rsid w:val="00E12AD2"/>
    <w:rsid w:val="00E12AD8"/>
    <w:rsid w:val="00E12CCD"/>
    <w:rsid w:val="00E12D7B"/>
    <w:rsid w:val="00E12DEF"/>
    <w:rsid w:val="00E12DF4"/>
    <w:rsid w:val="00E12E27"/>
    <w:rsid w:val="00E12FAF"/>
    <w:rsid w:val="00E12FB1"/>
    <w:rsid w:val="00E13026"/>
    <w:rsid w:val="00E1303D"/>
    <w:rsid w:val="00E13054"/>
    <w:rsid w:val="00E1307E"/>
    <w:rsid w:val="00E1310F"/>
    <w:rsid w:val="00E131F9"/>
    <w:rsid w:val="00E13212"/>
    <w:rsid w:val="00E1322D"/>
    <w:rsid w:val="00E13424"/>
    <w:rsid w:val="00E1343E"/>
    <w:rsid w:val="00E134A3"/>
    <w:rsid w:val="00E134BF"/>
    <w:rsid w:val="00E13546"/>
    <w:rsid w:val="00E1361F"/>
    <w:rsid w:val="00E136A7"/>
    <w:rsid w:val="00E136C5"/>
    <w:rsid w:val="00E137DE"/>
    <w:rsid w:val="00E13807"/>
    <w:rsid w:val="00E1381D"/>
    <w:rsid w:val="00E1384F"/>
    <w:rsid w:val="00E13A1F"/>
    <w:rsid w:val="00E13A61"/>
    <w:rsid w:val="00E13B79"/>
    <w:rsid w:val="00E13B80"/>
    <w:rsid w:val="00E13B82"/>
    <w:rsid w:val="00E13BD3"/>
    <w:rsid w:val="00E13CC2"/>
    <w:rsid w:val="00E13CEC"/>
    <w:rsid w:val="00E13D12"/>
    <w:rsid w:val="00E13DB9"/>
    <w:rsid w:val="00E13DD7"/>
    <w:rsid w:val="00E13E5D"/>
    <w:rsid w:val="00E13F33"/>
    <w:rsid w:val="00E14030"/>
    <w:rsid w:val="00E14043"/>
    <w:rsid w:val="00E14079"/>
    <w:rsid w:val="00E140C3"/>
    <w:rsid w:val="00E140D0"/>
    <w:rsid w:val="00E14107"/>
    <w:rsid w:val="00E14135"/>
    <w:rsid w:val="00E1417A"/>
    <w:rsid w:val="00E141D8"/>
    <w:rsid w:val="00E1421D"/>
    <w:rsid w:val="00E14222"/>
    <w:rsid w:val="00E14275"/>
    <w:rsid w:val="00E14346"/>
    <w:rsid w:val="00E1436B"/>
    <w:rsid w:val="00E1439E"/>
    <w:rsid w:val="00E14406"/>
    <w:rsid w:val="00E14408"/>
    <w:rsid w:val="00E14447"/>
    <w:rsid w:val="00E14451"/>
    <w:rsid w:val="00E144B7"/>
    <w:rsid w:val="00E144D9"/>
    <w:rsid w:val="00E1457B"/>
    <w:rsid w:val="00E145EE"/>
    <w:rsid w:val="00E1466F"/>
    <w:rsid w:val="00E14731"/>
    <w:rsid w:val="00E1473D"/>
    <w:rsid w:val="00E14791"/>
    <w:rsid w:val="00E148E0"/>
    <w:rsid w:val="00E14913"/>
    <w:rsid w:val="00E14A3A"/>
    <w:rsid w:val="00E14AC9"/>
    <w:rsid w:val="00E14AE5"/>
    <w:rsid w:val="00E14AF1"/>
    <w:rsid w:val="00E14B0E"/>
    <w:rsid w:val="00E14B6F"/>
    <w:rsid w:val="00E14BD4"/>
    <w:rsid w:val="00E14C21"/>
    <w:rsid w:val="00E14C64"/>
    <w:rsid w:val="00E14CC7"/>
    <w:rsid w:val="00E14CD8"/>
    <w:rsid w:val="00E14D6A"/>
    <w:rsid w:val="00E14D82"/>
    <w:rsid w:val="00E14DB2"/>
    <w:rsid w:val="00E14DD0"/>
    <w:rsid w:val="00E14DFB"/>
    <w:rsid w:val="00E14E9A"/>
    <w:rsid w:val="00E14F1E"/>
    <w:rsid w:val="00E14FA2"/>
    <w:rsid w:val="00E1503C"/>
    <w:rsid w:val="00E15077"/>
    <w:rsid w:val="00E150DB"/>
    <w:rsid w:val="00E1514C"/>
    <w:rsid w:val="00E151A1"/>
    <w:rsid w:val="00E151EC"/>
    <w:rsid w:val="00E15216"/>
    <w:rsid w:val="00E15282"/>
    <w:rsid w:val="00E15287"/>
    <w:rsid w:val="00E152C3"/>
    <w:rsid w:val="00E15361"/>
    <w:rsid w:val="00E153BC"/>
    <w:rsid w:val="00E153D6"/>
    <w:rsid w:val="00E15422"/>
    <w:rsid w:val="00E15432"/>
    <w:rsid w:val="00E1554E"/>
    <w:rsid w:val="00E15584"/>
    <w:rsid w:val="00E155A3"/>
    <w:rsid w:val="00E15702"/>
    <w:rsid w:val="00E15762"/>
    <w:rsid w:val="00E1578C"/>
    <w:rsid w:val="00E157CF"/>
    <w:rsid w:val="00E15803"/>
    <w:rsid w:val="00E15821"/>
    <w:rsid w:val="00E158D3"/>
    <w:rsid w:val="00E15A64"/>
    <w:rsid w:val="00E15A80"/>
    <w:rsid w:val="00E15AEC"/>
    <w:rsid w:val="00E15BB0"/>
    <w:rsid w:val="00E15C35"/>
    <w:rsid w:val="00E15C8B"/>
    <w:rsid w:val="00E15C93"/>
    <w:rsid w:val="00E15CD9"/>
    <w:rsid w:val="00E15D42"/>
    <w:rsid w:val="00E15E19"/>
    <w:rsid w:val="00E15E9F"/>
    <w:rsid w:val="00E15FAD"/>
    <w:rsid w:val="00E15FB9"/>
    <w:rsid w:val="00E15FD3"/>
    <w:rsid w:val="00E15FD5"/>
    <w:rsid w:val="00E1602D"/>
    <w:rsid w:val="00E1608E"/>
    <w:rsid w:val="00E160E6"/>
    <w:rsid w:val="00E1610B"/>
    <w:rsid w:val="00E1612F"/>
    <w:rsid w:val="00E16181"/>
    <w:rsid w:val="00E161A4"/>
    <w:rsid w:val="00E161C1"/>
    <w:rsid w:val="00E1623A"/>
    <w:rsid w:val="00E16352"/>
    <w:rsid w:val="00E16408"/>
    <w:rsid w:val="00E16426"/>
    <w:rsid w:val="00E16443"/>
    <w:rsid w:val="00E16461"/>
    <w:rsid w:val="00E164BA"/>
    <w:rsid w:val="00E1651A"/>
    <w:rsid w:val="00E1654F"/>
    <w:rsid w:val="00E16695"/>
    <w:rsid w:val="00E1687C"/>
    <w:rsid w:val="00E168D1"/>
    <w:rsid w:val="00E169A2"/>
    <w:rsid w:val="00E16A5D"/>
    <w:rsid w:val="00E16B59"/>
    <w:rsid w:val="00E16BAA"/>
    <w:rsid w:val="00E16BDF"/>
    <w:rsid w:val="00E16BE0"/>
    <w:rsid w:val="00E16C1A"/>
    <w:rsid w:val="00E16D2E"/>
    <w:rsid w:val="00E16D47"/>
    <w:rsid w:val="00E16E09"/>
    <w:rsid w:val="00E16E45"/>
    <w:rsid w:val="00E16EBD"/>
    <w:rsid w:val="00E16F77"/>
    <w:rsid w:val="00E17039"/>
    <w:rsid w:val="00E17071"/>
    <w:rsid w:val="00E17074"/>
    <w:rsid w:val="00E17109"/>
    <w:rsid w:val="00E1715C"/>
    <w:rsid w:val="00E171ED"/>
    <w:rsid w:val="00E1721F"/>
    <w:rsid w:val="00E1729B"/>
    <w:rsid w:val="00E17397"/>
    <w:rsid w:val="00E173CD"/>
    <w:rsid w:val="00E17446"/>
    <w:rsid w:val="00E17464"/>
    <w:rsid w:val="00E174CE"/>
    <w:rsid w:val="00E17512"/>
    <w:rsid w:val="00E17555"/>
    <w:rsid w:val="00E175EA"/>
    <w:rsid w:val="00E17632"/>
    <w:rsid w:val="00E17678"/>
    <w:rsid w:val="00E17681"/>
    <w:rsid w:val="00E176E8"/>
    <w:rsid w:val="00E1773C"/>
    <w:rsid w:val="00E17743"/>
    <w:rsid w:val="00E177D1"/>
    <w:rsid w:val="00E177EC"/>
    <w:rsid w:val="00E17837"/>
    <w:rsid w:val="00E179A6"/>
    <w:rsid w:val="00E17A94"/>
    <w:rsid w:val="00E17AEB"/>
    <w:rsid w:val="00E17B25"/>
    <w:rsid w:val="00E17BDC"/>
    <w:rsid w:val="00E17C64"/>
    <w:rsid w:val="00E17D42"/>
    <w:rsid w:val="00E17D92"/>
    <w:rsid w:val="00E17E1C"/>
    <w:rsid w:val="00E17E4B"/>
    <w:rsid w:val="00E17F34"/>
    <w:rsid w:val="00E17F5E"/>
    <w:rsid w:val="00E17FAC"/>
    <w:rsid w:val="00E17FD0"/>
    <w:rsid w:val="00E20100"/>
    <w:rsid w:val="00E2012A"/>
    <w:rsid w:val="00E201D2"/>
    <w:rsid w:val="00E2029A"/>
    <w:rsid w:val="00E2029F"/>
    <w:rsid w:val="00E202A4"/>
    <w:rsid w:val="00E202F3"/>
    <w:rsid w:val="00E2033F"/>
    <w:rsid w:val="00E20388"/>
    <w:rsid w:val="00E203BD"/>
    <w:rsid w:val="00E203E3"/>
    <w:rsid w:val="00E20446"/>
    <w:rsid w:val="00E2047D"/>
    <w:rsid w:val="00E204E0"/>
    <w:rsid w:val="00E20512"/>
    <w:rsid w:val="00E20560"/>
    <w:rsid w:val="00E20610"/>
    <w:rsid w:val="00E2064E"/>
    <w:rsid w:val="00E206BD"/>
    <w:rsid w:val="00E20754"/>
    <w:rsid w:val="00E207BF"/>
    <w:rsid w:val="00E207EF"/>
    <w:rsid w:val="00E207F0"/>
    <w:rsid w:val="00E2080C"/>
    <w:rsid w:val="00E20817"/>
    <w:rsid w:val="00E208E7"/>
    <w:rsid w:val="00E2092E"/>
    <w:rsid w:val="00E2093E"/>
    <w:rsid w:val="00E20A32"/>
    <w:rsid w:val="00E20A43"/>
    <w:rsid w:val="00E20AAB"/>
    <w:rsid w:val="00E20B26"/>
    <w:rsid w:val="00E20B99"/>
    <w:rsid w:val="00E20BEE"/>
    <w:rsid w:val="00E20C6A"/>
    <w:rsid w:val="00E20CA9"/>
    <w:rsid w:val="00E20D9C"/>
    <w:rsid w:val="00E20E17"/>
    <w:rsid w:val="00E20E21"/>
    <w:rsid w:val="00E2106C"/>
    <w:rsid w:val="00E2106F"/>
    <w:rsid w:val="00E210AF"/>
    <w:rsid w:val="00E210BD"/>
    <w:rsid w:val="00E210CC"/>
    <w:rsid w:val="00E210D5"/>
    <w:rsid w:val="00E210DA"/>
    <w:rsid w:val="00E21147"/>
    <w:rsid w:val="00E2116C"/>
    <w:rsid w:val="00E211A2"/>
    <w:rsid w:val="00E211BC"/>
    <w:rsid w:val="00E211E6"/>
    <w:rsid w:val="00E2129C"/>
    <w:rsid w:val="00E212B4"/>
    <w:rsid w:val="00E212E7"/>
    <w:rsid w:val="00E213D2"/>
    <w:rsid w:val="00E214AB"/>
    <w:rsid w:val="00E214F1"/>
    <w:rsid w:val="00E215D0"/>
    <w:rsid w:val="00E21604"/>
    <w:rsid w:val="00E2161B"/>
    <w:rsid w:val="00E2162F"/>
    <w:rsid w:val="00E2164B"/>
    <w:rsid w:val="00E21655"/>
    <w:rsid w:val="00E217AD"/>
    <w:rsid w:val="00E21823"/>
    <w:rsid w:val="00E2183E"/>
    <w:rsid w:val="00E21861"/>
    <w:rsid w:val="00E21969"/>
    <w:rsid w:val="00E21985"/>
    <w:rsid w:val="00E21990"/>
    <w:rsid w:val="00E21A22"/>
    <w:rsid w:val="00E21AA9"/>
    <w:rsid w:val="00E21B32"/>
    <w:rsid w:val="00E21B37"/>
    <w:rsid w:val="00E21B9D"/>
    <w:rsid w:val="00E21BCE"/>
    <w:rsid w:val="00E21C64"/>
    <w:rsid w:val="00E21E0D"/>
    <w:rsid w:val="00E21FA4"/>
    <w:rsid w:val="00E2200E"/>
    <w:rsid w:val="00E22033"/>
    <w:rsid w:val="00E2204A"/>
    <w:rsid w:val="00E22096"/>
    <w:rsid w:val="00E22136"/>
    <w:rsid w:val="00E22189"/>
    <w:rsid w:val="00E221B6"/>
    <w:rsid w:val="00E221FC"/>
    <w:rsid w:val="00E22287"/>
    <w:rsid w:val="00E223A5"/>
    <w:rsid w:val="00E22459"/>
    <w:rsid w:val="00E2246B"/>
    <w:rsid w:val="00E224BA"/>
    <w:rsid w:val="00E224FD"/>
    <w:rsid w:val="00E224FE"/>
    <w:rsid w:val="00E22510"/>
    <w:rsid w:val="00E22558"/>
    <w:rsid w:val="00E22562"/>
    <w:rsid w:val="00E225AB"/>
    <w:rsid w:val="00E2266E"/>
    <w:rsid w:val="00E226B0"/>
    <w:rsid w:val="00E226D7"/>
    <w:rsid w:val="00E226F7"/>
    <w:rsid w:val="00E227CC"/>
    <w:rsid w:val="00E228E6"/>
    <w:rsid w:val="00E2291B"/>
    <w:rsid w:val="00E2297A"/>
    <w:rsid w:val="00E22A54"/>
    <w:rsid w:val="00E22A84"/>
    <w:rsid w:val="00E22C66"/>
    <w:rsid w:val="00E22CE9"/>
    <w:rsid w:val="00E22CF8"/>
    <w:rsid w:val="00E22D25"/>
    <w:rsid w:val="00E22D7F"/>
    <w:rsid w:val="00E22EC5"/>
    <w:rsid w:val="00E22F91"/>
    <w:rsid w:val="00E23114"/>
    <w:rsid w:val="00E2311C"/>
    <w:rsid w:val="00E23196"/>
    <w:rsid w:val="00E23276"/>
    <w:rsid w:val="00E232E2"/>
    <w:rsid w:val="00E233EB"/>
    <w:rsid w:val="00E234E5"/>
    <w:rsid w:val="00E234F0"/>
    <w:rsid w:val="00E23511"/>
    <w:rsid w:val="00E23525"/>
    <w:rsid w:val="00E235F1"/>
    <w:rsid w:val="00E235F5"/>
    <w:rsid w:val="00E235F8"/>
    <w:rsid w:val="00E236BC"/>
    <w:rsid w:val="00E236FC"/>
    <w:rsid w:val="00E2371A"/>
    <w:rsid w:val="00E23802"/>
    <w:rsid w:val="00E2381C"/>
    <w:rsid w:val="00E23907"/>
    <w:rsid w:val="00E2390E"/>
    <w:rsid w:val="00E2392D"/>
    <w:rsid w:val="00E23A14"/>
    <w:rsid w:val="00E23A4F"/>
    <w:rsid w:val="00E23A6E"/>
    <w:rsid w:val="00E23AB4"/>
    <w:rsid w:val="00E23B02"/>
    <w:rsid w:val="00E23BA3"/>
    <w:rsid w:val="00E23C40"/>
    <w:rsid w:val="00E23D68"/>
    <w:rsid w:val="00E23E1F"/>
    <w:rsid w:val="00E23E21"/>
    <w:rsid w:val="00E23E24"/>
    <w:rsid w:val="00E23EB6"/>
    <w:rsid w:val="00E24113"/>
    <w:rsid w:val="00E24142"/>
    <w:rsid w:val="00E24245"/>
    <w:rsid w:val="00E242CE"/>
    <w:rsid w:val="00E242D0"/>
    <w:rsid w:val="00E2430C"/>
    <w:rsid w:val="00E2431C"/>
    <w:rsid w:val="00E243E9"/>
    <w:rsid w:val="00E243EC"/>
    <w:rsid w:val="00E24400"/>
    <w:rsid w:val="00E2441A"/>
    <w:rsid w:val="00E24424"/>
    <w:rsid w:val="00E24453"/>
    <w:rsid w:val="00E24461"/>
    <w:rsid w:val="00E244AF"/>
    <w:rsid w:val="00E244FB"/>
    <w:rsid w:val="00E2457A"/>
    <w:rsid w:val="00E2459B"/>
    <w:rsid w:val="00E2460E"/>
    <w:rsid w:val="00E24775"/>
    <w:rsid w:val="00E24795"/>
    <w:rsid w:val="00E247E8"/>
    <w:rsid w:val="00E247F5"/>
    <w:rsid w:val="00E24847"/>
    <w:rsid w:val="00E2484A"/>
    <w:rsid w:val="00E24875"/>
    <w:rsid w:val="00E248A3"/>
    <w:rsid w:val="00E248FD"/>
    <w:rsid w:val="00E24908"/>
    <w:rsid w:val="00E24965"/>
    <w:rsid w:val="00E24978"/>
    <w:rsid w:val="00E249B6"/>
    <w:rsid w:val="00E249E8"/>
    <w:rsid w:val="00E24A20"/>
    <w:rsid w:val="00E24A2F"/>
    <w:rsid w:val="00E24A54"/>
    <w:rsid w:val="00E24AB5"/>
    <w:rsid w:val="00E24ABE"/>
    <w:rsid w:val="00E24B1D"/>
    <w:rsid w:val="00E24B2C"/>
    <w:rsid w:val="00E24BA2"/>
    <w:rsid w:val="00E24CBA"/>
    <w:rsid w:val="00E24CFC"/>
    <w:rsid w:val="00E24D4A"/>
    <w:rsid w:val="00E24DEF"/>
    <w:rsid w:val="00E24E3F"/>
    <w:rsid w:val="00E24F20"/>
    <w:rsid w:val="00E25029"/>
    <w:rsid w:val="00E250A8"/>
    <w:rsid w:val="00E251DF"/>
    <w:rsid w:val="00E251EF"/>
    <w:rsid w:val="00E2528B"/>
    <w:rsid w:val="00E2539E"/>
    <w:rsid w:val="00E255DC"/>
    <w:rsid w:val="00E255FD"/>
    <w:rsid w:val="00E25609"/>
    <w:rsid w:val="00E25674"/>
    <w:rsid w:val="00E256C4"/>
    <w:rsid w:val="00E25701"/>
    <w:rsid w:val="00E25741"/>
    <w:rsid w:val="00E257D3"/>
    <w:rsid w:val="00E2586A"/>
    <w:rsid w:val="00E2589C"/>
    <w:rsid w:val="00E25A49"/>
    <w:rsid w:val="00E25AB2"/>
    <w:rsid w:val="00E25B29"/>
    <w:rsid w:val="00E25B32"/>
    <w:rsid w:val="00E25B89"/>
    <w:rsid w:val="00E25C12"/>
    <w:rsid w:val="00E25CC6"/>
    <w:rsid w:val="00E25D29"/>
    <w:rsid w:val="00E25D9C"/>
    <w:rsid w:val="00E25DE0"/>
    <w:rsid w:val="00E25E15"/>
    <w:rsid w:val="00E25E34"/>
    <w:rsid w:val="00E25E35"/>
    <w:rsid w:val="00E25E3E"/>
    <w:rsid w:val="00E25F83"/>
    <w:rsid w:val="00E26015"/>
    <w:rsid w:val="00E26020"/>
    <w:rsid w:val="00E2608E"/>
    <w:rsid w:val="00E260E5"/>
    <w:rsid w:val="00E260EC"/>
    <w:rsid w:val="00E26280"/>
    <w:rsid w:val="00E262BB"/>
    <w:rsid w:val="00E263C2"/>
    <w:rsid w:val="00E2648A"/>
    <w:rsid w:val="00E264F7"/>
    <w:rsid w:val="00E264FD"/>
    <w:rsid w:val="00E26512"/>
    <w:rsid w:val="00E2653C"/>
    <w:rsid w:val="00E2659F"/>
    <w:rsid w:val="00E265C7"/>
    <w:rsid w:val="00E2668D"/>
    <w:rsid w:val="00E266E6"/>
    <w:rsid w:val="00E26758"/>
    <w:rsid w:val="00E2681D"/>
    <w:rsid w:val="00E268E0"/>
    <w:rsid w:val="00E268FC"/>
    <w:rsid w:val="00E26963"/>
    <w:rsid w:val="00E2696C"/>
    <w:rsid w:val="00E2696E"/>
    <w:rsid w:val="00E26998"/>
    <w:rsid w:val="00E26A61"/>
    <w:rsid w:val="00E26C7F"/>
    <w:rsid w:val="00E26CCB"/>
    <w:rsid w:val="00E26D09"/>
    <w:rsid w:val="00E26D79"/>
    <w:rsid w:val="00E26D7A"/>
    <w:rsid w:val="00E26E9C"/>
    <w:rsid w:val="00E26EAC"/>
    <w:rsid w:val="00E26F69"/>
    <w:rsid w:val="00E26FBC"/>
    <w:rsid w:val="00E270CE"/>
    <w:rsid w:val="00E2710B"/>
    <w:rsid w:val="00E27187"/>
    <w:rsid w:val="00E271A6"/>
    <w:rsid w:val="00E271EF"/>
    <w:rsid w:val="00E27226"/>
    <w:rsid w:val="00E27256"/>
    <w:rsid w:val="00E272F9"/>
    <w:rsid w:val="00E27349"/>
    <w:rsid w:val="00E27554"/>
    <w:rsid w:val="00E2756D"/>
    <w:rsid w:val="00E27606"/>
    <w:rsid w:val="00E2761A"/>
    <w:rsid w:val="00E27691"/>
    <w:rsid w:val="00E276E4"/>
    <w:rsid w:val="00E2773A"/>
    <w:rsid w:val="00E277CA"/>
    <w:rsid w:val="00E278A5"/>
    <w:rsid w:val="00E27917"/>
    <w:rsid w:val="00E2797E"/>
    <w:rsid w:val="00E27B22"/>
    <w:rsid w:val="00E27BBA"/>
    <w:rsid w:val="00E27C67"/>
    <w:rsid w:val="00E27CAE"/>
    <w:rsid w:val="00E27D0B"/>
    <w:rsid w:val="00E27D5C"/>
    <w:rsid w:val="00E27DB0"/>
    <w:rsid w:val="00E27DB2"/>
    <w:rsid w:val="00E27DB4"/>
    <w:rsid w:val="00E27F47"/>
    <w:rsid w:val="00E27F8E"/>
    <w:rsid w:val="00E30021"/>
    <w:rsid w:val="00E300B2"/>
    <w:rsid w:val="00E300B7"/>
    <w:rsid w:val="00E300BD"/>
    <w:rsid w:val="00E30111"/>
    <w:rsid w:val="00E30114"/>
    <w:rsid w:val="00E30181"/>
    <w:rsid w:val="00E301AA"/>
    <w:rsid w:val="00E301D1"/>
    <w:rsid w:val="00E301F0"/>
    <w:rsid w:val="00E30292"/>
    <w:rsid w:val="00E302DD"/>
    <w:rsid w:val="00E30313"/>
    <w:rsid w:val="00E3032D"/>
    <w:rsid w:val="00E30417"/>
    <w:rsid w:val="00E3044D"/>
    <w:rsid w:val="00E304E4"/>
    <w:rsid w:val="00E3058C"/>
    <w:rsid w:val="00E305A7"/>
    <w:rsid w:val="00E305AC"/>
    <w:rsid w:val="00E30600"/>
    <w:rsid w:val="00E30633"/>
    <w:rsid w:val="00E3074F"/>
    <w:rsid w:val="00E30786"/>
    <w:rsid w:val="00E307BF"/>
    <w:rsid w:val="00E3081A"/>
    <w:rsid w:val="00E30980"/>
    <w:rsid w:val="00E309A0"/>
    <w:rsid w:val="00E309EF"/>
    <w:rsid w:val="00E309F5"/>
    <w:rsid w:val="00E30A89"/>
    <w:rsid w:val="00E30B24"/>
    <w:rsid w:val="00E30B3C"/>
    <w:rsid w:val="00E30BA1"/>
    <w:rsid w:val="00E30BAE"/>
    <w:rsid w:val="00E30C08"/>
    <w:rsid w:val="00E30CCB"/>
    <w:rsid w:val="00E30D0A"/>
    <w:rsid w:val="00E30D7C"/>
    <w:rsid w:val="00E30D82"/>
    <w:rsid w:val="00E30D83"/>
    <w:rsid w:val="00E30E20"/>
    <w:rsid w:val="00E30E37"/>
    <w:rsid w:val="00E30E82"/>
    <w:rsid w:val="00E30FE1"/>
    <w:rsid w:val="00E31009"/>
    <w:rsid w:val="00E3100C"/>
    <w:rsid w:val="00E3102A"/>
    <w:rsid w:val="00E31054"/>
    <w:rsid w:val="00E3109E"/>
    <w:rsid w:val="00E310A0"/>
    <w:rsid w:val="00E3111D"/>
    <w:rsid w:val="00E3125C"/>
    <w:rsid w:val="00E31275"/>
    <w:rsid w:val="00E3133F"/>
    <w:rsid w:val="00E313A1"/>
    <w:rsid w:val="00E3148B"/>
    <w:rsid w:val="00E314A0"/>
    <w:rsid w:val="00E314EF"/>
    <w:rsid w:val="00E314FF"/>
    <w:rsid w:val="00E31548"/>
    <w:rsid w:val="00E31662"/>
    <w:rsid w:val="00E3168B"/>
    <w:rsid w:val="00E316F5"/>
    <w:rsid w:val="00E3170D"/>
    <w:rsid w:val="00E31835"/>
    <w:rsid w:val="00E318FC"/>
    <w:rsid w:val="00E319AB"/>
    <w:rsid w:val="00E31AAC"/>
    <w:rsid w:val="00E31AD2"/>
    <w:rsid w:val="00E31B25"/>
    <w:rsid w:val="00E31BF1"/>
    <w:rsid w:val="00E31C18"/>
    <w:rsid w:val="00E31C57"/>
    <w:rsid w:val="00E31C7D"/>
    <w:rsid w:val="00E31E8D"/>
    <w:rsid w:val="00E31F11"/>
    <w:rsid w:val="00E31F20"/>
    <w:rsid w:val="00E31F42"/>
    <w:rsid w:val="00E31F5B"/>
    <w:rsid w:val="00E31F9B"/>
    <w:rsid w:val="00E320DB"/>
    <w:rsid w:val="00E320FA"/>
    <w:rsid w:val="00E3217F"/>
    <w:rsid w:val="00E322C0"/>
    <w:rsid w:val="00E3238A"/>
    <w:rsid w:val="00E323B3"/>
    <w:rsid w:val="00E323E3"/>
    <w:rsid w:val="00E32448"/>
    <w:rsid w:val="00E32578"/>
    <w:rsid w:val="00E32579"/>
    <w:rsid w:val="00E325C3"/>
    <w:rsid w:val="00E326DD"/>
    <w:rsid w:val="00E32726"/>
    <w:rsid w:val="00E328CC"/>
    <w:rsid w:val="00E328EF"/>
    <w:rsid w:val="00E328F8"/>
    <w:rsid w:val="00E32927"/>
    <w:rsid w:val="00E32968"/>
    <w:rsid w:val="00E329B2"/>
    <w:rsid w:val="00E32A48"/>
    <w:rsid w:val="00E32AA5"/>
    <w:rsid w:val="00E32B07"/>
    <w:rsid w:val="00E32B7F"/>
    <w:rsid w:val="00E32B83"/>
    <w:rsid w:val="00E32BCD"/>
    <w:rsid w:val="00E32C8D"/>
    <w:rsid w:val="00E32D0F"/>
    <w:rsid w:val="00E32D13"/>
    <w:rsid w:val="00E32D14"/>
    <w:rsid w:val="00E32D34"/>
    <w:rsid w:val="00E32D61"/>
    <w:rsid w:val="00E32EEF"/>
    <w:rsid w:val="00E32FF3"/>
    <w:rsid w:val="00E3302C"/>
    <w:rsid w:val="00E33080"/>
    <w:rsid w:val="00E330B1"/>
    <w:rsid w:val="00E33209"/>
    <w:rsid w:val="00E3322A"/>
    <w:rsid w:val="00E33246"/>
    <w:rsid w:val="00E3346A"/>
    <w:rsid w:val="00E33489"/>
    <w:rsid w:val="00E3361B"/>
    <w:rsid w:val="00E33620"/>
    <w:rsid w:val="00E33650"/>
    <w:rsid w:val="00E33690"/>
    <w:rsid w:val="00E33697"/>
    <w:rsid w:val="00E336F8"/>
    <w:rsid w:val="00E33747"/>
    <w:rsid w:val="00E3377E"/>
    <w:rsid w:val="00E3380D"/>
    <w:rsid w:val="00E33829"/>
    <w:rsid w:val="00E33893"/>
    <w:rsid w:val="00E33993"/>
    <w:rsid w:val="00E339DA"/>
    <w:rsid w:val="00E339FA"/>
    <w:rsid w:val="00E33A06"/>
    <w:rsid w:val="00E33A1C"/>
    <w:rsid w:val="00E33A99"/>
    <w:rsid w:val="00E33AB4"/>
    <w:rsid w:val="00E33AE4"/>
    <w:rsid w:val="00E33B5A"/>
    <w:rsid w:val="00E33BF6"/>
    <w:rsid w:val="00E33D07"/>
    <w:rsid w:val="00E33D2F"/>
    <w:rsid w:val="00E33E09"/>
    <w:rsid w:val="00E33E31"/>
    <w:rsid w:val="00E33E75"/>
    <w:rsid w:val="00E33E90"/>
    <w:rsid w:val="00E33EC9"/>
    <w:rsid w:val="00E33F46"/>
    <w:rsid w:val="00E33FB9"/>
    <w:rsid w:val="00E34054"/>
    <w:rsid w:val="00E34065"/>
    <w:rsid w:val="00E34089"/>
    <w:rsid w:val="00E340E2"/>
    <w:rsid w:val="00E3413A"/>
    <w:rsid w:val="00E34178"/>
    <w:rsid w:val="00E34212"/>
    <w:rsid w:val="00E3422C"/>
    <w:rsid w:val="00E34246"/>
    <w:rsid w:val="00E3433C"/>
    <w:rsid w:val="00E34362"/>
    <w:rsid w:val="00E3439B"/>
    <w:rsid w:val="00E343B3"/>
    <w:rsid w:val="00E343DE"/>
    <w:rsid w:val="00E343DF"/>
    <w:rsid w:val="00E344DF"/>
    <w:rsid w:val="00E34562"/>
    <w:rsid w:val="00E345B7"/>
    <w:rsid w:val="00E34669"/>
    <w:rsid w:val="00E346F8"/>
    <w:rsid w:val="00E347F9"/>
    <w:rsid w:val="00E34878"/>
    <w:rsid w:val="00E3494D"/>
    <w:rsid w:val="00E34988"/>
    <w:rsid w:val="00E34ADF"/>
    <w:rsid w:val="00E34AFD"/>
    <w:rsid w:val="00E34B5B"/>
    <w:rsid w:val="00E34B75"/>
    <w:rsid w:val="00E34BA4"/>
    <w:rsid w:val="00E34BCE"/>
    <w:rsid w:val="00E34BDE"/>
    <w:rsid w:val="00E34BFB"/>
    <w:rsid w:val="00E34C10"/>
    <w:rsid w:val="00E34C2C"/>
    <w:rsid w:val="00E34C61"/>
    <w:rsid w:val="00E34C72"/>
    <w:rsid w:val="00E34CE5"/>
    <w:rsid w:val="00E34D10"/>
    <w:rsid w:val="00E34D4C"/>
    <w:rsid w:val="00E34DB8"/>
    <w:rsid w:val="00E34DD2"/>
    <w:rsid w:val="00E34E59"/>
    <w:rsid w:val="00E34F05"/>
    <w:rsid w:val="00E34F0F"/>
    <w:rsid w:val="00E35065"/>
    <w:rsid w:val="00E350DF"/>
    <w:rsid w:val="00E35142"/>
    <w:rsid w:val="00E3519A"/>
    <w:rsid w:val="00E351D1"/>
    <w:rsid w:val="00E35242"/>
    <w:rsid w:val="00E35262"/>
    <w:rsid w:val="00E35290"/>
    <w:rsid w:val="00E3534B"/>
    <w:rsid w:val="00E35417"/>
    <w:rsid w:val="00E35476"/>
    <w:rsid w:val="00E35673"/>
    <w:rsid w:val="00E35676"/>
    <w:rsid w:val="00E35715"/>
    <w:rsid w:val="00E35750"/>
    <w:rsid w:val="00E3576F"/>
    <w:rsid w:val="00E35825"/>
    <w:rsid w:val="00E358A4"/>
    <w:rsid w:val="00E358AF"/>
    <w:rsid w:val="00E358F4"/>
    <w:rsid w:val="00E35941"/>
    <w:rsid w:val="00E35A00"/>
    <w:rsid w:val="00E35A72"/>
    <w:rsid w:val="00E35AE1"/>
    <w:rsid w:val="00E35BFE"/>
    <w:rsid w:val="00E35C1A"/>
    <w:rsid w:val="00E35C2F"/>
    <w:rsid w:val="00E35C71"/>
    <w:rsid w:val="00E35CAD"/>
    <w:rsid w:val="00E35CE9"/>
    <w:rsid w:val="00E35D2A"/>
    <w:rsid w:val="00E35D94"/>
    <w:rsid w:val="00E35E45"/>
    <w:rsid w:val="00E35E73"/>
    <w:rsid w:val="00E35EE9"/>
    <w:rsid w:val="00E35F5F"/>
    <w:rsid w:val="00E35F6D"/>
    <w:rsid w:val="00E36087"/>
    <w:rsid w:val="00E36132"/>
    <w:rsid w:val="00E36195"/>
    <w:rsid w:val="00E3623C"/>
    <w:rsid w:val="00E36296"/>
    <w:rsid w:val="00E362D3"/>
    <w:rsid w:val="00E36324"/>
    <w:rsid w:val="00E36397"/>
    <w:rsid w:val="00E363A7"/>
    <w:rsid w:val="00E36412"/>
    <w:rsid w:val="00E36419"/>
    <w:rsid w:val="00E36638"/>
    <w:rsid w:val="00E36675"/>
    <w:rsid w:val="00E36701"/>
    <w:rsid w:val="00E36731"/>
    <w:rsid w:val="00E36732"/>
    <w:rsid w:val="00E367CE"/>
    <w:rsid w:val="00E36817"/>
    <w:rsid w:val="00E36848"/>
    <w:rsid w:val="00E368E9"/>
    <w:rsid w:val="00E36937"/>
    <w:rsid w:val="00E3693A"/>
    <w:rsid w:val="00E369B4"/>
    <w:rsid w:val="00E369D4"/>
    <w:rsid w:val="00E36AA2"/>
    <w:rsid w:val="00E36C0A"/>
    <w:rsid w:val="00E36CE9"/>
    <w:rsid w:val="00E36D2C"/>
    <w:rsid w:val="00E36D5F"/>
    <w:rsid w:val="00E36DE6"/>
    <w:rsid w:val="00E36E4F"/>
    <w:rsid w:val="00E36E7B"/>
    <w:rsid w:val="00E36E7F"/>
    <w:rsid w:val="00E36EF4"/>
    <w:rsid w:val="00E36EFB"/>
    <w:rsid w:val="00E36F0B"/>
    <w:rsid w:val="00E37050"/>
    <w:rsid w:val="00E37070"/>
    <w:rsid w:val="00E37122"/>
    <w:rsid w:val="00E3719D"/>
    <w:rsid w:val="00E371BA"/>
    <w:rsid w:val="00E37203"/>
    <w:rsid w:val="00E37265"/>
    <w:rsid w:val="00E37268"/>
    <w:rsid w:val="00E372B5"/>
    <w:rsid w:val="00E372CA"/>
    <w:rsid w:val="00E372DC"/>
    <w:rsid w:val="00E372FB"/>
    <w:rsid w:val="00E37357"/>
    <w:rsid w:val="00E37363"/>
    <w:rsid w:val="00E3737E"/>
    <w:rsid w:val="00E375A0"/>
    <w:rsid w:val="00E37671"/>
    <w:rsid w:val="00E37674"/>
    <w:rsid w:val="00E37733"/>
    <w:rsid w:val="00E37881"/>
    <w:rsid w:val="00E37913"/>
    <w:rsid w:val="00E379C9"/>
    <w:rsid w:val="00E37ACE"/>
    <w:rsid w:val="00E37B0E"/>
    <w:rsid w:val="00E37B7E"/>
    <w:rsid w:val="00E37B9E"/>
    <w:rsid w:val="00E37C0E"/>
    <w:rsid w:val="00E37C1B"/>
    <w:rsid w:val="00E37C5A"/>
    <w:rsid w:val="00E37C6E"/>
    <w:rsid w:val="00E37CEB"/>
    <w:rsid w:val="00E37D03"/>
    <w:rsid w:val="00E37D7F"/>
    <w:rsid w:val="00E37D91"/>
    <w:rsid w:val="00E37DE6"/>
    <w:rsid w:val="00E37EA9"/>
    <w:rsid w:val="00E37FC7"/>
    <w:rsid w:val="00E37FD3"/>
    <w:rsid w:val="00E4003D"/>
    <w:rsid w:val="00E40066"/>
    <w:rsid w:val="00E40172"/>
    <w:rsid w:val="00E40262"/>
    <w:rsid w:val="00E4030E"/>
    <w:rsid w:val="00E4035A"/>
    <w:rsid w:val="00E4036F"/>
    <w:rsid w:val="00E403C4"/>
    <w:rsid w:val="00E404A1"/>
    <w:rsid w:val="00E404C5"/>
    <w:rsid w:val="00E404D6"/>
    <w:rsid w:val="00E404FC"/>
    <w:rsid w:val="00E405C9"/>
    <w:rsid w:val="00E405D2"/>
    <w:rsid w:val="00E405EA"/>
    <w:rsid w:val="00E4067D"/>
    <w:rsid w:val="00E4069B"/>
    <w:rsid w:val="00E40715"/>
    <w:rsid w:val="00E40719"/>
    <w:rsid w:val="00E40728"/>
    <w:rsid w:val="00E40775"/>
    <w:rsid w:val="00E4077E"/>
    <w:rsid w:val="00E40796"/>
    <w:rsid w:val="00E40814"/>
    <w:rsid w:val="00E4082B"/>
    <w:rsid w:val="00E4084F"/>
    <w:rsid w:val="00E40942"/>
    <w:rsid w:val="00E40985"/>
    <w:rsid w:val="00E409DA"/>
    <w:rsid w:val="00E40A52"/>
    <w:rsid w:val="00E40AE7"/>
    <w:rsid w:val="00E40AF3"/>
    <w:rsid w:val="00E40BEB"/>
    <w:rsid w:val="00E40C6A"/>
    <w:rsid w:val="00E40D8C"/>
    <w:rsid w:val="00E40E91"/>
    <w:rsid w:val="00E40E9D"/>
    <w:rsid w:val="00E40EA3"/>
    <w:rsid w:val="00E40EE8"/>
    <w:rsid w:val="00E40F13"/>
    <w:rsid w:val="00E40F5A"/>
    <w:rsid w:val="00E40F8A"/>
    <w:rsid w:val="00E40FCE"/>
    <w:rsid w:val="00E40FD7"/>
    <w:rsid w:val="00E40FE9"/>
    <w:rsid w:val="00E4100A"/>
    <w:rsid w:val="00E4111D"/>
    <w:rsid w:val="00E411AC"/>
    <w:rsid w:val="00E411E3"/>
    <w:rsid w:val="00E412DE"/>
    <w:rsid w:val="00E4130E"/>
    <w:rsid w:val="00E41383"/>
    <w:rsid w:val="00E4138C"/>
    <w:rsid w:val="00E414B8"/>
    <w:rsid w:val="00E414D8"/>
    <w:rsid w:val="00E4154E"/>
    <w:rsid w:val="00E4156C"/>
    <w:rsid w:val="00E41576"/>
    <w:rsid w:val="00E415BF"/>
    <w:rsid w:val="00E415D5"/>
    <w:rsid w:val="00E416E2"/>
    <w:rsid w:val="00E4171D"/>
    <w:rsid w:val="00E417C2"/>
    <w:rsid w:val="00E4184B"/>
    <w:rsid w:val="00E418CE"/>
    <w:rsid w:val="00E418F0"/>
    <w:rsid w:val="00E419D6"/>
    <w:rsid w:val="00E41A03"/>
    <w:rsid w:val="00E41A1D"/>
    <w:rsid w:val="00E41B11"/>
    <w:rsid w:val="00E41BDF"/>
    <w:rsid w:val="00E41BF1"/>
    <w:rsid w:val="00E41C77"/>
    <w:rsid w:val="00E41C84"/>
    <w:rsid w:val="00E41D5A"/>
    <w:rsid w:val="00E41D87"/>
    <w:rsid w:val="00E41D96"/>
    <w:rsid w:val="00E41E6A"/>
    <w:rsid w:val="00E41EA1"/>
    <w:rsid w:val="00E41EDD"/>
    <w:rsid w:val="00E41EEC"/>
    <w:rsid w:val="00E41F1F"/>
    <w:rsid w:val="00E41F3C"/>
    <w:rsid w:val="00E41F77"/>
    <w:rsid w:val="00E41F80"/>
    <w:rsid w:val="00E41F94"/>
    <w:rsid w:val="00E41FF8"/>
    <w:rsid w:val="00E4201F"/>
    <w:rsid w:val="00E42116"/>
    <w:rsid w:val="00E42137"/>
    <w:rsid w:val="00E42140"/>
    <w:rsid w:val="00E421DC"/>
    <w:rsid w:val="00E421FA"/>
    <w:rsid w:val="00E421FD"/>
    <w:rsid w:val="00E42222"/>
    <w:rsid w:val="00E42242"/>
    <w:rsid w:val="00E42248"/>
    <w:rsid w:val="00E42296"/>
    <w:rsid w:val="00E422E7"/>
    <w:rsid w:val="00E4244C"/>
    <w:rsid w:val="00E42581"/>
    <w:rsid w:val="00E42582"/>
    <w:rsid w:val="00E42634"/>
    <w:rsid w:val="00E42670"/>
    <w:rsid w:val="00E42755"/>
    <w:rsid w:val="00E4288A"/>
    <w:rsid w:val="00E428C2"/>
    <w:rsid w:val="00E428FA"/>
    <w:rsid w:val="00E42932"/>
    <w:rsid w:val="00E42998"/>
    <w:rsid w:val="00E42AB9"/>
    <w:rsid w:val="00E42C7F"/>
    <w:rsid w:val="00E42C83"/>
    <w:rsid w:val="00E42CC9"/>
    <w:rsid w:val="00E42CF5"/>
    <w:rsid w:val="00E42D00"/>
    <w:rsid w:val="00E42DCB"/>
    <w:rsid w:val="00E42E41"/>
    <w:rsid w:val="00E42E4A"/>
    <w:rsid w:val="00E42E4B"/>
    <w:rsid w:val="00E42E66"/>
    <w:rsid w:val="00E42E68"/>
    <w:rsid w:val="00E42E6C"/>
    <w:rsid w:val="00E42E98"/>
    <w:rsid w:val="00E42E9B"/>
    <w:rsid w:val="00E42F37"/>
    <w:rsid w:val="00E42F41"/>
    <w:rsid w:val="00E42F4C"/>
    <w:rsid w:val="00E42F89"/>
    <w:rsid w:val="00E42FCC"/>
    <w:rsid w:val="00E4305A"/>
    <w:rsid w:val="00E43081"/>
    <w:rsid w:val="00E4308B"/>
    <w:rsid w:val="00E430B8"/>
    <w:rsid w:val="00E430CA"/>
    <w:rsid w:val="00E4314C"/>
    <w:rsid w:val="00E431E0"/>
    <w:rsid w:val="00E432A5"/>
    <w:rsid w:val="00E432B3"/>
    <w:rsid w:val="00E432B8"/>
    <w:rsid w:val="00E432DD"/>
    <w:rsid w:val="00E432F5"/>
    <w:rsid w:val="00E433B7"/>
    <w:rsid w:val="00E433DE"/>
    <w:rsid w:val="00E4341A"/>
    <w:rsid w:val="00E43449"/>
    <w:rsid w:val="00E43488"/>
    <w:rsid w:val="00E43528"/>
    <w:rsid w:val="00E435BC"/>
    <w:rsid w:val="00E43622"/>
    <w:rsid w:val="00E43683"/>
    <w:rsid w:val="00E436A2"/>
    <w:rsid w:val="00E436B9"/>
    <w:rsid w:val="00E436E6"/>
    <w:rsid w:val="00E43733"/>
    <w:rsid w:val="00E437A9"/>
    <w:rsid w:val="00E43883"/>
    <w:rsid w:val="00E438C7"/>
    <w:rsid w:val="00E439BC"/>
    <w:rsid w:val="00E43A62"/>
    <w:rsid w:val="00E43ABF"/>
    <w:rsid w:val="00E43B88"/>
    <w:rsid w:val="00E43BBF"/>
    <w:rsid w:val="00E43CD6"/>
    <w:rsid w:val="00E43D45"/>
    <w:rsid w:val="00E43DB1"/>
    <w:rsid w:val="00E43E51"/>
    <w:rsid w:val="00E44095"/>
    <w:rsid w:val="00E44177"/>
    <w:rsid w:val="00E44188"/>
    <w:rsid w:val="00E441AA"/>
    <w:rsid w:val="00E441FE"/>
    <w:rsid w:val="00E44240"/>
    <w:rsid w:val="00E44252"/>
    <w:rsid w:val="00E44350"/>
    <w:rsid w:val="00E443F2"/>
    <w:rsid w:val="00E44417"/>
    <w:rsid w:val="00E44425"/>
    <w:rsid w:val="00E44427"/>
    <w:rsid w:val="00E444B2"/>
    <w:rsid w:val="00E444E9"/>
    <w:rsid w:val="00E444FC"/>
    <w:rsid w:val="00E44508"/>
    <w:rsid w:val="00E4453F"/>
    <w:rsid w:val="00E44541"/>
    <w:rsid w:val="00E445A6"/>
    <w:rsid w:val="00E445BA"/>
    <w:rsid w:val="00E44600"/>
    <w:rsid w:val="00E44670"/>
    <w:rsid w:val="00E446A5"/>
    <w:rsid w:val="00E447AC"/>
    <w:rsid w:val="00E447FE"/>
    <w:rsid w:val="00E44804"/>
    <w:rsid w:val="00E44924"/>
    <w:rsid w:val="00E44992"/>
    <w:rsid w:val="00E449F6"/>
    <w:rsid w:val="00E44A1A"/>
    <w:rsid w:val="00E44A80"/>
    <w:rsid w:val="00E44AB4"/>
    <w:rsid w:val="00E44B16"/>
    <w:rsid w:val="00E44BE5"/>
    <w:rsid w:val="00E44C03"/>
    <w:rsid w:val="00E44D06"/>
    <w:rsid w:val="00E44DF5"/>
    <w:rsid w:val="00E44E87"/>
    <w:rsid w:val="00E44F8D"/>
    <w:rsid w:val="00E44FEA"/>
    <w:rsid w:val="00E45024"/>
    <w:rsid w:val="00E4504C"/>
    <w:rsid w:val="00E450AF"/>
    <w:rsid w:val="00E4510E"/>
    <w:rsid w:val="00E45119"/>
    <w:rsid w:val="00E45123"/>
    <w:rsid w:val="00E451F2"/>
    <w:rsid w:val="00E45210"/>
    <w:rsid w:val="00E4527A"/>
    <w:rsid w:val="00E452D8"/>
    <w:rsid w:val="00E4536A"/>
    <w:rsid w:val="00E453A4"/>
    <w:rsid w:val="00E453F9"/>
    <w:rsid w:val="00E454B5"/>
    <w:rsid w:val="00E454DE"/>
    <w:rsid w:val="00E45611"/>
    <w:rsid w:val="00E456C0"/>
    <w:rsid w:val="00E4572E"/>
    <w:rsid w:val="00E457FE"/>
    <w:rsid w:val="00E45871"/>
    <w:rsid w:val="00E458E8"/>
    <w:rsid w:val="00E458FE"/>
    <w:rsid w:val="00E459AB"/>
    <w:rsid w:val="00E459EA"/>
    <w:rsid w:val="00E45A88"/>
    <w:rsid w:val="00E45AB3"/>
    <w:rsid w:val="00E45ACC"/>
    <w:rsid w:val="00E45AF2"/>
    <w:rsid w:val="00E45B25"/>
    <w:rsid w:val="00E45B2D"/>
    <w:rsid w:val="00E45B74"/>
    <w:rsid w:val="00E45BEB"/>
    <w:rsid w:val="00E45C2D"/>
    <w:rsid w:val="00E45D48"/>
    <w:rsid w:val="00E45D74"/>
    <w:rsid w:val="00E45DE2"/>
    <w:rsid w:val="00E45DF1"/>
    <w:rsid w:val="00E45EF2"/>
    <w:rsid w:val="00E45F22"/>
    <w:rsid w:val="00E45FF4"/>
    <w:rsid w:val="00E4609A"/>
    <w:rsid w:val="00E460A6"/>
    <w:rsid w:val="00E46166"/>
    <w:rsid w:val="00E46172"/>
    <w:rsid w:val="00E4617F"/>
    <w:rsid w:val="00E46188"/>
    <w:rsid w:val="00E46229"/>
    <w:rsid w:val="00E4630C"/>
    <w:rsid w:val="00E46346"/>
    <w:rsid w:val="00E46366"/>
    <w:rsid w:val="00E463B8"/>
    <w:rsid w:val="00E463BF"/>
    <w:rsid w:val="00E463EB"/>
    <w:rsid w:val="00E46454"/>
    <w:rsid w:val="00E4648F"/>
    <w:rsid w:val="00E464B1"/>
    <w:rsid w:val="00E46553"/>
    <w:rsid w:val="00E46571"/>
    <w:rsid w:val="00E465B7"/>
    <w:rsid w:val="00E465D0"/>
    <w:rsid w:val="00E4667C"/>
    <w:rsid w:val="00E4668A"/>
    <w:rsid w:val="00E466CF"/>
    <w:rsid w:val="00E467C2"/>
    <w:rsid w:val="00E46815"/>
    <w:rsid w:val="00E4690C"/>
    <w:rsid w:val="00E4695B"/>
    <w:rsid w:val="00E46967"/>
    <w:rsid w:val="00E46B51"/>
    <w:rsid w:val="00E46B8C"/>
    <w:rsid w:val="00E46B92"/>
    <w:rsid w:val="00E46BD7"/>
    <w:rsid w:val="00E46BD9"/>
    <w:rsid w:val="00E46C16"/>
    <w:rsid w:val="00E46CB7"/>
    <w:rsid w:val="00E46D4E"/>
    <w:rsid w:val="00E46D82"/>
    <w:rsid w:val="00E46F09"/>
    <w:rsid w:val="00E46F1B"/>
    <w:rsid w:val="00E46F52"/>
    <w:rsid w:val="00E46FAF"/>
    <w:rsid w:val="00E47069"/>
    <w:rsid w:val="00E47154"/>
    <w:rsid w:val="00E47220"/>
    <w:rsid w:val="00E47281"/>
    <w:rsid w:val="00E472D3"/>
    <w:rsid w:val="00E47304"/>
    <w:rsid w:val="00E473B3"/>
    <w:rsid w:val="00E4748B"/>
    <w:rsid w:val="00E4749C"/>
    <w:rsid w:val="00E4749F"/>
    <w:rsid w:val="00E474A4"/>
    <w:rsid w:val="00E474A5"/>
    <w:rsid w:val="00E474B8"/>
    <w:rsid w:val="00E47542"/>
    <w:rsid w:val="00E4755A"/>
    <w:rsid w:val="00E4759B"/>
    <w:rsid w:val="00E4774D"/>
    <w:rsid w:val="00E477C3"/>
    <w:rsid w:val="00E477C8"/>
    <w:rsid w:val="00E47830"/>
    <w:rsid w:val="00E4783D"/>
    <w:rsid w:val="00E478CE"/>
    <w:rsid w:val="00E47904"/>
    <w:rsid w:val="00E47949"/>
    <w:rsid w:val="00E47961"/>
    <w:rsid w:val="00E479D9"/>
    <w:rsid w:val="00E47A5A"/>
    <w:rsid w:val="00E47A87"/>
    <w:rsid w:val="00E47B3C"/>
    <w:rsid w:val="00E47B67"/>
    <w:rsid w:val="00E47C99"/>
    <w:rsid w:val="00E47CD6"/>
    <w:rsid w:val="00E47D78"/>
    <w:rsid w:val="00E47E0D"/>
    <w:rsid w:val="00E47E11"/>
    <w:rsid w:val="00E47FFE"/>
    <w:rsid w:val="00E50055"/>
    <w:rsid w:val="00E500BB"/>
    <w:rsid w:val="00E500E8"/>
    <w:rsid w:val="00E50136"/>
    <w:rsid w:val="00E50138"/>
    <w:rsid w:val="00E50213"/>
    <w:rsid w:val="00E50244"/>
    <w:rsid w:val="00E502DE"/>
    <w:rsid w:val="00E50370"/>
    <w:rsid w:val="00E50394"/>
    <w:rsid w:val="00E503C8"/>
    <w:rsid w:val="00E503FC"/>
    <w:rsid w:val="00E5045F"/>
    <w:rsid w:val="00E504B4"/>
    <w:rsid w:val="00E504F7"/>
    <w:rsid w:val="00E505A0"/>
    <w:rsid w:val="00E506A0"/>
    <w:rsid w:val="00E506AE"/>
    <w:rsid w:val="00E506DC"/>
    <w:rsid w:val="00E50756"/>
    <w:rsid w:val="00E507A0"/>
    <w:rsid w:val="00E507B4"/>
    <w:rsid w:val="00E50826"/>
    <w:rsid w:val="00E50882"/>
    <w:rsid w:val="00E508F6"/>
    <w:rsid w:val="00E50919"/>
    <w:rsid w:val="00E509A9"/>
    <w:rsid w:val="00E509CD"/>
    <w:rsid w:val="00E50A55"/>
    <w:rsid w:val="00E50AB3"/>
    <w:rsid w:val="00E50AC0"/>
    <w:rsid w:val="00E50AC7"/>
    <w:rsid w:val="00E50B9E"/>
    <w:rsid w:val="00E50BA5"/>
    <w:rsid w:val="00E50BFB"/>
    <w:rsid w:val="00E50D18"/>
    <w:rsid w:val="00E50D6B"/>
    <w:rsid w:val="00E50E55"/>
    <w:rsid w:val="00E50EC6"/>
    <w:rsid w:val="00E50EFA"/>
    <w:rsid w:val="00E50FCC"/>
    <w:rsid w:val="00E5104E"/>
    <w:rsid w:val="00E5105F"/>
    <w:rsid w:val="00E510E7"/>
    <w:rsid w:val="00E512E3"/>
    <w:rsid w:val="00E51472"/>
    <w:rsid w:val="00E514C5"/>
    <w:rsid w:val="00E5169F"/>
    <w:rsid w:val="00E516F4"/>
    <w:rsid w:val="00E516F9"/>
    <w:rsid w:val="00E5174C"/>
    <w:rsid w:val="00E517BC"/>
    <w:rsid w:val="00E517C3"/>
    <w:rsid w:val="00E5186A"/>
    <w:rsid w:val="00E518AA"/>
    <w:rsid w:val="00E518C0"/>
    <w:rsid w:val="00E51958"/>
    <w:rsid w:val="00E519F2"/>
    <w:rsid w:val="00E51A03"/>
    <w:rsid w:val="00E51A8D"/>
    <w:rsid w:val="00E51A9C"/>
    <w:rsid w:val="00E51AC6"/>
    <w:rsid w:val="00E51AD9"/>
    <w:rsid w:val="00E51B39"/>
    <w:rsid w:val="00E51BBA"/>
    <w:rsid w:val="00E51C09"/>
    <w:rsid w:val="00E51C80"/>
    <w:rsid w:val="00E51DB6"/>
    <w:rsid w:val="00E51E08"/>
    <w:rsid w:val="00E51E3C"/>
    <w:rsid w:val="00E51F28"/>
    <w:rsid w:val="00E51F62"/>
    <w:rsid w:val="00E51FC3"/>
    <w:rsid w:val="00E51FD5"/>
    <w:rsid w:val="00E52014"/>
    <w:rsid w:val="00E521FF"/>
    <w:rsid w:val="00E52212"/>
    <w:rsid w:val="00E52249"/>
    <w:rsid w:val="00E522B7"/>
    <w:rsid w:val="00E522BE"/>
    <w:rsid w:val="00E52384"/>
    <w:rsid w:val="00E523B8"/>
    <w:rsid w:val="00E523EF"/>
    <w:rsid w:val="00E523F0"/>
    <w:rsid w:val="00E52473"/>
    <w:rsid w:val="00E524E1"/>
    <w:rsid w:val="00E524EE"/>
    <w:rsid w:val="00E52601"/>
    <w:rsid w:val="00E52672"/>
    <w:rsid w:val="00E52707"/>
    <w:rsid w:val="00E527D3"/>
    <w:rsid w:val="00E52838"/>
    <w:rsid w:val="00E5284E"/>
    <w:rsid w:val="00E528BF"/>
    <w:rsid w:val="00E528DC"/>
    <w:rsid w:val="00E528E1"/>
    <w:rsid w:val="00E5298A"/>
    <w:rsid w:val="00E52A37"/>
    <w:rsid w:val="00E52AAF"/>
    <w:rsid w:val="00E52AB9"/>
    <w:rsid w:val="00E52BAF"/>
    <w:rsid w:val="00E52BE2"/>
    <w:rsid w:val="00E52C3B"/>
    <w:rsid w:val="00E52C93"/>
    <w:rsid w:val="00E52DC2"/>
    <w:rsid w:val="00E52E79"/>
    <w:rsid w:val="00E52F4A"/>
    <w:rsid w:val="00E52F57"/>
    <w:rsid w:val="00E52F74"/>
    <w:rsid w:val="00E52F75"/>
    <w:rsid w:val="00E5310E"/>
    <w:rsid w:val="00E5315B"/>
    <w:rsid w:val="00E531EB"/>
    <w:rsid w:val="00E5320F"/>
    <w:rsid w:val="00E5326E"/>
    <w:rsid w:val="00E5327F"/>
    <w:rsid w:val="00E532C1"/>
    <w:rsid w:val="00E53301"/>
    <w:rsid w:val="00E53304"/>
    <w:rsid w:val="00E53355"/>
    <w:rsid w:val="00E53365"/>
    <w:rsid w:val="00E533F4"/>
    <w:rsid w:val="00E53476"/>
    <w:rsid w:val="00E534C8"/>
    <w:rsid w:val="00E53508"/>
    <w:rsid w:val="00E53561"/>
    <w:rsid w:val="00E53566"/>
    <w:rsid w:val="00E535E4"/>
    <w:rsid w:val="00E53606"/>
    <w:rsid w:val="00E53637"/>
    <w:rsid w:val="00E53639"/>
    <w:rsid w:val="00E53649"/>
    <w:rsid w:val="00E53677"/>
    <w:rsid w:val="00E5367D"/>
    <w:rsid w:val="00E53688"/>
    <w:rsid w:val="00E536B0"/>
    <w:rsid w:val="00E53755"/>
    <w:rsid w:val="00E53935"/>
    <w:rsid w:val="00E53996"/>
    <w:rsid w:val="00E53A07"/>
    <w:rsid w:val="00E53A34"/>
    <w:rsid w:val="00E53A44"/>
    <w:rsid w:val="00E53A46"/>
    <w:rsid w:val="00E53B4D"/>
    <w:rsid w:val="00E53B98"/>
    <w:rsid w:val="00E53C7D"/>
    <w:rsid w:val="00E53CB3"/>
    <w:rsid w:val="00E53CC5"/>
    <w:rsid w:val="00E53D2A"/>
    <w:rsid w:val="00E53D5D"/>
    <w:rsid w:val="00E53DE8"/>
    <w:rsid w:val="00E53DF2"/>
    <w:rsid w:val="00E53DF7"/>
    <w:rsid w:val="00E53E2B"/>
    <w:rsid w:val="00E53E5B"/>
    <w:rsid w:val="00E53EA1"/>
    <w:rsid w:val="00E53FF5"/>
    <w:rsid w:val="00E54030"/>
    <w:rsid w:val="00E5405C"/>
    <w:rsid w:val="00E54074"/>
    <w:rsid w:val="00E540BC"/>
    <w:rsid w:val="00E5418C"/>
    <w:rsid w:val="00E541C3"/>
    <w:rsid w:val="00E541E0"/>
    <w:rsid w:val="00E541E1"/>
    <w:rsid w:val="00E541E2"/>
    <w:rsid w:val="00E54213"/>
    <w:rsid w:val="00E5422C"/>
    <w:rsid w:val="00E542C4"/>
    <w:rsid w:val="00E542D4"/>
    <w:rsid w:val="00E54307"/>
    <w:rsid w:val="00E5433D"/>
    <w:rsid w:val="00E54396"/>
    <w:rsid w:val="00E54458"/>
    <w:rsid w:val="00E5446B"/>
    <w:rsid w:val="00E5450E"/>
    <w:rsid w:val="00E54576"/>
    <w:rsid w:val="00E54632"/>
    <w:rsid w:val="00E54634"/>
    <w:rsid w:val="00E54711"/>
    <w:rsid w:val="00E54745"/>
    <w:rsid w:val="00E5474B"/>
    <w:rsid w:val="00E547B8"/>
    <w:rsid w:val="00E547DF"/>
    <w:rsid w:val="00E54808"/>
    <w:rsid w:val="00E5481A"/>
    <w:rsid w:val="00E5495B"/>
    <w:rsid w:val="00E549CD"/>
    <w:rsid w:val="00E549EE"/>
    <w:rsid w:val="00E54A0E"/>
    <w:rsid w:val="00E54A40"/>
    <w:rsid w:val="00E54A6C"/>
    <w:rsid w:val="00E54A7F"/>
    <w:rsid w:val="00E54AF7"/>
    <w:rsid w:val="00E54B01"/>
    <w:rsid w:val="00E54CA7"/>
    <w:rsid w:val="00E54D04"/>
    <w:rsid w:val="00E54D3D"/>
    <w:rsid w:val="00E54D4F"/>
    <w:rsid w:val="00E54D63"/>
    <w:rsid w:val="00E54DCE"/>
    <w:rsid w:val="00E54E01"/>
    <w:rsid w:val="00E54FE4"/>
    <w:rsid w:val="00E55023"/>
    <w:rsid w:val="00E551AC"/>
    <w:rsid w:val="00E55214"/>
    <w:rsid w:val="00E552A2"/>
    <w:rsid w:val="00E55344"/>
    <w:rsid w:val="00E55392"/>
    <w:rsid w:val="00E5539B"/>
    <w:rsid w:val="00E5541C"/>
    <w:rsid w:val="00E554BA"/>
    <w:rsid w:val="00E5554F"/>
    <w:rsid w:val="00E55679"/>
    <w:rsid w:val="00E5567A"/>
    <w:rsid w:val="00E5568F"/>
    <w:rsid w:val="00E556E5"/>
    <w:rsid w:val="00E5570F"/>
    <w:rsid w:val="00E5578D"/>
    <w:rsid w:val="00E55802"/>
    <w:rsid w:val="00E55826"/>
    <w:rsid w:val="00E55830"/>
    <w:rsid w:val="00E55873"/>
    <w:rsid w:val="00E558A9"/>
    <w:rsid w:val="00E558EC"/>
    <w:rsid w:val="00E55920"/>
    <w:rsid w:val="00E55927"/>
    <w:rsid w:val="00E559B4"/>
    <w:rsid w:val="00E559DF"/>
    <w:rsid w:val="00E559E1"/>
    <w:rsid w:val="00E55A0B"/>
    <w:rsid w:val="00E55A1C"/>
    <w:rsid w:val="00E55A4B"/>
    <w:rsid w:val="00E55C1F"/>
    <w:rsid w:val="00E55D0B"/>
    <w:rsid w:val="00E55D54"/>
    <w:rsid w:val="00E55D6C"/>
    <w:rsid w:val="00E55D6D"/>
    <w:rsid w:val="00E55D7B"/>
    <w:rsid w:val="00E55D9A"/>
    <w:rsid w:val="00E55E59"/>
    <w:rsid w:val="00E55F20"/>
    <w:rsid w:val="00E55F2C"/>
    <w:rsid w:val="00E55F97"/>
    <w:rsid w:val="00E56065"/>
    <w:rsid w:val="00E560A8"/>
    <w:rsid w:val="00E560BD"/>
    <w:rsid w:val="00E56246"/>
    <w:rsid w:val="00E56272"/>
    <w:rsid w:val="00E562BD"/>
    <w:rsid w:val="00E56370"/>
    <w:rsid w:val="00E56385"/>
    <w:rsid w:val="00E563FC"/>
    <w:rsid w:val="00E5648B"/>
    <w:rsid w:val="00E56510"/>
    <w:rsid w:val="00E56606"/>
    <w:rsid w:val="00E56659"/>
    <w:rsid w:val="00E56677"/>
    <w:rsid w:val="00E5667F"/>
    <w:rsid w:val="00E56698"/>
    <w:rsid w:val="00E56736"/>
    <w:rsid w:val="00E5676C"/>
    <w:rsid w:val="00E56774"/>
    <w:rsid w:val="00E567B4"/>
    <w:rsid w:val="00E567B9"/>
    <w:rsid w:val="00E567DA"/>
    <w:rsid w:val="00E567DE"/>
    <w:rsid w:val="00E56887"/>
    <w:rsid w:val="00E568A4"/>
    <w:rsid w:val="00E568F9"/>
    <w:rsid w:val="00E5692A"/>
    <w:rsid w:val="00E569C6"/>
    <w:rsid w:val="00E569C9"/>
    <w:rsid w:val="00E56A3F"/>
    <w:rsid w:val="00E56A42"/>
    <w:rsid w:val="00E56A7D"/>
    <w:rsid w:val="00E56A83"/>
    <w:rsid w:val="00E56AD7"/>
    <w:rsid w:val="00E56CD7"/>
    <w:rsid w:val="00E56D50"/>
    <w:rsid w:val="00E56D71"/>
    <w:rsid w:val="00E56E46"/>
    <w:rsid w:val="00E56E61"/>
    <w:rsid w:val="00E56EB4"/>
    <w:rsid w:val="00E57098"/>
    <w:rsid w:val="00E57119"/>
    <w:rsid w:val="00E5715A"/>
    <w:rsid w:val="00E57164"/>
    <w:rsid w:val="00E5716F"/>
    <w:rsid w:val="00E57202"/>
    <w:rsid w:val="00E57206"/>
    <w:rsid w:val="00E5727F"/>
    <w:rsid w:val="00E57285"/>
    <w:rsid w:val="00E573C1"/>
    <w:rsid w:val="00E57438"/>
    <w:rsid w:val="00E57482"/>
    <w:rsid w:val="00E575B9"/>
    <w:rsid w:val="00E57642"/>
    <w:rsid w:val="00E5764F"/>
    <w:rsid w:val="00E57679"/>
    <w:rsid w:val="00E57793"/>
    <w:rsid w:val="00E577A7"/>
    <w:rsid w:val="00E577AC"/>
    <w:rsid w:val="00E577B0"/>
    <w:rsid w:val="00E5782B"/>
    <w:rsid w:val="00E5783D"/>
    <w:rsid w:val="00E578A5"/>
    <w:rsid w:val="00E57998"/>
    <w:rsid w:val="00E5799A"/>
    <w:rsid w:val="00E57A61"/>
    <w:rsid w:val="00E57ACE"/>
    <w:rsid w:val="00E57BA3"/>
    <w:rsid w:val="00E57BD3"/>
    <w:rsid w:val="00E57BE0"/>
    <w:rsid w:val="00E57C88"/>
    <w:rsid w:val="00E57CA6"/>
    <w:rsid w:val="00E57D76"/>
    <w:rsid w:val="00E57D88"/>
    <w:rsid w:val="00E57F7A"/>
    <w:rsid w:val="00E57FDD"/>
    <w:rsid w:val="00E57FE7"/>
    <w:rsid w:val="00E600B9"/>
    <w:rsid w:val="00E6017C"/>
    <w:rsid w:val="00E601F5"/>
    <w:rsid w:val="00E60214"/>
    <w:rsid w:val="00E60232"/>
    <w:rsid w:val="00E60306"/>
    <w:rsid w:val="00E6045A"/>
    <w:rsid w:val="00E6045F"/>
    <w:rsid w:val="00E60494"/>
    <w:rsid w:val="00E604D4"/>
    <w:rsid w:val="00E60548"/>
    <w:rsid w:val="00E6056F"/>
    <w:rsid w:val="00E605E3"/>
    <w:rsid w:val="00E605E5"/>
    <w:rsid w:val="00E6060C"/>
    <w:rsid w:val="00E606D0"/>
    <w:rsid w:val="00E6074D"/>
    <w:rsid w:val="00E60765"/>
    <w:rsid w:val="00E60814"/>
    <w:rsid w:val="00E608CF"/>
    <w:rsid w:val="00E6092B"/>
    <w:rsid w:val="00E609A9"/>
    <w:rsid w:val="00E609AF"/>
    <w:rsid w:val="00E60AA7"/>
    <w:rsid w:val="00E60AF1"/>
    <w:rsid w:val="00E60AF9"/>
    <w:rsid w:val="00E60C57"/>
    <w:rsid w:val="00E60C8B"/>
    <w:rsid w:val="00E60D02"/>
    <w:rsid w:val="00E60D03"/>
    <w:rsid w:val="00E60DAD"/>
    <w:rsid w:val="00E60ED8"/>
    <w:rsid w:val="00E6101B"/>
    <w:rsid w:val="00E61074"/>
    <w:rsid w:val="00E61111"/>
    <w:rsid w:val="00E61196"/>
    <w:rsid w:val="00E6128F"/>
    <w:rsid w:val="00E61302"/>
    <w:rsid w:val="00E6139A"/>
    <w:rsid w:val="00E613B9"/>
    <w:rsid w:val="00E61454"/>
    <w:rsid w:val="00E6145D"/>
    <w:rsid w:val="00E614BC"/>
    <w:rsid w:val="00E614BE"/>
    <w:rsid w:val="00E614C9"/>
    <w:rsid w:val="00E614E8"/>
    <w:rsid w:val="00E61587"/>
    <w:rsid w:val="00E6158D"/>
    <w:rsid w:val="00E61594"/>
    <w:rsid w:val="00E615C5"/>
    <w:rsid w:val="00E615DA"/>
    <w:rsid w:val="00E61662"/>
    <w:rsid w:val="00E6180D"/>
    <w:rsid w:val="00E61864"/>
    <w:rsid w:val="00E61878"/>
    <w:rsid w:val="00E61886"/>
    <w:rsid w:val="00E61888"/>
    <w:rsid w:val="00E61969"/>
    <w:rsid w:val="00E61ADD"/>
    <w:rsid w:val="00E61B91"/>
    <w:rsid w:val="00E61BBD"/>
    <w:rsid w:val="00E61C07"/>
    <w:rsid w:val="00E61C5B"/>
    <w:rsid w:val="00E61C9A"/>
    <w:rsid w:val="00E61D87"/>
    <w:rsid w:val="00E61DF1"/>
    <w:rsid w:val="00E61EAF"/>
    <w:rsid w:val="00E61F02"/>
    <w:rsid w:val="00E61F05"/>
    <w:rsid w:val="00E61F41"/>
    <w:rsid w:val="00E61F52"/>
    <w:rsid w:val="00E61F61"/>
    <w:rsid w:val="00E6200F"/>
    <w:rsid w:val="00E6201C"/>
    <w:rsid w:val="00E6203A"/>
    <w:rsid w:val="00E62087"/>
    <w:rsid w:val="00E621F6"/>
    <w:rsid w:val="00E6225D"/>
    <w:rsid w:val="00E622CC"/>
    <w:rsid w:val="00E62366"/>
    <w:rsid w:val="00E62468"/>
    <w:rsid w:val="00E6248D"/>
    <w:rsid w:val="00E62575"/>
    <w:rsid w:val="00E62642"/>
    <w:rsid w:val="00E62666"/>
    <w:rsid w:val="00E6282D"/>
    <w:rsid w:val="00E629C5"/>
    <w:rsid w:val="00E629F7"/>
    <w:rsid w:val="00E62A0C"/>
    <w:rsid w:val="00E62A0D"/>
    <w:rsid w:val="00E62A1A"/>
    <w:rsid w:val="00E62ADE"/>
    <w:rsid w:val="00E62B0E"/>
    <w:rsid w:val="00E62B19"/>
    <w:rsid w:val="00E62B29"/>
    <w:rsid w:val="00E62B33"/>
    <w:rsid w:val="00E62C92"/>
    <w:rsid w:val="00E62CB6"/>
    <w:rsid w:val="00E62DE4"/>
    <w:rsid w:val="00E62E57"/>
    <w:rsid w:val="00E62E5C"/>
    <w:rsid w:val="00E62F0B"/>
    <w:rsid w:val="00E62F25"/>
    <w:rsid w:val="00E62F6A"/>
    <w:rsid w:val="00E62FF5"/>
    <w:rsid w:val="00E6304D"/>
    <w:rsid w:val="00E63057"/>
    <w:rsid w:val="00E6309C"/>
    <w:rsid w:val="00E630DA"/>
    <w:rsid w:val="00E630F5"/>
    <w:rsid w:val="00E6315E"/>
    <w:rsid w:val="00E6315F"/>
    <w:rsid w:val="00E6321B"/>
    <w:rsid w:val="00E6330D"/>
    <w:rsid w:val="00E6344E"/>
    <w:rsid w:val="00E63606"/>
    <w:rsid w:val="00E6362F"/>
    <w:rsid w:val="00E6365C"/>
    <w:rsid w:val="00E6367D"/>
    <w:rsid w:val="00E636AB"/>
    <w:rsid w:val="00E637B4"/>
    <w:rsid w:val="00E637C3"/>
    <w:rsid w:val="00E637EC"/>
    <w:rsid w:val="00E63826"/>
    <w:rsid w:val="00E638A8"/>
    <w:rsid w:val="00E638C0"/>
    <w:rsid w:val="00E63932"/>
    <w:rsid w:val="00E63A48"/>
    <w:rsid w:val="00E63A72"/>
    <w:rsid w:val="00E63AC0"/>
    <w:rsid w:val="00E63B39"/>
    <w:rsid w:val="00E63B41"/>
    <w:rsid w:val="00E63B69"/>
    <w:rsid w:val="00E63BF2"/>
    <w:rsid w:val="00E63C02"/>
    <w:rsid w:val="00E63C7B"/>
    <w:rsid w:val="00E63F12"/>
    <w:rsid w:val="00E63FC8"/>
    <w:rsid w:val="00E6403C"/>
    <w:rsid w:val="00E640D0"/>
    <w:rsid w:val="00E640D8"/>
    <w:rsid w:val="00E6410D"/>
    <w:rsid w:val="00E6419B"/>
    <w:rsid w:val="00E641C1"/>
    <w:rsid w:val="00E64235"/>
    <w:rsid w:val="00E64237"/>
    <w:rsid w:val="00E64284"/>
    <w:rsid w:val="00E642AB"/>
    <w:rsid w:val="00E642D3"/>
    <w:rsid w:val="00E64405"/>
    <w:rsid w:val="00E6444A"/>
    <w:rsid w:val="00E6444F"/>
    <w:rsid w:val="00E64466"/>
    <w:rsid w:val="00E644EF"/>
    <w:rsid w:val="00E645C6"/>
    <w:rsid w:val="00E645F0"/>
    <w:rsid w:val="00E64670"/>
    <w:rsid w:val="00E6472A"/>
    <w:rsid w:val="00E6475E"/>
    <w:rsid w:val="00E647C3"/>
    <w:rsid w:val="00E64809"/>
    <w:rsid w:val="00E6486E"/>
    <w:rsid w:val="00E6489E"/>
    <w:rsid w:val="00E6495A"/>
    <w:rsid w:val="00E64BF6"/>
    <w:rsid w:val="00E64C2B"/>
    <w:rsid w:val="00E64C62"/>
    <w:rsid w:val="00E64DDB"/>
    <w:rsid w:val="00E64DE7"/>
    <w:rsid w:val="00E64E4D"/>
    <w:rsid w:val="00E64F96"/>
    <w:rsid w:val="00E65015"/>
    <w:rsid w:val="00E650BC"/>
    <w:rsid w:val="00E651B7"/>
    <w:rsid w:val="00E651F0"/>
    <w:rsid w:val="00E65220"/>
    <w:rsid w:val="00E652A7"/>
    <w:rsid w:val="00E652C5"/>
    <w:rsid w:val="00E652FE"/>
    <w:rsid w:val="00E6530B"/>
    <w:rsid w:val="00E65370"/>
    <w:rsid w:val="00E65371"/>
    <w:rsid w:val="00E653A0"/>
    <w:rsid w:val="00E653D2"/>
    <w:rsid w:val="00E6542D"/>
    <w:rsid w:val="00E65434"/>
    <w:rsid w:val="00E65500"/>
    <w:rsid w:val="00E65584"/>
    <w:rsid w:val="00E6560C"/>
    <w:rsid w:val="00E6571D"/>
    <w:rsid w:val="00E659DC"/>
    <w:rsid w:val="00E65A26"/>
    <w:rsid w:val="00E65A89"/>
    <w:rsid w:val="00E65AD1"/>
    <w:rsid w:val="00E65B77"/>
    <w:rsid w:val="00E65B8A"/>
    <w:rsid w:val="00E65BE4"/>
    <w:rsid w:val="00E65CCD"/>
    <w:rsid w:val="00E65F9D"/>
    <w:rsid w:val="00E65FFA"/>
    <w:rsid w:val="00E66058"/>
    <w:rsid w:val="00E6611F"/>
    <w:rsid w:val="00E663A7"/>
    <w:rsid w:val="00E66432"/>
    <w:rsid w:val="00E6645F"/>
    <w:rsid w:val="00E66482"/>
    <w:rsid w:val="00E6649C"/>
    <w:rsid w:val="00E665D8"/>
    <w:rsid w:val="00E66638"/>
    <w:rsid w:val="00E666DD"/>
    <w:rsid w:val="00E6671F"/>
    <w:rsid w:val="00E6680A"/>
    <w:rsid w:val="00E66834"/>
    <w:rsid w:val="00E6684C"/>
    <w:rsid w:val="00E668BD"/>
    <w:rsid w:val="00E668D9"/>
    <w:rsid w:val="00E66916"/>
    <w:rsid w:val="00E6691E"/>
    <w:rsid w:val="00E66970"/>
    <w:rsid w:val="00E669A5"/>
    <w:rsid w:val="00E669B7"/>
    <w:rsid w:val="00E669CB"/>
    <w:rsid w:val="00E66AD5"/>
    <w:rsid w:val="00E66AF9"/>
    <w:rsid w:val="00E66BD3"/>
    <w:rsid w:val="00E66BD9"/>
    <w:rsid w:val="00E66C72"/>
    <w:rsid w:val="00E66CB7"/>
    <w:rsid w:val="00E66D4F"/>
    <w:rsid w:val="00E66D7B"/>
    <w:rsid w:val="00E66DE2"/>
    <w:rsid w:val="00E66E5A"/>
    <w:rsid w:val="00E66EA6"/>
    <w:rsid w:val="00E66ED8"/>
    <w:rsid w:val="00E66EE6"/>
    <w:rsid w:val="00E66F28"/>
    <w:rsid w:val="00E66F29"/>
    <w:rsid w:val="00E66F91"/>
    <w:rsid w:val="00E66FC6"/>
    <w:rsid w:val="00E6701A"/>
    <w:rsid w:val="00E670B8"/>
    <w:rsid w:val="00E6710B"/>
    <w:rsid w:val="00E6710F"/>
    <w:rsid w:val="00E671B7"/>
    <w:rsid w:val="00E671E5"/>
    <w:rsid w:val="00E67229"/>
    <w:rsid w:val="00E6723A"/>
    <w:rsid w:val="00E6724D"/>
    <w:rsid w:val="00E672CF"/>
    <w:rsid w:val="00E6749C"/>
    <w:rsid w:val="00E67527"/>
    <w:rsid w:val="00E67568"/>
    <w:rsid w:val="00E675D9"/>
    <w:rsid w:val="00E6761F"/>
    <w:rsid w:val="00E67625"/>
    <w:rsid w:val="00E6766E"/>
    <w:rsid w:val="00E676D4"/>
    <w:rsid w:val="00E676EC"/>
    <w:rsid w:val="00E67752"/>
    <w:rsid w:val="00E67795"/>
    <w:rsid w:val="00E6779D"/>
    <w:rsid w:val="00E677E7"/>
    <w:rsid w:val="00E67807"/>
    <w:rsid w:val="00E6785E"/>
    <w:rsid w:val="00E678BB"/>
    <w:rsid w:val="00E679EA"/>
    <w:rsid w:val="00E67A09"/>
    <w:rsid w:val="00E67A31"/>
    <w:rsid w:val="00E67AAF"/>
    <w:rsid w:val="00E67B13"/>
    <w:rsid w:val="00E67C6C"/>
    <w:rsid w:val="00E67CC6"/>
    <w:rsid w:val="00E67CE0"/>
    <w:rsid w:val="00E67D95"/>
    <w:rsid w:val="00E67DF0"/>
    <w:rsid w:val="00E67E09"/>
    <w:rsid w:val="00E67E40"/>
    <w:rsid w:val="00E67E81"/>
    <w:rsid w:val="00E67F43"/>
    <w:rsid w:val="00E6C233"/>
    <w:rsid w:val="00E700B6"/>
    <w:rsid w:val="00E700C3"/>
    <w:rsid w:val="00E700E7"/>
    <w:rsid w:val="00E700FF"/>
    <w:rsid w:val="00E701E5"/>
    <w:rsid w:val="00E7029F"/>
    <w:rsid w:val="00E7030A"/>
    <w:rsid w:val="00E7030F"/>
    <w:rsid w:val="00E7031C"/>
    <w:rsid w:val="00E70348"/>
    <w:rsid w:val="00E70395"/>
    <w:rsid w:val="00E7039F"/>
    <w:rsid w:val="00E703DA"/>
    <w:rsid w:val="00E70415"/>
    <w:rsid w:val="00E704C2"/>
    <w:rsid w:val="00E704CB"/>
    <w:rsid w:val="00E705D2"/>
    <w:rsid w:val="00E7060C"/>
    <w:rsid w:val="00E70619"/>
    <w:rsid w:val="00E706D3"/>
    <w:rsid w:val="00E70728"/>
    <w:rsid w:val="00E7072E"/>
    <w:rsid w:val="00E70752"/>
    <w:rsid w:val="00E70760"/>
    <w:rsid w:val="00E707E9"/>
    <w:rsid w:val="00E70842"/>
    <w:rsid w:val="00E70889"/>
    <w:rsid w:val="00E708F7"/>
    <w:rsid w:val="00E709B3"/>
    <w:rsid w:val="00E709EA"/>
    <w:rsid w:val="00E70A0F"/>
    <w:rsid w:val="00E70A34"/>
    <w:rsid w:val="00E70A38"/>
    <w:rsid w:val="00E70A81"/>
    <w:rsid w:val="00E70ADC"/>
    <w:rsid w:val="00E70B0A"/>
    <w:rsid w:val="00E70B26"/>
    <w:rsid w:val="00E70B4A"/>
    <w:rsid w:val="00E70C19"/>
    <w:rsid w:val="00E70C6C"/>
    <w:rsid w:val="00E70C7F"/>
    <w:rsid w:val="00E70D0A"/>
    <w:rsid w:val="00E70D4C"/>
    <w:rsid w:val="00E70DBD"/>
    <w:rsid w:val="00E70E02"/>
    <w:rsid w:val="00E70F48"/>
    <w:rsid w:val="00E70FF7"/>
    <w:rsid w:val="00E71089"/>
    <w:rsid w:val="00E71098"/>
    <w:rsid w:val="00E71121"/>
    <w:rsid w:val="00E7118F"/>
    <w:rsid w:val="00E71272"/>
    <w:rsid w:val="00E712FE"/>
    <w:rsid w:val="00E71333"/>
    <w:rsid w:val="00E7135C"/>
    <w:rsid w:val="00E7135F"/>
    <w:rsid w:val="00E714DC"/>
    <w:rsid w:val="00E7164E"/>
    <w:rsid w:val="00E71666"/>
    <w:rsid w:val="00E716C0"/>
    <w:rsid w:val="00E716E7"/>
    <w:rsid w:val="00E71720"/>
    <w:rsid w:val="00E71759"/>
    <w:rsid w:val="00E717B1"/>
    <w:rsid w:val="00E7187B"/>
    <w:rsid w:val="00E718F7"/>
    <w:rsid w:val="00E71900"/>
    <w:rsid w:val="00E7192D"/>
    <w:rsid w:val="00E71953"/>
    <w:rsid w:val="00E71A9A"/>
    <w:rsid w:val="00E71AE6"/>
    <w:rsid w:val="00E71B0E"/>
    <w:rsid w:val="00E71B4D"/>
    <w:rsid w:val="00E71BE0"/>
    <w:rsid w:val="00E71C11"/>
    <w:rsid w:val="00E71C84"/>
    <w:rsid w:val="00E71D6F"/>
    <w:rsid w:val="00E71DB4"/>
    <w:rsid w:val="00E71E9A"/>
    <w:rsid w:val="00E71F17"/>
    <w:rsid w:val="00E720F4"/>
    <w:rsid w:val="00E7213A"/>
    <w:rsid w:val="00E7214F"/>
    <w:rsid w:val="00E72157"/>
    <w:rsid w:val="00E7219E"/>
    <w:rsid w:val="00E722BF"/>
    <w:rsid w:val="00E72323"/>
    <w:rsid w:val="00E72380"/>
    <w:rsid w:val="00E72383"/>
    <w:rsid w:val="00E72484"/>
    <w:rsid w:val="00E724F7"/>
    <w:rsid w:val="00E72512"/>
    <w:rsid w:val="00E725E9"/>
    <w:rsid w:val="00E72639"/>
    <w:rsid w:val="00E726B8"/>
    <w:rsid w:val="00E726EF"/>
    <w:rsid w:val="00E7281C"/>
    <w:rsid w:val="00E72852"/>
    <w:rsid w:val="00E728BB"/>
    <w:rsid w:val="00E728C5"/>
    <w:rsid w:val="00E728EA"/>
    <w:rsid w:val="00E7298B"/>
    <w:rsid w:val="00E729FA"/>
    <w:rsid w:val="00E72A4E"/>
    <w:rsid w:val="00E72A65"/>
    <w:rsid w:val="00E72A67"/>
    <w:rsid w:val="00E72A8D"/>
    <w:rsid w:val="00E72B2F"/>
    <w:rsid w:val="00E72B8C"/>
    <w:rsid w:val="00E72C65"/>
    <w:rsid w:val="00E72C6D"/>
    <w:rsid w:val="00E72C99"/>
    <w:rsid w:val="00E72C9B"/>
    <w:rsid w:val="00E72CFB"/>
    <w:rsid w:val="00E72D3D"/>
    <w:rsid w:val="00E72E34"/>
    <w:rsid w:val="00E72E77"/>
    <w:rsid w:val="00E72E9B"/>
    <w:rsid w:val="00E72EE0"/>
    <w:rsid w:val="00E72EF4"/>
    <w:rsid w:val="00E72F81"/>
    <w:rsid w:val="00E7304A"/>
    <w:rsid w:val="00E7307D"/>
    <w:rsid w:val="00E73194"/>
    <w:rsid w:val="00E731DE"/>
    <w:rsid w:val="00E731F0"/>
    <w:rsid w:val="00E7327E"/>
    <w:rsid w:val="00E732E3"/>
    <w:rsid w:val="00E7334F"/>
    <w:rsid w:val="00E733BC"/>
    <w:rsid w:val="00E733D3"/>
    <w:rsid w:val="00E73424"/>
    <w:rsid w:val="00E7348E"/>
    <w:rsid w:val="00E734C9"/>
    <w:rsid w:val="00E734DE"/>
    <w:rsid w:val="00E7351E"/>
    <w:rsid w:val="00E73574"/>
    <w:rsid w:val="00E735A4"/>
    <w:rsid w:val="00E735AF"/>
    <w:rsid w:val="00E73680"/>
    <w:rsid w:val="00E736DF"/>
    <w:rsid w:val="00E7371E"/>
    <w:rsid w:val="00E73743"/>
    <w:rsid w:val="00E73763"/>
    <w:rsid w:val="00E7385F"/>
    <w:rsid w:val="00E7393D"/>
    <w:rsid w:val="00E73AF4"/>
    <w:rsid w:val="00E73B75"/>
    <w:rsid w:val="00E73B7B"/>
    <w:rsid w:val="00E73BC1"/>
    <w:rsid w:val="00E73C01"/>
    <w:rsid w:val="00E73D3C"/>
    <w:rsid w:val="00E73DC0"/>
    <w:rsid w:val="00E73E03"/>
    <w:rsid w:val="00E73E35"/>
    <w:rsid w:val="00E73E4C"/>
    <w:rsid w:val="00E73F30"/>
    <w:rsid w:val="00E73F38"/>
    <w:rsid w:val="00E73F51"/>
    <w:rsid w:val="00E73F69"/>
    <w:rsid w:val="00E7403B"/>
    <w:rsid w:val="00E7403D"/>
    <w:rsid w:val="00E740C7"/>
    <w:rsid w:val="00E7411C"/>
    <w:rsid w:val="00E74189"/>
    <w:rsid w:val="00E741BC"/>
    <w:rsid w:val="00E74338"/>
    <w:rsid w:val="00E7438E"/>
    <w:rsid w:val="00E743A9"/>
    <w:rsid w:val="00E7444F"/>
    <w:rsid w:val="00E744C5"/>
    <w:rsid w:val="00E74592"/>
    <w:rsid w:val="00E746A4"/>
    <w:rsid w:val="00E74722"/>
    <w:rsid w:val="00E74762"/>
    <w:rsid w:val="00E74787"/>
    <w:rsid w:val="00E74899"/>
    <w:rsid w:val="00E748BF"/>
    <w:rsid w:val="00E748F2"/>
    <w:rsid w:val="00E74974"/>
    <w:rsid w:val="00E74A4E"/>
    <w:rsid w:val="00E74BD3"/>
    <w:rsid w:val="00E74BD4"/>
    <w:rsid w:val="00E74C9A"/>
    <w:rsid w:val="00E74CA4"/>
    <w:rsid w:val="00E74CC0"/>
    <w:rsid w:val="00E74CE1"/>
    <w:rsid w:val="00E74E32"/>
    <w:rsid w:val="00E74E4E"/>
    <w:rsid w:val="00E74E8D"/>
    <w:rsid w:val="00E75057"/>
    <w:rsid w:val="00E750C3"/>
    <w:rsid w:val="00E751DA"/>
    <w:rsid w:val="00E752AC"/>
    <w:rsid w:val="00E75416"/>
    <w:rsid w:val="00E7547F"/>
    <w:rsid w:val="00E754BE"/>
    <w:rsid w:val="00E75594"/>
    <w:rsid w:val="00E75630"/>
    <w:rsid w:val="00E756A9"/>
    <w:rsid w:val="00E756B5"/>
    <w:rsid w:val="00E756D4"/>
    <w:rsid w:val="00E756EC"/>
    <w:rsid w:val="00E75724"/>
    <w:rsid w:val="00E75919"/>
    <w:rsid w:val="00E7592C"/>
    <w:rsid w:val="00E75930"/>
    <w:rsid w:val="00E75959"/>
    <w:rsid w:val="00E75A8E"/>
    <w:rsid w:val="00E75AA4"/>
    <w:rsid w:val="00E75AB8"/>
    <w:rsid w:val="00E75AED"/>
    <w:rsid w:val="00E75B6B"/>
    <w:rsid w:val="00E75BAC"/>
    <w:rsid w:val="00E75C09"/>
    <w:rsid w:val="00E75C8E"/>
    <w:rsid w:val="00E75CBA"/>
    <w:rsid w:val="00E75D06"/>
    <w:rsid w:val="00E75D30"/>
    <w:rsid w:val="00E75D6E"/>
    <w:rsid w:val="00E75DF8"/>
    <w:rsid w:val="00E75F9B"/>
    <w:rsid w:val="00E75FDC"/>
    <w:rsid w:val="00E76064"/>
    <w:rsid w:val="00E760C3"/>
    <w:rsid w:val="00E760CD"/>
    <w:rsid w:val="00E76108"/>
    <w:rsid w:val="00E761C9"/>
    <w:rsid w:val="00E7621B"/>
    <w:rsid w:val="00E7625A"/>
    <w:rsid w:val="00E76292"/>
    <w:rsid w:val="00E763BD"/>
    <w:rsid w:val="00E763C8"/>
    <w:rsid w:val="00E7647F"/>
    <w:rsid w:val="00E764D1"/>
    <w:rsid w:val="00E76502"/>
    <w:rsid w:val="00E765DC"/>
    <w:rsid w:val="00E76764"/>
    <w:rsid w:val="00E76776"/>
    <w:rsid w:val="00E767E1"/>
    <w:rsid w:val="00E76843"/>
    <w:rsid w:val="00E76844"/>
    <w:rsid w:val="00E7685F"/>
    <w:rsid w:val="00E768DA"/>
    <w:rsid w:val="00E76944"/>
    <w:rsid w:val="00E76946"/>
    <w:rsid w:val="00E76958"/>
    <w:rsid w:val="00E769B8"/>
    <w:rsid w:val="00E76A39"/>
    <w:rsid w:val="00E76AAC"/>
    <w:rsid w:val="00E76AE8"/>
    <w:rsid w:val="00E76AFB"/>
    <w:rsid w:val="00E76B26"/>
    <w:rsid w:val="00E76B3E"/>
    <w:rsid w:val="00E76CC8"/>
    <w:rsid w:val="00E76E13"/>
    <w:rsid w:val="00E76E22"/>
    <w:rsid w:val="00E76E6C"/>
    <w:rsid w:val="00E76F1C"/>
    <w:rsid w:val="00E76F33"/>
    <w:rsid w:val="00E76FBA"/>
    <w:rsid w:val="00E7704D"/>
    <w:rsid w:val="00E77063"/>
    <w:rsid w:val="00E770A4"/>
    <w:rsid w:val="00E77128"/>
    <w:rsid w:val="00E7714E"/>
    <w:rsid w:val="00E771C7"/>
    <w:rsid w:val="00E7722C"/>
    <w:rsid w:val="00E77258"/>
    <w:rsid w:val="00E772EE"/>
    <w:rsid w:val="00E7733A"/>
    <w:rsid w:val="00E7736B"/>
    <w:rsid w:val="00E7737F"/>
    <w:rsid w:val="00E773D9"/>
    <w:rsid w:val="00E77435"/>
    <w:rsid w:val="00E77447"/>
    <w:rsid w:val="00E77497"/>
    <w:rsid w:val="00E774E6"/>
    <w:rsid w:val="00E7756C"/>
    <w:rsid w:val="00E775E4"/>
    <w:rsid w:val="00E77611"/>
    <w:rsid w:val="00E77677"/>
    <w:rsid w:val="00E776B7"/>
    <w:rsid w:val="00E776DC"/>
    <w:rsid w:val="00E77710"/>
    <w:rsid w:val="00E77753"/>
    <w:rsid w:val="00E777E0"/>
    <w:rsid w:val="00E77836"/>
    <w:rsid w:val="00E77906"/>
    <w:rsid w:val="00E7794A"/>
    <w:rsid w:val="00E779FD"/>
    <w:rsid w:val="00E77B8A"/>
    <w:rsid w:val="00E77BAD"/>
    <w:rsid w:val="00E77C0C"/>
    <w:rsid w:val="00E77CC6"/>
    <w:rsid w:val="00E77CCD"/>
    <w:rsid w:val="00E77D63"/>
    <w:rsid w:val="00E77DC6"/>
    <w:rsid w:val="00E77E80"/>
    <w:rsid w:val="00E77EF2"/>
    <w:rsid w:val="00E77FAA"/>
    <w:rsid w:val="00E77FD8"/>
    <w:rsid w:val="00E80009"/>
    <w:rsid w:val="00E8000C"/>
    <w:rsid w:val="00E80070"/>
    <w:rsid w:val="00E800E3"/>
    <w:rsid w:val="00E800F4"/>
    <w:rsid w:val="00E80139"/>
    <w:rsid w:val="00E801C9"/>
    <w:rsid w:val="00E8029E"/>
    <w:rsid w:val="00E8031D"/>
    <w:rsid w:val="00E803A6"/>
    <w:rsid w:val="00E803E3"/>
    <w:rsid w:val="00E80464"/>
    <w:rsid w:val="00E804FC"/>
    <w:rsid w:val="00E80603"/>
    <w:rsid w:val="00E8060E"/>
    <w:rsid w:val="00E80617"/>
    <w:rsid w:val="00E80690"/>
    <w:rsid w:val="00E806F6"/>
    <w:rsid w:val="00E8078B"/>
    <w:rsid w:val="00E807A4"/>
    <w:rsid w:val="00E8081D"/>
    <w:rsid w:val="00E809D8"/>
    <w:rsid w:val="00E809DA"/>
    <w:rsid w:val="00E809E8"/>
    <w:rsid w:val="00E80A97"/>
    <w:rsid w:val="00E80AF1"/>
    <w:rsid w:val="00E80C13"/>
    <w:rsid w:val="00E80C4F"/>
    <w:rsid w:val="00E80CB9"/>
    <w:rsid w:val="00E80D14"/>
    <w:rsid w:val="00E80D9D"/>
    <w:rsid w:val="00E80E92"/>
    <w:rsid w:val="00E80E9F"/>
    <w:rsid w:val="00E80FD1"/>
    <w:rsid w:val="00E81070"/>
    <w:rsid w:val="00E81122"/>
    <w:rsid w:val="00E81180"/>
    <w:rsid w:val="00E811B6"/>
    <w:rsid w:val="00E81291"/>
    <w:rsid w:val="00E812A1"/>
    <w:rsid w:val="00E812B3"/>
    <w:rsid w:val="00E813F7"/>
    <w:rsid w:val="00E81400"/>
    <w:rsid w:val="00E81507"/>
    <w:rsid w:val="00E8151A"/>
    <w:rsid w:val="00E81560"/>
    <w:rsid w:val="00E81623"/>
    <w:rsid w:val="00E81695"/>
    <w:rsid w:val="00E816D4"/>
    <w:rsid w:val="00E81717"/>
    <w:rsid w:val="00E817DC"/>
    <w:rsid w:val="00E817E6"/>
    <w:rsid w:val="00E81809"/>
    <w:rsid w:val="00E8186E"/>
    <w:rsid w:val="00E81899"/>
    <w:rsid w:val="00E8189A"/>
    <w:rsid w:val="00E818E9"/>
    <w:rsid w:val="00E81906"/>
    <w:rsid w:val="00E81925"/>
    <w:rsid w:val="00E81A2C"/>
    <w:rsid w:val="00E81A3C"/>
    <w:rsid w:val="00E81A45"/>
    <w:rsid w:val="00E81AA0"/>
    <w:rsid w:val="00E81B53"/>
    <w:rsid w:val="00E81B7E"/>
    <w:rsid w:val="00E81BC4"/>
    <w:rsid w:val="00E81CF9"/>
    <w:rsid w:val="00E81D0E"/>
    <w:rsid w:val="00E81D3F"/>
    <w:rsid w:val="00E81D5F"/>
    <w:rsid w:val="00E81DC2"/>
    <w:rsid w:val="00E81DFF"/>
    <w:rsid w:val="00E81E3F"/>
    <w:rsid w:val="00E81ED2"/>
    <w:rsid w:val="00E81F9C"/>
    <w:rsid w:val="00E820E4"/>
    <w:rsid w:val="00E82136"/>
    <w:rsid w:val="00E821DA"/>
    <w:rsid w:val="00E821F0"/>
    <w:rsid w:val="00E82203"/>
    <w:rsid w:val="00E8227C"/>
    <w:rsid w:val="00E823ED"/>
    <w:rsid w:val="00E823F1"/>
    <w:rsid w:val="00E82453"/>
    <w:rsid w:val="00E8245F"/>
    <w:rsid w:val="00E8246A"/>
    <w:rsid w:val="00E8246B"/>
    <w:rsid w:val="00E8256E"/>
    <w:rsid w:val="00E82654"/>
    <w:rsid w:val="00E8272E"/>
    <w:rsid w:val="00E827C3"/>
    <w:rsid w:val="00E82812"/>
    <w:rsid w:val="00E82927"/>
    <w:rsid w:val="00E8292D"/>
    <w:rsid w:val="00E829C0"/>
    <w:rsid w:val="00E829F9"/>
    <w:rsid w:val="00E82A88"/>
    <w:rsid w:val="00E82B78"/>
    <w:rsid w:val="00E82BCD"/>
    <w:rsid w:val="00E82C03"/>
    <w:rsid w:val="00E82C06"/>
    <w:rsid w:val="00E82C4F"/>
    <w:rsid w:val="00E82C9F"/>
    <w:rsid w:val="00E82CB7"/>
    <w:rsid w:val="00E82EAD"/>
    <w:rsid w:val="00E82FB1"/>
    <w:rsid w:val="00E83043"/>
    <w:rsid w:val="00E83092"/>
    <w:rsid w:val="00E830DD"/>
    <w:rsid w:val="00E8314D"/>
    <w:rsid w:val="00E83174"/>
    <w:rsid w:val="00E831BB"/>
    <w:rsid w:val="00E831EE"/>
    <w:rsid w:val="00E8320F"/>
    <w:rsid w:val="00E832EB"/>
    <w:rsid w:val="00E83331"/>
    <w:rsid w:val="00E8336E"/>
    <w:rsid w:val="00E83372"/>
    <w:rsid w:val="00E8337E"/>
    <w:rsid w:val="00E83384"/>
    <w:rsid w:val="00E83447"/>
    <w:rsid w:val="00E8361E"/>
    <w:rsid w:val="00E83681"/>
    <w:rsid w:val="00E83758"/>
    <w:rsid w:val="00E83771"/>
    <w:rsid w:val="00E8378E"/>
    <w:rsid w:val="00E837A4"/>
    <w:rsid w:val="00E837FB"/>
    <w:rsid w:val="00E83824"/>
    <w:rsid w:val="00E8387E"/>
    <w:rsid w:val="00E838FA"/>
    <w:rsid w:val="00E83953"/>
    <w:rsid w:val="00E839AA"/>
    <w:rsid w:val="00E839D8"/>
    <w:rsid w:val="00E83A16"/>
    <w:rsid w:val="00E83A59"/>
    <w:rsid w:val="00E83B0C"/>
    <w:rsid w:val="00E83B24"/>
    <w:rsid w:val="00E83C2C"/>
    <w:rsid w:val="00E83D2B"/>
    <w:rsid w:val="00E83D2E"/>
    <w:rsid w:val="00E83D4D"/>
    <w:rsid w:val="00E83D7B"/>
    <w:rsid w:val="00E83DF1"/>
    <w:rsid w:val="00E83E27"/>
    <w:rsid w:val="00E83E63"/>
    <w:rsid w:val="00E83E6D"/>
    <w:rsid w:val="00E83E98"/>
    <w:rsid w:val="00E83F07"/>
    <w:rsid w:val="00E83F53"/>
    <w:rsid w:val="00E83F77"/>
    <w:rsid w:val="00E83FB6"/>
    <w:rsid w:val="00E83FFA"/>
    <w:rsid w:val="00E8403D"/>
    <w:rsid w:val="00E8409E"/>
    <w:rsid w:val="00E840BA"/>
    <w:rsid w:val="00E8413B"/>
    <w:rsid w:val="00E8416D"/>
    <w:rsid w:val="00E84171"/>
    <w:rsid w:val="00E841F2"/>
    <w:rsid w:val="00E84235"/>
    <w:rsid w:val="00E842AD"/>
    <w:rsid w:val="00E842CE"/>
    <w:rsid w:val="00E843A9"/>
    <w:rsid w:val="00E843E9"/>
    <w:rsid w:val="00E8446A"/>
    <w:rsid w:val="00E84487"/>
    <w:rsid w:val="00E84488"/>
    <w:rsid w:val="00E8458E"/>
    <w:rsid w:val="00E84590"/>
    <w:rsid w:val="00E845BE"/>
    <w:rsid w:val="00E845F1"/>
    <w:rsid w:val="00E84602"/>
    <w:rsid w:val="00E84655"/>
    <w:rsid w:val="00E84684"/>
    <w:rsid w:val="00E846A9"/>
    <w:rsid w:val="00E84739"/>
    <w:rsid w:val="00E847A0"/>
    <w:rsid w:val="00E847B2"/>
    <w:rsid w:val="00E847B6"/>
    <w:rsid w:val="00E8488C"/>
    <w:rsid w:val="00E84892"/>
    <w:rsid w:val="00E848BF"/>
    <w:rsid w:val="00E848EC"/>
    <w:rsid w:val="00E84931"/>
    <w:rsid w:val="00E84933"/>
    <w:rsid w:val="00E8496D"/>
    <w:rsid w:val="00E849A7"/>
    <w:rsid w:val="00E84A07"/>
    <w:rsid w:val="00E84A0F"/>
    <w:rsid w:val="00E84A64"/>
    <w:rsid w:val="00E84B06"/>
    <w:rsid w:val="00E84C73"/>
    <w:rsid w:val="00E84CB2"/>
    <w:rsid w:val="00E84CBE"/>
    <w:rsid w:val="00E84D24"/>
    <w:rsid w:val="00E84DD4"/>
    <w:rsid w:val="00E84E2A"/>
    <w:rsid w:val="00E84ECD"/>
    <w:rsid w:val="00E84EF2"/>
    <w:rsid w:val="00E84F51"/>
    <w:rsid w:val="00E85061"/>
    <w:rsid w:val="00E85090"/>
    <w:rsid w:val="00E850C8"/>
    <w:rsid w:val="00E850ED"/>
    <w:rsid w:val="00E8518C"/>
    <w:rsid w:val="00E85214"/>
    <w:rsid w:val="00E852A5"/>
    <w:rsid w:val="00E852EC"/>
    <w:rsid w:val="00E85319"/>
    <w:rsid w:val="00E85341"/>
    <w:rsid w:val="00E8554E"/>
    <w:rsid w:val="00E85651"/>
    <w:rsid w:val="00E85671"/>
    <w:rsid w:val="00E8569D"/>
    <w:rsid w:val="00E85888"/>
    <w:rsid w:val="00E858AF"/>
    <w:rsid w:val="00E858D2"/>
    <w:rsid w:val="00E85908"/>
    <w:rsid w:val="00E85918"/>
    <w:rsid w:val="00E859D2"/>
    <w:rsid w:val="00E85A36"/>
    <w:rsid w:val="00E85A8D"/>
    <w:rsid w:val="00E85AC8"/>
    <w:rsid w:val="00E85B44"/>
    <w:rsid w:val="00E85B49"/>
    <w:rsid w:val="00E85B4D"/>
    <w:rsid w:val="00E85B5D"/>
    <w:rsid w:val="00E85BFC"/>
    <w:rsid w:val="00E85C23"/>
    <w:rsid w:val="00E85DAE"/>
    <w:rsid w:val="00E85E27"/>
    <w:rsid w:val="00E85E92"/>
    <w:rsid w:val="00E85EFD"/>
    <w:rsid w:val="00E85F10"/>
    <w:rsid w:val="00E85F24"/>
    <w:rsid w:val="00E85F99"/>
    <w:rsid w:val="00E85FEF"/>
    <w:rsid w:val="00E86084"/>
    <w:rsid w:val="00E860E3"/>
    <w:rsid w:val="00E860F2"/>
    <w:rsid w:val="00E860F9"/>
    <w:rsid w:val="00E86129"/>
    <w:rsid w:val="00E86194"/>
    <w:rsid w:val="00E861E8"/>
    <w:rsid w:val="00E86245"/>
    <w:rsid w:val="00E8628C"/>
    <w:rsid w:val="00E864A1"/>
    <w:rsid w:val="00E864B6"/>
    <w:rsid w:val="00E8650A"/>
    <w:rsid w:val="00E86604"/>
    <w:rsid w:val="00E866E8"/>
    <w:rsid w:val="00E8670A"/>
    <w:rsid w:val="00E8677F"/>
    <w:rsid w:val="00E8679B"/>
    <w:rsid w:val="00E867BA"/>
    <w:rsid w:val="00E867CE"/>
    <w:rsid w:val="00E867F5"/>
    <w:rsid w:val="00E86965"/>
    <w:rsid w:val="00E869B6"/>
    <w:rsid w:val="00E869CE"/>
    <w:rsid w:val="00E86A28"/>
    <w:rsid w:val="00E86A4D"/>
    <w:rsid w:val="00E86A54"/>
    <w:rsid w:val="00E86B8F"/>
    <w:rsid w:val="00E86E9D"/>
    <w:rsid w:val="00E86EED"/>
    <w:rsid w:val="00E86FE7"/>
    <w:rsid w:val="00E870E4"/>
    <w:rsid w:val="00E87151"/>
    <w:rsid w:val="00E871A8"/>
    <w:rsid w:val="00E871CC"/>
    <w:rsid w:val="00E87206"/>
    <w:rsid w:val="00E8722B"/>
    <w:rsid w:val="00E872BB"/>
    <w:rsid w:val="00E8735D"/>
    <w:rsid w:val="00E873A3"/>
    <w:rsid w:val="00E874B5"/>
    <w:rsid w:val="00E874C9"/>
    <w:rsid w:val="00E8753C"/>
    <w:rsid w:val="00E87587"/>
    <w:rsid w:val="00E8759E"/>
    <w:rsid w:val="00E875A3"/>
    <w:rsid w:val="00E875A9"/>
    <w:rsid w:val="00E8760F"/>
    <w:rsid w:val="00E87664"/>
    <w:rsid w:val="00E8767D"/>
    <w:rsid w:val="00E878B3"/>
    <w:rsid w:val="00E87932"/>
    <w:rsid w:val="00E87C26"/>
    <w:rsid w:val="00E87C70"/>
    <w:rsid w:val="00E87CF0"/>
    <w:rsid w:val="00E87D73"/>
    <w:rsid w:val="00E87DDC"/>
    <w:rsid w:val="00E87DF6"/>
    <w:rsid w:val="00E87E87"/>
    <w:rsid w:val="00E87E8B"/>
    <w:rsid w:val="00E87FEB"/>
    <w:rsid w:val="00E90023"/>
    <w:rsid w:val="00E900A0"/>
    <w:rsid w:val="00E90158"/>
    <w:rsid w:val="00E90184"/>
    <w:rsid w:val="00E9026E"/>
    <w:rsid w:val="00E902D5"/>
    <w:rsid w:val="00E9037D"/>
    <w:rsid w:val="00E9039F"/>
    <w:rsid w:val="00E9045F"/>
    <w:rsid w:val="00E90464"/>
    <w:rsid w:val="00E904C5"/>
    <w:rsid w:val="00E905E0"/>
    <w:rsid w:val="00E9069A"/>
    <w:rsid w:val="00E906BE"/>
    <w:rsid w:val="00E907FE"/>
    <w:rsid w:val="00E90870"/>
    <w:rsid w:val="00E908ED"/>
    <w:rsid w:val="00E908F6"/>
    <w:rsid w:val="00E9090D"/>
    <w:rsid w:val="00E90939"/>
    <w:rsid w:val="00E90949"/>
    <w:rsid w:val="00E90A21"/>
    <w:rsid w:val="00E90A9E"/>
    <w:rsid w:val="00E90B43"/>
    <w:rsid w:val="00E90B89"/>
    <w:rsid w:val="00E90BFE"/>
    <w:rsid w:val="00E90C5C"/>
    <w:rsid w:val="00E90CD1"/>
    <w:rsid w:val="00E90D0D"/>
    <w:rsid w:val="00E90D65"/>
    <w:rsid w:val="00E90DA4"/>
    <w:rsid w:val="00E90DBF"/>
    <w:rsid w:val="00E90E33"/>
    <w:rsid w:val="00E90EC4"/>
    <w:rsid w:val="00E90F92"/>
    <w:rsid w:val="00E91042"/>
    <w:rsid w:val="00E9106A"/>
    <w:rsid w:val="00E9108D"/>
    <w:rsid w:val="00E910BF"/>
    <w:rsid w:val="00E910F1"/>
    <w:rsid w:val="00E910FC"/>
    <w:rsid w:val="00E91125"/>
    <w:rsid w:val="00E9112C"/>
    <w:rsid w:val="00E9115F"/>
    <w:rsid w:val="00E912BC"/>
    <w:rsid w:val="00E9130F"/>
    <w:rsid w:val="00E9132D"/>
    <w:rsid w:val="00E9136C"/>
    <w:rsid w:val="00E91498"/>
    <w:rsid w:val="00E91573"/>
    <w:rsid w:val="00E915B8"/>
    <w:rsid w:val="00E916D4"/>
    <w:rsid w:val="00E916FB"/>
    <w:rsid w:val="00E9171A"/>
    <w:rsid w:val="00E91761"/>
    <w:rsid w:val="00E91776"/>
    <w:rsid w:val="00E91786"/>
    <w:rsid w:val="00E917B5"/>
    <w:rsid w:val="00E917F0"/>
    <w:rsid w:val="00E91810"/>
    <w:rsid w:val="00E91826"/>
    <w:rsid w:val="00E91859"/>
    <w:rsid w:val="00E918B1"/>
    <w:rsid w:val="00E91930"/>
    <w:rsid w:val="00E91971"/>
    <w:rsid w:val="00E9199C"/>
    <w:rsid w:val="00E919A2"/>
    <w:rsid w:val="00E91ABC"/>
    <w:rsid w:val="00E91B88"/>
    <w:rsid w:val="00E91BB6"/>
    <w:rsid w:val="00E91D1C"/>
    <w:rsid w:val="00E91DBB"/>
    <w:rsid w:val="00E91DCD"/>
    <w:rsid w:val="00E91DF5"/>
    <w:rsid w:val="00E91E58"/>
    <w:rsid w:val="00E91EA2"/>
    <w:rsid w:val="00E91EC2"/>
    <w:rsid w:val="00E91EED"/>
    <w:rsid w:val="00E91EF3"/>
    <w:rsid w:val="00E91F37"/>
    <w:rsid w:val="00E92023"/>
    <w:rsid w:val="00E920AB"/>
    <w:rsid w:val="00E920CC"/>
    <w:rsid w:val="00E92125"/>
    <w:rsid w:val="00E92133"/>
    <w:rsid w:val="00E921C4"/>
    <w:rsid w:val="00E92202"/>
    <w:rsid w:val="00E92297"/>
    <w:rsid w:val="00E922F8"/>
    <w:rsid w:val="00E92357"/>
    <w:rsid w:val="00E9238F"/>
    <w:rsid w:val="00E923AE"/>
    <w:rsid w:val="00E9242D"/>
    <w:rsid w:val="00E924BC"/>
    <w:rsid w:val="00E92500"/>
    <w:rsid w:val="00E92520"/>
    <w:rsid w:val="00E9258D"/>
    <w:rsid w:val="00E925B7"/>
    <w:rsid w:val="00E9260F"/>
    <w:rsid w:val="00E9269F"/>
    <w:rsid w:val="00E926B8"/>
    <w:rsid w:val="00E927EB"/>
    <w:rsid w:val="00E928B7"/>
    <w:rsid w:val="00E92998"/>
    <w:rsid w:val="00E929EF"/>
    <w:rsid w:val="00E92A40"/>
    <w:rsid w:val="00E92A79"/>
    <w:rsid w:val="00E92AD6"/>
    <w:rsid w:val="00E92B55"/>
    <w:rsid w:val="00E92C5A"/>
    <w:rsid w:val="00E92CE9"/>
    <w:rsid w:val="00E92CED"/>
    <w:rsid w:val="00E92DFC"/>
    <w:rsid w:val="00E92E0D"/>
    <w:rsid w:val="00E92F84"/>
    <w:rsid w:val="00E93143"/>
    <w:rsid w:val="00E93179"/>
    <w:rsid w:val="00E931B2"/>
    <w:rsid w:val="00E931B6"/>
    <w:rsid w:val="00E931CC"/>
    <w:rsid w:val="00E931E3"/>
    <w:rsid w:val="00E932C2"/>
    <w:rsid w:val="00E93461"/>
    <w:rsid w:val="00E934E7"/>
    <w:rsid w:val="00E934E9"/>
    <w:rsid w:val="00E9355F"/>
    <w:rsid w:val="00E935AD"/>
    <w:rsid w:val="00E935D0"/>
    <w:rsid w:val="00E935F0"/>
    <w:rsid w:val="00E935F9"/>
    <w:rsid w:val="00E93677"/>
    <w:rsid w:val="00E9367E"/>
    <w:rsid w:val="00E9367F"/>
    <w:rsid w:val="00E93689"/>
    <w:rsid w:val="00E936C4"/>
    <w:rsid w:val="00E93728"/>
    <w:rsid w:val="00E93796"/>
    <w:rsid w:val="00E937F7"/>
    <w:rsid w:val="00E9390A"/>
    <w:rsid w:val="00E9396D"/>
    <w:rsid w:val="00E93983"/>
    <w:rsid w:val="00E93A1D"/>
    <w:rsid w:val="00E93ACB"/>
    <w:rsid w:val="00E93B31"/>
    <w:rsid w:val="00E93C06"/>
    <w:rsid w:val="00E93C11"/>
    <w:rsid w:val="00E93C25"/>
    <w:rsid w:val="00E93D26"/>
    <w:rsid w:val="00E93D8E"/>
    <w:rsid w:val="00E93DB9"/>
    <w:rsid w:val="00E93DC3"/>
    <w:rsid w:val="00E93E2C"/>
    <w:rsid w:val="00E93E8E"/>
    <w:rsid w:val="00E93EAE"/>
    <w:rsid w:val="00E93ECB"/>
    <w:rsid w:val="00E93F0E"/>
    <w:rsid w:val="00E93F39"/>
    <w:rsid w:val="00E93F5E"/>
    <w:rsid w:val="00E93F81"/>
    <w:rsid w:val="00E9402F"/>
    <w:rsid w:val="00E94112"/>
    <w:rsid w:val="00E94148"/>
    <w:rsid w:val="00E94185"/>
    <w:rsid w:val="00E9419E"/>
    <w:rsid w:val="00E941A9"/>
    <w:rsid w:val="00E942BC"/>
    <w:rsid w:val="00E94301"/>
    <w:rsid w:val="00E9440A"/>
    <w:rsid w:val="00E944C9"/>
    <w:rsid w:val="00E944EA"/>
    <w:rsid w:val="00E945D4"/>
    <w:rsid w:val="00E945E8"/>
    <w:rsid w:val="00E945F4"/>
    <w:rsid w:val="00E9464C"/>
    <w:rsid w:val="00E9472A"/>
    <w:rsid w:val="00E9476C"/>
    <w:rsid w:val="00E9476D"/>
    <w:rsid w:val="00E947A9"/>
    <w:rsid w:val="00E9480C"/>
    <w:rsid w:val="00E9487F"/>
    <w:rsid w:val="00E948AB"/>
    <w:rsid w:val="00E94930"/>
    <w:rsid w:val="00E94968"/>
    <w:rsid w:val="00E9496A"/>
    <w:rsid w:val="00E94977"/>
    <w:rsid w:val="00E949FB"/>
    <w:rsid w:val="00E94A5F"/>
    <w:rsid w:val="00E94AA7"/>
    <w:rsid w:val="00E94AD1"/>
    <w:rsid w:val="00E94AE5"/>
    <w:rsid w:val="00E94B4F"/>
    <w:rsid w:val="00E94B96"/>
    <w:rsid w:val="00E94BB6"/>
    <w:rsid w:val="00E94C4F"/>
    <w:rsid w:val="00E94C6A"/>
    <w:rsid w:val="00E94CBD"/>
    <w:rsid w:val="00E94D04"/>
    <w:rsid w:val="00E94DAE"/>
    <w:rsid w:val="00E94F41"/>
    <w:rsid w:val="00E94F4C"/>
    <w:rsid w:val="00E94FA3"/>
    <w:rsid w:val="00E94FA5"/>
    <w:rsid w:val="00E94FAC"/>
    <w:rsid w:val="00E94FF8"/>
    <w:rsid w:val="00E95032"/>
    <w:rsid w:val="00E95034"/>
    <w:rsid w:val="00E9507A"/>
    <w:rsid w:val="00E95233"/>
    <w:rsid w:val="00E95289"/>
    <w:rsid w:val="00E952A1"/>
    <w:rsid w:val="00E952DB"/>
    <w:rsid w:val="00E95331"/>
    <w:rsid w:val="00E9539B"/>
    <w:rsid w:val="00E953C7"/>
    <w:rsid w:val="00E9543F"/>
    <w:rsid w:val="00E9546E"/>
    <w:rsid w:val="00E955EF"/>
    <w:rsid w:val="00E9563F"/>
    <w:rsid w:val="00E9572C"/>
    <w:rsid w:val="00E95797"/>
    <w:rsid w:val="00E957E4"/>
    <w:rsid w:val="00E95878"/>
    <w:rsid w:val="00E958B8"/>
    <w:rsid w:val="00E958D6"/>
    <w:rsid w:val="00E9590A"/>
    <w:rsid w:val="00E95928"/>
    <w:rsid w:val="00E9593B"/>
    <w:rsid w:val="00E9593D"/>
    <w:rsid w:val="00E9598D"/>
    <w:rsid w:val="00E95A02"/>
    <w:rsid w:val="00E95AFE"/>
    <w:rsid w:val="00E95B4E"/>
    <w:rsid w:val="00E95BAF"/>
    <w:rsid w:val="00E95BC9"/>
    <w:rsid w:val="00E95BE9"/>
    <w:rsid w:val="00E95CDE"/>
    <w:rsid w:val="00E95D01"/>
    <w:rsid w:val="00E95DCE"/>
    <w:rsid w:val="00E95DF0"/>
    <w:rsid w:val="00E9601E"/>
    <w:rsid w:val="00E960CF"/>
    <w:rsid w:val="00E9616B"/>
    <w:rsid w:val="00E9624E"/>
    <w:rsid w:val="00E9625D"/>
    <w:rsid w:val="00E962F1"/>
    <w:rsid w:val="00E9630B"/>
    <w:rsid w:val="00E9656E"/>
    <w:rsid w:val="00E965D8"/>
    <w:rsid w:val="00E96718"/>
    <w:rsid w:val="00E968B3"/>
    <w:rsid w:val="00E96910"/>
    <w:rsid w:val="00E96973"/>
    <w:rsid w:val="00E96978"/>
    <w:rsid w:val="00E969B7"/>
    <w:rsid w:val="00E969DA"/>
    <w:rsid w:val="00E96B56"/>
    <w:rsid w:val="00E96BB8"/>
    <w:rsid w:val="00E96C18"/>
    <w:rsid w:val="00E96CA0"/>
    <w:rsid w:val="00E96CB3"/>
    <w:rsid w:val="00E96CEE"/>
    <w:rsid w:val="00E96D38"/>
    <w:rsid w:val="00E96D7A"/>
    <w:rsid w:val="00E96D85"/>
    <w:rsid w:val="00E96DD6"/>
    <w:rsid w:val="00E96DE0"/>
    <w:rsid w:val="00E96E3F"/>
    <w:rsid w:val="00E96EF6"/>
    <w:rsid w:val="00E96F5C"/>
    <w:rsid w:val="00E96FA3"/>
    <w:rsid w:val="00E97057"/>
    <w:rsid w:val="00E9705A"/>
    <w:rsid w:val="00E970C5"/>
    <w:rsid w:val="00E97126"/>
    <w:rsid w:val="00E97246"/>
    <w:rsid w:val="00E972BB"/>
    <w:rsid w:val="00E972F3"/>
    <w:rsid w:val="00E9733E"/>
    <w:rsid w:val="00E97344"/>
    <w:rsid w:val="00E973D9"/>
    <w:rsid w:val="00E9742D"/>
    <w:rsid w:val="00E9743A"/>
    <w:rsid w:val="00E9743D"/>
    <w:rsid w:val="00E97474"/>
    <w:rsid w:val="00E974CA"/>
    <w:rsid w:val="00E974F5"/>
    <w:rsid w:val="00E97505"/>
    <w:rsid w:val="00E9754F"/>
    <w:rsid w:val="00E97561"/>
    <w:rsid w:val="00E975B9"/>
    <w:rsid w:val="00E975FB"/>
    <w:rsid w:val="00E97638"/>
    <w:rsid w:val="00E976B1"/>
    <w:rsid w:val="00E97700"/>
    <w:rsid w:val="00E9777B"/>
    <w:rsid w:val="00E97782"/>
    <w:rsid w:val="00E97797"/>
    <w:rsid w:val="00E977F0"/>
    <w:rsid w:val="00E97820"/>
    <w:rsid w:val="00E97838"/>
    <w:rsid w:val="00E978DE"/>
    <w:rsid w:val="00E979B2"/>
    <w:rsid w:val="00E97A09"/>
    <w:rsid w:val="00E97A27"/>
    <w:rsid w:val="00E97AA8"/>
    <w:rsid w:val="00E97B90"/>
    <w:rsid w:val="00E97B9C"/>
    <w:rsid w:val="00E97C0E"/>
    <w:rsid w:val="00E97C6D"/>
    <w:rsid w:val="00E97C9D"/>
    <w:rsid w:val="00E97DF4"/>
    <w:rsid w:val="00E97E8A"/>
    <w:rsid w:val="00E97EBB"/>
    <w:rsid w:val="00E97ED5"/>
    <w:rsid w:val="00E97F12"/>
    <w:rsid w:val="00E97F83"/>
    <w:rsid w:val="00E97F9D"/>
    <w:rsid w:val="00E97FD6"/>
    <w:rsid w:val="00EA002C"/>
    <w:rsid w:val="00EA0047"/>
    <w:rsid w:val="00EA004F"/>
    <w:rsid w:val="00EA00C3"/>
    <w:rsid w:val="00EA015F"/>
    <w:rsid w:val="00EA01D8"/>
    <w:rsid w:val="00EA02A8"/>
    <w:rsid w:val="00EA02AC"/>
    <w:rsid w:val="00EA0317"/>
    <w:rsid w:val="00EA03CF"/>
    <w:rsid w:val="00EA0483"/>
    <w:rsid w:val="00EA04B6"/>
    <w:rsid w:val="00EA04BC"/>
    <w:rsid w:val="00EA0527"/>
    <w:rsid w:val="00EA05D0"/>
    <w:rsid w:val="00EA05D3"/>
    <w:rsid w:val="00EA05EA"/>
    <w:rsid w:val="00EA05EC"/>
    <w:rsid w:val="00EA0734"/>
    <w:rsid w:val="00EA07EB"/>
    <w:rsid w:val="00EA0834"/>
    <w:rsid w:val="00EA086B"/>
    <w:rsid w:val="00EA08A4"/>
    <w:rsid w:val="00EA08BF"/>
    <w:rsid w:val="00EA09FF"/>
    <w:rsid w:val="00EA0A13"/>
    <w:rsid w:val="00EA0A60"/>
    <w:rsid w:val="00EA0A62"/>
    <w:rsid w:val="00EA0B23"/>
    <w:rsid w:val="00EA0B2F"/>
    <w:rsid w:val="00EA0C39"/>
    <w:rsid w:val="00EA0C89"/>
    <w:rsid w:val="00EA0CD9"/>
    <w:rsid w:val="00EA0CF2"/>
    <w:rsid w:val="00EA0CF4"/>
    <w:rsid w:val="00EA0D21"/>
    <w:rsid w:val="00EA0DA5"/>
    <w:rsid w:val="00EA0E01"/>
    <w:rsid w:val="00EA0E53"/>
    <w:rsid w:val="00EA0ECC"/>
    <w:rsid w:val="00EA0F41"/>
    <w:rsid w:val="00EA0F6B"/>
    <w:rsid w:val="00EA0F86"/>
    <w:rsid w:val="00EA0FA2"/>
    <w:rsid w:val="00EA1063"/>
    <w:rsid w:val="00EA1128"/>
    <w:rsid w:val="00EA1135"/>
    <w:rsid w:val="00EA124A"/>
    <w:rsid w:val="00EA1300"/>
    <w:rsid w:val="00EA13BD"/>
    <w:rsid w:val="00EA15D4"/>
    <w:rsid w:val="00EA15E4"/>
    <w:rsid w:val="00EA166A"/>
    <w:rsid w:val="00EA1696"/>
    <w:rsid w:val="00EA16C0"/>
    <w:rsid w:val="00EA16DC"/>
    <w:rsid w:val="00EA178A"/>
    <w:rsid w:val="00EA179F"/>
    <w:rsid w:val="00EA17FA"/>
    <w:rsid w:val="00EA1812"/>
    <w:rsid w:val="00EA18F9"/>
    <w:rsid w:val="00EA1903"/>
    <w:rsid w:val="00EA1937"/>
    <w:rsid w:val="00EA196E"/>
    <w:rsid w:val="00EA1B31"/>
    <w:rsid w:val="00EA1B7F"/>
    <w:rsid w:val="00EA1B8D"/>
    <w:rsid w:val="00EA1BA5"/>
    <w:rsid w:val="00EA1BB2"/>
    <w:rsid w:val="00EA1C75"/>
    <w:rsid w:val="00EA1C93"/>
    <w:rsid w:val="00EA1D51"/>
    <w:rsid w:val="00EA1D74"/>
    <w:rsid w:val="00EA1DA3"/>
    <w:rsid w:val="00EA1F4A"/>
    <w:rsid w:val="00EA20C2"/>
    <w:rsid w:val="00EA20F9"/>
    <w:rsid w:val="00EA2102"/>
    <w:rsid w:val="00EA21DA"/>
    <w:rsid w:val="00EA2377"/>
    <w:rsid w:val="00EA23BA"/>
    <w:rsid w:val="00EA24A3"/>
    <w:rsid w:val="00EA24F1"/>
    <w:rsid w:val="00EA2504"/>
    <w:rsid w:val="00EA252F"/>
    <w:rsid w:val="00EA2598"/>
    <w:rsid w:val="00EA25B1"/>
    <w:rsid w:val="00EA2676"/>
    <w:rsid w:val="00EA26B2"/>
    <w:rsid w:val="00EA26DF"/>
    <w:rsid w:val="00EA27F6"/>
    <w:rsid w:val="00EA27FC"/>
    <w:rsid w:val="00EA2854"/>
    <w:rsid w:val="00EA294F"/>
    <w:rsid w:val="00EA29DD"/>
    <w:rsid w:val="00EA2B8E"/>
    <w:rsid w:val="00EA2BC2"/>
    <w:rsid w:val="00EA2BE9"/>
    <w:rsid w:val="00EA2C0E"/>
    <w:rsid w:val="00EA2D88"/>
    <w:rsid w:val="00EA2D8E"/>
    <w:rsid w:val="00EA2D98"/>
    <w:rsid w:val="00EA2E89"/>
    <w:rsid w:val="00EA2EDC"/>
    <w:rsid w:val="00EA2EE5"/>
    <w:rsid w:val="00EA2EF4"/>
    <w:rsid w:val="00EA2F74"/>
    <w:rsid w:val="00EA2F80"/>
    <w:rsid w:val="00EA2F90"/>
    <w:rsid w:val="00EA2FFE"/>
    <w:rsid w:val="00EA3012"/>
    <w:rsid w:val="00EA30CF"/>
    <w:rsid w:val="00EA3128"/>
    <w:rsid w:val="00EA3167"/>
    <w:rsid w:val="00EA31A7"/>
    <w:rsid w:val="00EA3331"/>
    <w:rsid w:val="00EA33DB"/>
    <w:rsid w:val="00EA33E3"/>
    <w:rsid w:val="00EA33F9"/>
    <w:rsid w:val="00EA342B"/>
    <w:rsid w:val="00EA343E"/>
    <w:rsid w:val="00EA34C0"/>
    <w:rsid w:val="00EA34FA"/>
    <w:rsid w:val="00EA3515"/>
    <w:rsid w:val="00EA3545"/>
    <w:rsid w:val="00EA3559"/>
    <w:rsid w:val="00EA35F9"/>
    <w:rsid w:val="00EA3644"/>
    <w:rsid w:val="00EA36DD"/>
    <w:rsid w:val="00EA36F6"/>
    <w:rsid w:val="00EA37C8"/>
    <w:rsid w:val="00EA37D7"/>
    <w:rsid w:val="00EA3878"/>
    <w:rsid w:val="00EA38FF"/>
    <w:rsid w:val="00EA3900"/>
    <w:rsid w:val="00EA3960"/>
    <w:rsid w:val="00EA3A03"/>
    <w:rsid w:val="00EA3AA8"/>
    <w:rsid w:val="00EA3B06"/>
    <w:rsid w:val="00EA3B2F"/>
    <w:rsid w:val="00EA3CDF"/>
    <w:rsid w:val="00EA3D9C"/>
    <w:rsid w:val="00EA3E76"/>
    <w:rsid w:val="00EA3EBE"/>
    <w:rsid w:val="00EA3F1D"/>
    <w:rsid w:val="00EA3FBD"/>
    <w:rsid w:val="00EA3FE9"/>
    <w:rsid w:val="00EA409A"/>
    <w:rsid w:val="00EA4122"/>
    <w:rsid w:val="00EA4129"/>
    <w:rsid w:val="00EA418C"/>
    <w:rsid w:val="00EA4300"/>
    <w:rsid w:val="00EA4376"/>
    <w:rsid w:val="00EA4387"/>
    <w:rsid w:val="00EA44A2"/>
    <w:rsid w:val="00EA4572"/>
    <w:rsid w:val="00EA478F"/>
    <w:rsid w:val="00EA47BB"/>
    <w:rsid w:val="00EA47C9"/>
    <w:rsid w:val="00EA4814"/>
    <w:rsid w:val="00EA484C"/>
    <w:rsid w:val="00EA4971"/>
    <w:rsid w:val="00EA49EE"/>
    <w:rsid w:val="00EA4A80"/>
    <w:rsid w:val="00EA4A85"/>
    <w:rsid w:val="00EA4AB2"/>
    <w:rsid w:val="00EA4AF9"/>
    <w:rsid w:val="00EA4BC2"/>
    <w:rsid w:val="00EA4C68"/>
    <w:rsid w:val="00EA4CAB"/>
    <w:rsid w:val="00EA4D09"/>
    <w:rsid w:val="00EA4D39"/>
    <w:rsid w:val="00EA4D3A"/>
    <w:rsid w:val="00EA4E03"/>
    <w:rsid w:val="00EA4ED8"/>
    <w:rsid w:val="00EA4F0E"/>
    <w:rsid w:val="00EA5090"/>
    <w:rsid w:val="00EA50AC"/>
    <w:rsid w:val="00EA5191"/>
    <w:rsid w:val="00EA51AF"/>
    <w:rsid w:val="00EA51DA"/>
    <w:rsid w:val="00EA53B2"/>
    <w:rsid w:val="00EA53B6"/>
    <w:rsid w:val="00EA54F9"/>
    <w:rsid w:val="00EA54FB"/>
    <w:rsid w:val="00EA557D"/>
    <w:rsid w:val="00EA5614"/>
    <w:rsid w:val="00EA563F"/>
    <w:rsid w:val="00EA5644"/>
    <w:rsid w:val="00EA5654"/>
    <w:rsid w:val="00EA567A"/>
    <w:rsid w:val="00EA570C"/>
    <w:rsid w:val="00EA5768"/>
    <w:rsid w:val="00EA5790"/>
    <w:rsid w:val="00EA57C2"/>
    <w:rsid w:val="00EA580C"/>
    <w:rsid w:val="00EA5817"/>
    <w:rsid w:val="00EA58B2"/>
    <w:rsid w:val="00EA58B6"/>
    <w:rsid w:val="00EA58EC"/>
    <w:rsid w:val="00EA58F2"/>
    <w:rsid w:val="00EA5914"/>
    <w:rsid w:val="00EA5993"/>
    <w:rsid w:val="00EA59BB"/>
    <w:rsid w:val="00EA59D5"/>
    <w:rsid w:val="00EA59E1"/>
    <w:rsid w:val="00EA5A2F"/>
    <w:rsid w:val="00EA5A4D"/>
    <w:rsid w:val="00EA5AAA"/>
    <w:rsid w:val="00EA5AB1"/>
    <w:rsid w:val="00EA5B00"/>
    <w:rsid w:val="00EA5B40"/>
    <w:rsid w:val="00EA5B42"/>
    <w:rsid w:val="00EA5C3B"/>
    <w:rsid w:val="00EA5C6A"/>
    <w:rsid w:val="00EA5C72"/>
    <w:rsid w:val="00EA5CC0"/>
    <w:rsid w:val="00EA5E31"/>
    <w:rsid w:val="00EA5E82"/>
    <w:rsid w:val="00EA5F7D"/>
    <w:rsid w:val="00EA6024"/>
    <w:rsid w:val="00EA603A"/>
    <w:rsid w:val="00EA60AB"/>
    <w:rsid w:val="00EA60BD"/>
    <w:rsid w:val="00EA6105"/>
    <w:rsid w:val="00EA6143"/>
    <w:rsid w:val="00EA616B"/>
    <w:rsid w:val="00EA616D"/>
    <w:rsid w:val="00EA6188"/>
    <w:rsid w:val="00EA61AD"/>
    <w:rsid w:val="00EA625E"/>
    <w:rsid w:val="00EA634B"/>
    <w:rsid w:val="00EA6427"/>
    <w:rsid w:val="00EA6490"/>
    <w:rsid w:val="00EA653A"/>
    <w:rsid w:val="00EA659D"/>
    <w:rsid w:val="00EA65AA"/>
    <w:rsid w:val="00EA65DF"/>
    <w:rsid w:val="00EA6608"/>
    <w:rsid w:val="00EA667D"/>
    <w:rsid w:val="00EA6819"/>
    <w:rsid w:val="00EA6898"/>
    <w:rsid w:val="00EA68CD"/>
    <w:rsid w:val="00EA6967"/>
    <w:rsid w:val="00EA6A2A"/>
    <w:rsid w:val="00EA6A35"/>
    <w:rsid w:val="00EA6A67"/>
    <w:rsid w:val="00EA6A6F"/>
    <w:rsid w:val="00EA6B93"/>
    <w:rsid w:val="00EA6BAC"/>
    <w:rsid w:val="00EA6C67"/>
    <w:rsid w:val="00EA6C70"/>
    <w:rsid w:val="00EA6C7C"/>
    <w:rsid w:val="00EA6C8D"/>
    <w:rsid w:val="00EA6CC1"/>
    <w:rsid w:val="00EA6D70"/>
    <w:rsid w:val="00EA6DD8"/>
    <w:rsid w:val="00EA6E32"/>
    <w:rsid w:val="00EA6E51"/>
    <w:rsid w:val="00EA6EA9"/>
    <w:rsid w:val="00EA6F0C"/>
    <w:rsid w:val="00EA6F23"/>
    <w:rsid w:val="00EA6F45"/>
    <w:rsid w:val="00EA7081"/>
    <w:rsid w:val="00EA708A"/>
    <w:rsid w:val="00EA70D8"/>
    <w:rsid w:val="00EA7148"/>
    <w:rsid w:val="00EA7177"/>
    <w:rsid w:val="00EA71E8"/>
    <w:rsid w:val="00EA7338"/>
    <w:rsid w:val="00EA7381"/>
    <w:rsid w:val="00EA748E"/>
    <w:rsid w:val="00EA74B4"/>
    <w:rsid w:val="00EA751A"/>
    <w:rsid w:val="00EA7541"/>
    <w:rsid w:val="00EA754E"/>
    <w:rsid w:val="00EA7555"/>
    <w:rsid w:val="00EA759E"/>
    <w:rsid w:val="00EA75AF"/>
    <w:rsid w:val="00EA75D9"/>
    <w:rsid w:val="00EA75FF"/>
    <w:rsid w:val="00EA7649"/>
    <w:rsid w:val="00EA7691"/>
    <w:rsid w:val="00EA76D4"/>
    <w:rsid w:val="00EA76FA"/>
    <w:rsid w:val="00EA77AC"/>
    <w:rsid w:val="00EA77CE"/>
    <w:rsid w:val="00EA7868"/>
    <w:rsid w:val="00EA7920"/>
    <w:rsid w:val="00EA7A50"/>
    <w:rsid w:val="00EA7B24"/>
    <w:rsid w:val="00EA7B56"/>
    <w:rsid w:val="00EA7B72"/>
    <w:rsid w:val="00EA7C36"/>
    <w:rsid w:val="00EA7C53"/>
    <w:rsid w:val="00EA7CF8"/>
    <w:rsid w:val="00EA7DEF"/>
    <w:rsid w:val="00EA7E17"/>
    <w:rsid w:val="00EA7E4D"/>
    <w:rsid w:val="00EA7F44"/>
    <w:rsid w:val="00EA7F8A"/>
    <w:rsid w:val="00EA7FBB"/>
    <w:rsid w:val="00EB0008"/>
    <w:rsid w:val="00EB00A1"/>
    <w:rsid w:val="00EB011D"/>
    <w:rsid w:val="00EB0158"/>
    <w:rsid w:val="00EB01DE"/>
    <w:rsid w:val="00EB01E3"/>
    <w:rsid w:val="00EB028A"/>
    <w:rsid w:val="00EB029B"/>
    <w:rsid w:val="00EB02BC"/>
    <w:rsid w:val="00EB02C8"/>
    <w:rsid w:val="00EB0321"/>
    <w:rsid w:val="00EB03B8"/>
    <w:rsid w:val="00EB03BB"/>
    <w:rsid w:val="00EB03BF"/>
    <w:rsid w:val="00EB03E0"/>
    <w:rsid w:val="00EB0462"/>
    <w:rsid w:val="00EB047C"/>
    <w:rsid w:val="00EB04E7"/>
    <w:rsid w:val="00EB061B"/>
    <w:rsid w:val="00EB0798"/>
    <w:rsid w:val="00EB07C9"/>
    <w:rsid w:val="00EB07D0"/>
    <w:rsid w:val="00EB0826"/>
    <w:rsid w:val="00EB0830"/>
    <w:rsid w:val="00EB0837"/>
    <w:rsid w:val="00EB0838"/>
    <w:rsid w:val="00EB089E"/>
    <w:rsid w:val="00EB08AD"/>
    <w:rsid w:val="00EB08C4"/>
    <w:rsid w:val="00EB0A1E"/>
    <w:rsid w:val="00EB0A9D"/>
    <w:rsid w:val="00EB0AF3"/>
    <w:rsid w:val="00EB0C0E"/>
    <w:rsid w:val="00EB0C34"/>
    <w:rsid w:val="00EB0D51"/>
    <w:rsid w:val="00EB0DE2"/>
    <w:rsid w:val="00EB0E49"/>
    <w:rsid w:val="00EB0E55"/>
    <w:rsid w:val="00EB0EB0"/>
    <w:rsid w:val="00EB0FE3"/>
    <w:rsid w:val="00EB0FE4"/>
    <w:rsid w:val="00EB10D6"/>
    <w:rsid w:val="00EB115C"/>
    <w:rsid w:val="00EB1188"/>
    <w:rsid w:val="00EB1193"/>
    <w:rsid w:val="00EB11A3"/>
    <w:rsid w:val="00EB129A"/>
    <w:rsid w:val="00EB12F5"/>
    <w:rsid w:val="00EB1392"/>
    <w:rsid w:val="00EB144F"/>
    <w:rsid w:val="00EB1467"/>
    <w:rsid w:val="00EB14B9"/>
    <w:rsid w:val="00EB14CD"/>
    <w:rsid w:val="00EB15A6"/>
    <w:rsid w:val="00EB15BC"/>
    <w:rsid w:val="00EB1631"/>
    <w:rsid w:val="00EB1632"/>
    <w:rsid w:val="00EB1673"/>
    <w:rsid w:val="00EB167C"/>
    <w:rsid w:val="00EB16CC"/>
    <w:rsid w:val="00EB1784"/>
    <w:rsid w:val="00EB179A"/>
    <w:rsid w:val="00EB17E7"/>
    <w:rsid w:val="00EB1849"/>
    <w:rsid w:val="00EB19DE"/>
    <w:rsid w:val="00EB1A29"/>
    <w:rsid w:val="00EB1AAA"/>
    <w:rsid w:val="00EB1AF7"/>
    <w:rsid w:val="00EB1BBB"/>
    <w:rsid w:val="00EB1BFD"/>
    <w:rsid w:val="00EB1CFD"/>
    <w:rsid w:val="00EB1D9B"/>
    <w:rsid w:val="00EB1DE8"/>
    <w:rsid w:val="00EB1E4F"/>
    <w:rsid w:val="00EB1ED0"/>
    <w:rsid w:val="00EB1F0C"/>
    <w:rsid w:val="00EB1F8E"/>
    <w:rsid w:val="00EB202A"/>
    <w:rsid w:val="00EB20F6"/>
    <w:rsid w:val="00EB2112"/>
    <w:rsid w:val="00EB2173"/>
    <w:rsid w:val="00EB2177"/>
    <w:rsid w:val="00EB2238"/>
    <w:rsid w:val="00EB2294"/>
    <w:rsid w:val="00EB233B"/>
    <w:rsid w:val="00EB23CB"/>
    <w:rsid w:val="00EB23CD"/>
    <w:rsid w:val="00EB247C"/>
    <w:rsid w:val="00EB24D8"/>
    <w:rsid w:val="00EB24F6"/>
    <w:rsid w:val="00EB2530"/>
    <w:rsid w:val="00EB2543"/>
    <w:rsid w:val="00EB261A"/>
    <w:rsid w:val="00EB2620"/>
    <w:rsid w:val="00EB2658"/>
    <w:rsid w:val="00EB26B3"/>
    <w:rsid w:val="00EB271E"/>
    <w:rsid w:val="00EB277D"/>
    <w:rsid w:val="00EB28A4"/>
    <w:rsid w:val="00EB2902"/>
    <w:rsid w:val="00EB2962"/>
    <w:rsid w:val="00EB29E9"/>
    <w:rsid w:val="00EB2A14"/>
    <w:rsid w:val="00EB2A58"/>
    <w:rsid w:val="00EB2A75"/>
    <w:rsid w:val="00EB2B08"/>
    <w:rsid w:val="00EB2B79"/>
    <w:rsid w:val="00EB2BA2"/>
    <w:rsid w:val="00EB2BF7"/>
    <w:rsid w:val="00EB2CB5"/>
    <w:rsid w:val="00EB2D1A"/>
    <w:rsid w:val="00EB2D30"/>
    <w:rsid w:val="00EB2D53"/>
    <w:rsid w:val="00EB2DCD"/>
    <w:rsid w:val="00EB2E0E"/>
    <w:rsid w:val="00EB2E13"/>
    <w:rsid w:val="00EB2E96"/>
    <w:rsid w:val="00EB2EB3"/>
    <w:rsid w:val="00EB2EEF"/>
    <w:rsid w:val="00EB2F6C"/>
    <w:rsid w:val="00EB2FD2"/>
    <w:rsid w:val="00EB309A"/>
    <w:rsid w:val="00EB31B3"/>
    <w:rsid w:val="00EB3201"/>
    <w:rsid w:val="00EB32AA"/>
    <w:rsid w:val="00EB333A"/>
    <w:rsid w:val="00EB3432"/>
    <w:rsid w:val="00EB3465"/>
    <w:rsid w:val="00EB3475"/>
    <w:rsid w:val="00EB34CB"/>
    <w:rsid w:val="00EB34CD"/>
    <w:rsid w:val="00EB34E2"/>
    <w:rsid w:val="00EB3503"/>
    <w:rsid w:val="00EB353B"/>
    <w:rsid w:val="00EB354F"/>
    <w:rsid w:val="00EB3582"/>
    <w:rsid w:val="00EB35A6"/>
    <w:rsid w:val="00EB362F"/>
    <w:rsid w:val="00EB3637"/>
    <w:rsid w:val="00EB36C0"/>
    <w:rsid w:val="00EB3755"/>
    <w:rsid w:val="00EB3773"/>
    <w:rsid w:val="00EB37AC"/>
    <w:rsid w:val="00EB390B"/>
    <w:rsid w:val="00EB393C"/>
    <w:rsid w:val="00EB3998"/>
    <w:rsid w:val="00EB3A1A"/>
    <w:rsid w:val="00EB3BB8"/>
    <w:rsid w:val="00EB3C09"/>
    <w:rsid w:val="00EB3C5F"/>
    <w:rsid w:val="00EB3CDB"/>
    <w:rsid w:val="00EB3CE0"/>
    <w:rsid w:val="00EB3D49"/>
    <w:rsid w:val="00EB3D7E"/>
    <w:rsid w:val="00EB3E56"/>
    <w:rsid w:val="00EB3E82"/>
    <w:rsid w:val="00EB3EE9"/>
    <w:rsid w:val="00EB3F19"/>
    <w:rsid w:val="00EB3F3D"/>
    <w:rsid w:val="00EB3F76"/>
    <w:rsid w:val="00EB40BA"/>
    <w:rsid w:val="00EB41C9"/>
    <w:rsid w:val="00EB4222"/>
    <w:rsid w:val="00EB422D"/>
    <w:rsid w:val="00EB423D"/>
    <w:rsid w:val="00EB42BD"/>
    <w:rsid w:val="00EB4365"/>
    <w:rsid w:val="00EB437D"/>
    <w:rsid w:val="00EB43E2"/>
    <w:rsid w:val="00EB4417"/>
    <w:rsid w:val="00EB4487"/>
    <w:rsid w:val="00EB44AC"/>
    <w:rsid w:val="00EB44B3"/>
    <w:rsid w:val="00EB45B4"/>
    <w:rsid w:val="00EB465C"/>
    <w:rsid w:val="00EB46BF"/>
    <w:rsid w:val="00EB4766"/>
    <w:rsid w:val="00EB4782"/>
    <w:rsid w:val="00EB47B5"/>
    <w:rsid w:val="00EB47F1"/>
    <w:rsid w:val="00EB48D2"/>
    <w:rsid w:val="00EB48F8"/>
    <w:rsid w:val="00EB4925"/>
    <w:rsid w:val="00EB49F8"/>
    <w:rsid w:val="00EB4A2E"/>
    <w:rsid w:val="00EB4A4A"/>
    <w:rsid w:val="00EB4ABB"/>
    <w:rsid w:val="00EB4BBE"/>
    <w:rsid w:val="00EB4C1A"/>
    <w:rsid w:val="00EB4CCB"/>
    <w:rsid w:val="00EB4D07"/>
    <w:rsid w:val="00EB4D1A"/>
    <w:rsid w:val="00EB4DA1"/>
    <w:rsid w:val="00EB4E1F"/>
    <w:rsid w:val="00EB4E65"/>
    <w:rsid w:val="00EB4E7D"/>
    <w:rsid w:val="00EB4EB8"/>
    <w:rsid w:val="00EB4F54"/>
    <w:rsid w:val="00EB4F86"/>
    <w:rsid w:val="00EB4FAC"/>
    <w:rsid w:val="00EB4FFB"/>
    <w:rsid w:val="00EB5008"/>
    <w:rsid w:val="00EB50B1"/>
    <w:rsid w:val="00EB529D"/>
    <w:rsid w:val="00EB52B1"/>
    <w:rsid w:val="00EB52EC"/>
    <w:rsid w:val="00EB548D"/>
    <w:rsid w:val="00EB5496"/>
    <w:rsid w:val="00EB54BA"/>
    <w:rsid w:val="00EB5644"/>
    <w:rsid w:val="00EB56C1"/>
    <w:rsid w:val="00EB56FB"/>
    <w:rsid w:val="00EB5784"/>
    <w:rsid w:val="00EB57AF"/>
    <w:rsid w:val="00EB57B7"/>
    <w:rsid w:val="00EB5934"/>
    <w:rsid w:val="00EB5986"/>
    <w:rsid w:val="00EB5A3C"/>
    <w:rsid w:val="00EB5A95"/>
    <w:rsid w:val="00EB5ACE"/>
    <w:rsid w:val="00EB5AE4"/>
    <w:rsid w:val="00EB5AFA"/>
    <w:rsid w:val="00EB5B11"/>
    <w:rsid w:val="00EB5B1C"/>
    <w:rsid w:val="00EB5B23"/>
    <w:rsid w:val="00EB5B45"/>
    <w:rsid w:val="00EB5BA6"/>
    <w:rsid w:val="00EB5C1B"/>
    <w:rsid w:val="00EB5CEE"/>
    <w:rsid w:val="00EB5E3E"/>
    <w:rsid w:val="00EB5E60"/>
    <w:rsid w:val="00EB5ED1"/>
    <w:rsid w:val="00EB5F1B"/>
    <w:rsid w:val="00EB5F3B"/>
    <w:rsid w:val="00EB5F56"/>
    <w:rsid w:val="00EB5F5A"/>
    <w:rsid w:val="00EB5FF8"/>
    <w:rsid w:val="00EB6144"/>
    <w:rsid w:val="00EB61A0"/>
    <w:rsid w:val="00EB61B9"/>
    <w:rsid w:val="00EB621E"/>
    <w:rsid w:val="00EB6282"/>
    <w:rsid w:val="00EB6288"/>
    <w:rsid w:val="00EB62E8"/>
    <w:rsid w:val="00EB6346"/>
    <w:rsid w:val="00EB63B2"/>
    <w:rsid w:val="00EB63DC"/>
    <w:rsid w:val="00EB63F6"/>
    <w:rsid w:val="00EB63F8"/>
    <w:rsid w:val="00EB6427"/>
    <w:rsid w:val="00EB64B7"/>
    <w:rsid w:val="00EB64C1"/>
    <w:rsid w:val="00EB64C4"/>
    <w:rsid w:val="00EB6502"/>
    <w:rsid w:val="00EB650D"/>
    <w:rsid w:val="00EB65DE"/>
    <w:rsid w:val="00EB660A"/>
    <w:rsid w:val="00EB6641"/>
    <w:rsid w:val="00EB66C8"/>
    <w:rsid w:val="00EB6740"/>
    <w:rsid w:val="00EB68B8"/>
    <w:rsid w:val="00EB69D5"/>
    <w:rsid w:val="00EB6AFD"/>
    <w:rsid w:val="00EB6B43"/>
    <w:rsid w:val="00EB6B53"/>
    <w:rsid w:val="00EB6BC5"/>
    <w:rsid w:val="00EB6C4E"/>
    <w:rsid w:val="00EB6C88"/>
    <w:rsid w:val="00EB6CDB"/>
    <w:rsid w:val="00EB6E9D"/>
    <w:rsid w:val="00EB6F33"/>
    <w:rsid w:val="00EB6FAD"/>
    <w:rsid w:val="00EB703D"/>
    <w:rsid w:val="00EB70BA"/>
    <w:rsid w:val="00EB70E5"/>
    <w:rsid w:val="00EB7119"/>
    <w:rsid w:val="00EB728F"/>
    <w:rsid w:val="00EB72D8"/>
    <w:rsid w:val="00EB7303"/>
    <w:rsid w:val="00EB7317"/>
    <w:rsid w:val="00EB7421"/>
    <w:rsid w:val="00EB750F"/>
    <w:rsid w:val="00EB752A"/>
    <w:rsid w:val="00EB7622"/>
    <w:rsid w:val="00EB7624"/>
    <w:rsid w:val="00EB76F1"/>
    <w:rsid w:val="00EB77B8"/>
    <w:rsid w:val="00EB77D7"/>
    <w:rsid w:val="00EB77DB"/>
    <w:rsid w:val="00EB783B"/>
    <w:rsid w:val="00EB785C"/>
    <w:rsid w:val="00EB78A2"/>
    <w:rsid w:val="00EB78E4"/>
    <w:rsid w:val="00EB78F5"/>
    <w:rsid w:val="00EB791C"/>
    <w:rsid w:val="00EB79A6"/>
    <w:rsid w:val="00EB79B8"/>
    <w:rsid w:val="00EB7A50"/>
    <w:rsid w:val="00EB7AE5"/>
    <w:rsid w:val="00EB7BAF"/>
    <w:rsid w:val="00EB7BFC"/>
    <w:rsid w:val="00EB7C67"/>
    <w:rsid w:val="00EB7C68"/>
    <w:rsid w:val="00EB7CD3"/>
    <w:rsid w:val="00EB7D3C"/>
    <w:rsid w:val="00EB7D3E"/>
    <w:rsid w:val="00EB7FC3"/>
    <w:rsid w:val="00EC0006"/>
    <w:rsid w:val="00EC005D"/>
    <w:rsid w:val="00EC00A4"/>
    <w:rsid w:val="00EC0100"/>
    <w:rsid w:val="00EC012B"/>
    <w:rsid w:val="00EC01DE"/>
    <w:rsid w:val="00EC023F"/>
    <w:rsid w:val="00EC02AD"/>
    <w:rsid w:val="00EC03DA"/>
    <w:rsid w:val="00EC046B"/>
    <w:rsid w:val="00EC048D"/>
    <w:rsid w:val="00EC049A"/>
    <w:rsid w:val="00EC04DE"/>
    <w:rsid w:val="00EC059E"/>
    <w:rsid w:val="00EC05D4"/>
    <w:rsid w:val="00EC0624"/>
    <w:rsid w:val="00EC062F"/>
    <w:rsid w:val="00EC0732"/>
    <w:rsid w:val="00EC079A"/>
    <w:rsid w:val="00EC07B4"/>
    <w:rsid w:val="00EC07DE"/>
    <w:rsid w:val="00EC0851"/>
    <w:rsid w:val="00EC0945"/>
    <w:rsid w:val="00EC0981"/>
    <w:rsid w:val="00EC0A9C"/>
    <w:rsid w:val="00EC0B4D"/>
    <w:rsid w:val="00EC0B59"/>
    <w:rsid w:val="00EC0B66"/>
    <w:rsid w:val="00EC0C0A"/>
    <w:rsid w:val="00EC0C76"/>
    <w:rsid w:val="00EC0CC4"/>
    <w:rsid w:val="00EC0E81"/>
    <w:rsid w:val="00EC0F1F"/>
    <w:rsid w:val="00EC0F98"/>
    <w:rsid w:val="00EC108C"/>
    <w:rsid w:val="00EC10D3"/>
    <w:rsid w:val="00EC123E"/>
    <w:rsid w:val="00EC1253"/>
    <w:rsid w:val="00EC1283"/>
    <w:rsid w:val="00EC12AB"/>
    <w:rsid w:val="00EC12EC"/>
    <w:rsid w:val="00EC139E"/>
    <w:rsid w:val="00EC1499"/>
    <w:rsid w:val="00EC1697"/>
    <w:rsid w:val="00EC16E8"/>
    <w:rsid w:val="00EC16F8"/>
    <w:rsid w:val="00EC16F9"/>
    <w:rsid w:val="00EC1700"/>
    <w:rsid w:val="00EC17D4"/>
    <w:rsid w:val="00EC1802"/>
    <w:rsid w:val="00EC1825"/>
    <w:rsid w:val="00EC1888"/>
    <w:rsid w:val="00EC1940"/>
    <w:rsid w:val="00EC1951"/>
    <w:rsid w:val="00EC1959"/>
    <w:rsid w:val="00EC199A"/>
    <w:rsid w:val="00EC19CD"/>
    <w:rsid w:val="00EC1A82"/>
    <w:rsid w:val="00EC1AA0"/>
    <w:rsid w:val="00EC1ADE"/>
    <w:rsid w:val="00EC1B3C"/>
    <w:rsid w:val="00EC1B90"/>
    <w:rsid w:val="00EC1BDD"/>
    <w:rsid w:val="00EC1C7A"/>
    <w:rsid w:val="00EC1D25"/>
    <w:rsid w:val="00EC1D2D"/>
    <w:rsid w:val="00EC1D95"/>
    <w:rsid w:val="00EC1DD4"/>
    <w:rsid w:val="00EC1DEB"/>
    <w:rsid w:val="00EC1E00"/>
    <w:rsid w:val="00EC1EE2"/>
    <w:rsid w:val="00EC1F0A"/>
    <w:rsid w:val="00EC1F6D"/>
    <w:rsid w:val="00EC1FE7"/>
    <w:rsid w:val="00EC204C"/>
    <w:rsid w:val="00EC20B9"/>
    <w:rsid w:val="00EC20C8"/>
    <w:rsid w:val="00EC20F8"/>
    <w:rsid w:val="00EC2256"/>
    <w:rsid w:val="00EC2273"/>
    <w:rsid w:val="00EC234B"/>
    <w:rsid w:val="00EC23C4"/>
    <w:rsid w:val="00EC25CB"/>
    <w:rsid w:val="00EC2696"/>
    <w:rsid w:val="00EC269A"/>
    <w:rsid w:val="00EC2725"/>
    <w:rsid w:val="00EC2793"/>
    <w:rsid w:val="00EC27EC"/>
    <w:rsid w:val="00EC2806"/>
    <w:rsid w:val="00EC280A"/>
    <w:rsid w:val="00EC283D"/>
    <w:rsid w:val="00EC2886"/>
    <w:rsid w:val="00EC288E"/>
    <w:rsid w:val="00EC2966"/>
    <w:rsid w:val="00EC296A"/>
    <w:rsid w:val="00EC2988"/>
    <w:rsid w:val="00EC2A35"/>
    <w:rsid w:val="00EC2AB6"/>
    <w:rsid w:val="00EC2BC1"/>
    <w:rsid w:val="00EC2C46"/>
    <w:rsid w:val="00EC2C82"/>
    <w:rsid w:val="00EC2CAA"/>
    <w:rsid w:val="00EC2D75"/>
    <w:rsid w:val="00EC2D94"/>
    <w:rsid w:val="00EC2DC0"/>
    <w:rsid w:val="00EC2DC6"/>
    <w:rsid w:val="00EC2E4E"/>
    <w:rsid w:val="00EC2F61"/>
    <w:rsid w:val="00EC2F67"/>
    <w:rsid w:val="00EC2FA2"/>
    <w:rsid w:val="00EC2FB4"/>
    <w:rsid w:val="00EC30C7"/>
    <w:rsid w:val="00EC3148"/>
    <w:rsid w:val="00EC31B3"/>
    <w:rsid w:val="00EC31D5"/>
    <w:rsid w:val="00EC3247"/>
    <w:rsid w:val="00EC3298"/>
    <w:rsid w:val="00EC3318"/>
    <w:rsid w:val="00EC331C"/>
    <w:rsid w:val="00EC3339"/>
    <w:rsid w:val="00EC333F"/>
    <w:rsid w:val="00EC33A5"/>
    <w:rsid w:val="00EC33A8"/>
    <w:rsid w:val="00EC3426"/>
    <w:rsid w:val="00EC343A"/>
    <w:rsid w:val="00EC34CB"/>
    <w:rsid w:val="00EC34D6"/>
    <w:rsid w:val="00EC34DC"/>
    <w:rsid w:val="00EC3521"/>
    <w:rsid w:val="00EC3592"/>
    <w:rsid w:val="00EC3623"/>
    <w:rsid w:val="00EC3714"/>
    <w:rsid w:val="00EC37D5"/>
    <w:rsid w:val="00EC37FF"/>
    <w:rsid w:val="00EC3846"/>
    <w:rsid w:val="00EC38C9"/>
    <w:rsid w:val="00EC394D"/>
    <w:rsid w:val="00EC3A2C"/>
    <w:rsid w:val="00EC3A45"/>
    <w:rsid w:val="00EC3A9A"/>
    <w:rsid w:val="00EC3B15"/>
    <w:rsid w:val="00EC3B2A"/>
    <w:rsid w:val="00EC3BF4"/>
    <w:rsid w:val="00EC3C07"/>
    <w:rsid w:val="00EC3C90"/>
    <w:rsid w:val="00EC3CBC"/>
    <w:rsid w:val="00EC3D00"/>
    <w:rsid w:val="00EC3D29"/>
    <w:rsid w:val="00EC3D59"/>
    <w:rsid w:val="00EC3D99"/>
    <w:rsid w:val="00EC3E3F"/>
    <w:rsid w:val="00EC3F60"/>
    <w:rsid w:val="00EC3F8F"/>
    <w:rsid w:val="00EC403F"/>
    <w:rsid w:val="00EC4044"/>
    <w:rsid w:val="00EC4101"/>
    <w:rsid w:val="00EC4113"/>
    <w:rsid w:val="00EC4190"/>
    <w:rsid w:val="00EC41F9"/>
    <w:rsid w:val="00EC426A"/>
    <w:rsid w:val="00EC4288"/>
    <w:rsid w:val="00EC42CF"/>
    <w:rsid w:val="00EC4300"/>
    <w:rsid w:val="00EC4320"/>
    <w:rsid w:val="00EC4365"/>
    <w:rsid w:val="00EC43E4"/>
    <w:rsid w:val="00EC44D2"/>
    <w:rsid w:val="00EC45F9"/>
    <w:rsid w:val="00EC4607"/>
    <w:rsid w:val="00EC46AA"/>
    <w:rsid w:val="00EC47D2"/>
    <w:rsid w:val="00EC4869"/>
    <w:rsid w:val="00EC489B"/>
    <w:rsid w:val="00EC48A8"/>
    <w:rsid w:val="00EC48BE"/>
    <w:rsid w:val="00EC4970"/>
    <w:rsid w:val="00EC4A24"/>
    <w:rsid w:val="00EC4A39"/>
    <w:rsid w:val="00EC4A61"/>
    <w:rsid w:val="00EC4A6A"/>
    <w:rsid w:val="00EC4AD5"/>
    <w:rsid w:val="00EC4B13"/>
    <w:rsid w:val="00EC4B37"/>
    <w:rsid w:val="00EC4B6A"/>
    <w:rsid w:val="00EC4BB8"/>
    <w:rsid w:val="00EC4BC0"/>
    <w:rsid w:val="00EC4BC9"/>
    <w:rsid w:val="00EC4C53"/>
    <w:rsid w:val="00EC4CE0"/>
    <w:rsid w:val="00EC4CE8"/>
    <w:rsid w:val="00EC4DF6"/>
    <w:rsid w:val="00EC4E58"/>
    <w:rsid w:val="00EC4EBC"/>
    <w:rsid w:val="00EC4ED7"/>
    <w:rsid w:val="00EC4F32"/>
    <w:rsid w:val="00EC5036"/>
    <w:rsid w:val="00EC50DA"/>
    <w:rsid w:val="00EC5140"/>
    <w:rsid w:val="00EC5145"/>
    <w:rsid w:val="00EC51A7"/>
    <w:rsid w:val="00EC5252"/>
    <w:rsid w:val="00EC5259"/>
    <w:rsid w:val="00EC52FD"/>
    <w:rsid w:val="00EC5336"/>
    <w:rsid w:val="00EC541B"/>
    <w:rsid w:val="00EC5490"/>
    <w:rsid w:val="00EC550F"/>
    <w:rsid w:val="00EC55A3"/>
    <w:rsid w:val="00EC55D6"/>
    <w:rsid w:val="00EC55E6"/>
    <w:rsid w:val="00EC562B"/>
    <w:rsid w:val="00EC5647"/>
    <w:rsid w:val="00EC5681"/>
    <w:rsid w:val="00EC57BB"/>
    <w:rsid w:val="00EC58AE"/>
    <w:rsid w:val="00EC591F"/>
    <w:rsid w:val="00EC59DE"/>
    <w:rsid w:val="00EC5A83"/>
    <w:rsid w:val="00EC5B59"/>
    <w:rsid w:val="00EC5BDF"/>
    <w:rsid w:val="00EC5CA3"/>
    <w:rsid w:val="00EC5D92"/>
    <w:rsid w:val="00EC5EA8"/>
    <w:rsid w:val="00EC5F26"/>
    <w:rsid w:val="00EC61FB"/>
    <w:rsid w:val="00EC620C"/>
    <w:rsid w:val="00EC629F"/>
    <w:rsid w:val="00EC62A8"/>
    <w:rsid w:val="00EC62BE"/>
    <w:rsid w:val="00EC6312"/>
    <w:rsid w:val="00EC63A5"/>
    <w:rsid w:val="00EC6560"/>
    <w:rsid w:val="00EC658A"/>
    <w:rsid w:val="00EC65C4"/>
    <w:rsid w:val="00EC6689"/>
    <w:rsid w:val="00EC668E"/>
    <w:rsid w:val="00EC66DA"/>
    <w:rsid w:val="00EC66ED"/>
    <w:rsid w:val="00EC673A"/>
    <w:rsid w:val="00EC67D1"/>
    <w:rsid w:val="00EC67D9"/>
    <w:rsid w:val="00EC687B"/>
    <w:rsid w:val="00EC6946"/>
    <w:rsid w:val="00EC694E"/>
    <w:rsid w:val="00EC6983"/>
    <w:rsid w:val="00EC6990"/>
    <w:rsid w:val="00EC69D0"/>
    <w:rsid w:val="00EC6A82"/>
    <w:rsid w:val="00EC6B5A"/>
    <w:rsid w:val="00EC6B66"/>
    <w:rsid w:val="00EC6B8F"/>
    <w:rsid w:val="00EC6BDD"/>
    <w:rsid w:val="00EC6BF0"/>
    <w:rsid w:val="00EC6BF1"/>
    <w:rsid w:val="00EC6C6F"/>
    <w:rsid w:val="00EC6C91"/>
    <w:rsid w:val="00EC6CA6"/>
    <w:rsid w:val="00EC6CBD"/>
    <w:rsid w:val="00EC6CCF"/>
    <w:rsid w:val="00EC6D0D"/>
    <w:rsid w:val="00EC6D81"/>
    <w:rsid w:val="00EC6DDE"/>
    <w:rsid w:val="00EC6DE9"/>
    <w:rsid w:val="00EC6E3E"/>
    <w:rsid w:val="00EC6E9D"/>
    <w:rsid w:val="00EC6F06"/>
    <w:rsid w:val="00EC7041"/>
    <w:rsid w:val="00EC7048"/>
    <w:rsid w:val="00EC70B9"/>
    <w:rsid w:val="00EC70CC"/>
    <w:rsid w:val="00EC72CC"/>
    <w:rsid w:val="00EC731A"/>
    <w:rsid w:val="00EC7365"/>
    <w:rsid w:val="00EC73EA"/>
    <w:rsid w:val="00EC756D"/>
    <w:rsid w:val="00EC7629"/>
    <w:rsid w:val="00EC7668"/>
    <w:rsid w:val="00EC766F"/>
    <w:rsid w:val="00EC7670"/>
    <w:rsid w:val="00EC772F"/>
    <w:rsid w:val="00EC781E"/>
    <w:rsid w:val="00EC7833"/>
    <w:rsid w:val="00EC7882"/>
    <w:rsid w:val="00EC79EC"/>
    <w:rsid w:val="00EC79FB"/>
    <w:rsid w:val="00EC7AB2"/>
    <w:rsid w:val="00EC7AB7"/>
    <w:rsid w:val="00EC7ACE"/>
    <w:rsid w:val="00EC7B24"/>
    <w:rsid w:val="00EC7BB2"/>
    <w:rsid w:val="00EC7D9F"/>
    <w:rsid w:val="00EC7DCC"/>
    <w:rsid w:val="00EC7E5C"/>
    <w:rsid w:val="00EC7ED7"/>
    <w:rsid w:val="00EC7F89"/>
    <w:rsid w:val="00ED0009"/>
    <w:rsid w:val="00ED000B"/>
    <w:rsid w:val="00ED0010"/>
    <w:rsid w:val="00ED0038"/>
    <w:rsid w:val="00ED024C"/>
    <w:rsid w:val="00ED02B6"/>
    <w:rsid w:val="00ED0330"/>
    <w:rsid w:val="00ED0365"/>
    <w:rsid w:val="00ED0486"/>
    <w:rsid w:val="00ED0529"/>
    <w:rsid w:val="00ED0588"/>
    <w:rsid w:val="00ED05DB"/>
    <w:rsid w:val="00ED06C1"/>
    <w:rsid w:val="00ED0705"/>
    <w:rsid w:val="00ED074C"/>
    <w:rsid w:val="00ED078C"/>
    <w:rsid w:val="00ED084B"/>
    <w:rsid w:val="00ED08DE"/>
    <w:rsid w:val="00ED08E7"/>
    <w:rsid w:val="00ED092B"/>
    <w:rsid w:val="00ED0A60"/>
    <w:rsid w:val="00ED0B22"/>
    <w:rsid w:val="00ED0B47"/>
    <w:rsid w:val="00ED0CDB"/>
    <w:rsid w:val="00ED0D47"/>
    <w:rsid w:val="00ED0D7D"/>
    <w:rsid w:val="00ED0D96"/>
    <w:rsid w:val="00ED0DB5"/>
    <w:rsid w:val="00ED0DE6"/>
    <w:rsid w:val="00ED0FC1"/>
    <w:rsid w:val="00ED1026"/>
    <w:rsid w:val="00ED103A"/>
    <w:rsid w:val="00ED1062"/>
    <w:rsid w:val="00ED10C9"/>
    <w:rsid w:val="00ED10E2"/>
    <w:rsid w:val="00ED1215"/>
    <w:rsid w:val="00ED123D"/>
    <w:rsid w:val="00ED12AC"/>
    <w:rsid w:val="00ED12B4"/>
    <w:rsid w:val="00ED12E7"/>
    <w:rsid w:val="00ED139F"/>
    <w:rsid w:val="00ED14D6"/>
    <w:rsid w:val="00ED14F8"/>
    <w:rsid w:val="00ED14F9"/>
    <w:rsid w:val="00ED163D"/>
    <w:rsid w:val="00ED1673"/>
    <w:rsid w:val="00ED1787"/>
    <w:rsid w:val="00ED1819"/>
    <w:rsid w:val="00ED1872"/>
    <w:rsid w:val="00ED195B"/>
    <w:rsid w:val="00ED19DF"/>
    <w:rsid w:val="00ED1A8E"/>
    <w:rsid w:val="00ED1A97"/>
    <w:rsid w:val="00ED1AF5"/>
    <w:rsid w:val="00ED1B2B"/>
    <w:rsid w:val="00ED1B7A"/>
    <w:rsid w:val="00ED1C11"/>
    <w:rsid w:val="00ED1C44"/>
    <w:rsid w:val="00ED1C64"/>
    <w:rsid w:val="00ED1D53"/>
    <w:rsid w:val="00ED1D95"/>
    <w:rsid w:val="00ED1EA2"/>
    <w:rsid w:val="00ED1F15"/>
    <w:rsid w:val="00ED1F38"/>
    <w:rsid w:val="00ED1F3E"/>
    <w:rsid w:val="00ED1F4C"/>
    <w:rsid w:val="00ED208B"/>
    <w:rsid w:val="00ED209A"/>
    <w:rsid w:val="00ED211F"/>
    <w:rsid w:val="00ED2141"/>
    <w:rsid w:val="00ED2165"/>
    <w:rsid w:val="00ED2192"/>
    <w:rsid w:val="00ED220C"/>
    <w:rsid w:val="00ED226D"/>
    <w:rsid w:val="00ED230F"/>
    <w:rsid w:val="00ED234E"/>
    <w:rsid w:val="00ED23A2"/>
    <w:rsid w:val="00ED2427"/>
    <w:rsid w:val="00ED246A"/>
    <w:rsid w:val="00ED2471"/>
    <w:rsid w:val="00ED24AA"/>
    <w:rsid w:val="00ED24C6"/>
    <w:rsid w:val="00ED251A"/>
    <w:rsid w:val="00ED25AD"/>
    <w:rsid w:val="00ED25BD"/>
    <w:rsid w:val="00ED25CF"/>
    <w:rsid w:val="00ED26D2"/>
    <w:rsid w:val="00ED26DA"/>
    <w:rsid w:val="00ED26FF"/>
    <w:rsid w:val="00ED2704"/>
    <w:rsid w:val="00ED2714"/>
    <w:rsid w:val="00ED2755"/>
    <w:rsid w:val="00ED2756"/>
    <w:rsid w:val="00ED2777"/>
    <w:rsid w:val="00ED279B"/>
    <w:rsid w:val="00ED2801"/>
    <w:rsid w:val="00ED2898"/>
    <w:rsid w:val="00ED289D"/>
    <w:rsid w:val="00ED289E"/>
    <w:rsid w:val="00ED28B0"/>
    <w:rsid w:val="00ED28B7"/>
    <w:rsid w:val="00ED28DD"/>
    <w:rsid w:val="00ED2911"/>
    <w:rsid w:val="00ED2A07"/>
    <w:rsid w:val="00ED2A5D"/>
    <w:rsid w:val="00ED2AA6"/>
    <w:rsid w:val="00ED2AC5"/>
    <w:rsid w:val="00ED2AC7"/>
    <w:rsid w:val="00ED2B57"/>
    <w:rsid w:val="00ED2C00"/>
    <w:rsid w:val="00ED2C41"/>
    <w:rsid w:val="00ED2CA0"/>
    <w:rsid w:val="00ED2D2D"/>
    <w:rsid w:val="00ED2D35"/>
    <w:rsid w:val="00ED2E70"/>
    <w:rsid w:val="00ED2F6D"/>
    <w:rsid w:val="00ED3053"/>
    <w:rsid w:val="00ED3069"/>
    <w:rsid w:val="00ED3094"/>
    <w:rsid w:val="00ED3162"/>
    <w:rsid w:val="00ED3218"/>
    <w:rsid w:val="00ED32A1"/>
    <w:rsid w:val="00ED332D"/>
    <w:rsid w:val="00ED337E"/>
    <w:rsid w:val="00ED33E5"/>
    <w:rsid w:val="00ED347D"/>
    <w:rsid w:val="00ED34A5"/>
    <w:rsid w:val="00ED350F"/>
    <w:rsid w:val="00ED354B"/>
    <w:rsid w:val="00ED35A2"/>
    <w:rsid w:val="00ED35AB"/>
    <w:rsid w:val="00ED366E"/>
    <w:rsid w:val="00ED3825"/>
    <w:rsid w:val="00ED3887"/>
    <w:rsid w:val="00ED3952"/>
    <w:rsid w:val="00ED3994"/>
    <w:rsid w:val="00ED39C7"/>
    <w:rsid w:val="00ED39F8"/>
    <w:rsid w:val="00ED39FE"/>
    <w:rsid w:val="00ED3AD8"/>
    <w:rsid w:val="00ED3BBA"/>
    <w:rsid w:val="00ED3C21"/>
    <w:rsid w:val="00ED3CBC"/>
    <w:rsid w:val="00ED3DCB"/>
    <w:rsid w:val="00ED3E2B"/>
    <w:rsid w:val="00ED3E2E"/>
    <w:rsid w:val="00ED3E76"/>
    <w:rsid w:val="00ED3F33"/>
    <w:rsid w:val="00ED3FC3"/>
    <w:rsid w:val="00ED3FCE"/>
    <w:rsid w:val="00ED3FEF"/>
    <w:rsid w:val="00ED4029"/>
    <w:rsid w:val="00ED4064"/>
    <w:rsid w:val="00ED409C"/>
    <w:rsid w:val="00ED40AE"/>
    <w:rsid w:val="00ED40F1"/>
    <w:rsid w:val="00ED4179"/>
    <w:rsid w:val="00ED433F"/>
    <w:rsid w:val="00ED4354"/>
    <w:rsid w:val="00ED4361"/>
    <w:rsid w:val="00ED4386"/>
    <w:rsid w:val="00ED440F"/>
    <w:rsid w:val="00ED44B7"/>
    <w:rsid w:val="00ED44DF"/>
    <w:rsid w:val="00ED452F"/>
    <w:rsid w:val="00ED45DD"/>
    <w:rsid w:val="00ED469B"/>
    <w:rsid w:val="00ED4734"/>
    <w:rsid w:val="00ED4779"/>
    <w:rsid w:val="00ED4801"/>
    <w:rsid w:val="00ED48F4"/>
    <w:rsid w:val="00ED4984"/>
    <w:rsid w:val="00ED4A1C"/>
    <w:rsid w:val="00ED4B5F"/>
    <w:rsid w:val="00ED4C09"/>
    <w:rsid w:val="00ED4CC1"/>
    <w:rsid w:val="00ED4CE4"/>
    <w:rsid w:val="00ED4CE7"/>
    <w:rsid w:val="00ED4CEA"/>
    <w:rsid w:val="00ED4E18"/>
    <w:rsid w:val="00ED4E32"/>
    <w:rsid w:val="00ED4E83"/>
    <w:rsid w:val="00ED4EB2"/>
    <w:rsid w:val="00ED4F01"/>
    <w:rsid w:val="00ED4F71"/>
    <w:rsid w:val="00ED4FD1"/>
    <w:rsid w:val="00ED4FE4"/>
    <w:rsid w:val="00ED5037"/>
    <w:rsid w:val="00ED5042"/>
    <w:rsid w:val="00ED5063"/>
    <w:rsid w:val="00ED50E9"/>
    <w:rsid w:val="00ED5160"/>
    <w:rsid w:val="00ED51AB"/>
    <w:rsid w:val="00ED51CC"/>
    <w:rsid w:val="00ED5216"/>
    <w:rsid w:val="00ED521A"/>
    <w:rsid w:val="00ED524B"/>
    <w:rsid w:val="00ED5252"/>
    <w:rsid w:val="00ED52B9"/>
    <w:rsid w:val="00ED53E6"/>
    <w:rsid w:val="00ED5467"/>
    <w:rsid w:val="00ED5694"/>
    <w:rsid w:val="00ED56F4"/>
    <w:rsid w:val="00ED5762"/>
    <w:rsid w:val="00ED578B"/>
    <w:rsid w:val="00ED582E"/>
    <w:rsid w:val="00ED5880"/>
    <w:rsid w:val="00ED58DB"/>
    <w:rsid w:val="00ED591F"/>
    <w:rsid w:val="00ED59B1"/>
    <w:rsid w:val="00ED59EA"/>
    <w:rsid w:val="00ED59F5"/>
    <w:rsid w:val="00ED5A6D"/>
    <w:rsid w:val="00ED5B2C"/>
    <w:rsid w:val="00ED5B6F"/>
    <w:rsid w:val="00ED5B8E"/>
    <w:rsid w:val="00ED5B91"/>
    <w:rsid w:val="00ED5BBC"/>
    <w:rsid w:val="00ED5BC4"/>
    <w:rsid w:val="00ED5C36"/>
    <w:rsid w:val="00ED5CB5"/>
    <w:rsid w:val="00ED5DE9"/>
    <w:rsid w:val="00ED5E24"/>
    <w:rsid w:val="00ED5F3E"/>
    <w:rsid w:val="00ED5FA9"/>
    <w:rsid w:val="00ED5FB3"/>
    <w:rsid w:val="00ED601F"/>
    <w:rsid w:val="00ED606B"/>
    <w:rsid w:val="00ED61B6"/>
    <w:rsid w:val="00ED61DF"/>
    <w:rsid w:val="00ED6233"/>
    <w:rsid w:val="00ED6281"/>
    <w:rsid w:val="00ED6285"/>
    <w:rsid w:val="00ED635F"/>
    <w:rsid w:val="00ED6370"/>
    <w:rsid w:val="00ED6374"/>
    <w:rsid w:val="00ED63DD"/>
    <w:rsid w:val="00ED646D"/>
    <w:rsid w:val="00ED64DE"/>
    <w:rsid w:val="00ED64FB"/>
    <w:rsid w:val="00ED6556"/>
    <w:rsid w:val="00ED65C1"/>
    <w:rsid w:val="00ED6620"/>
    <w:rsid w:val="00ED6653"/>
    <w:rsid w:val="00ED66E8"/>
    <w:rsid w:val="00ED67EA"/>
    <w:rsid w:val="00ED6843"/>
    <w:rsid w:val="00ED690C"/>
    <w:rsid w:val="00ED6911"/>
    <w:rsid w:val="00ED69A2"/>
    <w:rsid w:val="00ED6ABC"/>
    <w:rsid w:val="00ED6AF1"/>
    <w:rsid w:val="00ED6B35"/>
    <w:rsid w:val="00ED6B5C"/>
    <w:rsid w:val="00ED6BCD"/>
    <w:rsid w:val="00ED6C21"/>
    <w:rsid w:val="00ED6C4C"/>
    <w:rsid w:val="00ED6E0E"/>
    <w:rsid w:val="00ED6E71"/>
    <w:rsid w:val="00ED6E98"/>
    <w:rsid w:val="00ED6EAF"/>
    <w:rsid w:val="00ED6EB0"/>
    <w:rsid w:val="00ED6EB2"/>
    <w:rsid w:val="00ED6F37"/>
    <w:rsid w:val="00ED6F94"/>
    <w:rsid w:val="00ED7035"/>
    <w:rsid w:val="00ED703C"/>
    <w:rsid w:val="00ED7076"/>
    <w:rsid w:val="00ED70A7"/>
    <w:rsid w:val="00ED70E7"/>
    <w:rsid w:val="00ED713C"/>
    <w:rsid w:val="00ED7146"/>
    <w:rsid w:val="00ED71AF"/>
    <w:rsid w:val="00ED71B5"/>
    <w:rsid w:val="00ED71C0"/>
    <w:rsid w:val="00ED7253"/>
    <w:rsid w:val="00ED7264"/>
    <w:rsid w:val="00ED72E1"/>
    <w:rsid w:val="00ED731A"/>
    <w:rsid w:val="00ED7350"/>
    <w:rsid w:val="00ED73AC"/>
    <w:rsid w:val="00ED73D2"/>
    <w:rsid w:val="00ED73E4"/>
    <w:rsid w:val="00ED7406"/>
    <w:rsid w:val="00ED74A0"/>
    <w:rsid w:val="00ED74A9"/>
    <w:rsid w:val="00ED74DD"/>
    <w:rsid w:val="00ED74F8"/>
    <w:rsid w:val="00ED7509"/>
    <w:rsid w:val="00ED750F"/>
    <w:rsid w:val="00ED752F"/>
    <w:rsid w:val="00ED7651"/>
    <w:rsid w:val="00ED767B"/>
    <w:rsid w:val="00ED77F6"/>
    <w:rsid w:val="00ED780C"/>
    <w:rsid w:val="00ED7871"/>
    <w:rsid w:val="00ED7920"/>
    <w:rsid w:val="00ED792F"/>
    <w:rsid w:val="00ED7991"/>
    <w:rsid w:val="00ED79D8"/>
    <w:rsid w:val="00ED7A21"/>
    <w:rsid w:val="00ED7A51"/>
    <w:rsid w:val="00ED7A7B"/>
    <w:rsid w:val="00ED7B3F"/>
    <w:rsid w:val="00ED7BB9"/>
    <w:rsid w:val="00ED7C45"/>
    <w:rsid w:val="00ED7C77"/>
    <w:rsid w:val="00ED7CCB"/>
    <w:rsid w:val="00ED7D3B"/>
    <w:rsid w:val="00ED7DBD"/>
    <w:rsid w:val="00ED7E98"/>
    <w:rsid w:val="00ED7EC3"/>
    <w:rsid w:val="00ED7EC7"/>
    <w:rsid w:val="00ED7EE2"/>
    <w:rsid w:val="00ED7FF1"/>
    <w:rsid w:val="00EE00B3"/>
    <w:rsid w:val="00EE00CD"/>
    <w:rsid w:val="00EE0111"/>
    <w:rsid w:val="00EE01A8"/>
    <w:rsid w:val="00EE02B6"/>
    <w:rsid w:val="00EE030F"/>
    <w:rsid w:val="00EE034C"/>
    <w:rsid w:val="00EE03F9"/>
    <w:rsid w:val="00EE041B"/>
    <w:rsid w:val="00EE05CA"/>
    <w:rsid w:val="00EE062B"/>
    <w:rsid w:val="00EE0684"/>
    <w:rsid w:val="00EE06AF"/>
    <w:rsid w:val="00EE0778"/>
    <w:rsid w:val="00EE0779"/>
    <w:rsid w:val="00EE08CF"/>
    <w:rsid w:val="00EE0940"/>
    <w:rsid w:val="00EE0A16"/>
    <w:rsid w:val="00EE0A3B"/>
    <w:rsid w:val="00EE0A3E"/>
    <w:rsid w:val="00EE0A83"/>
    <w:rsid w:val="00EE0AB6"/>
    <w:rsid w:val="00EE0B03"/>
    <w:rsid w:val="00EE0B07"/>
    <w:rsid w:val="00EE0B3C"/>
    <w:rsid w:val="00EE0B93"/>
    <w:rsid w:val="00EE0BDD"/>
    <w:rsid w:val="00EE0BFC"/>
    <w:rsid w:val="00EE0CF8"/>
    <w:rsid w:val="00EE0D9C"/>
    <w:rsid w:val="00EE0DB0"/>
    <w:rsid w:val="00EE0DF2"/>
    <w:rsid w:val="00EE0E54"/>
    <w:rsid w:val="00EE0EED"/>
    <w:rsid w:val="00EE0F4E"/>
    <w:rsid w:val="00EE0F8E"/>
    <w:rsid w:val="00EE10F1"/>
    <w:rsid w:val="00EE11E8"/>
    <w:rsid w:val="00EE1245"/>
    <w:rsid w:val="00EE12E4"/>
    <w:rsid w:val="00EE1300"/>
    <w:rsid w:val="00EE1318"/>
    <w:rsid w:val="00EE1491"/>
    <w:rsid w:val="00EE14F1"/>
    <w:rsid w:val="00EE1701"/>
    <w:rsid w:val="00EE1722"/>
    <w:rsid w:val="00EE1753"/>
    <w:rsid w:val="00EE1760"/>
    <w:rsid w:val="00EE17AD"/>
    <w:rsid w:val="00EE17DA"/>
    <w:rsid w:val="00EE1827"/>
    <w:rsid w:val="00EE1848"/>
    <w:rsid w:val="00EE18D9"/>
    <w:rsid w:val="00EE1908"/>
    <w:rsid w:val="00EE1919"/>
    <w:rsid w:val="00EE1930"/>
    <w:rsid w:val="00EE1931"/>
    <w:rsid w:val="00EE194E"/>
    <w:rsid w:val="00EE196A"/>
    <w:rsid w:val="00EE19A9"/>
    <w:rsid w:val="00EE1A36"/>
    <w:rsid w:val="00EE1B29"/>
    <w:rsid w:val="00EE1B42"/>
    <w:rsid w:val="00EE1B52"/>
    <w:rsid w:val="00EE1B8C"/>
    <w:rsid w:val="00EE1B91"/>
    <w:rsid w:val="00EE1BBE"/>
    <w:rsid w:val="00EE1C4B"/>
    <w:rsid w:val="00EE1C96"/>
    <w:rsid w:val="00EE1CAD"/>
    <w:rsid w:val="00EE1D04"/>
    <w:rsid w:val="00EE1D89"/>
    <w:rsid w:val="00EE1DBA"/>
    <w:rsid w:val="00EE1E69"/>
    <w:rsid w:val="00EE1E81"/>
    <w:rsid w:val="00EE1ECF"/>
    <w:rsid w:val="00EE1FF4"/>
    <w:rsid w:val="00EE2024"/>
    <w:rsid w:val="00EE20AE"/>
    <w:rsid w:val="00EE20C5"/>
    <w:rsid w:val="00EE20E1"/>
    <w:rsid w:val="00EE20EA"/>
    <w:rsid w:val="00EE22A5"/>
    <w:rsid w:val="00EE22D6"/>
    <w:rsid w:val="00EE2394"/>
    <w:rsid w:val="00EE242E"/>
    <w:rsid w:val="00EE2526"/>
    <w:rsid w:val="00EE2529"/>
    <w:rsid w:val="00EE259F"/>
    <w:rsid w:val="00EE25A9"/>
    <w:rsid w:val="00EE260D"/>
    <w:rsid w:val="00EE2743"/>
    <w:rsid w:val="00EE27BC"/>
    <w:rsid w:val="00EE2851"/>
    <w:rsid w:val="00EE2875"/>
    <w:rsid w:val="00EE287D"/>
    <w:rsid w:val="00EE28D0"/>
    <w:rsid w:val="00EE2995"/>
    <w:rsid w:val="00EE2998"/>
    <w:rsid w:val="00EE29DA"/>
    <w:rsid w:val="00EE29E7"/>
    <w:rsid w:val="00EE29F1"/>
    <w:rsid w:val="00EE2A09"/>
    <w:rsid w:val="00EE2AF9"/>
    <w:rsid w:val="00EE2BE1"/>
    <w:rsid w:val="00EE2C56"/>
    <w:rsid w:val="00EE2C92"/>
    <w:rsid w:val="00EE2CF7"/>
    <w:rsid w:val="00EE2D58"/>
    <w:rsid w:val="00EE2E18"/>
    <w:rsid w:val="00EE2E52"/>
    <w:rsid w:val="00EE3013"/>
    <w:rsid w:val="00EE30E9"/>
    <w:rsid w:val="00EE326D"/>
    <w:rsid w:val="00EE342E"/>
    <w:rsid w:val="00EE344B"/>
    <w:rsid w:val="00EE34A6"/>
    <w:rsid w:val="00EE34B5"/>
    <w:rsid w:val="00EE3524"/>
    <w:rsid w:val="00EE3537"/>
    <w:rsid w:val="00EE3573"/>
    <w:rsid w:val="00EE366E"/>
    <w:rsid w:val="00EE36AA"/>
    <w:rsid w:val="00EE36AF"/>
    <w:rsid w:val="00EE377B"/>
    <w:rsid w:val="00EE37A8"/>
    <w:rsid w:val="00EE37AA"/>
    <w:rsid w:val="00EE37D5"/>
    <w:rsid w:val="00EE3903"/>
    <w:rsid w:val="00EE395A"/>
    <w:rsid w:val="00EE3994"/>
    <w:rsid w:val="00EE3B54"/>
    <w:rsid w:val="00EE3BE2"/>
    <w:rsid w:val="00EE3C00"/>
    <w:rsid w:val="00EE3CBE"/>
    <w:rsid w:val="00EE3E5D"/>
    <w:rsid w:val="00EE3EE3"/>
    <w:rsid w:val="00EE3FBD"/>
    <w:rsid w:val="00EE4015"/>
    <w:rsid w:val="00EE40FC"/>
    <w:rsid w:val="00EE4101"/>
    <w:rsid w:val="00EE4134"/>
    <w:rsid w:val="00EE425E"/>
    <w:rsid w:val="00EE4261"/>
    <w:rsid w:val="00EE4287"/>
    <w:rsid w:val="00EE4338"/>
    <w:rsid w:val="00EE4351"/>
    <w:rsid w:val="00EE43DD"/>
    <w:rsid w:val="00EE4461"/>
    <w:rsid w:val="00EE4545"/>
    <w:rsid w:val="00EE455E"/>
    <w:rsid w:val="00EE45A3"/>
    <w:rsid w:val="00EE45AE"/>
    <w:rsid w:val="00EE4698"/>
    <w:rsid w:val="00EE46E4"/>
    <w:rsid w:val="00EE47DB"/>
    <w:rsid w:val="00EE48EB"/>
    <w:rsid w:val="00EE4931"/>
    <w:rsid w:val="00EE4953"/>
    <w:rsid w:val="00EE4A4D"/>
    <w:rsid w:val="00EE4A90"/>
    <w:rsid w:val="00EE4A98"/>
    <w:rsid w:val="00EE4AB6"/>
    <w:rsid w:val="00EE4AEE"/>
    <w:rsid w:val="00EE4AF4"/>
    <w:rsid w:val="00EE4B8F"/>
    <w:rsid w:val="00EE4BA7"/>
    <w:rsid w:val="00EE4BDB"/>
    <w:rsid w:val="00EE4CA7"/>
    <w:rsid w:val="00EE4D71"/>
    <w:rsid w:val="00EE4DB6"/>
    <w:rsid w:val="00EE4E84"/>
    <w:rsid w:val="00EE4E99"/>
    <w:rsid w:val="00EE4EE9"/>
    <w:rsid w:val="00EE4F09"/>
    <w:rsid w:val="00EE4F56"/>
    <w:rsid w:val="00EE4F70"/>
    <w:rsid w:val="00EE50C4"/>
    <w:rsid w:val="00EE50E2"/>
    <w:rsid w:val="00EE5186"/>
    <w:rsid w:val="00EE51EB"/>
    <w:rsid w:val="00EE5296"/>
    <w:rsid w:val="00EE52AB"/>
    <w:rsid w:val="00EE52C5"/>
    <w:rsid w:val="00EE52CC"/>
    <w:rsid w:val="00EE5473"/>
    <w:rsid w:val="00EE5481"/>
    <w:rsid w:val="00EE54B7"/>
    <w:rsid w:val="00EE54D5"/>
    <w:rsid w:val="00EE55D6"/>
    <w:rsid w:val="00EE55F4"/>
    <w:rsid w:val="00EE56D1"/>
    <w:rsid w:val="00EE5717"/>
    <w:rsid w:val="00EE5755"/>
    <w:rsid w:val="00EE5843"/>
    <w:rsid w:val="00EE5896"/>
    <w:rsid w:val="00EE589C"/>
    <w:rsid w:val="00EE58E4"/>
    <w:rsid w:val="00EE5932"/>
    <w:rsid w:val="00EE5A03"/>
    <w:rsid w:val="00EE5A1D"/>
    <w:rsid w:val="00EE5A57"/>
    <w:rsid w:val="00EE5A88"/>
    <w:rsid w:val="00EE5AA3"/>
    <w:rsid w:val="00EE5B3E"/>
    <w:rsid w:val="00EE5CD4"/>
    <w:rsid w:val="00EE5D85"/>
    <w:rsid w:val="00EE5DA8"/>
    <w:rsid w:val="00EE5EB0"/>
    <w:rsid w:val="00EE5F16"/>
    <w:rsid w:val="00EE5F78"/>
    <w:rsid w:val="00EE5FDE"/>
    <w:rsid w:val="00EE5FE1"/>
    <w:rsid w:val="00EE5FEF"/>
    <w:rsid w:val="00EE60DC"/>
    <w:rsid w:val="00EE6269"/>
    <w:rsid w:val="00EE63A6"/>
    <w:rsid w:val="00EE63EE"/>
    <w:rsid w:val="00EE6431"/>
    <w:rsid w:val="00EE645B"/>
    <w:rsid w:val="00EE647B"/>
    <w:rsid w:val="00EE648F"/>
    <w:rsid w:val="00EE65EC"/>
    <w:rsid w:val="00EE65F6"/>
    <w:rsid w:val="00EE662C"/>
    <w:rsid w:val="00EE6653"/>
    <w:rsid w:val="00EE665C"/>
    <w:rsid w:val="00EE66B9"/>
    <w:rsid w:val="00EE66BD"/>
    <w:rsid w:val="00EE66E5"/>
    <w:rsid w:val="00EE6731"/>
    <w:rsid w:val="00EE67D4"/>
    <w:rsid w:val="00EE68DE"/>
    <w:rsid w:val="00EE6960"/>
    <w:rsid w:val="00EE6976"/>
    <w:rsid w:val="00EE6988"/>
    <w:rsid w:val="00EE6991"/>
    <w:rsid w:val="00EE69A6"/>
    <w:rsid w:val="00EE69E3"/>
    <w:rsid w:val="00EE6A10"/>
    <w:rsid w:val="00EE6A68"/>
    <w:rsid w:val="00EE6AF9"/>
    <w:rsid w:val="00EE6C1E"/>
    <w:rsid w:val="00EE6C4B"/>
    <w:rsid w:val="00EE6CA9"/>
    <w:rsid w:val="00EE6CAF"/>
    <w:rsid w:val="00EE6CF1"/>
    <w:rsid w:val="00EE6D05"/>
    <w:rsid w:val="00EE6D11"/>
    <w:rsid w:val="00EE6DA7"/>
    <w:rsid w:val="00EE6DBA"/>
    <w:rsid w:val="00EE6DF0"/>
    <w:rsid w:val="00EE6E32"/>
    <w:rsid w:val="00EE6E53"/>
    <w:rsid w:val="00EE6E7A"/>
    <w:rsid w:val="00EE6EE2"/>
    <w:rsid w:val="00EE6FF2"/>
    <w:rsid w:val="00EE7042"/>
    <w:rsid w:val="00EE7043"/>
    <w:rsid w:val="00EE7072"/>
    <w:rsid w:val="00EE7085"/>
    <w:rsid w:val="00EE710A"/>
    <w:rsid w:val="00EE71AF"/>
    <w:rsid w:val="00EE71E8"/>
    <w:rsid w:val="00EE7200"/>
    <w:rsid w:val="00EE7373"/>
    <w:rsid w:val="00EE74EB"/>
    <w:rsid w:val="00EE751F"/>
    <w:rsid w:val="00EE7547"/>
    <w:rsid w:val="00EE7653"/>
    <w:rsid w:val="00EE770E"/>
    <w:rsid w:val="00EE785D"/>
    <w:rsid w:val="00EE7884"/>
    <w:rsid w:val="00EE79C6"/>
    <w:rsid w:val="00EE7B83"/>
    <w:rsid w:val="00EE7BEA"/>
    <w:rsid w:val="00EE7C52"/>
    <w:rsid w:val="00EE7C6D"/>
    <w:rsid w:val="00EE7CE6"/>
    <w:rsid w:val="00EE7D1D"/>
    <w:rsid w:val="00EE7DD3"/>
    <w:rsid w:val="00EE7E73"/>
    <w:rsid w:val="00EE7E9D"/>
    <w:rsid w:val="00EE7EA7"/>
    <w:rsid w:val="00EEB989"/>
    <w:rsid w:val="00EEF599"/>
    <w:rsid w:val="00EF01ED"/>
    <w:rsid w:val="00EF023B"/>
    <w:rsid w:val="00EF028A"/>
    <w:rsid w:val="00EF030B"/>
    <w:rsid w:val="00EF0383"/>
    <w:rsid w:val="00EF0479"/>
    <w:rsid w:val="00EF04C3"/>
    <w:rsid w:val="00EF0554"/>
    <w:rsid w:val="00EF0567"/>
    <w:rsid w:val="00EF056A"/>
    <w:rsid w:val="00EF0588"/>
    <w:rsid w:val="00EF0590"/>
    <w:rsid w:val="00EF05FF"/>
    <w:rsid w:val="00EF0679"/>
    <w:rsid w:val="00EF06AF"/>
    <w:rsid w:val="00EF06BE"/>
    <w:rsid w:val="00EF06C8"/>
    <w:rsid w:val="00EF06E6"/>
    <w:rsid w:val="00EF073B"/>
    <w:rsid w:val="00EF0836"/>
    <w:rsid w:val="00EF0886"/>
    <w:rsid w:val="00EF08C8"/>
    <w:rsid w:val="00EF094E"/>
    <w:rsid w:val="00EF0963"/>
    <w:rsid w:val="00EF0988"/>
    <w:rsid w:val="00EF0A6B"/>
    <w:rsid w:val="00EF0A8A"/>
    <w:rsid w:val="00EF0A9E"/>
    <w:rsid w:val="00EF0AC4"/>
    <w:rsid w:val="00EF0B13"/>
    <w:rsid w:val="00EF0CBF"/>
    <w:rsid w:val="00EF0CCD"/>
    <w:rsid w:val="00EF0D0C"/>
    <w:rsid w:val="00EF0E11"/>
    <w:rsid w:val="00EF0E15"/>
    <w:rsid w:val="00EF0FD9"/>
    <w:rsid w:val="00EF0FED"/>
    <w:rsid w:val="00EF1052"/>
    <w:rsid w:val="00EF1064"/>
    <w:rsid w:val="00EF107F"/>
    <w:rsid w:val="00EF1084"/>
    <w:rsid w:val="00EF10BD"/>
    <w:rsid w:val="00EF126A"/>
    <w:rsid w:val="00EF129B"/>
    <w:rsid w:val="00EF12DF"/>
    <w:rsid w:val="00EF13A1"/>
    <w:rsid w:val="00EF151B"/>
    <w:rsid w:val="00EF1564"/>
    <w:rsid w:val="00EF15DE"/>
    <w:rsid w:val="00EF16E7"/>
    <w:rsid w:val="00EF1702"/>
    <w:rsid w:val="00EF1756"/>
    <w:rsid w:val="00EF1762"/>
    <w:rsid w:val="00EF17A8"/>
    <w:rsid w:val="00EF1816"/>
    <w:rsid w:val="00EF1838"/>
    <w:rsid w:val="00EF1853"/>
    <w:rsid w:val="00EF1968"/>
    <w:rsid w:val="00EF196B"/>
    <w:rsid w:val="00EF1984"/>
    <w:rsid w:val="00EF198C"/>
    <w:rsid w:val="00EF19E4"/>
    <w:rsid w:val="00EF1A11"/>
    <w:rsid w:val="00EF1A2D"/>
    <w:rsid w:val="00EF1A97"/>
    <w:rsid w:val="00EF1B3E"/>
    <w:rsid w:val="00EF1BD1"/>
    <w:rsid w:val="00EF1C2B"/>
    <w:rsid w:val="00EF1C90"/>
    <w:rsid w:val="00EF1D3C"/>
    <w:rsid w:val="00EF1F92"/>
    <w:rsid w:val="00EF1FA6"/>
    <w:rsid w:val="00EF1FA9"/>
    <w:rsid w:val="00EF20A3"/>
    <w:rsid w:val="00EF20D0"/>
    <w:rsid w:val="00EF20E6"/>
    <w:rsid w:val="00EF20FF"/>
    <w:rsid w:val="00EF2181"/>
    <w:rsid w:val="00EF2298"/>
    <w:rsid w:val="00EF2354"/>
    <w:rsid w:val="00EF2363"/>
    <w:rsid w:val="00EF24A4"/>
    <w:rsid w:val="00EF24D1"/>
    <w:rsid w:val="00EF2516"/>
    <w:rsid w:val="00EF2552"/>
    <w:rsid w:val="00EF2614"/>
    <w:rsid w:val="00EF267C"/>
    <w:rsid w:val="00EF277F"/>
    <w:rsid w:val="00EF2823"/>
    <w:rsid w:val="00EF2858"/>
    <w:rsid w:val="00EF2890"/>
    <w:rsid w:val="00EF29BB"/>
    <w:rsid w:val="00EF2A08"/>
    <w:rsid w:val="00EF2A4C"/>
    <w:rsid w:val="00EF2B18"/>
    <w:rsid w:val="00EF2C30"/>
    <w:rsid w:val="00EF2C3C"/>
    <w:rsid w:val="00EF2D07"/>
    <w:rsid w:val="00EF2D90"/>
    <w:rsid w:val="00EF2E35"/>
    <w:rsid w:val="00EF2EDE"/>
    <w:rsid w:val="00EF2F47"/>
    <w:rsid w:val="00EF2F8A"/>
    <w:rsid w:val="00EF2FFA"/>
    <w:rsid w:val="00EF3031"/>
    <w:rsid w:val="00EF306F"/>
    <w:rsid w:val="00EF316D"/>
    <w:rsid w:val="00EF31C7"/>
    <w:rsid w:val="00EF3214"/>
    <w:rsid w:val="00EF327E"/>
    <w:rsid w:val="00EF32CE"/>
    <w:rsid w:val="00EF3373"/>
    <w:rsid w:val="00EF3399"/>
    <w:rsid w:val="00EF33C0"/>
    <w:rsid w:val="00EF33C7"/>
    <w:rsid w:val="00EF33D7"/>
    <w:rsid w:val="00EF34DE"/>
    <w:rsid w:val="00EF354E"/>
    <w:rsid w:val="00EF355C"/>
    <w:rsid w:val="00EF35E4"/>
    <w:rsid w:val="00EF3689"/>
    <w:rsid w:val="00EF36C3"/>
    <w:rsid w:val="00EF3713"/>
    <w:rsid w:val="00EF3728"/>
    <w:rsid w:val="00EF37A2"/>
    <w:rsid w:val="00EF37CE"/>
    <w:rsid w:val="00EF3823"/>
    <w:rsid w:val="00EF389C"/>
    <w:rsid w:val="00EF38F4"/>
    <w:rsid w:val="00EF393E"/>
    <w:rsid w:val="00EF395F"/>
    <w:rsid w:val="00EF396E"/>
    <w:rsid w:val="00EF3A0F"/>
    <w:rsid w:val="00EF3A40"/>
    <w:rsid w:val="00EF3BCD"/>
    <w:rsid w:val="00EF3BF3"/>
    <w:rsid w:val="00EF3BF7"/>
    <w:rsid w:val="00EF3C90"/>
    <w:rsid w:val="00EF3C9A"/>
    <w:rsid w:val="00EF3D73"/>
    <w:rsid w:val="00EF3D78"/>
    <w:rsid w:val="00EF3DAE"/>
    <w:rsid w:val="00EF3E23"/>
    <w:rsid w:val="00EF3F1A"/>
    <w:rsid w:val="00EF3F67"/>
    <w:rsid w:val="00EF3FC0"/>
    <w:rsid w:val="00EF3FC2"/>
    <w:rsid w:val="00EF40CC"/>
    <w:rsid w:val="00EF4135"/>
    <w:rsid w:val="00EF4219"/>
    <w:rsid w:val="00EF4251"/>
    <w:rsid w:val="00EF4275"/>
    <w:rsid w:val="00EF433C"/>
    <w:rsid w:val="00EF43E3"/>
    <w:rsid w:val="00EF43EC"/>
    <w:rsid w:val="00EF444B"/>
    <w:rsid w:val="00EF4476"/>
    <w:rsid w:val="00EF44AA"/>
    <w:rsid w:val="00EF44B9"/>
    <w:rsid w:val="00EF44CA"/>
    <w:rsid w:val="00EF44E5"/>
    <w:rsid w:val="00EF44F5"/>
    <w:rsid w:val="00EF4538"/>
    <w:rsid w:val="00EF45A7"/>
    <w:rsid w:val="00EF461E"/>
    <w:rsid w:val="00EF462A"/>
    <w:rsid w:val="00EF46A1"/>
    <w:rsid w:val="00EF46BE"/>
    <w:rsid w:val="00EF46E4"/>
    <w:rsid w:val="00EF474B"/>
    <w:rsid w:val="00EF4894"/>
    <w:rsid w:val="00EF49EE"/>
    <w:rsid w:val="00EF4A44"/>
    <w:rsid w:val="00EF4A98"/>
    <w:rsid w:val="00EF4B52"/>
    <w:rsid w:val="00EF4B71"/>
    <w:rsid w:val="00EF4BC4"/>
    <w:rsid w:val="00EF4BF8"/>
    <w:rsid w:val="00EF4C57"/>
    <w:rsid w:val="00EF4C62"/>
    <w:rsid w:val="00EF4D42"/>
    <w:rsid w:val="00EF4E87"/>
    <w:rsid w:val="00EF4ED7"/>
    <w:rsid w:val="00EF5114"/>
    <w:rsid w:val="00EF5148"/>
    <w:rsid w:val="00EF5169"/>
    <w:rsid w:val="00EF51AB"/>
    <w:rsid w:val="00EF520E"/>
    <w:rsid w:val="00EF524C"/>
    <w:rsid w:val="00EF5301"/>
    <w:rsid w:val="00EF5302"/>
    <w:rsid w:val="00EF538C"/>
    <w:rsid w:val="00EF539A"/>
    <w:rsid w:val="00EF53DB"/>
    <w:rsid w:val="00EF547D"/>
    <w:rsid w:val="00EF54CC"/>
    <w:rsid w:val="00EF55FB"/>
    <w:rsid w:val="00EF5612"/>
    <w:rsid w:val="00EF562B"/>
    <w:rsid w:val="00EF5630"/>
    <w:rsid w:val="00EF5688"/>
    <w:rsid w:val="00EF5690"/>
    <w:rsid w:val="00EF56BB"/>
    <w:rsid w:val="00EF573B"/>
    <w:rsid w:val="00EF5874"/>
    <w:rsid w:val="00EF587B"/>
    <w:rsid w:val="00EF5A8B"/>
    <w:rsid w:val="00EF5AB7"/>
    <w:rsid w:val="00EF5ADB"/>
    <w:rsid w:val="00EF5B0E"/>
    <w:rsid w:val="00EF5B40"/>
    <w:rsid w:val="00EF5B68"/>
    <w:rsid w:val="00EF5C1C"/>
    <w:rsid w:val="00EF5C33"/>
    <w:rsid w:val="00EF5C68"/>
    <w:rsid w:val="00EF5C69"/>
    <w:rsid w:val="00EF5CA2"/>
    <w:rsid w:val="00EF5D0E"/>
    <w:rsid w:val="00EF5D7B"/>
    <w:rsid w:val="00EF5DA4"/>
    <w:rsid w:val="00EF5E0E"/>
    <w:rsid w:val="00EF5E43"/>
    <w:rsid w:val="00EF60A6"/>
    <w:rsid w:val="00EF610E"/>
    <w:rsid w:val="00EF6122"/>
    <w:rsid w:val="00EF6147"/>
    <w:rsid w:val="00EF61AC"/>
    <w:rsid w:val="00EF6371"/>
    <w:rsid w:val="00EF6404"/>
    <w:rsid w:val="00EF6431"/>
    <w:rsid w:val="00EF64BD"/>
    <w:rsid w:val="00EF65DA"/>
    <w:rsid w:val="00EF673C"/>
    <w:rsid w:val="00EF679A"/>
    <w:rsid w:val="00EF6872"/>
    <w:rsid w:val="00EF6881"/>
    <w:rsid w:val="00EF68A7"/>
    <w:rsid w:val="00EF68FE"/>
    <w:rsid w:val="00EF6940"/>
    <w:rsid w:val="00EF6959"/>
    <w:rsid w:val="00EF69ED"/>
    <w:rsid w:val="00EF69EE"/>
    <w:rsid w:val="00EF6A41"/>
    <w:rsid w:val="00EF6A7F"/>
    <w:rsid w:val="00EF6A84"/>
    <w:rsid w:val="00EF6A91"/>
    <w:rsid w:val="00EF6AAF"/>
    <w:rsid w:val="00EF6B23"/>
    <w:rsid w:val="00EF6B74"/>
    <w:rsid w:val="00EF6B77"/>
    <w:rsid w:val="00EF6B86"/>
    <w:rsid w:val="00EF6BE2"/>
    <w:rsid w:val="00EF6C43"/>
    <w:rsid w:val="00EF6D15"/>
    <w:rsid w:val="00EF6D6B"/>
    <w:rsid w:val="00EF6DAB"/>
    <w:rsid w:val="00EF6E75"/>
    <w:rsid w:val="00EF6F4D"/>
    <w:rsid w:val="00EF6F9A"/>
    <w:rsid w:val="00EF7043"/>
    <w:rsid w:val="00EF7089"/>
    <w:rsid w:val="00EF70AA"/>
    <w:rsid w:val="00EF70B3"/>
    <w:rsid w:val="00EF71EA"/>
    <w:rsid w:val="00EF71F7"/>
    <w:rsid w:val="00EF7290"/>
    <w:rsid w:val="00EF72E7"/>
    <w:rsid w:val="00EF7315"/>
    <w:rsid w:val="00EF7378"/>
    <w:rsid w:val="00EF73CF"/>
    <w:rsid w:val="00EF7496"/>
    <w:rsid w:val="00EF75C6"/>
    <w:rsid w:val="00EF76AF"/>
    <w:rsid w:val="00EF7741"/>
    <w:rsid w:val="00EF7742"/>
    <w:rsid w:val="00EF774A"/>
    <w:rsid w:val="00EF7756"/>
    <w:rsid w:val="00EF77CC"/>
    <w:rsid w:val="00EF77E1"/>
    <w:rsid w:val="00EF7839"/>
    <w:rsid w:val="00EF78F7"/>
    <w:rsid w:val="00EF793C"/>
    <w:rsid w:val="00EF79B9"/>
    <w:rsid w:val="00EF7A38"/>
    <w:rsid w:val="00EF7A98"/>
    <w:rsid w:val="00EF7B43"/>
    <w:rsid w:val="00EF7B59"/>
    <w:rsid w:val="00EF7C76"/>
    <w:rsid w:val="00EF7C8E"/>
    <w:rsid w:val="00EF7D40"/>
    <w:rsid w:val="00EF7DB6"/>
    <w:rsid w:val="00EF7E32"/>
    <w:rsid w:val="00EF7E85"/>
    <w:rsid w:val="00EF7EF1"/>
    <w:rsid w:val="00EF7F29"/>
    <w:rsid w:val="00EF7F73"/>
    <w:rsid w:val="00EF7F9E"/>
    <w:rsid w:val="00F000C2"/>
    <w:rsid w:val="00F00112"/>
    <w:rsid w:val="00F001D9"/>
    <w:rsid w:val="00F001DD"/>
    <w:rsid w:val="00F001F6"/>
    <w:rsid w:val="00F00249"/>
    <w:rsid w:val="00F00298"/>
    <w:rsid w:val="00F002C5"/>
    <w:rsid w:val="00F002CB"/>
    <w:rsid w:val="00F002F4"/>
    <w:rsid w:val="00F00310"/>
    <w:rsid w:val="00F00346"/>
    <w:rsid w:val="00F0038D"/>
    <w:rsid w:val="00F003B1"/>
    <w:rsid w:val="00F00406"/>
    <w:rsid w:val="00F0043C"/>
    <w:rsid w:val="00F004BC"/>
    <w:rsid w:val="00F004E9"/>
    <w:rsid w:val="00F0053C"/>
    <w:rsid w:val="00F00584"/>
    <w:rsid w:val="00F0061F"/>
    <w:rsid w:val="00F0077B"/>
    <w:rsid w:val="00F00799"/>
    <w:rsid w:val="00F00846"/>
    <w:rsid w:val="00F008C9"/>
    <w:rsid w:val="00F0091E"/>
    <w:rsid w:val="00F0098B"/>
    <w:rsid w:val="00F00A22"/>
    <w:rsid w:val="00F00A23"/>
    <w:rsid w:val="00F00A9A"/>
    <w:rsid w:val="00F00AA8"/>
    <w:rsid w:val="00F00AF6"/>
    <w:rsid w:val="00F00B01"/>
    <w:rsid w:val="00F00B14"/>
    <w:rsid w:val="00F00B50"/>
    <w:rsid w:val="00F00BB7"/>
    <w:rsid w:val="00F00CF8"/>
    <w:rsid w:val="00F00E12"/>
    <w:rsid w:val="00F00E6F"/>
    <w:rsid w:val="00F00F78"/>
    <w:rsid w:val="00F00FA0"/>
    <w:rsid w:val="00F010C3"/>
    <w:rsid w:val="00F0118E"/>
    <w:rsid w:val="00F011AF"/>
    <w:rsid w:val="00F012CC"/>
    <w:rsid w:val="00F013C3"/>
    <w:rsid w:val="00F0142A"/>
    <w:rsid w:val="00F01452"/>
    <w:rsid w:val="00F01460"/>
    <w:rsid w:val="00F014AB"/>
    <w:rsid w:val="00F014AC"/>
    <w:rsid w:val="00F014B6"/>
    <w:rsid w:val="00F014E1"/>
    <w:rsid w:val="00F01592"/>
    <w:rsid w:val="00F015F8"/>
    <w:rsid w:val="00F015FC"/>
    <w:rsid w:val="00F01623"/>
    <w:rsid w:val="00F01674"/>
    <w:rsid w:val="00F01690"/>
    <w:rsid w:val="00F016A4"/>
    <w:rsid w:val="00F016A7"/>
    <w:rsid w:val="00F016CF"/>
    <w:rsid w:val="00F0175B"/>
    <w:rsid w:val="00F0175E"/>
    <w:rsid w:val="00F0185D"/>
    <w:rsid w:val="00F01899"/>
    <w:rsid w:val="00F018B7"/>
    <w:rsid w:val="00F018D1"/>
    <w:rsid w:val="00F0199E"/>
    <w:rsid w:val="00F019A3"/>
    <w:rsid w:val="00F019CE"/>
    <w:rsid w:val="00F019D4"/>
    <w:rsid w:val="00F019F4"/>
    <w:rsid w:val="00F01A4C"/>
    <w:rsid w:val="00F01A6C"/>
    <w:rsid w:val="00F01A75"/>
    <w:rsid w:val="00F01AD0"/>
    <w:rsid w:val="00F01BE9"/>
    <w:rsid w:val="00F01C97"/>
    <w:rsid w:val="00F01D25"/>
    <w:rsid w:val="00F01DE0"/>
    <w:rsid w:val="00F01DF2"/>
    <w:rsid w:val="00F01E03"/>
    <w:rsid w:val="00F01E0C"/>
    <w:rsid w:val="00F01E78"/>
    <w:rsid w:val="00F01E8A"/>
    <w:rsid w:val="00F01EF4"/>
    <w:rsid w:val="00F01F34"/>
    <w:rsid w:val="00F01F3A"/>
    <w:rsid w:val="00F01F6A"/>
    <w:rsid w:val="00F01F7A"/>
    <w:rsid w:val="00F0202F"/>
    <w:rsid w:val="00F02044"/>
    <w:rsid w:val="00F020DB"/>
    <w:rsid w:val="00F020ED"/>
    <w:rsid w:val="00F020FC"/>
    <w:rsid w:val="00F02158"/>
    <w:rsid w:val="00F0231C"/>
    <w:rsid w:val="00F02328"/>
    <w:rsid w:val="00F02334"/>
    <w:rsid w:val="00F02363"/>
    <w:rsid w:val="00F023F1"/>
    <w:rsid w:val="00F0240E"/>
    <w:rsid w:val="00F0241D"/>
    <w:rsid w:val="00F02433"/>
    <w:rsid w:val="00F024D1"/>
    <w:rsid w:val="00F02515"/>
    <w:rsid w:val="00F0259C"/>
    <w:rsid w:val="00F02623"/>
    <w:rsid w:val="00F02624"/>
    <w:rsid w:val="00F02698"/>
    <w:rsid w:val="00F0271D"/>
    <w:rsid w:val="00F0272B"/>
    <w:rsid w:val="00F027CD"/>
    <w:rsid w:val="00F028B2"/>
    <w:rsid w:val="00F028CB"/>
    <w:rsid w:val="00F028D6"/>
    <w:rsid w:val="00F028DF"/>
    <w:rsid w:val="00F0292B"/>
    <w:rsid w:val="00F02968"/>
    <w:rsid w:val="00F029C1"/>
    <w:rsid w:val="00F029CE"/>
    <w:rsid w:val="00F029E8"/>
    <w:rsid w:val="00F02A42"/>
    <w:rsid w:val="00F02B64"/>
    <w:rsid w:val="00F02C0D"/>
    <w:rsid w:val="00F02C4F"/>
    <w:rsid w:val="00F02C61"/>
    <w:rsid w:val="00F02C6A"/>
    <w:rsid w:val="00F02D43"/>
    <w:rsid w:val="00F02DDA"/>
    <w:rsid w:val="00F02DE6"/>
    <w:rsid w:val="00F02E33"/>
    <w:rsid w:val="00F02E73"/>
    <w:rsid w:val="00F02F06"/>
    <w:rsid w:val="00F02F75"/>
    <w:rsid w:val="00F02F86"/>
    <w:rsid w:val="00F03079"/>
    <w:rsid w:val="00F030C0"/>
    <w:rsid w:val="00F031BB"/>
    <w:rsid w:val="00F031D9"/>
    <w:rsid w:val="00F0336D"/>
    <w:rsid w:val="00F03375"/>
    <w:rsid w:val="00F033FE"/>
    <w:rsid w:val="00F0340C"/>
    <w:rsid w:val="00F0343D"/>
    <w:rsid w:val="00F0346A"/>
    <w:rsid w:val="00F0347F"/>
    <w:rsid w:val="00F034DF"/>
    <w:rsid w:val="00F03537"/>
    <w:rsid w:val="00F0360B"/>
    <w:rsid w:val="00F036DF"/>
    <w:rsid w:val="00F03725"/>
    <w:rsid w:val="00F03869"/>
    <w:rsid w:val="00F03894"/>
    <w:rsid w:val="00F0390B"/>
    <w:rsid w:val="00F03917"/>
    <w:rsid w:val="00F039C4"/>
    <w:rsid w:val="00F039C7"/>
    <w:rsid w:val="00F03BFC"/>
    <w:rsid w:val="00F03C06"/>
    <w:rsid w:val="00F03C70"/>
    <w:rsid w:val="00F03D7C"/>
    <w:rsid w:val="00F03D92"/>
    <w:rsid w:val="00F03DA7"/>
    <w:rsid w:val="00F03DB7"/>
    <w:rsid w:val="00F03DCC"/>
    <w:rsid w:val="00F03E2B"/>
    <w:rsid w:val="00F03E97"/>
    <w:rsid w:val="00F03EE9"/>
    <w:rsid w:val="00F03EEB"/>
    <w:rsid w:val="00F03FBB"/>
    <w:rsid w:val="00F03FEC"/>
    <w:rsid w:val="00F0403C"/>
    <w:rsid w:val="00F0404C"/>
    <w:rsid w:val="00F04084"/>
    <w:rsid w:val="00F0409C"/>
    <w:rsid w:val="00F04204"/>
    <w:rsid w:val="00F04215"/>
    <w:rsid w:val="00F04222"/>
    <w:rsid w:val="00F0429B"/>
    <w:rsid w:val="00F0432A"/>
    <w:rsid w:val="00F0437E"/>
    <w:rsid w:val="00F04487"/>
    <w:rsid w:val="00F04501"/>
    <w:rsid w:val="00F04540"/>
    <w:rsid w:val="00F045CB"/>
    <w:rsid w:val="00F04638"/>
    <w:rsid w:val="00F0470A"/>
    <w:rsid w:val="00F0479C"/>
    <w:rsid w:val="00F047B6"/>
    <w:rsid w:val="00F047CE"/>
    <w:rsid w:val="00F0486B"/>
    <w:rsid w:val="00F04893"/>
    <w:rsid w:val="00F048D8"/>
    <w:rsid w:val="00F0494E"/>
    <w:rsid w:val="00F049B7"/>
    <w:rsid w:val="00F049D4"/>
    <w:rsid w:val="00F049E8"/>
    <w:rsid w:val="00F049EE"/>
    <w:rsid w:val="00F04A12"/>
    <w:rsid w:val="00F04A40"/>
    <w:rsid w:val="00F04AF8"/>
    <w:rsid w:val="00F04B36"/>
    <w:rsid w:val="00F04B73"/>
    <w:rsid w:val="00F04C64"/>
    <w:rsid w:val="00F04C78"/>
    <w:rsid w:val="00F04CA8"/>
    <w:rsid w:val="00F04D63"/>
    <w:rsid w:val="00F04D6A"/>
    <w:rsid w:val="00F04DC0"/>
    <w:rsid w:val="00F04E06"/>
    <w:rsid w:val="00F04E22"/>
    <w:rsid w:val="00F04E38"/>
    <w:rsid w:val="00F04E9A"/>
    <w:rsid w:val="00F04F8C"/>
    <w:rsid w:val="00F04F94"/>
    <w:rsid w:val="00F04F9A"/>
    <w:rsid w:val="00F05020"/>
    <w:rsid w:val="00F0504A"/>
    <w:rsid w:val="00F050AE"/>
    <w:rsid w:val="00F05294"/>
    <w:rsid w:val="00F052AC"/>
    <w:rsid w:val="00F052C5"/>
    <w:rsid w:val="00F05377"/>
    <w:rsid w:val="00F053D2"/>
    <w:rsid w:val="00F05424"/>
    <w:rsid w:val="00F0549A"/>
    <w:rsid w:val="00F055B7"/>
    <w:rsid w:val="00F055C9"/>
    <w:rsid w:val="00F055ED"/>
    <w:rsid w:val="00F0560F"/>
    <w:rsid w:val="00F056A7"/>
    <w:rsid w:val="00F057FC"/>
    <w:rsid w:val="00F05878"/>
    <w:rsid w:val="00F058DE"/>
    <w:rsid w:val="00F05A4E"/>
    <w:rsid w:val="00F05B21"/>
    <w:rsid w:val="00F05B85"/>
    <w:rsid w:val="00F05BA3"/>
    <w:rsid w:val="00F05C1D"/>
    <w:rsid w:val="00F05DED"/>
    <w:rsid w:val="00F05E00"/>
    <w:rsid w:val="00F05E57"/>
    <w:rsid w:val="00F05E86"/>
    <w:rsid w:val="00F05EFD"/>
    <w:rsid w:val="00F05F4F"/>
    <w:rsid w:val="00F05F63"/>
    <w:rsid w:val="00F06002"/>
    <w:rsid w:val="00F06036"/>
    <w:rsid w:val="00F060C0"/>
    <w:rsid w:val="00F06301"/>
    <w:rsid w:val="00F0636F"/>
    <w:rsid w:val="00F063AF"/>
    <w:rsid w:val="00F064D5"/>
    <w:rsid w:val="00F064DD"/>
    <w:rsid w:val="00F064EF"/>
    <w:rsid w:val="00F065BE"/>
    <w:rsid w:val="00F06632"/>
    <w:rsid w:val="00F0665B"/>
    <w:rsid w:val="00F0666A"/>
    <w:rsid w:val="00F0669A"/>
    <w:rsid w:val="00F06712"/>
    <w:rsid w:val="00F0683C"/>
    <w:rsid w:val="00F068B1"/>
    <w:rsid w:val="00F06935"/>
    <w:rsid w:val="00F06AAB"/>
    <w:rsid w:val="00F06AC4"/>
    <w:rsid w:val="00F06B95"/>
    <w:rsid w:val="00F06BF7"/>
    <w:rsid w:val="00F06D1D"/>
    <w:rsid w:val="00F06D67"/>
    <w:rsid w:val="00F06D7B"/>
    <w:rsid w:val="00F06DB8"/>
    <w:rsid w:val="00F06DE9"/>
    <w:rsid w:val="00F06E3F"/>
    <w:rsid w:val="00F06F14"/>
    <w:rsid w:val="00F07023"/>
    <w:rsid w:val="00F0710B"/>
    <w:rsid w:val="00F071EB"/>
    <w:rsid w:val="00F071F3"/>
    <w:rsid w:val="00F07317"/>
    <w:rsid w:val="00F07375"/>
    <w:rsid w:val="00F07387"/>
    <w:rsid w:val="00F073AD"/>
    <w:rsid w:val="00F073EE"/>
    <w:rsid w:val="00F073FC"/>
    <w:rsid w:val="00F07405"/>
    <w:rsid w:val="00F0740C"/>
    <w:rsid w:val="00F07503"/>
    <w:rsid w:val="00F075B3"/>
    <w:rsid w:val="00F075D7"/>
    <w:rsid w:val="00F07604"/>
    <w:rsid w:val="00F0763E"/>
    <w:rsid w:val="00F076C7"/>
    <w:rsid w:val="00F07702"/>
    <w:rsid w:val="00F0781A"/>
    <w:rsid w:val="00F07861"/>
    <w:rsid w:val="00F0786E"/>
    <w:rsid w:val="00F078CA"/>
    <w:rsid w:val="00F07962"/>
    <w:rsid w:val="00F079B6"/>
    <w:rsid w:val="00F079B8"/>
    <w:rsid w:val="00F07B5E"/>
    <w:rsid w:val="00F07B63"/>
    <w:rsid w:val="00F07B6E"/>
    <w:rsid w:val="00F07B94"/>
    <w:rsid w:val="00F07BDA"/>
    <w:rsid w:val="00F07BDB"/>
    <w:rsid w:val="00F07C11"/>
    <w:rsid w:val="00F07C58"/>
    <w:rsid w:val="00F07C97"/>
    <w:rsid w:val="00F07CC5"/>
    <w:rsid w:val="00F07DCE"/>
    <w:rsid w:val="00F07DFF"/>
    <w:rsid w:val="00F07F64"/>
    <w:rsid w:val="00F10000"/>
    <w:rsid w:val="00F1002C"/>
    <w:rsid w:val="00F10050"/>
    <w:rsid w:val="00F1010A"/>
    <w:rsid w:val="00F101ED"/>
    <w:rsid w:val="00F10225"/>
    <w:rsid w:val="00F102B4"/>
    <w:rsid w:val="00F102C2"/>
    <w:rsid w:val="00F102E9"/>
    <w:rsid w:val="00F10375"/>
    <w:rsid w:val="00F1037A"/>
    <w:rsid w:val="00F10412"/>
    <w:rsid w:val="00F1048B"/>
    <w:rsid w:val="00F104D2"/>
    <w:rsid w:val="00F104F6"/>
    <w:rsid w:val="00F1050B"/>
    <w:rsid w:val="00F1051D"/>
    <w:rsid w:val="00F10566"/>
    <w:rsid w:val="00F1058D"/>
    <w:rsid w:val="00F1058F"/>
    <w:rsid w:val="00F105E5"/>
    <w:rsid w:val="00F105E9"/>
    <w:rsid w:val="00F10671"/>
    <w:rsid w:val="00F10673"/>
    <w:rsid w:val="00F106BF"/>
    <w:rsid w:val="00F106CD"/>
    <w:rsid w:val="00F10768"/>
    <w:rsid w:val="00F1078D"/>
    <w:rsid w:val="00F107A3"/>
    <w:rsid w:val="00F1082F"/>
    <w:rsid w:val="00F1089D"/>
    <w:rsid w:val="00F10911"/>
    <w:rsid w:val="00F109A0"/>
    <w:rsid w:val="00F109BC"/>
    <w:rsid w:val="00F10A12"/>
    <w:rsid w:val="00F10B57"/>
    <w:rsid w:val="00F10B5C"/>
    <w:rsid w:val="00F10BA2"/>
    <w:rsid w:val="00F10C30"/>
    <w:rsid w:val="00F10C7F"/>
    <w:rsid w:val="00F10D24"/>
    <w:rsid w:val="00F10D94"/>
    <w:rsid w:val="00F10E10"/>
    <w:rsid w:val="00F10E27"/>
    <w:rsid w:val="00F10E75"/>
    <w:rsid w:val="00F111FC"/>
    <w:rsid w:val="00F112C6"/>
    <w:rsid w:val="00F112FA"/>
    <w:rsid w:val="00F1133F"/>
    <w:rsid w:val="00F113A1"/>
    <w:rsid w:val="00F113E3"/>
    <w:rsid w:val="00F114BE"/>
    <w:rsid w:val="00F114DB"/>
    <w:rsid w:val="00F11577"/>
    <w:rsid w:val="00F11718"/>
    <w:rsid w:val="00F1171A"/>
    <w:rsid w:val="00F11728"/>
    <w:rsid w:val="00F1175B"/>
    <w:rsid w:val="00F11784"/>
    <w:rsid w:val="00F117FE"/>
    <w:rsid w:val="00F1181B"/>
    <w:rsid w:val="00F1182F"/>
    <w:rsid w:val="00F1184B"/>
    <w:rsid w:val="00F118E4"/>
    <w:rsid w:val="00F11A0C"/>
    <w:rsid w:val="00F11AB1"/>
    <w:rsid w:val="00F11AF7"/>
    <w:rsid w:val="00F11B5C"/>
    <w:rsid w:val="00F11D2D"/>
    <w:rsid w:val="00F11E26"/>
    <w:rsid w:val="00F11E79"/>
    <w:rsid w:val="00F11F17"/>
    <w:rsid w:val="00F11F2F"/>
    <w:rsid w:val="00F11F40"/>
    <w:rsid w:val="00F11F52"/>
    <w:rsid w:val="00F11F7B"/>
    <w:rsid w:val="00F11FB4"/>
    <w:rsid w:val="00F11FF2"/>
    <w:rsid w:val="00F1201F"/>
    <w:rsid w:val="00F120CC"/>
    <w:rsid w:val="00F1211D"/>
    <w:rsid w:val="00F121E8"/>
    <w:rsid w:val="00F12269"/>
    <w:rsid w:val="00F122A0"/>
    <w:rsid w:val="00F12344"/>
    <w:rsid w:val="00F12372"/>
    <w:rsid w:val="00F12387"/>
    <w:rsid w:val="00F124EE"/>
    <w:rsid w:val="00F1251F"/>
    <w:rsid w:val="00F1258B"/>
    <w:rsid w:val="00F125E2"/>
    <w:rsid w:val="00F12670"/>
    <w:rsid w:val="00F12685"/>
    <w:rsid w:val="00F12811"/>
    <w:rsid w:val="00F1284B"/>
    <w:rsid w:val="00F12874"/>
    <w:rsid w:val="00F1288D"/>
    <w:rsid w:val="00F12909"/>
    <w:rsid w:val="00F12927"/>
    <w:rsid w:val="00F12944"/>
    <w:rsid w:val="00F12956"/>
    <w:rsid w:val="00F12A27"/>
    <w:rsid w:val="00F12ABC"/>
    <w:rsid w:val="00F12BC3"/>
    <w:rsid w:val="00F12C16"/>
    <w:rsid w:val="00F12C8A"/>
    <w:rsid w:val="00F12CA7"/>
    <w:rsid w:val="00F12CBC"/>
    <w:rsid w:val="00F12CC9"/>
    <w:rsid w:val="00F12CD3"/>
    <w:rsid w:val="00F12D4B"/>
    <w:rsid w:val="00F12D70"/>
    <w:rsid w:val="00F12D99"/>
    <w:rsid w:val="00F12DCE"/>
    <w:rsid w:val="00F12E2A"/>
    <w:rsid w:val="00F12E3C"/>
    <w:rsid w:val="00F12E5F"/>
    <w:rsid w:val="00F12E69"/>
    <w:rsid w:val="00F12ED8"/>
    <w:rsid w:val="00F12EE8"/>
    <w:rsid w:val="00F12F3C"/>
    <w:rsid w:val="00F12F86"/>
    <w:rsid w:val="00F13082"/>
    <w:rsid w:val="00F1308E"/>
    <w:rsid w:val="00F13096"/>
    <w:rsid w:val="00F13103"/>
    <w:rsid w:val="00F13108"/>
    <w:rsid w:val="00F1315D"/>
    <w:rsid w:val="00F13161"/>
    <w:rsid w:val="00F13198"/>
    <w:rsid w:val="00F13228"/>
    <w:rsid w:val="00F13281"/>
    <w:rsid w:val="00F132E8"/>
    <w:rsid w:val="00F1331F"/>
    <w:rsid w:val="00F1335B"/>
    <w:rsid w:val="00F13381"/>
    <w:rsid w:val="00F133C4"/>
    <w:rsid w:val="00F13436"/>
    <w:rsid w:val="00F13473"/>
    <w:rsid w:val="00F13476"/>
    <w:rsid w:val="00F13552"/>
    <w:rsid w:val="00F13555"/>
    <w:rsid w:val="00F1365A"/>
    <w:rsid w:val="00F136EA"/>
    <w:rsid w:val="00F13711"/>
    <w:rsid w:val="00F137A7"/>
    <w:rsid w:val="00F13828"/>
    <w:rsid w:val="00F1384F"/>
    <w:rsid w:val="00F1391D"/>
    <w:rsid w:val="00F1398A"/>
    <w:rsid w:val="00F13A6C"/>
    <w:rsid w:val="00F13A75"/>
    <w:rsid w:val="00F13A86"/>
    <w:rsid w:val="00F13AB5"/>
    <w:rsid w:val="00F13AD3"/>
    <w:rsid w:val="00F13B6B"/>
    <w:rsid w:val="00F13B7B"/>
    <w:rsid w:val="00F13B9A"/>
    <w:rsid w:val="00F13BE0"/>
    <w:rsid w:val="00F13C12"/>
    <w:rsid w:val="00F13C21"/>
    <w:rsid w:val="00F13CE8"/>
    <w:rsid w:val="00F13DF9"/>
    <w:rsid w:val="00F13EF1"/>
    <w:rsid w:val="00F13F16"/>
    <w:rsid w:val="00F1403C"/>
    <w:rsid w:val="00F140E2"/>
    <w:rsid w:val="00F14355"/>
    <w:rsid w:val="00F1437D"/>
    <w:rsid w:val="00F143F5"/>
    <w:rsid w:val="00F144CF"/>
    <w:rsid w:val="00F144E4"/>
    <w:rsid w:val="00F144FA"/>
    <w:rsid w:val="00F14512"/>
    <w:rsid w:val="00F14560"/>
    <w:rsid w:val="00F145AB"/>
    <w:rsid w:val="00F145DA"/>
    <w:rsid w:val="00F1460D"/>
    <w:rsid w:val="00F1467D"/>
    <w:rsid w:val="00F146CC"/>
    <w:rsid w:val="00F1479A"/>
    <w:rsid w:val="00F147D9"/>
    <w:rsid w:val="00F147DB"/>
    <w:rsid w:val="00F14807"/>
    <w:rsid w:val="00F14875"/>
    <w:rsid w:val="00F14907"/>
    <w:rsid w:val="00F1493A"/>
    <w:rsid w:val="00F149F9"/>
    <w:rsid w:val="00F14A20"/>
    <w:rsid w:val="00F14A22"/>
    <w:rsid w:val="00F14BCA"/>
    <w:rsid w:val="00F14BDE"/>
    <w:rsid w:val="00F14CA5"/>
    <w:rsid w:val="00F14CD9"/>
    <w:rsid w:val="00F14CE9"/>
    <w:rsid w:val="00F14CEF"/>
    <w:rsid w:val="00F14CF9"/>
    <w:rsid w:val="00F14E39"/>
    <w:rsid w:val="00F14EDD"/>
    <w:rsid w:val="00F14F10"/>
    <w:rsid w:val="00F14F46"/>
    <w:rsid w:val="00F14F64"/>
    <w:rsid w:val="00F151BD"/>
    <w:rsid w:val="00F151E3"/>
    <w:rsid w:val="00F15249"/>
    <w:rsid w:val="00F15370"/>
    <w:rsid w:val="00F15392"/>
    <w:rsid w:val="00F153A8"/>
    <w:rsid w:val="00F153C1"/>
    <w:rsid w:val="00F153D6"/>
    <w:rsid w:val="00F153EE"/>
    <w:rsid w:val="00F154E6"/>
    <w:rsid w:val="00F154F6"/>
    <w:rsid w:val="00F15569"/>
    <w:rsid w:val="00F15695"/>
    <w:rsid w:val="00F1576E"/>
    <w:rsid w:val="00F15793"/>
    <w:rsid w:val="00F157A6"/>
    <w:rsid w:val="00F15825"/>
    <w:rsid w:val="00F1584A"/>
    <w:rsid w:val="00F1588E"/>
    <w:rsid w:val="00F158DD"/>
    <w:rsid w:val="00F15908"/>
    <w:rsid w:val="00F15966"/>
    <w:rsid w:val="00F1596B"/>
    <w:rsid w:val="00F15A42"/>
    <w:rsid w:val="00F15B7D"/>
    <w:rsid w:val="00F15C62"/>
    <w:rsid w:val="00F15CE5"/>
    <w:rsid w:val="00F15D42"/>
    <w:rsid w:val="00F15D5A"/>
    <w:rsid w:val="00F15D82"/>
    <w:rsid w:val="00F15DBB"/>
    <w:rsid w:val="00F15DDC"/>
    <w:rsid w:val="00F15E7E"/>
    <w:rsid w:val="00F15EAA"/>
    <w:rsid w:val="00F15EED"/>
    <w:rsid w:val="00F15F0D"/>
    <w:rsid w:val="00F15F59"/>
    <w:rsid w:val="00F15F5B"/>
    <w:rsid w:val="00F15F5E"/>
    <w:rsid w:val="00F15F6E"/>
    <w:rsid w:val="00F160AB"/>
    <w:rsid w:val="00F1616A"/>
    <w:rsid w:val="00F16176"/>
    <w:rsid w:val="00F161A1"/>
    <w:rsid w:val="00F161CE"/>
    <w:rsid w:val="00F16242"/>
    <w:rsid w:val="00F1628C"/>
    <w:rsid w:val="00F16374"/>
    <w:rsid w:val="00F163CD"/>
    <w:rsid w:val="00F16464"/>
    <w:rsid w:val="00F164F2"/>
    <w:rsid w:val="00F165B6"/>
    <w:rsid w:val="00F166AB"/>
    <w:rsid w:val="00F166D6"/>
    <w:rsid w:val="00F16739"/>
    <w:rsid w:val="00F16746"/>
    <w:rsid w:val="00F16844"/>
    <w:rsid w:val="00F168B6"/>
    <w:rsid w:val="00F1694A"/>
    <w:rsid w:val="00F16953"/>
    <w:rsid w:val="00F16AF4"/>
    <w:rsid w:val="00F16AF8"/>
    <w:rsid w:val="00F16C02"/>
    <w:rsid w:val="00F16C28"/>
    <w:rsid w:val="00F16C33"/>
    <w:rsid w:val="00F16E43"/>
    <w:rsid w:val="00F16E90"/>
    <w:rsid w:val="00F16E9E"/>
    <w:rsid w:val="00F16FD6"/>
    <w:rsid w:val="00F1703C"/>
    <w:rsid w:val="00F17047"/>
    <w:rsid w:val="00F1704C"/>
    <w:rsid w:val="00F170DE"/>
    <w:rsid w:val="00F17113"/>
    <w:rsid w:val="00F17162"/>
    <w:rsid w:val="00F1725D"/>
    <w:rsid w:val="00F1730E"/>
    <w:rsid w:val="00F173E0"/>
    <w:rsid w:val="00F17476"/>
    <w:rsid w:val="00F17504"/>
    <w:rsid w:val="00F1752D"/>
    <w:rsid w:val="00F175DD"/>
    <w:rsid w:val="00F17697"/>
    <w:rsid w:val="00F176E7"/>
    <w:rsid w:val="00F17728"/>
    <w:rsid w:val="00F1773B"/>
    <w:rsid w:val="00F177D4"/>
    <w:rsid w:val="00F1783F"/>
    <w:rsid w:val="00F17878"/>
    <w:rsid w:val="00F178AD"/>
    <w:rsid w:val="00F1794C"/>
    <w:rsid w:val="00F17BD2"/>
    <w:rsid w:val="00F17BF3"/>
    <w:rsid w:val="00F17C31"/>
    <w:rsid w:val="00F17CE8"/>
    <w:rsid w:val="00F17D03"/>
    <w:rsid w:val="00F17D52"/>
    <w:rsid w:val="00F17D71"/>
    <w:rsid w:val="00F17DCF"/>
    <w:rsid w:val="00F17E8B"/>
    <w:rsid w:val="00F17F51"/>
    <w:rsid w:val="00F20072"/>
    <w:rsid w:val="00F20098"/>
    <w:rsid w:val="00F200B8"/>
    <w:rsid w:val="00F20139"/>
    <w:rsid w:val="00F20304"/>
    <w:rsid w:val="00F20387"/>
    <w:rsid w:val="00F203E3"/>
    <w:rsid w:val="00F204CD"/>
    <w:rsid w:val="00F204EA"/>
    <w:rsid w:val="00F204F2"/>
    <w:rsid w:val="00F20519"/>
    <w:rsid w:val="00F2063C"/>
    <w:rsid w:val="00F2067D"/>
    <w:rsid w:val="00F206A9"/>
    <w:rsid w:val="00F206C1"/>
    <w:rsid w:val="00F2072D"/>
    <w:rsid w:val="00F20736"/>
    <w:rsid w:val="00F2075D"/>
    <w:rsid w:val="00F2079A"/>
    <w:rsid w:val="00F207A3"/>
    <w:rsid w:val="00F207B0"/>
    <w:rsid w:val="00F207BF"/>
    <w:rsid w:val="00F20836"/>
    <w:rsid w:val="00F20844"/>
    <w:rsid w:val="00F2085B"/>
    <w:rsid w:val="00F20881"/>
    <w:rsid w:val="00F208A0"/>
    <w:rsid w:val="00F208B1"/>
    <w:rsid w:val="00F20901"/>
    <w:rsid w:val="00F20925"/>
    <w:rsid w:val="00F20A24"/>
    <w:rsid w:val="00F20A3E"/>
    <w:rsid w:val="00F20A8B"/>
    <w:rsid w:val="00F20B68"/>
    <w:rsid w:val="00F20BC3"/>
    <w:rsid w:val="00F20BE6"/>
    <w:rsid w:val="00F20BFC"/>
    <w:rsid w:val="00F20C24"/>
    <w:rsid w:val="00F20C5D"/>
    <w:rsid w:val="00F20C77"/>
    <w:rsid w:val="00F20D17"/>
    <w:rsid w:val="00F20E1B"/>
    <w:rsid w:val="00F20EE0"/>
    <w:rsid w:val="00F20EF3"/>
    <w:rsid w:val="00F20F53"/>
    <w:rsid w:val="00F20F63"/>
    <w:rsid w:val="00F20F6B"/>
    <w:rsid w:val="00F20F6F"/>
    <w:rsid w:val="00F20FB1"/>
    <w:rsid w:val="00F20FE0"/>
    <w:rsid w:val="00F20FE2"/>
    <w:rsid w:val="00F21034"/>
    <w:rsid w:val="00F2105D"/>
    <w:rsid w:val="00F210F1"/>
    <w:rsid w:val="00F2112F"/>
    <w:rsid w:val="00F21132"/>
    <w:rsid w:val="00F2113C"/>
    <w:rsid w:val="00F211B7"/>
    <w:rsid w:val="00F211E6"/>
    <w:rsid w:val="00F21233"/>
    <w:rsid w:val="00F21247"/>
    <w:rsid w:val="00F21266"/>
    <w:rsid w:val="00F2126F"/>
    <w:rsid w:val="00F21289"/>
    <w:rsid w:val="00F212A0"/>
    <w:rsid w:val="00F212A4"/>
    <w:rsid w:val="00F21367"/>
    <w:rsid w:val="00F2136B"/>
    <w:rsid w:val="00F213A2"/>
    <w:rsid w:val="00F21515"/>
    <w:rsid w:val="00F21521"/>
    <w:rsid w:val="00F215DF"/>
    <w:rsid w:val="00F21604"/>
    <w:rsid w:val="00F21674"/>
    <w:rsid w:val="00F2168B"/>
    <w:rsid w:val="00F21696"/>
    <w:rsid w:val="00F21739"/>
    <w:rsid w:val="00F2176E"/>
    <w:rsid w:val="00F21926"/>
    <w:rsid w:val="00F219CA"/>
    <w:rsid w:val="00F21B72"/>
    <w:rsid w:val="00F21BD6"/>
    <w:rsid w:val="00F21C2B"/>
    <w:rsid w:val="00F21C8E"/>
    <w:rsid w:val="00F21C9C"/>
    <w:rsid w:val="00F21CFA"/>
    <w:rsid w:val="00F21DB3"/>
    <w:rsid w:val="00F21DB8"/>
    <w:rsid w:val="00F21DEC"/>
    <w:rsid w:val="00F21EEF"/>
    <w:rsid w:val="00F21F0A"/>
    <w:rsid w:val="00F21F98"/>
    <w:rsid w:val="00F2205C"/>
    <w:rsid w:val="00F22085"/>
    <w:rsid w:val="00F2211E"/>
    <w:rsid w:val="00F22210"/>
    <w:rsid w:val="00F2222E"/>
    <w:rsid w:val="00F222B5"/>
    <w:rsid w:val="00F223AF"/>
    <w:rsid w:val="00F223C3"/>
    <w:rsid w:val="00F22813"/>
    <w:rsid w:val="00F22829"/>
    <w:rsid w:val="00F22913"/>
    <w:rsid w:val="00F2292E"/>
    <w:rsid w:val="00F2295E"/>
    <w:rsid w:val="00F229BD"/>
    <w:rsid w:val="00F22A04"/>
    <w:rsid w:val="00F22A50"/>
    <w:rsid w:val="00F22A7E"/>
    <w:rsid w:val="00F22ABE"/>
    <w:rsid w:val="00F22AD5"/>
    <w:rsid w:val="00F22AF4"/>
    <w:rsid w:val="00F22B93"/>
    <w:rsid w:val="00F22BD9"/>
    <w:rsid w:val="00F22BDD"/>
    <w:rsid w:val="00F22C2D"/>
    <w:rsid w:val="00F22C4C"/>
    <w:rsid w:val="00F22CBC"/>
    <w:rsid w:val="00F22CC7"/>
    <w:rsid w:val="00F22CCC"/>
    <w:rsid w:val="00F22D4E"/>
    <w:rsid w:val="00F22DAB"/>
    <w:rsid w:val="00F22EC6"/>
    <w:rsid w:val="00F22F05"/>
    <w:rsid w:val="00F22F22"/>
    <w:rsid w:val="00F23034"/>
    <w:rsid w:val="00F231A2"/>
    <w:rsid w:val="00F23242"/>
    <w:rsid w:val="00F2325B"/>
    <w:rsid w:val="00F23263"/>
    <w:rsid w:val="00F23342"/>
    <w:rsid w:val="00F233C3"/>
    <w:rsid w:val="00F233DB"/>
    <w:rsid w:val="00F2340A"/>
    <w:rsid w:val="00F23416"/>
    <w:rsid w:val="00F23466"/>
    <w:rsid w:val="00F234AC"/>
    <w:rsid w:val="00F234C4"/>
    <w:rsid w:val="00F23512"/>
    <w:rsid w:val="00F23546"/>
    <w:rsid w:val="00F23607"/>
    <w:rsid w:val="00F2362B"/>
    <w:rsid w:val="00F23696"/>
    <w:rsid w:val="00F236AE"/>
    <w:rsid w:val="00F236B1"/>
    <w:rsid w:val="00F236FE"/>
    <w:rsid w:val="00F23763"/>
    <w:rsid w:val="00F2376B"/>
    <w:rsid w:val="00F23796"/>
    <w:rsid w:val="00F237DE"/>
    <w:rsid w:val="00F2389E"/>
    <w:rsid w:val="00F2396A"/>
    <w:rsid w:val="00F239C5"/>
    <w:rsid w:val="00F23AA7"/>
    <w:rsid w:val="00F23AB2"/>
    <w:rsid w:val="00F23C19"/>
    <w:rsid w:val="00F23CE6"/>
    <w:rsid w:val="00F23D9A"/>
    <w:rsid w:val="00F23E25"/>
    <w:rsid w:val="00F23EC3"/>
    <w:rsid w:val="00F23ED2"/>
    <w:rsid w:val="00F23F3B"/>
    <w:rsid w:val="00F23FB4"/>
    <w:rsid w:val="00F24059"/>
    <w:rsid w:val="00F240A6"/>
    <w:rsid w:val="00F24210"/>
    <w:rsid w:val="00F24213"/>
    <w:rsid w:val="00F242B2"/>
    <w:rsid w:val="00F243B0"/>
    <w:rsid w:val="00F244CA"/>
    <w:rsid w:val="00F24640"/>
    <w:rsid w:val="00F246CC"/>
    <w:rsid w:val="00F246D4"/>
    <w:rsid w:val="00F2479A"/>
    <w:rsid w:val="00F247AC"/>
    <w:rsid w:val="00F247E3"/>
    <w:rsid w:val="00F247FE"/>
    <w:rsid w:val="00F24877"/>
    <w:rsid w:val="00F24899"/>
    <w:rsid w:val="00F248C1"/>
    <w:rsid w:val="00F248DF"/>
    <w:rsid w:val="00F24905"/>
    <w:rsid w:val="00F249CB"/>
    <w:rsid w:val="00F249FE"/>
    <w:rsid w:val="00F24A7B"/>
    <w:rsid w:val="00F24AC5"/>
    <w:rsid w:val="00F24BAA"/>
    <w:rsid w:val="00F24BCF"/>
    <w:rsid w:val="00F24C37"/>
    <w:rsid w:val="00F24CF1"/>
    <w:rsid w:val="00F24D34"/>
    <w:rsid w:val="00F24DD4"/>
    <w:rsid w:val="00F24DFC"/>
    <w:rsid w:val="00F24E37"/>
    <w:rsid w:val="00F24E3C"/>
    <w:rsid w:val="00F24E5B"/>
    <w:rsid w:val="00F24EB7"/>
    <w:rsid w:val="00F24EFD"/>
    <w:rsid w:val="00F25155"/>
    <w:rsid w:val="00F2519B"/>
    <w:rsid w:val="00F2522A"/>
    <w:rsid w:val="00F25286"/>
    <w:rsid w:val="00F252C9"/>
    <w:rsid w:val="00F252D3"/>
    <w:rsid w:val="00F253C8"/>
    <w:rsid w:val="00F253D3"/>
    <w:rsid w:val="00F25576"/>
    <w:rsid w:val="00F25580"/>
    <w:rsid w:val="00F2558C"/>
    <w:rsid w:val="00F25590"/>
    <w:rsid w:val="00F25636"/>
    <w:rsid w:val="00F25711"/>
    <w:rsid w:val="00F25735"/>
    <w:rsid w:val="00F25743"/>
    <w:rsid w:val="00F2574D"/>
    <w:rsid w:val="00F2578E"/>
    <w:rsid w:val="00F257D7"/>
    <w:rsid w:val="00F258BE"/>
    <w:rsid w:val="00F25945"/>
    <w:rsid w:val="00F259D8"/>
    <w:rsid w:val="00F25ADF"/>
    <w:rsid w:val="00F25BBF"/>
    <w:rsid w:val="00F25BC8"/>
    <w:rsid w:val="00F25C2D"/>
    <w:rsid w:val="00F25C6D"/>
    <w:rsid w:val="00F25CBC"/>
    <w:rsid w:val="00F25CD9"/>
    <w:rsid w:val="00F25D02"/>
    <w:rsid w:val="00F25DB8"/>
    <w:rsid w:val="00F25EB7"/>
    <w:rsid w:val="00F25F43"/>
    <w:rsid w:val="00F25F80"/>
    <w:rsid w:val="00F25FF2"/>
    <w:rsid w:val="00F26025"/>
    <w:rsid w:val="00F2603F"/>
    <w:rsid w:val="00F2604B"/>
    <w:rsid w:val="00F26075"/>
    <w:rsid w:val="00F26082"/>
    <w:rsid w:val="00F26173"/>
    <w:rsid w:val="00F26191"/>
    <w:rsid w:val="00F26274"/>
    <w:rsid w:val="00F26300"/>
    <w:rsid w:val="00F26397"/>
    <w:rsid w:val="00F264E2"/>
    <w:rsid w:val="00F26524"/>
    <w:rsid w:val="00F26554"/>
    <w:rsid w:val="00F2655D"/>
    <w:rsid w:val="00F2662B"/>
    <w:rsid w:val="00F2666A"/>
    <w:rsid w:val="00F26673"/>
    <w:rsid w:val="00F2667F"/>
    <w:rsid w:val="00F2669E"/>
    <w:rsid w:val="00F266D0"/>
    <w:rsid w:val="00F26707"/>
    <w:rsid w:val="00F26815"/>
    <w:rsid w:val="00F26874"/>
    <w:rsid w:val="00F2689F"/>
    <w:rsid w:val="00F2690D"/>
    <w:rsid w:val="00F26980"/>
    <w:rsid w:val="00F26995"/>
    <w:rsid w:val="00F269C2"/>
    <w:rsid w:val="00F26A01"/>
    <w:rsid w:val="00F26A1A"/>
    <w:rsid w:val="00F26A53"/>
    <w:rsid w:val="00F26B42"/>
    <w:rsid w:val="00F26B9A"/>
    <w:rsid w:val="00F26C1B"/>
    <w:rsid w:val="00F26D01"/>
    <w:rsid w:val="00F26D3A"/>
    <w:rsid w:val="00F26D82"/>
    <w:rsid w:val="00F26DC6"/>
    <w:rsid w:val="00F26E37"/>
    <w:rsid w:val="00F26E70"/>
    <w:rsid w:val="00F26EA7"/>
    <w:rsid w:val="00F26F47"/>
    <w:rsid w:val="00F26F7D"/>
    <w:rsid w:val="00F27004"/>
    <w:rsid w:val="00F27023"/>
    <w:rsid w:val="00F27040"/>
    <w:rsid w:val="00F27047"/>
    <w:rsid w:val="00F270A9"/>
    <w:rsid w:val="00F270DE"/>
    <w:rsid w:val="00F270F2"/>
    <w:rsid w:val="00F2711E"/>
    <w:rsid w:val="00F27178"/>
    <w:rsid w:val="00F2718D"/>
    <w:rsid w:val="00F27273"/>
    <w:rsid w:val="00F272E8"/>
    <w:rsid w:val="00F27335"/>
    <w:rsid w:val="00F2734C"/>
    <w:rsid w:val="00F273A8"/>
    <w:rsid w:val="00F273C6"/>
    <w:rsid w:val="00F273E6"/>
    <w:rsid w:val="00F2742E"/>
    <w:rsid w:val="00F274C0"/>
    <w:rsid w:val="00F27532"/>
    <w:rsid w:val="00F27543"/>
    <w:rsid w:val="00F275EE"/>
    <w:rsid w:val="00F275F1"/>
    <w:rsid w:val="00F2766D"/>
    <w:rsid w:val="00F27690"/>
    <w:rsid w:val="00F2769E"/>
    <w:rsid w:val="00F2770F"/>
    <w:rsid w:val="00F2772D"/>
    <w:rsid w:val="00F2775E"/>
    <w:rsid w:val="00F27774"/>
    <w:rsid w:val="00F2777A"/>
    <w:rsid w:val="00F2777E"/>
    <w:rsid w:val="00F277CB"/>
    <w:rsid w:val="00F277D0"/>
    <w:rsid w:val="00F27848"/>
    <w:rsid w:val="00F278BC"/>
    <w:rsid w:val="00F27963"/>
    <w:rsid w:val="00F27979"/>
    <w:rsid w:val="00F279A8"/>
    <w:rsid w:val="00F27A9B"/>
    <w:rsid w:val="00F27AA0"/>
    <w:rsid w:val="00F27B0E"/>
    <w:rsid w:val="00F27B59"/>
    <w:rsid w:val="00F27BFB"/>
    <w:rsid w:val="00F27CE7"/>
    <w:rsid w:val="00F27D73"/>
    <w:rsid w:val="00F27DB1"/>
    <w:rsid w:val="00F27EDC"/>
    <w:rsid w:val="00F27FB1"/>
    <w:rsid w:val="00F27FD2"/>
    <w:rsid w:val="00F30051"/>
    <w:rsid w:val="00F30065"/>
    <w:rsid w:val="00F30118"/>
    <w:rsid w:val="00F3011D"/>
    <w:rsid w:val="00F30298"/>
    <w:rsid w:val="00F302B1"/>
    <w:rsid w:val="00F302BB"/>
    <w:rsid w:val="00F30356"/>
    <w:rsid w:val="00F303B9"/>
    <w:rsid w:val="00F303FA"/>
    <w:rsid w:val="00F3046F"/>
    <w:rsid w:val="00F30491"/>
    <w:rsid w:val="00F3053D"/>
    <w:rsid w:val="00F3055E"/>
    <w:rsid w:val="00F3058E"/>
    <w:rsid w:val="00F30602"/>
    <w:rsid w:val="00F30640"/>
    <w:rsid w:val="00F30671"/>
    <w:rsid w:val="00F306A8"/>
    <w:rsid w:val="00F306B9"/>
    <w:rsid w:val="00F306E1"/>
    <w:rsid w:val="00F30724"/>
    <w:rsid w:val="00F3079A"/>
    <w:rsid w:val="00F30836"/>
    <w:rsid w:val="00F308DF"/>
    <w:rsid w:val="00F30976"/>
    <w:rsid w:val="00F30983"/>
    <w:rsid w:val="00F309DE"/>
    <w:rsid w:val="00F30A4F"/>
    <w:rsid w:val="00F30B06"/>
    <w:rsid w:val="00F30C16"/>
    <w:rsid w:val="00F30C1E"/>
    <w:rsid w:val="00F30C64"/>
    <w:rsid w:val="00F30D4E"/>
    <w:rsid w:val="00F30D98"/>
    <w:rsid w:val="00F30DBB"/>
    <w:rsid w:val="00F30E46"/>
    <w:rsid w:val="00F30E4A"/>
    <w:rsid w:val="00F30E4E"/>
    <w:rsid w:val="00F30F6F"/>
    <w:rsid w:val="00F30F8A"/>
    <w:rsid w:val="00F30F9F"/>
    <w:rsid w:val="00F30FBC"/>
    <w:rsid w:val="00F31021"/>
    <w:rsid w:val="00F3104E"/>
    <w:rsid w:val="00F31064"/>
    <w:rsid w:val="00F3109A"/>
    <w:rsid w:val="00F311D5"/>
    <w:rsid w:val="00F31201"/>
    <w:rsid w:val="00F31246"/>
    <w:rsid w:val="00F31248"/>
    <w:rsid w:val="00F31287"/>
    <w:rsid w:val="00F312CD"/>
    <w:rsid w:val="00F3133E"/>
    <w:rsid w:val="00F3135F"/>
    <w:rsid w:val="00F3140E"/>
    <w:rsid w:val="00F31452"/>
    <w:rsid w:val="00F3150F"/>
    <w:rsid w:val="00F315D5"/>
    <w:rsid w:val="00F316A1"/>
    <w:rsid w:val="00F316B7"/>
    <w:rsid w:val="00F316EF"/>
    <w:rsid w:val="00F316FB"/>
    <w:rsid w:val="00F317B6"/>
    <w:rsid w:val="00F317FF"/>
    <w:rsid w:val="00F31859"/>
    <w:rsid w:val="00F3194A"/>
    <w:rsid w:val="00F31968"/>
    <w:rsid w:val="00F319A0"/>
    <w:rsid w:val="00F319E1"/>
    <w:rsid w:val="00F31A43"/>
    <w:rsid w:val="00F31A90"/>
    <w:rsid w:val="00F31AA2"/>
    <w:rsid w:val="00F31B04"/>
    <w:rsid w:val="00F31B6C"/>
    <w:rsid w:val="00F31BED"/>
    <w:rsid w:val="00F31CB9"/>
    <w:rsid w:val="00F31CDC"/>
    <w:rsid w:val="00F31D12"/>
    <w:rsid w:val="00F31D5F"/>
    <w:rsid w:val="00F31F10"/>
    <w:rsid w:val="00F31F19"/>
    <w:rsid w:val="00F31FD1"/>
    <w:rsid w:val="00F32040"/>
    <w:rsid w:val="00F320C6"/>
    <w:rsid w:val="00F320E8"/>
    <w:rsid w:val="00F32168"/>
    <w:rsid w:val="00F32184"/>
    <w:rsid w:val="00F321B5"/>
    <w:rsid w:val="00F321C2"/>
    <w:rsid w:val="00F32243"/>
    <w:rsid w:val="00F3226C"/>
    <w:rsid w:val="00F32272"/>
    <w:rsid w:val="00F322FE"/>
    <w:rsid w:val="00F32385"/>
    <w:rsid w:val="00F32431"/>
    <w:rsid w:val="00F324CB"/>
    <w:rsid w:val="00F325D8"/>
    <w:rsid w:val="00F32793"/>
    <w:rsid w:val="00F327D1"/>
    <w:rsid w:val="00F327E3"/>
    <w:rsid w:val="00F3288C"/>
    <w:rsid w:val="00F328DD"/>
    <w:rsid w:val="00F3294C"/>
    <w:rsid w:val="00F32981"/>
    <w:rsid w:val="00F32993"/>
    <w:rsid w:val="00F329AA"/>
    <w:rsid w:val="00F329CE"/>
    <w:rsid w:val="00F329EF"/>
    <w:rsid w:val="00F32A0A"/>
    <w:rsid w:val="00F32A75"/>
    <w:rsid w:val="00F32A9F"/>
    <w:rsid w:val="00F32AC6"/>
    <w:rsid w:val="00F32B55"/>
    <w:rsid w:val="00F32C0E"/>
    <w:rsid w:val="00F32C28"/>
    <w:rsid w:val="00F32C93"/>
    <w:rsid w:val="00F32CEB"/>
    <w:rsid w:val="00F32D3A"/>
    <w:rsid w:val="00F32D3D"/>
    <w:rsid w:val="00F32E2B"/>
    <w:rsid w:val="00F32E46"/>
    <w:rsid w:val="00F32E84"/>
    <w:rsid w:val="00F32F78"/>
    <w:rsid w:val="00F32FBB"/>
    <w:rsid w:val="00F32FC2"/>
    <w:rsid w:val="00F32FD4"/>
    <w:rsid w:val="00F32FD9"/>
    <w:rsid w:val="00F3303D"/>
    <w:rsid w:val="00F330ED"/>
    <w:rsid w:val="00F33159"/>
    <w:rsid w:val="00F3315A"/>
    <w:rsid w:val="00F331CC"/>
    <w:rsid w:val="00F33245"/>
    <w:rsid w:val="00F332C0"/>
    <w:rsid w:val="00F33353"/>
    <w:rsid w:val="00F3337B"/>
    <w:rsid w:val="00F33453"/>
    <w:rsid w:val="00F334C3"/>
    <w:rsid w:val="00F334F0"/>
    <w:rsid w:val="00F33576"/>
    <w:rsid w:val="00F335D6"/>
    <w:rsid w:val="00F335E8"/>
    <w:rsid w:val="00F33631"/>
    <w:rsid w:val="00F337AA"/>
    <w:rsid w:val="00F33859"/>
    <w:rsid w:val="00F338C7"/>
    <w:rsid w:val="00F3397C"/>
    <w:rsid w:val="00F3397E"/>
    <w:rsid w:val="00F3399B"/>
    <w:rsid w:val="00F339DB"/>
    <w:rsid w:val="00F33AA1"/>
    <w:rsid w:val="00F33ACB"/>
    <w:rsid w:val="00F33C6E"/>
    <w:rsid w:val="00F33CB2"/>
    <w:rsid w:val="00F33CE9"/>
    <w:rsid w:val="00F33D2D"/>
    <w:rsid w:val="00F33D32"/>
    <w:rsid w:val="00F33D3C"/>
    <w:rsid w:val="00F33EC9"/>
    <w:rsid w:val="00F33FC4"/>
    <w:rsid w:val="00F340F9"/>
    <w:rsid w:val="00F3412B"/>
    <w:rsid w:val="00F34130"/>
    <w:rsid w:val="00F341CA"/>
    <w:rsid w:val="00F34239"/>
    <w:rsid w:val="00F3423F"/>
    <w:rsid w:val="00F3425F"/>
    <w:rsid w:val="00F34265"/>
    <w:rsid w:val="00F343E8"/>
    <w:rsid w:val="00F34504"/>
    <w:rsid w:val="00F3450A"/>
    <w:rsid w:val="00F3450C"/>
    <w:rsid w:val="00F34527"/>
    <w:rsid w:val="00F34528"/>
    <w:rsid w:val="00F345A4"/>
    <w:rsid w:val="00F34608"/>
    <w:rsid w:val="00F3464C"/>
    <w:rsid w:val="00F3465F"/>
    <w:rsid w:val="00F34773"/>
    <w:rsid w:val="00F347E5"/>
    <w:rsid w:val="00F347ED"/>
    <w:rsid w:val="00F3483D"/>
    <w:rsid w:val="00F34889"/>
    <w:rsid w:val="00F3489A"/>
    <w:rsid w:val="00F348E4"/>
    <w:rsid w:val="00F34916"/>
    <w:rsid w:val="00F34940"/>
    <w:rsid w:val="00F34997"/>
    <w:rsid w:val="00F349B5"/>
    <w:rsid w:val="00F349CC"/>
    <w:rsid w:val="00F34A2B"/>
    <w:rsid w:val="00F34A62"/>
    <w:rsid w:val="00F34B8D"/>
    <w:rsid w:val="00F34BBA"/>
    <w:rsid w:val="00F34BEE"/>
    <w:rsid w:val="00F34C42"/>
    <w:rsid w:val="00F34C9C"/>
    <w:rsid w:val="00F34DF7"/>
    <w:rsid w:val="00F34E29"/>
    <w:rsid w:val="00F34E91"/>
    <w:rsid w:val="00F34EB7"/>
    <w:rsid w:val="00F34EC9"/>
    <w:rsid w:val="00F34F35"/>
    <w:rsid w:val="00F35075"/>
    <w:rsid w:val="00F350A7"/>
    <w:rsid w:val="00F3513B"/>
    <w:rsid w:val="00F351CA"/>
    <w:rsid w:val="00F3521D"/>
    <w:rsid w:val="00F35355"/>
    <w:rsid w:val="00F35386"/>
    <w:rsid w:val="00F353E3"/>
    <w:rsid w:val="00F3541B"/>
    <w:rsid w:val="00F35432"/>
    <w:rsid w:val="00F35451"/>
    <w:rsid w:val="00F354FC"/>
    <w:rsid w:val="00F35556"/>
    <w:rsid w:val="00F3555B"/>
    <w:rsid w:val="00F35561"/>
    <w:rsid w:val="00F35590"/>
    <w:rsid w:val="00F3569F"/>
    <w:rsid w:val="00F3570D"/>
    <w:rsid w:val="00F3586B"/>
    <w:rsid w:val="00F35928"/>
    <w:rsid w:val="00F35956"/>
    <w:rsid w:val="00F35A27"/>
    <w:rsid w:val="00F35A65"/>
    <w:rsid w:val="00F35A7A"/>
    <w:rsid w:val="00F35AF9"/>
    <w:rsid w:val="00F35D70"/>
    <w:rsid w:val="00F35E42"/>
    <w:rsid w:val="00F35EC4"/>
    <w:rsid w:val="00F35F53"/>
    <w:rsid w:val="00F35F60"/>
    <w:rsid w:val="00F36044"/>
    <w:rsid w:val="00F360DA"/>
    <w:rsid w:val="00F36123"/>
    <w:rsid w:val="00F3613D"/>
    <w:rsid w:val="00F361AD"/>
    <w:rsid w:val="00F3625C"/>
    <w:rsid w:val="00F362CF"/>
    <w:rsid w:val="00F362DD"/>
    <w:rsid w:val="00F3632E"/>
    <w:rsid w:val="00F363AF"/>
    <w:rsid w:val="00F363D6"/>
    <w:rsid w:val="00F3643C"/>
    <w:rsid w:val="00F3647D"/>
    <w:rsid w:val="00F364C6"/>
    <w:rsid w:val="00F36503"/>
    <w:rsid w:val="00F3652B"/>
    <w:rsid w:val="00F366CF"/>
    <w:rsid w:val="00F36758"/>
    <w:rsid w:val="00F36798"/>
    <w:rsid w:val="00F367A9"/>
    <w:rsid w:val="00F36846"/>
    <w:rsid w:val="00F36873"/>
    <w:rsid w:val="00F368A1"/>
    <w:rsid w:val="00F368FA"/>
    <w:rsid w:val="00F3695F"/>
    <w:rsid w:val="00F369C2"/>
    <w:rsid w:val="00F369C9"/>
    <w:rsid w:val="00F36B28"/>
    <w:rsid w:val="00F36BB3"/>
    <w:rsid w:val="00F36CD8"/>
    <w:rsid w:val="00F36D48"/>
    <w:rsid w:val="00F36D55"/>
    <w:rsid w:val="00F36DE9"/>
    <w:rsid w:val="00F36F03"/>
    <w:rsid w:val="00F36F6F"/>
    <w:rsid w:val="00F36FE9"/>
    <w:rsid w:val="00F371C4"/>
    <w:rsid w:val="00F372D1"/>
    <w:rsid w:val="00F372F1"/>
    <w:rsid w:val="00F3736C"/>
    <w:rsid w:val="00F373AC"/>
    <w:rsid w:val="00F37442"/>
    <w:rsid w:val="00F374B7"/>
    <w:rsid w:val="00F375C8"/>
    <w:rsid w:val="00F376AC"/>
    <w:rsid w:val="00F37725"/>
    <w:rsid w:val="00F37844"/>
    <w:rsid w:val="00F378C0"/>
    <w:rsid w:val="00F378C3"/>
    <w:rsid w:val="00F37BCB"/>
    <w:rsid w:val="00F37CAE"/>
    <w:rsid w:val="00F37DAD"/>
    <w:rsid w:val="00F37DC3"/>
    <w:rsid w:val="00F37E26"/>
    <w:rsid w:val="00F37E3A"/>
    <w:rsid w:val="00F37E3F"/>
    <w:rsid w:val="00F37EDE"/>
    <w:rsid w:val="00F37FA0"/>
    <w:rsid w:val="00F37FE5"/>
    <w:rsid w:val="00F40093"/>
    <w:rsid w:val="00F400F5"/>
    <w:rsid w:val="00F401C6"/>
    <w:rsid w:val="00F401CE"/>
    <w:rsid w:val="00F40312"/>
    <w:rsid w:val="00F403E8"/>
    <w:rsid w:val="00F404BC"/>
    <w:rsid w:val="00F4052D"/>
    <w:rsid w:val="00F4058C"/>
    <w:rsid w:val="00F40592"/>
    <w:rsid w:val="00F4062C"/>
    <w:rsid w:val="00F4077B"/>
    <w:rsid w:val="00F40824"/>
    <w:rsid w:val="00F40838"/>
    <w:rsid w:val="00F408D6"/>
    <w:rsid w:val="00F40925"/>
    <w:rsid w:val="00F40933"/>
    <w:rsid w:val="00F40971"/>
    <w:rsid w:val="00F409BA"/>
    <w:rsid w:val="00F40A59"/>
    <w:rsid w:val="00F40A70"/>
    <w:rsid w:val="00F40AB9"/>
    <w:rsid w:val="00F40AEE"/>
    <w:rsid w:val="00F40B04"/>
    <w:rsid w:val="00F40BF2"/>
    <w:rsid w:val="00F40C06"/>
    <w:rsid w:val="00F40C74"/>
    <w:rsid w:val="00F40C98"/>
    <w:rsid w:val="00F40CC3"/>
    <w:rsid w:val="00F40D0B"/>
    <w:rsid w:val="00F40D97"/>
    <w:rsid w:val="00F40DB8"/>
    <w:rsid w:val="00F40DFC"/>
    <w:rsid w:val="00F40EAD"/>
    <w:rsid w:val="00F40EF1"/>
    <w:rsid w:val="00F4100B"/>
    <w:rsid w:val="00F4106B"/>
    <w:rsid w:val="00F410B5"/>
    <w:rsid w:val="00F4111C"/>
    <w:rsid w:val="00F41173"/>
    <w:rsid w:val="00F4117C"/>
    <w:rsid w:val="00F41304"/>
    <w:rsid w:val="00F41313"/>
    <w:rsid w:val="00F41341"/>
    <w:rsid w:val="00F4135C"/>
    <w:rsid w:val="00F41378"/>
    <w:rsid w:val="00F413D0"/>
    <w:rsid w:val="00F41432"/>
    <w:rsid w:val="00F41455"/>
    <w:rsid w:val="00F41479"/>
    <w:rsid w:val="00F41568"/>
    <w:rsid w:val="00F41610"/>
    <w:rsid w:val="00F41652"/>
    <w:rsid w:val="00F416C2"/>
    <w:rsid w:val="00F416FE"/>
    <w:rsid w:val="00F41735"/>
    <w:rsid w:val="00F41760"/>
    <w:rsid w:val="00F417B8"/>
    <w:rsid w:val="00F41873"/>
    <w:rsid w:val="00F418BA"/>
    <w:rsid w:val="00F418C0"/>
    <w:rsid w:val="00F418C4"/>
    <w:rsid w:val="00F41918"/>
    <w:rsid w:val="00F41932"/>
    <w:rsid w:val="00F41971"/>
    <w:rsid w:val="00F419DE"/>
    <w:rsid w:val="00F41A13"/>
    <w:rsid w:val="00F41AC5"/>
    <w:rsid w:val="00F41BAE"/>
    <w:rsid w:val="00F41C4D"/>
    <w:rsid w:val="00F41C65"/>
    <w:rsid w:val="00F41CAE"/>
    <w:rsid w:val="00F41D1A"/>
    <w:rsid w:val="00F41D4B"/>
    <w:rsid w:val="00F41DB4"/>
    <w:rsid w:val="00F41DE8"/>
    <w:rsid w:val="00F41E8B"/>
    <w:rsid w:val="00F41EC1"/>
    <w:rsid w:val="00F41F4C"/>
    <w:rsid w:val="00F41F5C"/>
    <w:rsid w:val="00F41FAF"/>
    <w:rsid w:val="00F4208F"/>
    <w:rsid w:val="00F42098"/>
    <w:rsid w:val="00F420A6"/>
    <w:rsid w:val="00F42230"/>
    <w:rsid w:val="00F4223E"/>
    <w:rsid w:val="00F4227A"/>
    <w:rsid w:val="00F422AF"/>
    <w:rsid w:val="00F42350"/>
    <w:rsid w:val="00F42376"/>
    <w:rsid w:val="00F42399"/>
    <w:rsid w:val="00F4239B"/>
    <w:rsid w:val="00F4239C"/>
    <w:rsid w:val="00F42591"/>
    <w:rsid w:val="00F425E6"/>
    <w:rsid w:val="00F4263E"/>
    <w:rsid w:val="00F4264B"/>
    <w:rsid w:val="00F426D9"/>
    <w:rsid w:val="00F426FD"/>
    <w:rsid w:val="00F4271B"/>
    <w:rsid w:val="00F42736"/>
    <w:rsid w:val="00F42784"/>
    <w:rsid w:val="00F427DD"/>
    <w:rsid w:val="00F42812"/>
    <w:rsid w:val="00F42818"/>
    <w:rsid w:val="00F42819"/>
    <w:rsid w:val="00F4283E"/>
    <w:rsid w:val="00F4290A"/>
    <w:rsid w:val="00F42B3E"/>
    <w:rsid w:val="00F42B44"/>
    <w:rsid w:val="00F42CB8"/>
    <w:rsid w:val="00F42D9E"/>
    <w:rsid w:val="00F42E81"/>
    <w:rsid w:val="00F42E89"/>
    <w:rsid w:val="00F42EB0"/>
    <w:rsid w:val="00F42F12"/>
    <w:rsid w:val="00F42F62"/>
    <w:rsid w:val="00F42F9A"/>
    <w:rsid w:val="00F43169"/>
    <w:rsid w:val="00F4323A"/>
    <w:rsid w:val="00F4326B"/>
    <w:rsid w:val="00F432E1"/>
    <w:rsid w:val="00F432ED"/>
    <w:rsid w:val="00F43374"/>
    <w:rsid w:val="00F433AA"/>
    <w:rsid w:val="00F433D1"/>
    <w:rsid w:val="00F43449"/>
    <w:rsid w:val="00F43469"/>
    <w:rsid w:val="00F4347D"/>
    <w:rsid w:val="00F4348A"/>
    <w:rsid w:val="00F434A4"/>
    <w:rsid w:val="00F43531"/>
    <w:rsid w:val="00F4353C"/>
    <w:rsid w:val="00F435AC"/>
    <w:rsid w:val="00F435B0"/>
    <w:rsid w:val="00F4361F"/>
    <w:rsid w:val="00F43656"/>
    <w:rsid w:val="00F4365A"/>
    <w:rsid w:val="00F43730"/>
    <w:rsid w:val="00F4376F"/>
    <w:rsid w:val="00F437C5"/>
    <w:rsid w:val="00F43861"/>
    <w:rsid w:val="00F4387F"/>
    <w:rsid w:val="00F438BC"/>
    <w:rsid w:val="00F438D6"/>
    <w:rsid w:val="00F43909"/>
    <w:rsid w:val="00F4390D"/>
    <w:rsid w:val="00F43958"/>
    <w:rsid w:val="00F43A38"/>
    <w:rsid w:val="00F43AF6"/>
    <w:rsid w:val="00F43B23"/>
    <w:rsid w:val="00F43BA3"/>
    <w:rsid w:val="00F43D2F"/>
    <w:rsid w:val="00F43DAE"/>
    <w:rsid w:val="00F43DEE"/>
    <w:rsid w:val="00F43F22"/>
    <w:rsid w:val="00F43F24"/>
    <w:rsid w:val="00F43F35"/>
    <w:rsid w:val="00F43FBB"/>
    <w:rsid w:val="00F43FD0"/>
    <w:rsid w:val="00F4410E"/>
    <w:rsid w:val="00F44170"/>
    <w:rsid w:val="00F441A4"/>
    <w:rsid w:val="00F4421C"/>
    <w:rsid w:val="00F44325"/>
    <w:rsid w:val="00F44389"/>
    <w:rsid w:val="00F443B8"/>
    <w:rsid w:val="00F443C4"/>
    <w:rsid w:val="00F443D0"/>
    <w:rsid w:val="00F44434"/>
    <w:rsid w:val="00F445A9"/>
    <w:rsid w:val="00F44744"/>
    <w:rsid w:val="00F44799"/>
    <w:rsid w:val="00F447F8"/>
    <w:rsid w:val="00F44810"/>
    <w:rsid w:val="00F44831"/>
    <w:rsid w:val="00F448A2"/>
    <w:rsid w:val="00F44906"/>
    <w:rsid w:val="00F4490E"/>
    <w:rsid w:val="00F449BD"/>
    <w:rsid w:val="00F449F9"/>
    <w:rsid w:val="00F44A36"/>
    <w:rsid w:val="00F44AF6"/>
    <w:rsid w:val="00F44B44"/>
    <w:rsid w:val="00F44B78"/>
    <w:rsid w:val="00F44BC2"/>
    <w:rsid w:val="00F44C0D"/>
    <w:rsid w:val="00F44C60"/>
    <w:rsid w:val="00F44CA0"/>
    <w:rsid w:val="00F44D95"/>
    <w:rsid w:val="00F44DDE"/>
    <w:rsid w:val="00F44F0D"/>
    <w:rsid w:val="00F44F20"/>
    <w:rsid w:val="00F45081"/>
    <w:rsid w:val="00F45109"/>
    <w:rsid w:val="00F45137"/>
    <w:rsid w:val="00F451D0"/>
    <w:rsid w:val="00F451E4"/>
    <w:rsid w:val="00F452BE"/>
    <w:rsid w:val="00F452D9"/>
    <w:rsid w:val="00F45308"/>
    <w:rsid w:val="00F4533D"/>
    <w:rsid w:val="00F4536D"/>
    <w:rsid w:val="00F453C2"/>
    <w:rsid w:val="00F453D9"/>
    <w:rsid w:val="00F45403"/>
    <w:rsid w:val="00F4541A"/>
    <w:rsid w:val="00F4543E"/>
    <w:rsid w:val="00F4548A"/>
    <w:rsid w:val="00F45514"/>
    <w:rsid w:val="00F4558B"/>
    <w:rsid w:val="00F455F3"/>
    <w:rsid w:val="00F4566D"/>
    <w:rsid w:val="00F456B0"/>
    <w:rsid w:val="00F45705"/>
    <w:rsid w:val="00F457F0"/>
    <w:rsid w:val="00F45878"/>
    <w:rsid w:val="00F458B3"/>
    <w:rsid w:val="00F458C8"/>
    <w:rsid w:val="00F45910"/>
    <w:rsid w:val="00F4591F"/>
    <w:rsid w:val="00F45964"/>
    <w:rsid w:val="00F45A49"/>
    <w:rsid w:val="00F45A6B"/>
    <w:rsid w:val="00F45AAA"/>
    <w:rsid w:val="00F45B7D"/>
    <w:rsid w:val="00F45C0E"/>
    <w:rsid w:val="00F45C30"/>
    <w:rsid w:val="00F45CCB"/>
    <w:rsid w:val="00F45CE4"/>
    <w:rsid w:val="00F45D08"/>
    <w:rsid w:val="00F45D22"/>
    <w:rsid w:val="00F46085"/>
    <w:rsid w:val="00F46142"/>
    <w:rsid w:val="00F461C8"/>
    <w:rsid w:val="00F46309"/>
    <w:rsid w:val="00F46322"/>
    <w:rsid w:val="00F46388"/>
    <w:rsid w:val="00F46390"/>
    <w:rsid w:val="00F46522"/>
    <w:rsid w:val="00F4659E"/>
    <w:rsid w:val="00F4664B"/>
    <w:rsid w:val="00F46688"/>
    <w:rsid w:val="00F466A6"/>
    <w:rsid w:val="00F46740"/>
    <w:rsid w:val="00F46793"/>
    <w:rsid w:val="00F467BA"/>
    <w:rsid w:val="00F467CC"/>
    <w:rsid w:val="00F468B8"/>
    <w:rsid w:val="00F46902"/>
    <w:rsid w:val="00F469FA"/>
    <w:rsid w:val="00F46A71"/>
    <w:rsid w:val="00F46AE0"/>
    <w:rsid w:val="00F46C19"/>
    <w:rsid w:val="00F46CA3"/>
    <w:rsid w:val="00F46CB7"/>
    <w:rsid w:val="00F46CB9"/>
    <w:rsid w:val="00F46CEF"/>
    <w:rsid w:val="00F46CFA"/>
    <w:rsid w:val="00F46D26"/>
    <w:rsid w:val="00F46DDD"/>
    <w:rsid w:val="00F46E4F"/>
    <w:rsid w:val="00F46E72"/>
    <w:rsid w:val="00F46E7B"/>
    <w:rsid w:val="00F46FA1"/>
    <w:rsid w:val="00F4706B"/>
    <w:rsid w:val="00F47081"/>
    <w:rsid w:val="00F470E5"/>
    <w:rsid w:val="00F47137"/>
    <w:rsid w:val="00F47240"/>
    <w:rsid w:val="00F47359"/>
    <w:rsid w:val="00F4735C"/>
    <w:rsid w:val="00F47382"/>
    <w:rsid w:val="00F47389"/>
    <w:rsid w:val="00F47450"/>
    <w:rsid w:val="00F474B8"/>
    <w:rsid w:val="00F47521"/>
    <w:rsid w:val="00F4752A"/>
    <w:rsid w:val="00F47535"/>
    <w:rsid w:val="00F47542"/>
    <w:rsid w:val="00F4774C"/>
    <w:rsid w:val="00F47773"/>
    <w:rsid w:val="00F477AC"/>
    <w:rsid w:val="00F4787C"/>
    <w:rsid w:val="00F47920"/>
    <w:rsid w:val="00F47959"/>
    <w:rsid w:val="00F479EF"/>
    <w:rsid w:val="00F47A2B"/>
    <w:rsid w:val="00F47A96"/>
    <w:rsid w:val="00F47ADA"/>
    <w:rsid w:val="00F47ADD"/>
    <w:rsid w:val="00F47B42"/>
    <w:rsid w:val="00F47B4A"/>
    <w:rsid w:val="00F47BFA"/>
    <w:rsid w:val="00F47C49"/>
    <w:rsid w:val="00F47C99"/>
    <w:rsid w:val="00F47D31"/>
    <w:rsid w:val="00F47D5F"/>
    <w:rsid w:val="00F47DA2"/>
    <w:rsid w:val="00F47DCC"/>
    <w:rsid w:val="00F47DF5"/>
    <w:rsid w:val="00F47E45"/>
    <w:rsid w:val="00F47E4B"/>
    <w:rsid w:val="00F47ED4"/>
    <w:rsid w:val="00F47EDA"/>
    <w:rsid w:val="00F47FBF"/>
    <w:rsid w:val="00F5006F"/>
    <w:rsid w:val="00F5028A"/>
    <w:rsid w:val="00F502DB"/>
    <w:rsid w:val="00F50353"/>
    <w:rsid w:val="00F503CA"/>
    <w:rsid w:val="00F5048D"/>
    <w:rsid w:val="00F504C8"/>
    <w:rsid w:val="00F50528"/>
    <w:rsid w:val="00F5056A"/>
    <w:rsid w:val="00F505F4"/>
    <w:rsid w:val="00F50630"/>
    <w:rsid w:val="00F50693"/>
    <w:rsid w:val="00F506D9"/>
    <w:rsid w:val="00F506F7"/>
    <w:rsid w:val="00F507D7"/>
    <w:rsid w:val="00F50849"/>
    <w:rsid w:val="00F5085D"/>
    <w:rsid w:val="00F50887"/>
    <w:rsid w:val="00F508E6"/>
    <w:rsid w:val="00F50929"/>
    <w:rsid w:val="00F50A27"/>
    <w:rsid w:val="00F50A5B"/>
    <w:rsid w:val="00F50B84"/>
    <w:rsid w:val="00F50BC0"/>
    <w:rsid w:val="00F50CE9"/>
    <w:rsid w:val="00F50D2C"/>
    <w:rsid w:val="00F50D5D"/>
    <w:rsid w:val="00F50DA7"/>
    <w:rsid w:val="00F50DD6"/>
    <w:rsid w:val="00F50E32"/>
    <w:rsid w:val="00F50F52"/>
    <w:rsid w:val="00F50F67"/>
    <w:rsid w:val="00F50FA5"/>
    <w:rsid w:val="00F50FCD"/>
    <w:rsid w:val="00F51064"/>
    <w:rsid w:val="00F51239"/>
    <w:rsid w:val="00F512F9"/>
    <w:rsid w:val="00F51384"/>
    <w:rsid w:val="00F513E9"/>
    <w:rsid w:val="00F51448"/>
    <w:rsid w:val="00F5144F"/>
    <w:rsid w:val="00F51450"/>
    <w:rsid w:val="00F514C9"/>
    <w:rsid w:val="00F5156D"/>
    <w:rsid w:val="00F51596"/>
    <w:rsid w:val="00F515D8"/>
    <w:rsid w:val="00F51605"/>
    <w:rsid w:val="00F5162D"/>
    <w:rsid w:val="00F51631"/>
    <w:rsid w:val="00F5166D"/>
    <w:rsid w:val="00F51712"/>
    <w:rsid w:val="00F51750"/>
    <w:rsid w:val="00F51767"/>
    <w:rsid w:val="00F5179D"/>
    <w:rsid w:val="00F517AC"/>
    <w:rsid w:val="00F51835"/>
    <w:rsid w:val="00F5183D"/>
    <w:rsid w:val="00F5195E"/>
    <w:rsid w:val="00F51A4D"/>
    <w:rsid w:val="00F51A56"/>
    <w:rsid w:val="00F51AE1"/>
    <w:rsid w:val="00F51AE5"/>
    <w:rsid w:val="00F51B1D"/>
    <w:rsid w:val="00F51BA6"/>
    <w:rsid w:val="00F51CD9"/>
    <w:rsid w:val="00F51CF7"/>
    <w:rsid w:val="00F51D6C"/>
    <w:rsid w:val="00F51D73"/>
    <w:rsid w:val="00F51DAD"/>
    <w:rsid w:val="00F51E65"/>
    <w:rsid w:val="00F51E7C"/>
    <w:rsid w:val="00F51EC8"/>
    <w:rsid w:val="00F51F5A"/>
    <w:rsid w:val="00F51FF8"/>
    <w:rsid w:val="00F52062"/>
    <w:rsid w:val="00F5215B"/>
    <w:rsid w:val="00F52182"/>
    <w:rsid w:val="00F521EC"/>
    <w:rsid w:val="00F5220B"/>
    <w:rsid w:val="00F52275"/>
    <w:rsid w:val="00F522EC"/>
    <w:rsid w:val="00F523DC"/>
    <w:rsid w:val="00F525A2"/>
    <w:rsid w:val="00F52608"/>
    <w:rsid w:val="00F52667"/>
    <w:rsid w:val="00F52692"/>
    <w:rsid w:val="00F52714"/>
    <w:rsid w:val="00F52750"/>
    <w:rsid w:val="00F5275A"/>
    <w:rsid w:val="00F52796"/>
    <w:rsid w:val="00F527D9"/>
    <w:rsid w:val="00F52877"/>
    <w:rsid w:val="00F52891"/>
    <w:rsid w:val="00F528C9"/>
    <w:rsid w:val="00F52993"/>
    <w:rsid w:val="00F529A3"/>
    <w:rsid w:val="00F52A68"/>
    <w:rsid w:val="00F52A72"/>
    <w:rsid w:val="00F52ADA"/>
    <w:rsid w:val="00F52B04"/>
    <w:rsid w:val="00F52BEA"/>
    <w:rsid w:val="00F52C90"/>
    <w:rsid w:val="00F52CAF"/>
    <w:rsid w:val="00F52D58"/>
    <w:rsid w:val="00F52DCD"/>
    <w:rsid w:val="00F52E93"/>
    <w:rsid w:val="00F52EED"/>
    <w:rsid w:val="00F52EF1"/>
    <w:rsid w:val="00F52EFA"/>
    <w:rsid w:val="00F52F0D"/>
    <w:rsid w:val="00F52F33"/>
    <w:rsid w:val="00F52FD8"/>
    <w:rsid w:val="00F5300D"/>
    <w:rsid w:val="00F530DD"/>
    <w:rsid w:val="00F531A6"/>
    <w:rsid w:val="00F53216"/>
    <w:rsid w:val="00F5323F"/>
    <w:rsid w:val="00F53311"/>
    <w:rsid w:val="00F533A1"/>
    <w:rsid w:val="00F534BE"/>
    <w:rsid w:val="00F534ED"/>
    <w:rsid w:val="00F5350B"/>
    <w:rsid w:val="00F535ED"/>
    <w:rsid w:val="00F536B2"/>
    <w:rsid w:val="00F536E1"/>
    <w:rsid w:val="00F53729"/>
    <w:rsid w:val="00F537B7"/>
    <w:rsid w:val="00F53871"/>
    <w:rsid w:val="00F539C8"/>
    <w:rsid w:val="00F539E7"/>
    <w:rsid w:val="00F53A0A"/>
    <w:rsid w:val="00F53A76"/>
    <w:rsid w:val="00F53A84"/>
    <w:rsid w:val="00F53A96"/>
    <w:rsid w:val="00F53AA6"/>
    <w:rsid w:val="00F53BCC"/>
    <w:rsid w:val="00F53BDC"/>
    <w:rsid w:val="00F53BE1"/>
    <w:rsid w:val="00F53C6A"/>
    <w:rsid w:val="00F53D3D"/>
    <w:rsid w:val="00F53D46"/>
    <w:rsid w:val="00F53DFA"/>
    <w:rsid w:val="00F53E1A"/>
    <w:rsid w:val="00F53E1B"/>
    <w:rsid w:val="00F53E56"/>
    <w:rsid w:val="00F53EAF"/>
    <w:rsid w:val="00F53EBF"/>
    <w:rsid w:val="00F53F2B"/>
    <w:rsid w:val="00F5401D"/>
    <w:rsid w:val="00F5404D"/>
    <w:rsid w:val="00F540E3"/>
    <w:rsid w:val="00F540F6"/>
    <w:rsid w:val="00F540F9"/>
    <w:rsid w:val="00F54153"/>
    <w:rsid w:val="00F54196"/>
    <w:rsid w:val="00F541AA"/>
    <w:rsid w:val="00F541B0"/>
    <w:rsid w:val="00F541B4"/>
    <w:rsid w:val="00F541D7"/>
    <w:rsid w:val="00F5437D"/>
    <w:rsid w:val="00F54449"/>
    <w:rsid w:val="00F5445E"/>
    <w:rsid w:val="00F54473"/>
    <w:rsid w:val="00F5453E"/>
    <w:rsid w:val="00F54554"/>
    <w:rsid w:val="00F54579"/>
    <w:rsid w:val="00F54583"/>
    <w:rsid w:val="00F545C3"/>
    <w:rsid w:val="00F54647"/>
    <w:rsid w:val="00F546E0"/>
    <w:rsid w:val="00F5475B"/>
    <w:rsid w:val="00F548D6"/>
    <w:rsid w:val="00F548D8"/>
    <w:rsid w:val="00F54920"/>
    <w:rsid w:val="00F5492D"/>
    <w:rsid w:val="00F54956"/>
    <w:rsid w:val="00F54AD0"/>
    <w:rsid w:val="00F54AD4"/>
    <w:rsid w:val="00F54AFD"/>
    <w:rsid w:val="00F54B31"/>
    <w:rsid w:val="00F54B6A"/>
    <w:rsid w:val="00F54B97"/>
    <w:rsid w:val="00F54CDA"/>
    <w:rsid w:val="00F54CDB"/>
    <w:rsid w:val="00F54D95"/>
    <w:rsid w:val="00F54E04"/>
    <w:rsid w:val="00F54EFC"/>
    <w:rsid w:val="00F54F1A"/>
    <w:rsid w:val="00F54F90"/>
    <w:rsid w:val="00F55011"/>
    <w:rsid w:val="00F5504A"/>
    <w:rsid w:val="00F5509A"/>
    <w:rsid w:val="00F5509F"/>
    <w:rsid w:val="00F550C5"/>
    <w:rsid w:val="00F550FB"/>
    <w:rsid w:val="00F551D7"/>
    <w:rsid w:val="00F55223"/>
    <w:rsid w:val="00F55285"/>
    <w:rsid w:val="00F552FF"/>
    <w:rsid w:val="00F5535B"/>
    <w:rsid w:val="00F553B1"/>
    <w:rsid w:val="00F553C8"/>
    <w:rsid w:val="00F553F3"/>
    <w:rsid w:val="00F55453"/>
    <w:rsid w:val="00F55459"/>
    <w:rsid w:val="00F554C3"/>
    <w:rsid w:val="00F554C7"/>
    <w:rsid w:val="00F55559"/>
    <w:rsid w:val="00F5556B"/>
    <w:rsid w:val="00F55592"/>
    <w:rsid w:val="00F555B3"/>
    <w:rsid w:val="00F5566D"/>
    <w:rsid w:val="00F556A6"/>
    <w:rsid w:val="00F556C0"/>
    <w:rsid w:val="00F5575F"/>
    <w:rsid w:val="00F55769"/>
    <w:rsid w:val="00F5576C"/>
    <w:rsid w:val="00F55790"/>
    <w:rsid w:val="00F557D0"/>
    <w:rsid w:val="00F557EC"/>
    <w:rsid w:val="00F5580F"/>
    <w:rsid w:val="00F55829"/>
    <w:rsid w:val="00F55846"/>
    <w:rsid w:val="00F5589E"/>
    <w:rsid w:val="00F5591A"/>
    <w:rsid w:val="00F55965"/>
    <w:rsid w:val="00F559BA"/>
    <w:rsid w:val="00F55A05"/>
    <w:rsid w:val="00F55A91"/>
    <w:rsid w:val="00F55A93"/>
    <w:rsid w:val="00F55ADB"/>
    <w:rsid w:val="00F55B94"/>
    <w:rsid w:val="00F55C85"/>
    <w:rsid w:val="00F55E91"/>
    <w:rsid w:val="00F55EF3"/>
    <w:rsid w:val="00F55F47"/>
    <w:rsid w:val="00F55F98"/>
    <w:rsid w:val="00F55FCC"/>
    <w:rsid w:val="00F55FE2"/>
    <w:rsid w:val="00F5600E"/>
    <w:rsid w:val="00F561BB"/>
    <w:rsid w:val="00F561FF"/>
    <w:rsid w:val="00F56215"/>
    <w:rsid w:val="00F5627B"/>
    <w:rsid w:val="00F5646E"/>
    <w:rsid w:val="00F564E6"/>
    <w:rsid w:val="00F56542"/>
    <w:rsid w:val="00F565AA"/>
    <w:rsid w:val="00F565DA"/>
    <w:rsid w:val="00F5660F"/>
    <w:rsid w:val="00F56643"/>
    <w:rsid w:val="00F56658"/>
    <w:rsid w:val="00F5673D"/>
    <w:rsid w:val="00F5676B"/>
    <w:rsid w:val="00F567B7"/>
    <w:rsid w:val="00F56896"/>
    <w:rsid w:val="00F568AE"/>
    <w:rsid w:val="00F56939"/>
    <w:rsid w:val="00F56947"/>
    <w:rsid w:val="00F56971"/>
    <w:rsid w:val="00F56988"/>
    <w:rsid w:val="00F5699A"/>
    <w:rsid w:val="00F569C5"/>
    <w:rsid w:val="00F56A3D"/>
    <w:rsid w:val="00F56B96"/>
    <w:rsid w:val="00F56C0B"/>
    <w:rsid w:val="00F56CBE"/>
    <w:rsid w:val="00F56D09"/>
    <w:rsid w:val="00F56D54"/>
    <w:rsid w:val="00F56DC4"/>
    <w:rsid w:val="00F56DC7"/>
    <w:rsid w:val="00F56DCE"/>
    <w:rsid w:val="00F56EA2"/>
    <w:rsid w:val="00F56ED7"/>
    <w:rsid w:val="00F56F3D"/>
    <w:rsid w:val="00F56F42"/>
    <w:rsid w:val="00F56F4C"/>
    <w:rsid w:val="00F56FB8"/>
    <w:rsid w:val="00F57054"/>
    <w:rsid w:val="00F57093"/>
    <w:rsid w:val="00F570A7"/>
    <w:rsid w:val="00F57281"/>
    <w:rsid w:val="00F57292"/>
    <w:rsid w:val="00F57297"/>
    <w:rsid w:val="00F572C3"/>
    <w:rsid w:val="00F572EF"/>
    <w:rsid w:val="00F573B8"/>
    <w:rsid w:val="00F57551"/>
    <w:rsid w:val="00F5755D"/>
    <w:rsid w:val="00F575AB"/>
    <w:rsid w:val="00F575FE"/>
    <w:rsid w:val="00F57605"/>
    <w:rsid w:val="00F576C9"/>
    <w:rsid w:val="00F5771D"/>
    <w:rsid w:val="00F577A4"/>
    <w:rsid w:val="00F57A03"/>
    <w:rsid w:val="00F57ADB"/>
    <w:rsid w:val="00F57B2F"/>
    <w:rsid w:val="00F57C9E"/>
    <w:rsid w:val="00F57CC3"/>
    <w:rsid w:val="00F57D03"/>
    <w:rsid w:val="00F57D09"/>
    <w:rsid w:val="00F57DB4"/>
    <w:rsid w:val="00F57DBC"/>
    <w:rsid w:val="00F57EE6"/>
    <w:rsid w:val="00F57F38"/>
    <w:rsid w:val="00F57F6D"/>
    <w:rsid w:val="00F57FC4"/>
    <w:rsid w:val="00F600B3"/>
    <w:rsid w:val="00F6017B"/>
    <w:rsid w:val="00F60189"/>
    <w:rsid w:val="00F601B3"/>
    <w:rsid w:val="00F601E5"/>
    <w:rsid w:val="00F6023D"/>
    <w:rsid w:val="00F60397"/>
    <w:rsid w:val="00F603A0"/>
    <w:rsid w:val="00F60455"/>
    <w:rsid w:val="00F60457"/>
    <w:rsid w:val="00F604C1"/>
    <w:rsid w:val="00F604FF"/>
    <w:rsid w:val="00F60568"/>
    <w:rsid w:val="00F605D4"/>
    <w:rsid w:val="00F606AB"/>
    <w:rsid w:val="00F606EA"/>
    <w:rsid w:val="00F606F3"/>
    <w:rsid w:val="00F60769"/>
    <w:rsid w:val="00F60802"/>
    <w:rsid w:val="00F60819"/>
    <w:rsid w:val="00F6082D"/>
    <w:rsid w:val="00F6087A"/>
    <w:rsid w:val="00F608EF"/>
    <w:rsid w:val="00F60919"/>
    <w:rsid w:val="00F6095C"/>
    <w:rsid w:val="00F60A9D"/>
    <w:rsid w:val="00F60B79"/>
    <w:rsid w:val="00F60B8D"/>
    <w:rsid w:val="00F60BC2"/>
    <w:rsid w:val="00F60C24"/>
    <w:rsid w:val="00F60DAE"/>
    <w:rsid w:val="00F60DB4"/>
    <w:rsid w:val="00F60E1D"/>
    <w:rsid w:val="00F60EE0"/>
    <w:rsid w:val="00F60FA1"/>
    <w:rsid w:val="00F6105B"/>
    <w:rsid w:val="00F61090"/>
    <w:rsid w:val="00F61108"/>
    <w:rsid w:val="00F61112"/>
    <w:rsid w:val="00F6111E"/>
    <w:rsid w:val="00F61129"/>
    <w:rsid w:val="00F611D2"/>
    <w:rsid w:val="00F611EF"/>
    <w:rsid w:val="00F611FA"/>
    <w:rsid w:val="00F6127C"/>
    <w:rsid w:val="00F6134C"/>
    <w:rsid w:val="00F613B6"/>
    <w:rsid w:val="00F61404"/>
    <w:rsid w:val="00F61462"/>
    <w:rsid w:val="00F61465"/>
    <w:rsid w:val="00F61493"/>
    <w:rsid w:val="00F614BB"/>
    <w:rsid w:val="00F615DF"/>
    <w:rsid w:val="00F616A6"/>
    <w:rsid w:val="00F616F4"/>
    <w:rsid w:val="00F61708"/>
    <w:rsid w:val="00F61849"/>
    <w:rsid w:val="00F6187F"/>
    <w:rsid w:val="00F61957"/>
    <w:rsid w:val="00F61988"/>
    <w:rsid w:val="00F619CF"/>
    <w:rsid w:val="00F61A0F"/>
    <w:rsid w:val="00F61A6D"/>
    <w:rsid w:val="00F61A99"/>
    <w:rsid w:val="00F61ACE"/>
    <w:rsid w:val="00F61BAE"/>
    <w:rsid w:val="00F61BB2"/>
    <w:rsid w:val="00F61BBA"/>
    <w:rsid w:val="00F61C33"/>
    <w:rsid w:val="00F61C4D"/>
    <w:rsid w:val="00F61CA7"/>
    <w:rsid w:val="00F61CD3"/>
    <w:rsid w:val="00F61D52"/>
    <w:rsid w:val="00F61D72"/>
    <w:rsid w:val="00F61E0A"/>
    <w:rsid w:val="00F61E1D"/>
    <w:rsid w:val="00F61EBD"/>
    <w:rsid w:val="00F61F1F"/>
    <w:rsid w:val="00F61F2B"/>
    <w:rsid w:val="00F61FC4"/>
    <w:rsid w:val="00F62021"/>
    <w:rsid w:val="00F620B5"/>
    <w:rsid w:val="00F620FC"/>
    <w:rsid w:val="00F62122"/>
    <w:rsid w:val="00F62131"/>
    <w:rsid w:val="00F62133"/>
    <w:rsid w:val="00F621F6"/>
    <w:rsid w:val="00F621FC"/>
    <w:rsid w:val="00F62358"/>
    <w:rsid w:val="00F62361"/>
    <w:rsid w:val="00F6236C"/>
    <w:rsid w:val="00F623B9"/>
    <w:rsid w:val="00F623C5"/>
    <w:rsid w:val="00F6243B"/>
    <w:rsid w:val="00F62462"/>
    <w:rsid w:val="00F625F9"/>
    <w:rsid w:val="00F6261F"/>
    <w:rsid w:val="00F6268B"/>
    <w:rsid w:val="00F6269E"/>
    <w:rsid w:val="00F62734"/>
    <w:rsid w:val="00F627BD"/>
    <w:rsid w:val="00F627EA"/>
    <w:rsid w:val="00F62899"/>
    <w:rsid w:val="00F629A6"/>
    <w:rsid w:val="00F629CF"/>
    <w:rsid w:val="00F629D8"/>
    <w:rsid w:val="00F62A20"/>
    <w:rsid w:val="00F62A60"/>
    <w:rsid w:val="00F62AF5"/>
    <w:rsid w:val="00F62BC1"/>
    <w:rsid w:val="00F62BD8"/>
    <w:rsid w:val="00F62C29"/>
    <w:rsid w:val="00F62CDB"/>
    <w:rsid w:val="00F62D24"/>
    <w:rsid w:val="00F62D2C"/>
    <w:rsid w:val="00F62DE7"/>
    <w:rsid w:val="00F62DFA"/>
    <w:rsid w:val="00F62E36"/>
    <w:rsid w:val="00F62E59"/>
    <w:rsid w:val="00F62FDE"/>
    <w:rsid w:val="00F6306C"/>
    <w:rsid w:val="00F63070"/>
    <w:rsid w:val="00F6317E"/>
    <w:rsid w:val="00F631C2"/>
    <w:rsid w:val="00F631DD"/>
    <w:rsid w:val="00F63260"/>
    <w:rsid w:val="00F63279"/>
    <w:rsid w:val="00F633DA"/>
    <w:rsid w:val="00F63457"/>
    <w:rsid w:val="00F634C0"/>
    <w:rsid w:val="00F63558"/>
    <w:rsid w:val="00F6364A"/>
    <w:rsid w:val="00F63828"/>
    <w:rsid w:val="00F6383D"/>
    <w:rsid w:val="00F6384C"/>
    <w:rsid w:val="00F6385D"/>
    <w:rsid w:val="00F638EB"/>
    <w:rsid w:val="00F63911"/>
    <w:rsid w:val="00F63A70"/>
    <w:rsid w:val="00F63A78"/>
    <w:rsid w:val="00F63BF4"/>
    <w:rsid w:val="00F63C25"/>
    <w:rsid w:val="00F63C5E"/>
    <w:rsid w:val="00F63D55"/>
    <w:rsid w:val="00F63D5C"/>
    <w:rsid w:val="00F63EF8"/>
    <w:rsid w:val="00F63F32"/>
    <w:rsid w:val="00F63F91"/>
    <w:rsid w:val="00F63FA4"/>
    <w:rsid w:val="00F63FA5"/>
    <w:rsid w:val="00F63FAF"/>
    <w:rsid w:val="00F64001"/>
    <w:rsid w:val="00F6401F"/>
    <w:rsid w:val="00F6407D"/>
    <w:rsid w:val="00F640AE"/>
    <w:rsid w:val="00F640FB"/>
    <w:rsid w:val="00F64103"/>
    <w:rsid w:val="00F64121"/>
    <w:rsid w:val="00F64122"/>
    <w:rsid w:val="00F64125"/>
    <w:rsid w:val="00F64179"/>
    <w:rsid w:val="00F6417C"/>
    <w:rsid w:val="00F641D8"/>
    <w:rsid w:val="00F641EC"/>
    <w:rsid w:val="00F6421A"/>
    <w:rsid w:val="00F6433D"/>
    <w:rsid w:val="00F643CC"/>
    <w:rsid w:val="00F643F8"/>
    <w:rsid w:val="00F6448B"/>
    <w:rsid w:val="00F644E2"/>
    <w:rsid w:val="00F64537"/>
    <w:rsid w:val="00F6456D"/>
    <w:rsid w:val="00F647B8"/>
    <w:rsid w:val="00F647BE"/>
    <w:rsid w:val="00F647FC"/>
    <w:rsid w:val="00F64812"/>
    <w:rsid w:val="00F6487D"/>
    <w:rsid w:val="00F6489A"/>
    <w:rsid w:val="00F648A3"/>
    <w:rsid w:val="00F6494D"/>
    <w:rsid w:val="00F64991"/>
    <w:rsid w:val="00F649BA"/>
    <w:rsid w:val="00F64AB9"/>
    <w:rsid w:val="00F64AC8"/>
    <w:rsid w:val="00F64B8E"/>
    <w:rsid w:val="00F64C80"/>
    <w:rsid w:val="00F64CA1"/>
    <w:rsid w:val="00F64D97"/>
    <w:rsid w:val="00F64E1A"/>
    <w:rsid w:val="00F64E47"/>
    <w:rsid w:val="00F64E75"/>
    <w:rsid w:val="00F64F01"/>
    <w:rsid w:val="00F64F5B"/>
    <w:rsid w:val="00F64F78"/>
    <w:rsid w:val="00F64FE4"/>
    <w:rsid w:val="00F6502D"/>
    <w:rsid w:val="00F6505E"/>
    <w:rsid w:val="00F6514B"/>
    <w:rsid w:val="00F651E9"/>
    <w:rsid w:val="00F652C5"/>
    <w:rsid w:val="00F652E2"/>
    <w:rsid w:val="00F653AB"/>
    <w:rsid w:val="00F653EB"/>
    <w:rsid w:val="00F65442"/>
    <w:rsid w:val="00F65523"/>
    <w:rsid w:val="00F65696"/>
    <w:rsid w:val="00F656A0"/>
    <w:rsid w:val="00F656F3"/>
    <w:rsid w:val="00F656F9"/>
    <w:rsid w:val="00F65745"/>
    <w:rsid w:val="00F65757"/>
    <w:rsid w:val="00F657C1"/>
    <w:rsid w:val="00F657D1"/>
    <w:rsid w:val="00F65800"/>
    <w:rsid w:val="00F65811"/>
    <w:rsid w:val="00F6592C"/>
    <w:rsid w:val="00F6593F"/>
    <w:rsid w:val="00F6594D"/>
    <w:rsid w:val="00F659A8"/>
    <w:rsid w:val="00F659DD"/>
    <w:rsid w:val="00F659EC"/>
    <w:rsid w:val="00F65A38"/>
    <w:rsid w:val="00F65AA2"/>
    <w:rsid w:val="00F65AA5"/>
    <w:rsid w:val="00F65B67"/>
    <w:rsid w:val="00F65B6C"/>
    <w:rsid w:val="00F65BDC"/>
    <w:rsid w:val="00F65C07"/>
    <w:rsid w:val="00F65C0F"/>
    <w:rsid w:val="00F65D32"/>
    <w:rsid w:val="00F65DD9"/>
    <w:rsid w:val="00F65DE2"/>
    <w:rsid w:val="00F65E2E"/>
    <w:rsid w:val="00F65F2A"/>
    <w:rsid w:val="00F65F71"/>
    <w:rsid w:val="00F65F84"/>
    <w:rsid w:val="00F66004"/>
    <w:rsid w:val="00F66092"/>
    <w:rsid w:val="00F660B3"/>
    <w:rsid w:val="00F6610D"/>
    <w:rsid w:val="00F66125"/>
    <w:rsid w:val="00F66145"/>
    <w:rsid w:val="00F66261"/>
    <w:rsid w:val="00F6631C"/>
    <w:rsid w:val="00F663D9"/>
    <w:rsid w:val="00F66408"/>
    <w:rsid w:val="00F66485"/>
    <w:rsid w:val="00F6653A"/>
    <w:rsid w:val="00F6654E"/>
    <w:rsid w:val="00F6655E"/>
    <w:rsid w:val="00F665DC"/>
    <w:rsid w:val="00F66649"/>
    <w:rsid w:val="00F66678"/>
    <w:rsid w:val="00F666C2"/>
    <w:rsid w:val="00F6670F"/>
    <w:rsid w:val="00F66734"/>
    <w:rsid w:val="00F667C1"/>
    <w:rsid w:val="00F667F6"/>
    <w:rsid w:val="00F6682C"/>
    <w:rsid w:val="00F66889"/>
    <w:rsid w:val="00F668B8"/>
    <w:rsid w:val="00F668F0"/>
    <w:rsid w:val="00F668FA"/>
    <w:rsid w:val="00F66929"/>
    <w:rsid w:val="00F66946"/>
    <w:rsid w:val="00F66961"/>
    <w:rsid w:val="00F669B8"/>
    <w:rsid w:val="00F669CC"/>
    <w:rsid w:val="00F66A99"/>
    <w:rsid w:val="00F66ADE"/>
    <w:rsid w:val="00F66B70"/>
    <w:rsid w:val="00F66C2D"/>
    <w:rsid w:val="00F66C72"/>
    <w:rsid w:val="00F66CC0"/>
    <w:rsid w:val="00F66D10"/>
    <w:rsid w:val="00F66D46"/>
    <w:rsid w:val="00F66E28"/>
    <w:rsid w:val="00F66E38"/>
    <w:rsid w:val="00F66F30"/>
    <w:rsid w:val="00F67021"/>
    <w:rsid w:val="00F67027"/>
    <w:rsid w:val="00F67096"/>
    <w:rsid w:val="00F670FF"/>
    <w:rsid w:val="00F6717A"/>
    <w:rsid w:val="00F67234"/>
    <w:rsid w:val="00F6726C"/>
    <w:rsid w:val="00F67298"/>
    <w:rsid w:val="00F672ED"/>
    <w:rsid w:val="00F672F7"/>
    <w:rsid w:val="00F6733F"/>
    <w:rsid w:val="00F6735E"/>
    <w:rsid w:val="00F6739C"/>
    <w:rsid w:val="00F673D2"/>
    <w:rsid w:val="00F673D4"/>
    <w:rsid w:val="00F673D5"/>
    <w:rsid w:val="00F674A6"/>
    <w:rsid w:val="00F67699"/>
    <w:rsid w:val="00F67720"/>
    <w:rsid w:val="00F677AE"/>
    <w:rsid w:val="00F6783D"/>
    <w:rsid w:val="00F6787B"/>
    <w:rsid w:val="00F6787E"/>
    <w:rsid w:val="00F678F8"/>
    <w:rsid w:val="00F67991"/>
    <w:rsid w:val="00F67A68"/>
    <w:rsid w:val="00F67A97"/>
    <w:rsid w:val="00F67AA7"/>
    <w:rsid w:val="00F67AE2"/>
    <w:rsid w:val="00F67B4B"/>
    <w:rsid w:val="00F67C6B"/>
    <w:rsid w:val="00F67C8D"/>
    <w:rsid w:val="00F67CAB"/>
    <w:rsid w:val="00F67CD5"/>
    <w:rsid w:val="00F67CF0"/>
    <w:rsid w:val="00F67DDF"/>
    <w:rsid w:val="00F67DEF"/>
    <w:rsid w:val="00F67E04"/>
    <w:rsid w:val="00F67E2D"/>
    <w:rsid w:val="00F67EB7"/>
    <w:rsid w:val="00F67F79"/>
    <w:rsid w:val="00F67F7E"/>
    <w:rsid w:val="00F70031"/>
    <w:rsid w:val="00F70088"/>
    <w:rsid w:val="00F700D8"/>
    <w:rsid w:val="00F70191"/>
    <w:rsid w:val="00F70218"/>
    <w:rsid w:val="00F7028B"/>
    <w:rsid w:val="00F703FA"/>
    <w:rsid w:val="00F7043A"/>
    <w:rsid w:val="00F70466"/>
    <w:rsid w:val="00F70487"/>
    <w:rsid w:val="00F704C2"/>
    <w:rsid w:val="00F7052C"/>
    <w:rsid w:val="00F70560"/>
    <w:rsid w:val="00F7058E"/>
    <w:rsid w:val="00F7062F"/>
    <w:rsid w:val="00F706E6"/>
    <w:rsid w:val="00F70807"/>
    <w:rsid w:val="00F7090E"/>
    <w:rsid w:val="00F70918"/>
    <w:rsid w:val="00F70934"/>
    <w:rsid w:val="00F709AC"/>
    <w:rsid w:val="00F709AF"/>
    <w:rsid w:val="00F70AE8"/>
    <w:rsid w:val="00F70B06"/>
    <w:rsid w:val="00F70B2E"/>
    <w:rsid w:val="00F70C21"/>
    <w:rsid w:val="00F70C2A"/>
    <w:rsid w:val="00F70C69"/>
    <w:rsid w:val="00F70C92"/>
    <w:rsid w:val="00F70D5D"/>
    <w:rsid w:val="00F70D5E"/>
    <w:rsid w:val="00F70D85"/>
    <w:rsid w:val="00F70E39"/>
    <w:rsid w:val="00F70E5C"/>
    <w:rsid w:val="00F70E93"/>
    <w:rsid w:val="00F70ED3"/>
    <w:rsid w:val="00F70EF8"/>
    <w:rsid w:val="00F70F18"/>
    <w:rsid w:val="00F70F3B"/>
    <w:rsid w:val="00F70F88"/>
    <w:rsid w:val="00F70FA6"/>
    <w:rsid w:val="00F710CB"/>
    <w:rsid w:val="00F71105"/>
    <w:rsid w:val="00F7119C"/>
    <w:rsid w:val="00F711FE"/>
    <w:rsid w:val="00F71259"/>
    <w:rsid w:val="00F71270"/>
    <w:rsid w:val="00F712AF"/>
    <w:rsid w:val="00F712FF"/>
    <w:rsid w:val="00F71305"/>
    <w:rsid w:val="00F7138A"/>
    <w:rsid w:val="00F71475"/>
    <w:rsid w:val="00F71530"/>
    <w:rsid w:val="00F71551"/>
    <w:rsid w:val="00F715F3"/>
    <w:rsid w:val="00F716B6"/>
    <w:rsid w:val="00F718C1"/>
    <w:rsid w:val="00F71918"/>
    <w:rsid w:val="00F7193E"/>
    <w:rsid w:val="00F71946"/>
    <w:rsid w:val="00F719AA"/>
    <w:rsid w:val="00F719EA"/>
    <w:rsid w:val="00F71AB1"/>
    <w:rsid w:val="00F71B50"/>
    <w:rsid w:val="00F71BAB"/>
    <w:rsid w:val="00F71BAF"/>
    <w:rsid w:val="00F71C15"/>
    <w:rsid w:val="00F71C24"/>
    <w:rsid w:val="00F71C55"/>
    <w:rsid w:val="00F71C72"/>
    <w:rsid w:val="00F71C7B"/>
    <w:rsid w:val="00F71D0A"/>
    <w:rsid w:val="00F71D10"/>
    <w:rsid w:val="00F71D1B"/>
    <w:rsid w:val="00F71E1F"/>
    <w:rsid w:val="00F71E2D"/>
    <w:rsid w:val="00F71E6E"/>
    <w:rsid w:val="00F71EF1"/>
    <w:rsid w:val="00F71F10"/>
    <w:rsid w:val="00F71F7C"/>
    <w:rsid w:val="00F72101"/>
    <w:rsid w:val="00F72108"/>
    <w:rsid w:val="00F72115"/>
    <w:rsid w:val="00F7212D"/>
    <w:rsid w:val="00F72205"/>
    <w:rsid w:val="00F72232"/>
    <w:rsid w:val="00F72402"/>
    <w:rsid w:val="00F7250A"/>
    <w:rsid w:val="00F72510"/>
    <w:rsid w:val="00F72530"/>
    <w:rsid w:val="00F726D1"/>
    <w:rsid w:val="00F72711"/>
    <w:rsid w:val="00F72848"/>
    <w:rsid w:val="00F728E3"/>
    <w:rsid w:val="00F72920"/>
    <w:rsid w:val="00F7299A"/>
    <w:rsid w:val="00F729E8"/>
    <w:rsid w:val="00F72A98"/>
    <w:rsid w:val="00F72AC5"/>
    <w:rsid w:val="00F72AD0"/>
    <w:rsid w:val="00F72AE2"/>
    <w:rsid w:val="00F72AE5"/>
    <w:rsid w:val="00F72B72"/>
    <w:rsid w:val="00F72B9F"/>
    <w:rsid w:val="00F72BD2"/>
    <w:rsid w:val="00F72BEC"/>
    <w:rsid w:val="00F72C2F"/>
    <w:rsid w:val="00F72CE1"/>
    <w:rsid w:val="00F72D28"/>
    <w:rsid w:val="00F72F13"/>
    <w:rsid w:val="00F72FDE"/>
    <w:rsid w:val="00F730A1"/>
    <w:rsid w:val="00F73157"/>
    <w:rsid w:val="00F73166"/>
    <w:rsid w:val="00F73181"/>
    <w:rsid w:val="00F73235"/>
    <w:rsid w:val="00F73248"/>
    <w:rsid w:val="00F7325A"/>
    <w:rsid w:val="00F733E0"/>
    <w:rsid w:val="00F734AD"/>
    <w:rsid w:val="00F73521"/>
    <w:rsid w:val="00F7356A"/>
    <w:rsid w:val="00F73683"/>
    <w:rsid w:val="00F73754"/>
    <w:rsid w:val="00F73756"/>
    <w:rsid w:val="00F738F5"/>
    <w:rsid w:val="00F739B3"/>
    <w:rsid w:val="00F739BD"/>
    <w:rsid w:val="00F73AF8"/>
    <w:rsid w:val="00F73B5D"/>
    <w:rsid w:val="00F73BEF"/>
    <w:rsid w:val="00F73CF6"/>
    <w:rsid w:val="00F73D0F"/>
    <w:rsid w:val="00F73D84"/>
    <w:rsid w:val="00F73DCB"/>
    <w:rsid w:val="00F73ED5"/>
    <w:rsid w:val="00F73FF7"/>
    <w:rsid w:val="00F7402A"/>
    <w:rsid w:val="00F740F2"/>
    <w:rsid w:val="00F741C3"/>
    <w:rsid w:val="00F741C5"/>
    <w:rsid w:val="00F74209"/>
    <w:rsid w:val="00F74255"/>
    <w:rsid w:val="00F7427C"/>
    <w:rsid w:val="00F74287"/>
    <w:rsid w:val="00F742F7"/>
    <w:rsid w:val="00F74341"/>
    <w:rsid w:val="00F74355"/>
    <w:rsid w:val="00F7437B"/>
    <w:rsid w:val="00F7439A"/>
    <w:rsid w:val="00F743A1"/>
    <w:rsid w:val="00F743BA"/>
    <w:rsid w:val="00F7440F"/>
    <w:rsid w:val="00F7452A"/>
    <w:rsid w:val="00F74570"/>
    <w:rsid w:val="00F745E4"/>
    <w:rsid w:val="00F7464D"/>
    <w:rsid w:val="00F74655"/>
    <w:rsid w:val="00F746B4"/>
    <w:rsid w:val="00F7470B"/>
    <w:rsid w:val="00F74732"/>
    <w:rsid w:val="00F74831"/>
    <w:rsid w:val="00F74861"/>
    <w:rsid w:val="00F748B6"/>
    <w:rsid w:val="00F748FE"/>
    <w:rsid w:val="00F7494C"/>
    <w:rsid w:val="00F749AA"/>
    <w:rsid w:val="00F749E5"/>
    <w:rsid w:val="00F74BA9"/>
    <w:rsid w:val="00F74D04"/>
    <w:rsid w:val="00F74D2A"/>
    <w:rsid w:val="00F74D35"/>
    <w:rsid w:val="00F74D7B"/>
    <w:rsid w:val="00F74D80"/>
    <w:rsid w:val="00F74DDB"/>
    <w:rsid w:val="00F74EB4"/>
    <w:rsid w:val="00F7507C"/>
    <w:rsid w:val="00F750C1"/>
    <w:rsid w:val="00F7518E"/>
    <w:rsid w:val="00F75197"/>
    <w:rsid w:val="00F751CC"/>
    <w:rsid w:val="00F7524F"/>
    <w:rsid w:val="00F752B3"/>
    <w:rsid w:val="00F752F5"/>
    <w:rsid w:val="00F752F8"/>
    <w:rsid w:val="00F752FD"/>
    <w:rsid w:val="00F75301"/>
    <w:rsid w:val="00F7532D"/>
    <w:rsid w:val="00F753EA"/>
    <w:rsid w:val="00F75430"/>
    <w:rsid w:val="00F7544C"/>
    <w:rsid w:val="00F754AB"/>
    <w:rsid w:val="00F75527"/>
    <w:rsid w:val="00F75556"/>
    <w:rsid w:val="00F7557D"/>
    <w:rsid w:val="00F7557F"/>
    <w:rsid w:val="00F75597"/>
    <w:rsid w:val="00F755D5"/>
    <w:rsid w:val="00F75623"/>
    <w:rsid w:val="00F75634"/>
    <w:rsid w:val="00F756A0"/>
    <w:rsid w:val="00F756AD"/>
    <w:rsid w:val="00F756CF"/>
    <w:rsid w:val="00F75742"/>
    <w:rsid w:val="00F75784"/>
    <w:rsid w:val="00F75796"/>
    <w:rsid w:val="00F757AE"/>
    <w:rsid w:val="00F757DC"/>
    <w:rsid w:val="00F757E8"/>
    <w:rsid w:val="00F75821"/>
    <w:rsid w:val="00F75842"/>
    <w:rsid w:val="00F758A3"/>
    <w:rsid w:val="00F75987"/>
    <w:rsid w:val="00F75A4B"/>
    <w:rsid w:val="00F75A55"/>
    <w:rsid w:val="00F75AC2"/>
    <w:rsid w:val="00F75AEB"/>
    <w:rsid w:val="00F75BC4"/>
    <w:rsid w:val="00F75BF6"/>
    <w:rsid w:val="00F75D9A"/>
    <w:rsid w:val="00F75E77"/>
    <w:rsid w:val="00F75EB9"/>
    <w:rsid w:val="00F75F07"/>
    <w:rsid w:val="00F75FD8"/>
    <w:rsid w:val="00F75FEC"/>
    <w:rsid w:val="00F7602D"/>
    <w:rsid w:val="00F76086"/>
    <w:rsid w:val="00F76102"/>
    <w:rsid w:val="00F761B5"/>
    <w:rsid w:val="00F7625A"/>
    <w:rsid w:val="00F762E4"/>
    <w:rsid w:val="00F76394"/>
    <w:rsid w:val="00F763BA"/>
    <w:rsid w:val="00F76479"/>
    <w:rsid w:val="00F765DC"/>
    <w:rsid w:val="00F765FE"/>
    <w:rsid w:val="00F76612"/>
    <w:rsid w:val="00F766BA"/>
    <w:rsid w:val="00F7670B"/>
    <w:rsid w:val="00F76768"/>
    <w:rsid w:val="00F7679C"/>
    <w:rsid w:val="00F767B6"/>
    <w:rsid w:val="00F769B5"/>
    <w:rsid w:val="00F769D5"/>
    <w:rsid w:val="00F76A58"/>
    <w:rsid w:val="00F76B66"/>
    <w:rsid w:val="00F76BB3"/>
    <w:rsid w:val="00F76BBD"/>
    <w:rsid w:val="00F76BDA"/>
    <w:rsid w:val="00F76C0C"/>
    <w:rsid w:val="00F76C58"/>
    <w:rsid w:val="00F76CB8"/>
    <w:rsid w:val="00F76D15"/>
    <w:rsid w:val="00F76D53"/>
    <w:rsid w:val="00F76DE9"/>
    <w:rsid w:val="00F76E04"/>
    <w:rsid w:val="00F76E4F"/>
    <w:rsid w:val="00F76EBF"/>
    <w:rsid w:val="00F76F70"/>
    <w:rsid w:val="00F76F94"/>
    <w:rsid w:val="00F7709E"/>
    <w:rsid w:val="00F77296"/>
    <w:rsid w:val="00F772A8"/>
    <w:rsid w:val="00F77384"/>
    <w:rsid w:val="00F773A0"/>
    <w:rsid w:val="00F773DF"/>
    <w:rsid w:val="00F77538"/>
    <w:rsid w:val="00F775B0"/>
    <w:rsid w:val="00F77615"/>
    <w:rsid w:val="00F77645"/>
    <w:rsid w:val="00F7764D"/>
    <w:rsid w:val="00F776A5"/>
    <w:rsid w:val="00F77788"/>
    <w:rsid w:val="00F77807"/>
    <w:rsid w:val="00F77851"/>
    <w:rsid w:val="00F779B8"/>
    <w:rsid w:val="00F77A28"/>
    <w:rsid w:val="00F77AC0"/>
    <w:rsid w:val="00F77ACD"/>
    <w:rsid w:val="00F77B5A"/>
    <w:rsid w:val="00F77BCE"/>
    <w:rsid w:val="00F77BF1"/>
    <w:rsid w:val="00F77CB7"/>
    <w:rsid w:val="00F77CDD"/>
    <w:rsid w:val="00F77CF0"/>
    <w:rsid w:val="00F77D0A"/>
    <w:rsid w:val="00F77D0C"/>
    <w:rsid w:val="00F77D42"/>
    <w:rsid w:val="00F77DAC"/>
    <w:rsid w:val="00F77DB2"/>
    <w:rsid w:val="00F77DF0"/>
    <w:rsid w:val="00F77E0A"/>
    <w:rsid w:val="00F77EC4"/>
    <w:rsid w:val="00F77F7D"/>
    <w:rsid w:val="00F800F8"/>
    <w:rsid w:val="00F800FF"/>
    <w:rsid w:val="00F80114"/>
    <w:rsid w:val="00F80128"/>
    <w:rsid w:val="00F8023A"/>
    <w:rsid w:val="00F802A6"/>
    <w:rsid w:val="00F802C8"/>
    <w:rsid w:val="00F8033F"/>
    <w:rsid w:val="00F80341"/>
    <w:rsid w:val="00F8047B"/>
    <w:rsid w:val="00F80509"/>
    <w:rsid w:val="00F80537"/>
    <w:rsid w:val="00F8056A"/>
    <w:rsid w:val="00F80580"/>
    <w:rsid w:val="00F80590"/>
    <w:rsid w:val="00F80618"/>
    <w:rsid w:val="00F806E0"/>
    <w:rsid w:val="00F8079D"/>
    <w:rsid w:val="00F80803"/>
    <w:rsid w:val="00F80838"/>
    <w:rsid w:val="00F808A1"/>
    <w:rsid w:val="00F80909"/>
    <w:rsid w:val="00F80945"/>
    <w:rsid w:val="00F80A4C"/>
    <w:rsid w:val="00F80AFA"/>
    <w:rsid w:val="00F80BAC"/>
    <w:rsid w:val="00F80C07"/>
    <w:rsid w:val="00F80C31"/>
    <w:rsid w:val="00F80C99"/>
    <w:rsid w:val="00F80CB2"/>
    <w:rsid w:val="00F80CD7"/>
    <w:rsid w:val="00F80CEC"/>
    <w:rsid w:val="00F80CFB"/>
    <w:rsid w:val="00F80EEF"/>
    <w:rsid w:val="00F80F68"/>
    <w:rsid w:val="00F80FFB"/>
    <w:rsid w:val="00F81052"/>
    <w:rsid w:val="00F81055"/>
    <w:rsid w:val="00F810F4"/>
    <w:rsid w:val="00F81121"/>
    <w:rsid w:val="00F81141"/>
    <w:rsid w:val="00F81164"/>
    <w:rsid w:val="00F812CD"/>
    <w:rsid w:val="00F8136D"/>
    <w:rsid w:val="00F81374"/>
    <w:rsid w:val="00F81398"/>
    <w:rsid w:val="00F81418"/>
    <w:rsid w:val="00F81472"/>
    <w:rsid w:val="00F81495"/>
    <w:rsid w:val="00F814C9"/>
    <w:rsid w:val="00F814E1"/>
    <w:rsid w:val="00F81554"/>
    <w:rsid w:val="00F81589"/>
    <w:rsid w:val="00F815BB"/>
    <w:rsid w:val="00F8187A"/>
    <w:rsid w:val="00F81887"/>
    <w:rsid w:val="00F818C2"/>
    <w:rsid w:val="00F8190D"/>
    <w:rsid w:val="00F8194A"/>
    <w:rsid w:val="00F819A4"/>
    <w:rsid w:val="00F819EB"/>
    <w:rsid w:val="00F81B61"/>
    <w:rsid w:val="00F81C01"/>
    <w:rsid w:val="00F81CC4"/>
    <w:rsid w:val="00F81CF2"/>
    <w:rsid w:val="00F81D2F"/>
    <w:rsid w:val="00F81D5D"/>
    <w:rsid w:val="00F81E86"/>
    <w:rsid w:val="00F81E88"/>
    <w:rsid w:val="00F81EBA"/>
    <w:rsid w:val="00F81EE4"/>
    <w:rsid w:val="00F81FF2"/>
    <w:rsid w:val="00F81FFC"/>
    <w:rsid w:val="00F82043"/>
    <w:rsid w:val="00F82055"/>
    <w:rsid w:val="00F8206E"/>
    <w:rsid w:val="00F82087"/>
    <w:rsid w:val="00F8209C"/>
    <w:rsid w:val="00F820AC"/>
    <w:rsid w:val="00F820E2"/>
    <w:rsid w:val="00F8211D"/>
    <w:rsid w:val="00F8218E"/>
    <w:rsid w:val="00F821BA"/>
    <w:rsid w:val="00F82420"/>
    <w:rsid w:val="00F82423"/>
    <w:rsid w:val="00F824A2"/>
    <w:rsid w:val="00F824C0"/>
    <w:rsid w:val="00F82570"/>
    <w:rsid w:val="00F825CF"/>
    <w:rsid w:val="00F8261B"/>
    <w:rsid w:val="00F82673"/>
    <w:rsid w:val="00F826F1"/>
    <w:rsid w:val="00F8270C"/>
    <w:rsid w:val="00F827FE"/>
    <w:rsid w:val="00F82847"/>
    <w:rsid w:val="00F82853"/>
    <w:rsid w:val="00F828C6"/>
    <w:rsid w:val="00F82A3B"/>
    <w:rsid w:val="00F82A50"/>
    <w:rsid w:val="00F82A6F"/>
    <w:rsid w:val="00F82B08"/>
    <w:rsid w:val="00F82B94"/>
    <w:rsid w:val="00F82BDD"/>
    <w:rsid w:val="00F82BFB"/>
    <w:rsid w:val="00F82C14"/>
    <w:rsid w:val="00F82C81"/>
    <w:rsid w:val="00F82CC7"/>
    <w:rsid w:val="00F82CE8"/>
    <w:rsid w:val="00F82DE7"/>
    <w:rsid w:val="00F82E9A"/>
    <w:rsid w:val="00F82ECC"/>
    <w:rsid w:val="00F82F32"/>
    <w:rsid w:val="00F82F81"/>
    <w:rsid w:val="00F83088"/>
    <w:rsid w:val="00F8309A"/>
    <w:rsid w:val="00F830A7"/>
    <w:rsid w:val="00F83144"/>
    <w:rsid w:val="00F831A3"/>
    <w:rsid w:val="00F831CD"/>
    <w:rsid w:val="00F832F4"/>
    <w:rsid w:val="00F83363"/>
    <w:rsid w:val="00F83402"/>
    <w:rsid w:val="00F83415"/>
    <w:rsid w:val="00F835CF"/>
    <w:rsid w:val="00F836D6"/>
    <w:rsid w:val="00F837B1"/>
    <w:rsid w:val="00F83822"/>
    <w:rsid w:val="00F8395C"/>
    <w:rsid w:val="00F8398B"/>
    <w:rsid w:val="00F83995"/>
    <w:rsid w:val="00F83A1C"/>
    <w:rsid w:val="00F83AA6"/>
    <w:rsid w:val="00F83AC9"/>
    <w:rsid w:val="00F83AFB"/>
    <w:rsid w:val="00F83B1E"/>
    <w:rsid w:val="00F83C01"/>
    <w:rsid w:val="00F83C0E"/>
    <w:rsid w:val="00F83C84"/>
    <w:rsid w:val="00F83C8F"/>
    <w:rsid w:val="00F83D46"/>
    <w:rsid w:val="00F83E6E"/>
    <w:rsid w:val="00F83E77"/>
    <w:rsid w:val="00F83E84"/>
    <w:rsid w:val="00F83E86"/>
    <w:rsid w:val="00F83F55"/>
    <w:rsid w:val="00F840BE"/>
    <w:rsid w:val="00F840CF"/>
    <w:rsid w:val="00F84174"/>
    <w:rsid w:val="00F841E3"/>
    <w:rsid w:val="00F84261"/>
    <w:rsid w:val="00F8426A"/>
    <w:rsid w:val="00F84326"/>
    <w:rsid w:val="00F843C3"/>
    <w:rsid w:val="00F8451D"/>
    <w:rsid w:val="00F84569"/>
    <w:rsid w:val="00F8459C"/>
    <w:rsid w:val="00F845FC"/>
    <w:rsid w:val="00F84613"/>
    <w:rsid w:val="00F84634"/>
    <w:rsid w:val="00F84669"/>
    <w:rsid w:val="00F846E1"/>
    <w:rsid w:val="00F848A4"/>
    <w:rsid w:val="00F84917"/>
    <w:rsid w:val="00F84A29"/>
    <w:rsid w:val="00F84A4E"/>
    <w:rsid w:val="00F84B44"/>
    <w:rsid w:val="00F84B4F"/>
    <w:rsid w:val="00F84BFD"/>
    <w:rsid w:val="00F84D9D"/>
    <w:rsid w:val="00F84DAE"/>
    <w:rsid w:val="00F84DE1"/>
    <w:rsid w:val="00F84DF6"/>
    <w:rsid w:val="00F84DFE"/>
    <w:rsid w:val="00F84E0F"/>
    <w:rsid w:val="00F84EA4"/>
    <w:rsid w:val="00F84ED0"/>
    <w:rsid w:val="00F84F76"/>
    <w:rsid w:val="00F84FF8"/>
    <w:rsid w:val="00F85000"/>
    <w:rsid w:val="00F85166"/>
    <w:rsid w:val="00F8516B"/>
    <w:rsid w:val="00F851A4"/>
    <w:rsid w:val="00F851A9"/>
    <w:rsid w:val="00F851EA"/>
    <w:rsid w:val="00F85216"/>
    <w:rsid w:val="00F852C5"/>
    <w:rsid w:val="00F852D7"/>
    <w:rsid w:val="00F85303"/>
    <w:rsid w:val="00F853F1"/>
    <w:rsid w:val="00F85406"/>
    <w:rsid w:val="00F8556D"/>
    <w:rsid w:val="00F85587"/>
    <w:rsid w:val="00F85728"/>
    <w:rsid w:val="00F85755"/>
    <w:rsid w:val="00F857A8"/>
    <w:rsid w:val="00F857AA"/>
    <w:rsid w:val="00F857C0"/>
    <w:rsid w:val="00F85807"/>
    <w:rsid w:val="00F8585A"/>
    <w:rsid w:val="00F8586E"/>
    <w:rsid w:val="00F85875"/>
    <w:rsid w:val="00F8588D"/>
    <w:rsid w:val="00F85897"/>
    <w:rsid w:val="00F858FA"/>
    <w:rsid w:val="00F85912"/>
    <w:rsid w:val="00F859D2"/>
    <w:rsid w:val="00F85DD8"/>
    <w:rsid w:val="00F85F0A"/>
    <w:rsid w:val="00F85F12"/>
    <w:rsid w:val="00F85F40"/>
    <w:rsid w:val="00F85F41"/>
    <w:rsid w:val="00F85F59"/>
    <w:rsid w:val="00F85F9E"/>
    <w:rsid w:val="00F85FBA"/>
    <w:rsid w:val="00F85FD3"/>
    <w:rsid w:val="00F86055"/>
    <w:rsid w:val="00F86071"/>
    <w:rsid w:val="00F8611B"/>
    <w:rsid w:val="00F861AE"/>
    <w:rsid w:val="00F861C0"/>
    <w:rsid w:val="00F86200"/>
    <w:rsid w:val="00F86295"/>
    <w:rsid w:val="00F8630B"/>
    <w:rsid w:val="00F863D1"/>
    <w:rsid w:val="00F864F1"/>
    <w:rsid w:val="00F86549"/>
    <w:rsid w:val="00F8654B"/>
    <w:rsid w:val="00F8657D"/>
    <w:rsid w:val="00F86581"/>
    <w:rsid w:val="00F86596"/>
    <w:rsid w:val="00F8659C"/>
    <w:rsid w:val="00F86634"/>
    <w:rsid w:val="00F866DC"/>
    <w:rsid w:val="00F866E8"/>
    <w:rsid w:val="00F866EE"/>
    <w:rsid w:val="00F8670A"/>
    <w:rsid w:val="00F8671C"/>
    <w:rsid w:val="00F8675B"/>
    <w:rsid w:val="00F867BF"/>
    <w:rsid w:val="00F867C8"/>
    <w:rsid w:val="00F86897"/>
    <w:rsid w:val="00F868A7"/>
    <w:rsid w:val="00F868C8"/>
    <w:rsid w:val="00F868CE"/>
    <w:rsid w:val="00F8695C"/>
    <w:rsid w:val="00F8698E"/>
    <w:rsid w:val="00F869A3"/>
    <w:rsid w:val="00F86AE9"/>
    <w:rsid w:val="00F86B41"/>
    <w:rsid w:val="00F86C10"/>
    <w:rsid w:val="00F86C45"/>
    <w:rsid w:val="00F86C60"/>
    <w:rsid w:val="00F86C68"/>
    <w:rsid w:val="00F86D78"/>
    <w:rsid w:val="00F86FDB"/>
    <w:rsid w:val="00F87062"/>
    <w:rsid w:val="00F87082"/>
    <w:rsid w:val="00F870A2"/>
    <w:rsid w:val="00F8711F"/>
    <w:rsid w:val="00F8717B"/>
    <w:rsid w:val="00F871E7"/>
    <w:rsid w:val="00F871F1"/>
    <w:rsid w:val="00F87200"/>
    <w:rsid w:val="00F87204"/>
    <w:rsid w:val="00F8727E"/>
    <w:rsid w:val="00F873D2"/>
    <w:rsid w:val="00F87467"/>
    <w:rsid w:val="00F874BD"/>
    <w:rsid w:val="00F874CF"/>
    <w:rsid w:val="00F874F8"/>
    <w:rsid w:val="00F87543"/>
    <w:rsid w:val="00F87570"/>
    <w:rsid w:val="00F875B8"/>
    <w:rsid w:val="00F8765C"/>
    <w:rsid w:val="00F87725"/>
    <w:rsid w:val="00F87753"/>
    <w:rsid w:val="00F8779A"/>
    <w:rsid w:val="00F877C4"/>
    <w:rsid w:val="00F87882"/>
    <w:rsid w:val="00F87911"/>
    <w:rsid w:val="00F879B2"/>
    <w:rsid w:val="00F879EA"/>
    <w:rsid w:val="00F87A33"/>
    <w:rsid w:val="00F87A72"/>
    <w:rsid w:val="00F87BBA"/>
    <w:rsid w:val="00F87BBD"/>
    <w:rsid w:val="00F87BC6"/>
    <w:rsid w:val="00F87C73"/>
    <w:rsid w:val="00F87CA4"/>
    <w:rsid w:val="00F87DCB"/>
    <w:rsid w:val="00F87FE2"/>
    <w:rsid w:val="00F87FE8"/>
    <w:rsid w:val="00F9003A"/>
    <w:rsid w:val="00F9004D"/>
    <w:rsid w:val="00F900C6"/>
    <w:rsid w:val="00F90112"/>
    <w:rsid w:val="00F9019A"/>
    <w:rsid w:val="00F901A0"/>
    <w:rsid w:val="00F901D1"/>
    <w:rsid w:val="00F9038E"/>
    <w:rsid w:val="00F903D8"/>
    <w:rsid w:val="00F903DF"/>
    <w:rsid w:val="00F904C6"/>
    <w:rsid w:val="00F9061F"/>
    <w:rsid w:val="00F906F7"/>
    <w:rsid w:val="00F90702"/>
    <w:rsid w:val="00F90758"/>
    <w:rsid w:val="00F90779"/>
    <w:rsid w:val="00F907D9"/>
    <w:rsid w:val="00F9090A"/>
    <w:rsid w:val="00F9091A"/>
    <w:rsid w:val="00F90930"/>
    <w:rsid w:val="00F9098C"/>
    <w:rsid w:val="00F90A07"/>
    <w:rsid w:val="00F90A9A"/>
    <w:rsid w:val="00F90AB8"/>
    <w:rsid w:val="00F90B0E"/>
    <w:rsid w:val="00F90B6D"/>
    <w:rsid w:val="00F90B85"/>
    <w:rsid w:val="00F90BB9"/>
    <w:rsid w:val="00F90C46"/>
    <w:rsid w:val="00F90CB6"/>
    <w:rsid w:val="00F90CEA"/>
    <w:rsid w:val="00F90E67"/>
    <w:rsid w:val="00F90EA5"/>
    <w:rsid w:val="00F90F4C"/>
    <w:rsid w:val="00F90FC5"/>
    <w:rsid w:val="00F91071"/>
    <w:rsid w:val="00F910BF"/>
    <w:rsid w:val="00F91162"/>
    <w:rsid w:val="00F911A5"/>
    <w:rsid w:val="00F911C3"/>
    <w:rsid w:val="00F911DE"/>
    <w:rsid w:val="00F911E3"/>
    <w:rsid w:val="00F911E6"/>
    <w:rsid w:val="00F91213"/>
    <w:rsid w:val="00F912BB"/>
    <w:rsid w:val="00F91306"/>
    <w:rsid w:val="00F91366"/>
    <w:rsid w:val="00F9137D"/>
    <w:rsid w:val="00F91388"/>
    <w:rsid w:val="00F913A1"/>
    <w:rsid w:val="00F91476"/>
    <w:rsid w:val="00F9148A"/>
    <w:rsid w:val="00F9152C"/>
    <w:rsid w:val="00F91618"/>
    <w:rsid w:val="00F9165D"/>
    <w:rsid w:val="00F916D5"/>
    <w:rsid w:val="00F91729"/>
    <w:rsid w:val="00F91759"/>
    <w:rsid w:val="00F917CD"/>
    <w:rsid w:val="00F91829"/>
    <w:rsid w:val="00F9182E"/>
    <w:rsid w:val="00F919AE"/>
    <w:rsid w:val="00F91A44"/>
    <w:rsid w:val="00F91A8C"/>
    <w:rsid w:val="00F91AB6"/>
    <w:rsid w:val="00F91AD4"/>
    <w:rsid w:val="00F91ADA"/>
    <w:rsid w:val="00F91B24"/>
    <w:rsid w:val="00F91B44"/>
    <w:rsid w:val="00F91BCC"/>
    <w:rsid w:val="00F91C48"/>
    <w:rsid w:val="00F91C66"/>
    <w:rsid w:val="00F91C8C"/>
    <w:rsid w:val="00F91C95"/>
    <w:rsid w:val="00F91D9D"/>
    <w:rsid w:val="00F91E64"/>
    <w:rsid w:val="00F91F3D"/>
    <w:rsid w:val="00F91F55"/>
    <w:rsid w:val="00F92032"/>
    <w:rsid w:val="00F92046"/>
    <w:rsid w:val="00F92092"/>
    <w:rsid w:val="00F921D9"/>
    <w:rsid w:val="00F92272"/>
    <w:rsid w:val="00F92284"/>
    <w:rsid w:val="00F92310"/>
    <w:rsid w:val="00F923F4"/>
    <w:rsid w:val="00F9240F"/>
    <w:rsid w:val="00F92417"/>
    <w:rsid w:val="00F9242F"/>
    <w:rsid w:val="00F92458"/>
    <w:rsid w:val="00F9247D"/>
    <w:rsid w:val="00F92508"/>
    <w:rsid w:val="00F9252D"/>
    <w:rsid w:val="00F92586"/>
    <w:rsid w:val="00F925C0"/>
    <w:rsid w:val="00F925C8"/>
    <w:rsid w:val="00F92673"/>
    <w:rsid w:val="00F92683"/>
    <w:rsid w:val="00F926A1"/>
    <w:rsid w:val="00F92713"/>
    <w:rsid w:val="00F9276C"/>
    <w:rsid w:val="00F92826"/>
    <w:rsid w:val="00F92841"/>
    <w:rsid w:val="00F9284B"/>
    <w:rsid w:val="00F92866"/>
    <w:rsid w:val="00F928D3"/>
    <w:rsid w:val="00F92913"/>
    <w:rsid w:val="00F9291E"/>
    <w:rsid w:val="00F929C2"/>
    <w:rsid w:val="00F929D3"/>
    <w:rsid w:val="00F92A1B"/>
    <w:rsid w:val="00F92A40"/>
    <w:rsid w:val="00F92A68"/>
    <w:rsid w:val="00F92A80"/>
    <w:rsid w:val="00F92A92"/>
    <w:rsid w:val="00F92A9F"/>
    <w:rsid w:val="00F92ABE"/>
    <w:rsid w:val="00F92AC7"/>
    <w:rsid w:val="00F92B66"/>
    <w:rsid w:val="00F92BD5"/>
    <w:rsid w:val="00F92C48"/>
    <w:rsid w:val="00F92C50"/>
    <w:rsid w:val="00F92C9D"/>
    <w:rsid w:val="00F92D50"/>
    <w:rsid w:val="00F92D87"/>
    <w:rsid w:val="00F92D8D"/>
    <w:rsid w:val="00F92E59"/>
    <w:rsid w:val="00F92E66"/>
    <w:rsid w:val="00F92EAA"/>
    <w:rsid w:val="00F92EDD"/>
    <w:rsid w:val="00F92EFF"/>
    <w:rsid w:val="00F92F60"/>
    <w:rsid w:val="00F930CB"/>
    <w:rsid w:val="00F930F7"/>
    <w:rsid w:val="00F9317D"/>
    <w:rsid w:val="00F9327D"/>
    <w:rsid w:val="00F933C2"/>
    <w:rsid w:val="00F9347B"/>
    <w:rsid w:val="00F934E6"/>
    <w:rsid w:val="00F935EF"/>
    <w:rsid w:val="00F9364F"/>
    <w:rsid w:val="00F936AB"/>
    <w:rsid w:val="00F936E1"/>
    <w:rsid w:val="00F93774"/>
    <w:rsid w:val="00F937FD"/>
    <w:rsid w:val="00F93827"/>
    <w:rsid w:val="00F9385B"/>
    <w:rsid w:val="00F9388C"/>
    <w:rsid w:val="00F938C5"/>
    <w:rsid w:val="00F939FA"/>
    <w:rsid w:val="00F93B7D"/>
    <w:rsid w:val="00F93BEE"/>
    <w:rsid w:val="00F93C19"/>
    <w:rsid w:val="00F93C4C"/>
    <w:rsid w:val="00F93D03"/>
    <w:rsid w:val="00F93D31"/>
    <w:rsid w:val="00F93DB8"/>
    <w:rsid w:val="00F93DED"/>
    <w:rsid w:val="00F93E4D"/>
    <w:rsid w:val="00F93ED4"/>
    <w:rsid w:val="00F93EDC"/>
    <w:rsid w:val="00F93F54"/>
    <w:rsid w:val="00F93F87"/>
    <w:rsid w:val="00F93FBA"/>
    <w:rsid w:val="00F93FD3"/>
    <w:rsid w:val="00F93FE1"/>
    <w:rsid w:val="00F94117"/>
    <w:rsid w:val="00F9414E"/>
    <w:rsid w:val="00F9420E"/>
    <w:rsid w:val="00F94273"/>
    <w:rsid w:val="00F942EC"/>
    <w:rsid w:val="00F94393"/>
    <w:rsid w:val="00F943BB"/>
    <w:rsid w:val="00F943E9"/>
    <w:rsid w:val="00F9448B"/>
    <w:rsid w:val="00F944BF"/>
    <w:rsid w:val="00F944CD"/>
    <w:rsid w:val="00F94526"/>
    <w:rsid w:val="00F945A2"/>
    <w:rsid w:val="00F945DD"/>
    <w:rsid w:val="00F9468E"/>
    <w:rsid w:val="00F94713"/>
    <w:rsid w:val="00F94719"/>
    <w:rsid w:val="00F947FE"/>
    <w:rsid w:val="00F9484A"/>
    <w:rsid w:val="00F94937"/>
    <w:rsid w:val="00F949A7"/>
    <w:rsid w:val="00F94A92"/>
    <w:rsid w:val="00F94AD9"/>
    <w:rsid w:val="00F94C1A"/>
    <w:rsid w:val="00F94C6D"/>
    <w:rsid w:val="00F94CD8"/>
    <w:rsid w:val="00F94CED"/>
    <w:rsid w:val="00F94D84"/>
    <w:rsid w:val="00F94DDA"/>
    <w:rsid w:val="00F94E9F"/>
    <w:rsid w:val="00F94F74"/>
    <w:rsid w:val="00F94F77"/>
    <w:rsid w:val="00F94FAE"/>
    <w:rsid w:val="00F94FB3"/>
    <w:rsid w:val="00F94FFD"/>
    <w:rsid w:val="00F95141"/>
    <w:rsid w:val="00F95162"/>
    <w:rsid w:val="00F951BE"/>
    <w:rsid w:val="00F951DC"/>
    <w:rsid w:val="00F9529E"/>
    <w:rsid w:val="00F952D4"/>
    <w:rsid w:val="00F952F3"/>
    <w:rsid w:val="00F95329"/>
    <w:rsid w:val="00F95335"/>
    <w:rsid w:val="00F95425"/>
    <w:rsid w:val="00F954A7"/>
    <w:rsid w:val="00F955C3"/>
    <w:rsid w:val="00F955C7"/>
    <w:rsid w:val="00F956DC"/>
    <w:rsid w:val="00F9572E"/>
    <w:rsid w:val="00F95765"/>
    <w:rsid w:val="00F957A0"/>
    <w:rsid w:val="00F957F4"/>
    <w:rsid w:val="00F95813"/>
    <w:rsid w:val="00F9581F"/>
    <w:rsid w:val="00F95898"/>
    <w:rsid w:val="00F95964"/>
    <w:rsid w:val="00F959B0"/>
    <w:rsid w:val="00F95A65"/>
    <w:rsid w:val="00F95A78"/>
    <w:rsid w:val="00F95A9F"/>
    <w:rsid w:val="00F95B8E"/>
    <w:rsid w:val="00F95BC4"/>
    <w:rsid w:val="00F95C5B"/>
    <w:rsid w:val="00F95D78"/>
    <w:rsid w:val="00F95E07"/>
    <w:rsid w:val="00F95E8B"/>
    <w:rsid w:val="00F95EED"/>
    <w:rsid w:val="00F95FA5"/>
    <w:rsid w:val="00F95FCA"/>
    <w:rsid w:val="00F9605E"/>
    <w:rsid w:val="00F96174"/>
    <w:rsid w:val="00F961DA"/>
    <w:rsid w:val="00F96248"/>
    <w:rsid w:val="00F9627C"/>
    <w:rsid w:val="00F9628F"/>
    <w:rsid w:val="00F96330"/>
    <w:rsid w:val="00F963B3"/>
    <w:rsid w:val="00F963D5"/>
    <w:rsid w:val="00F9640D"/>
    <w:rsid w:val="00F964EA"/>
    <w:rsid w:val="00F965A5"/>
    <w:rsid w:val="00F965D1"/>
    <w:rsid w:val="00F965DF"/>
    <w:rsid w:val="00F96636"/>
    <w:rsid w:val="00F96645"/>
    <w:rsid w:val="00F966D9"/>
    <w:rsid w:val="00F966EF"/>
    <w:rsid w:val="00F96770"/>
    <w:rsid w:val="00F967EE"/>
    <w:rsid w:val="00F96812"/>
    <w:rsid w:val="00F96827"/>
    <w:rsid w:val="00F96855"/>
    <w:rsid w:val="00F968C5"/>
    <w:rsid w:val="00F968FA"/>
    <w:rsid w:val="00F9692E"/>
    <w:rsid w:val="00F96969"/>
    <w:rsid w:val="00F969D6"/>
    <w:rsid w:val="00F969FE"/>
    <w:rsid w:val="00F96A1E"/>
    <w:rsid w:val="00F96A53"/>
    <w:rsid w:val="00F96A92"/>
    <w:rsid w:val="00F96B30"/>
    <w:rsid w:val="00F96B77"/>
    <w:rsid w:val="00F96C14"/>
    <w:rsid w:val="00F96C2F"/>
    <w:rsid w:val="00F96C6E"/>
    <w:rsid w:val="00F96C88"/>
    <w:rsid w:val="00F96CCA"/>
    <w:rsid w:val="00F96CFA"/>
    <w:rsid w:val="00F96D7D"/>
    <w:rsid w:val="00F96DA2"/>
    <w:rsid w:val="00F96E56"/>
    <w:rsid w:val="00F96EB7"/>
    <w:rsid w:val="00F96ED4"/>
    <w:rsid w:val="00F96F30"/>
    <w:rsid w:val="00F96FB4"/>
    <w:rsid w:val="00F96FB6"/>
    <w:rsid w:val="00F97034"/>
    <w:rsid w:val="00F9706F"/>
    <w:rsid w:val="00F97070"/>
    <w:rsid w:val="00F97144"/>
    <w:rsid w:val="00F971A4"/>
    <w:rsid w:val="00F97221"/>
    <w:rsid w:val="00F9733F"/>
    <w:rsid w:val="00F97367"/>
    <w:rsid w:val="00F97491"/>
    <w:rsid w:val="00F97538"/>
    <w:rsid w:val="00F9754D"/>
    <w:rsid w:val="00F9755C"/>
    <w:rsid w:val="00F97571"/>
    <w:rsid w:val="00F97593"/>
    <w:rsid w:val="00F975CA"/>
    <w:rsid w:val="00F97613"/>
    <w:rsid w:val="00F9765B"/>
    <w:rsid w:val="00F9776E"/>
    <w:rsid w:val="00F9779F"/>
    <w:rsid w:val="00F97804"/>
    <w:rsid w:val="00F97833"/>
    <w:rsid w:val="00F978A4"/>
    <w:rsid w:val="00F978D0"/>
    <w:rsid w:val="00F978DC"/>
    <w:rsid w:val="00F97911"/>
    <w:rsid w:val="00F97977"/>
    <w:rsid w:val="00F97A7A"/>
    <w:rsid w:val="00F97ABC"/>
    <w:rsid w:val="00F97B17"/>
    <w:rsid w:val="00F97B99"/>
    <w:rsid w:val="00F97BE3"/>
    <w:rsid w:val="00F97C09"/>
    <w:rsid w:val="00F97C10"/>
    <w:rsid w:val="00F97C38"/>
    <w:rsid w:val="00F97CF3"/>
    <w:rsid w:val="00F97CF4"/>
    <w:rsid w:val="00F97DDC"/>
    <w:rsid w:val="00F97DFA"/>
    <w:rsid w:val="00F97E19"/>
    <w:rsid w:val="00F97E1C"/>
    <w:rsid w:val="00F97E5F"/>
    <w:rsid w:val="00F97E78"/>
    <w:rsid w:val="00F97F33"/>
    <w:rsid w:val="00F97FFE"/>
    <w:rsid w:val="00FA002F"/>
    <w:rsid w:val="00FA00A6"/>
    <w:rsid w:val="00FA00AC"/>
    <w:rsid w:val="00FA00B2"/>
    <w:rsid w:val="00FA00C1"/>
    <w:rsid w:val="00FA00DB"/>
    <w:rsid w:val="00FA00E8"/>
    <w:rsid w:val="00FA015F"/>
    <w:rsid w:val="00FA0188"/>
    <w:rsid w:val="00FA0265"/>
    <w:rsid w:val="00FA02F5"/>
    <w:rsid w:val="00FA0357"/>
    <w:rsid w:val="00FA0396"/>
    <w:rsid w:val="00FA03E3"/>
    <w:rsid w:val="00FA0477"/>
    <w:rsid w:val="00FA0479"/>
    <w:rsid w:val="00FA04A2"/>
    <w:rsid w:val="00FA050C"/>
    <w:rsid w:val="00FA05CC"/>
    <w:rsid w:val="00FA062A"/>
    <w:rsid w:val="00FA0654"/>
    <w:rsid w:val="00FA0676"/>
    <w:rsid w:val="00FA077B"/>
    <w:rsid w:val="00FA0885"/>
    <w:rsid w:val="00FA0906"/>
    <w:rsid w:val="00FA0915"/>
    <w:rsid w:val="00FA0953"/>
    <w:rsid w:val="00FA0984"/>
    <w:rsid w:val="00FA0985"/>
    <w:rsid w:val="00FA09C1"/>
    <w:rsid w:val="00FA0A6F"/>
    <w:rsid w:val="00FA0B05"/>
    <w:rsid w:val="00FA0B62"/>
    <w:rsid w:val="00FA0B67"/>
    <w:rsid w:val="00FA0BEB"/>
    <w:rsid w:val="00FA0C40"/>
    <w:rsid w:val="00FA0D4E"/>
    <w:rsid w:val="00FA0DCB"/>
    <w:rsid w:val="00FA0DDD"/>
    <w:rsid w:val="00FA0E24"/>
    <w:rsid w:val="00FA0E5A"/>
    <w:rsid w:val="00FA0EC0"/>
    <w:rsid w:val="00FA0EDD"/>
    <w:rsid w:val="00FA0F2D"/>
    <w:rsid w:val="00FA0F35"/>
    <w:rsid w:val="00FA0F87"/>
    <w:rsid w:val="00FA103F"/>
    <w:rsid w:val="00FA10A7"/>
    <w:rsid w:val="00FA10C6"/>
    <w:rsid w:val="00FA115A"/>
    <w:rsid w:val="00FA1220"/>
    <w:rsid w:val="00FA1276"/>
    <w:rsid w:val="00FA127B"/>
    <w:rsid w:val="00FA1296"/>
    <w:rsid w:val="00FA12DD"/>
    <w:rsid w:val="00FA13DA"/>
    <w:rsid w:val="00FA145F"/>
    <w:rsid w:val="00FA1468"/>
    <w:rsid w:val="00FA1589"/>
    <w:rsid w:val="00FA159D"/>
    <w:rsid w:val="00FA167A"/>
    <w:rsid w:val="00FA16FA"/>
    <w:rsid w:val="00FA170D"/>
    <w:rsid w:val="00FA1712"/>
    <w:rsid w:val="00FA171D"/>
    <w:rsid w:val="00FA17C5"/>
    <w:rsid w:val="00FA17EA"/>
    <w:rsid w:val="00FA1834"/>
    <w:rsid w:val="00FA189C"/>
    <w:rsid w:val="00FA18FB"/>
    <w:rsid w:val="00FA191E"/>
    <w:rsid w:val="00FA1949"/>
    <w:rsid w:val="00FA1A00"/>
    <w:rsid w:val="00FA1A08"/>
    <w:rsid w:val="00FA1A6F"/>
    <w:rsid w:val="00FA1AA9"/>
    <w:rsid w:val="00FA1ABC"/>
    <w:rsid w:val="00FA1B9A"/>
    <w:rsid w:val="00FA1BBC"/>
    <w:rsid w:val="00FA1BFF"/>
    <w:rsid w:val="00FA1C48"/>
    <w:rsid w:val="00FA1C9A"/>
    <w:rsid w:val="00FA1D4A"/>
    <w:rsid w:val="00FA1D78"/>
    <w:rsid w:val="00FA1DDF"/>
    <w:rsid w:val="00FA1E4B"/>
    <w:rsid w:val="00FA1E57"/>
    <w:rsid w:val="00FA1F4C"/>
    <w:rsid w:val="00FA1FA7"/>
    <w:rsid w:val="00FA1FCB"/>
    <w:rsid w:val="00FA209A"/>
    <w:rsid w:val="00FA20BA"/>
    <w:rsid w:val="00FA212A"/>
    <w:rsid w:val="00FA21CE"/>
    <w:rsid w:val="00FA22F7"/>
    <w:rsid w:val="00FA2302"/>
    <w:rsid w:val="00FA2354"/>
    <w:rsid w:val="00FA239E"/>
    <w:rsid w:val="00FA23D2"/>
    <w:rsid w:val="00FA23D8"/>
    <w:rsid w:val="00FA2659"/>
    <w:rsid w:val="00FA26BC"/>
    <w:rsid w:val="00FA2752"/>
    <w:rsid w:val="00FA276B"/>
    <w:rsid w:val="00FA27CE"/>
    <w:rsid w:val="00FA2846"/>
    <w:rsid w:val="00FA2850"/>
    <w:rsid w:val="00FA29E3"/>
    <w:rsid w:val="00FA2B38"/>
    <w:rsid w:val="00FA2BB1"/>
    <w:rsid w:val="00FA2BDA"/>
    <w:rsid w:val="00FA2BFD"/>
    <w:rsid w:val="00FA2C4C"/>
    <w:rsid w:val="00FA2C67"/>
    <w:rsid w:val="00FA2C74"/>
    <w:rsid w:val="00FA2C91"/>
    <w:rsid w:val="00FA2C92"/>
    <w:rsid w:val="00FA2C94"/>
    <w:rsid w:val="00FA2CE1"/>
    <w:rsid w:val="00FA2CE3"/>
    <w:rsid w:val="00FA2CE7"/>
    <w:rsid w:val="00FA2D61"/>
    <w:rsid w:val="00FA2DA0"/>
    <w:rsid w:val="00FA2DB1"/>
    <w:rsid w:val="00FA2DB9"/>
    <w:rsid w:val="00FA2E90"/>
    <w:rsid w:val="00FA2E94"/>
    <w:rsid w:val="00FA2EC2"/>
    <w:rsid w:val="00FA2FD0"/>
    <w:rsid w:val="00FA3029"/>
    <w:rsid w:val="00FA30EE"/>
    <w:rsid w:val="00FA310F"/>
    <w:rsid w:val="00FA3113"/>
    <w:rsid w:val="00FA318D"/>
    <w:rsid w:val="00FA31ED"/>
    <w:rsid w:val="00FA320D"/>
    <w:rsid w:val="00FA325A"/>
    <w:rsid w:val="00FA32A6"/>
    <w:rsid w:val="00FA3386"/>
    <w:rsid w:val="00FA33A9"/>
    <w:rsid w:val="00FA3428"/>
    <w:rsid w:val="00FA351B"/>
    <w:rsid w:val="00FA3711"/>
    <w:rsid w:val="00FA3786"/>
    <w:rsid w:val="00FA380C"/>
    <w:rsid w:val="00FA3862"/>
    <w:rsid w:val="00FA3894"/>
    <w:rsid w:val="00FA390A"/>
    <w:rsid w:val="00FA3918"/>
    <w:rsid w:val="00FA395E"/>
    <w:rsid w:val="00FA3975"/>
    <w:rsid w:val="00FA39DD"/>
    <w:rsid w:val="00FA3A29"/>
    <w:rsid w:val="00FA3B75"/>
    <w:rsid w:val="00FA3B88"/>
    <w:rsid w:val="00FA3B93"/>
    <w:rsid w:val="00FA3BD6"/>
    <w:rsid w:val="00FA3BD8"/>
    <w:rsid w:val="00FA3C28"/>
    <w:rsid w:val="00FA3CFD"/>
    <w:rsid w:val="00FA3D9B"/>
    <w:rsid w:val="00FA3E51"/>
    <w:rsid w:val="00FA3E58"/>
    <w:rsid w:val="00FA3EEC"/>
    <w:rsid w:val="00FA3F08"/>
    <w:rsid w:val="00FA3F24"/>
    <w:rsid w:val="00FA3FC6"/>
    <w:rsid w:val="00FA4028"/>
    <w:rsid w:val="00FA4045"/>
    <w:rsid w:val="00FA404C"/>
    <w:rsid w:val="00FA408D"/>
    <w:rsid w:val="00FA40C5"/>
    <w:rsid w:val="00FA412F"/>
    <w:rsid w:val="00FA4153"/>
    <w:rsid w:val="00FA417D"/>
    <w:rsid w:val="00FA41EE"/>
    <w:rsid w:val="00FA4264"/>
    <w:rsid w:val="00FA426A"/>
    <w:rsid w:val="00FA426B"/>
    <w:rsid w:val="00FA4290"/>
    <w:rsid w:val="00FA42A4"/>
    <w:rsid w:val="00FA42F4"/>
    <w:rsid w:val="00FA431D"/>
    <w:rsid w:val="00FA433D"/>
    <w:rsid w:val="00FA43AF"/>
    <w:rsid w:val="00FA448D"/>
    <w:rsid w:val="00FA4508"/>
    <w:rsid w:val="00FA457A"/>
    <w:rsid w:val="00FA469F"/>
    <w:rsid w:val="00FA46B0"/>
    <w:rsid w:val="00FA4751"/>
    <w:rsid w:val="00FA47C2"/>
    <w:rsid w:val="00FA47ED"/>
    <w:rsid w:val="00FA4864"/>
    <w:rsid w:val="00FA48AA"/>
    <w:rsid w:val="00FA49DE"/>
    <w:rsid w:val="00FA4A79"/>
    <w:rsid w:val="00FA4AC8"/>
    <w:rsid w:val="00FA4AE7"/>
    <w:rsid w:val="00FA4B95"/>
    <w:rsid w:val="00FA4BD0"/>
    <w:rsid w:val="00FA4BD2"/>
    <w:rsid w:val="00FA4C1E"/>
    <w:rsid w:val="00FA4CA7"/>
    <w:rsid w:val="00FA4CEC"/>
    <w:rsid w:val="00FA4DE3"/>
    <w:rsid w:val="00FA4E06"/>
    <w:rsid w:val="00FA4E1A"/>
    <w:rsid w:val="00FA4EA4"/>
    <w:rsid w:val="00FA4EBF"/>
    <w:rsid w:val="00FA4F09"/>
    <w:rsid w:val="00FA4F17"/>
    <w:rsid w:val="00FA4F24"/>
    <w:rsid w:val="00FA4FC3"/>
    <w:rsid w:val="00FA5013"/>
    <w:rsid w:val="00FA5089"/>
    <w:rsid w:val="00FA50B9"/>
    <w:rsid w:val="00FA50C0"/>
    <w:rsid w:val="00FA50F8"/>
    <w:rsid w:val="00FA510A"/>
    <w:rsid w:val="00FA5157"/>
    <w:rsid w:val="00FA515B"/>
    <w:rsid w:val="00FA51B7"/>
    <w:rsid w:val="00FA520F"/>
    <w:rsid w:val="00FA531F"/>
    <w:rsid w:val="00FA5490"/>
    <w:rsid w:val="00FA54F4"/>
    <w:rsid w:val="00FA550C"/>
    <w:rsid w:val="00FA55B0"/>
    <w:rsid w:val="00FA560B"/>
    <w:rsid w:val="00FA565C"/>
    <w:rsid w:val="00FA5826"/>
    <w:rsid w:val="00FA5833"/>
    <w:rsid w:val="00FA5858"/>
    <w:rsid w:val="00FA5866"/>
    <w:rsid w:val="00FA5877"/>
    <w:rsid w:val="00FA58A0"/>
    <w:rsid w:val="00FA58EC"/>
    <w:rsid w:val="00FA59D4"/>
    <w:rsid w:val="00FA5A87"/>
    <w:rsid w:val="00FA5C0F"/>
    <w:rsid w:val="00FA5C13"/>
    <w:rsid w:val="00FA5C74"/>
    <w:rsid w:val="00FA5C95"/>
    <w:rsid w:val="00FA5D36"/>
    <w:rsid w:val="00FA5D8B"/>
    <w:rsid w:val="00FA5E22"/>
    <w:rsid w:val="00FA5E41"/>
    <w:rsid w:val="00FA5EB5"/>
    <w:rsid w:val="00FA5FF4"/>
    <w:rsid w:val="00FA6006"/>
    <w:rsid w:val="00FA612E"/>
    <w:rsid w:val="00FA616A"/>
    <w:rsid w:val="00FA61BB"/>
    <w:rsid w:val="00FA61CB"/>
    <w:rsid w:val="00FA629D"/>
    <w:rsid w:val="00FA629E"/>
    <w:rsid w:val="00FA63ED"/>
    <w:rsid w:val="00FA64B2"/>
    <w:rsid w:val="00FA656A"/>
    <w:rsid w:val="00FA6590"/>
    <w:rsid w:val="00FA6596"/>
    <w:rsid w:val="00FA65AE"/>
    <w:rsid w:val="00FA65B7"/>
    <w:rsid w:val="00FA6658"/>
    <w:rsid w:val="00FA66A4"/>
    <w:rsid w:val="00FA66A6"/>
    <w:rsid w:val="00FA66D8"/>
    <w:rsid w:val="00FA66FA"/>
    <w:rsid w:val="00FA6710"/>
    <w:rsid w:val="00FA675F"/>
    <w:rsid w:val="00FA6760"/>
    <w:rsid w:val="00FA67B0"/>
    <w:rsid w:val="00FA6868"/>
    <w:rsid w:val="00FA6872"/>
    <w:rsid w:val="00FA6885"/>
    <w:rsid w:val="00FA6988"/>
    <w:rsid w:val="00FA699E"/>
    <w:rsid w:val="00FA6AFB"/>
    <w:rsid w:val="00FA6BD7"/>
    <w:rsid w:val="00FA6C42"/>
    <w:rsid w:val="00FA6C53"/>
    <w:rsid w:val="00FA6C75"/>
    <w:rsid w:val="00FA6C76"/>
    <w:rsid w:val="00FA6CBA"/>
    <w:rsid w:val="00FA6CDB"/>
    <w:rsid w:val="00FA6CEB"/>
    <w:rsid w:val="00FA6DBA"/>
    <w:rsid w:val="00FA6DE2"/>
    <w:rsid w:val="00FA6ED2"/>
    <w:rsid w:val="00FA6F7E"/>
    <w:rsid w:val="00FA7019"/>
    <w:rsid w:val="00FA7045"/>
    <w:rsid w:val="00FA719D"/>
    <w:rsid w:val="00FA71DE"/>
    <w:rsid w:val="00FA727F"/>
    <w:rsid w:val="00FA731A"/>
    <w:rsid w:val="00FA7349"/>
    <w:rsid w:val="00FA7369"/>
    <w:rsid w:val="00FA7397"/>
    <w:rsid w:val="00FA73B1"/>
    <w:rsid w:val="00FA73EC"/>
    <w:rsid w:val="00FA746F"/>
    <w:rsid w:val="00FA749E"/>
    <w:rsid w:val="00FA74D9"/>
    <w:rsid w:val="00FA75C1"/>
    <w:rsid w:val="00FA7613"/>
    <w:rsid w:val="00FA7637"/>
    <w:rsid w:val="00FA7795"/>
    <w:rsid w:val="00FA77B7"/>
    <w:rsid w:val="00FA77CF"/>
    <w:rsid w:val="00FA77D5"/>
    <w:rsid w:val="00FA77F1"/>
    <w:rsid w:val="00FA787F"/>
    <w:rsid w:val="00FA78C4"/>
    <w:rsid w:val="00FA79BA"/>
    <w:rsid w:val="00FA79F7"/>
    <w:rsid w:val="00FA7A4F"/>
    <w:rsid w:val="00FA7A8F"/>
    <w:rsid w:val="00FA7A9B"/>
    <w:rsid w:val="00FA7AA4"/>
    <w:rsid w:val="00FA7B8F"/>
    <w:rsid w:val="00FA7BF5"/>
    <w:rsid w:val="00FA7CC9"/>
    <w:rsid w:val="00FA7D39"/>
    <w:rsid w:val="00FA7D43"/>
    <w:rsid w:val="00FA7D5D"/>
    <w:rsid w:val="00FA7DBD"/>
    <w:rsid w:val="00FA7DC4"/>
    <w:rsid w:val="00FA7DD4"/>
    <w:rsid w:val="00FA7DED"/>
    <w:rsid w:val="00FA7E07"/>
    <w:rsid w:val="00FA7E86"/>
    <w:rsid w:val="00FA7EF1"/>
    <w:rsid w:val="00FA7EF9"/>
    <w:rsid w:val="00FA7F06"/>
    <w:rsid w:val="00FA7FA7"/>
    <w:rsid w:val="00FB00A8"/>
    <w:rsid w:val="00FB017E"/>
    <w:rsid w:val="00FB027C"/>
    <w:rsid w:val="00FB02D2"/>
    <w:rsid w:val="00FB0307"/>
    <w:rsid w:val="00FB0455"/>
    <w:rsid w:val="00FB04BF"/>
    <w:rsid w:val="00FB05F0"/>
    <w:rsid w:val="00FB0619"/>
    <w:rsid w:val="00FB0668"/>
    <w:rsid w:val="00FB06A0"/>
    <w:rsid w:val="00FB06AB"/>
    <w:rsid w:val="00FB06B3"/>
    <w:rsid w:val="00FB06B8"/>
    <w:rsid w:val="00FB06EC"/>
    <w:rsid w:val="00FB076D"/>
    <w:rsid w:val="00FB07AC"/>
    <w:rsid w:val="00FB07BF"/>
    <w:rsid w:val="00FB0805"/>
    <w:rsid w:val="00FB0824"/>
    <w:rsid w:val="00FB0993"/>
    <w:rsid w:val="00FB09A0"/>
    <w:rsid w:val="00FB0A45"/>
    <w:rsid w:val="00FB0A62"/>
    <w:rsid w:val="00FB0B0C"/>
    <w:rsid w:val="00FB0B4B"/>
    <w:rsid w:val="00FB0B66"/>
    <w:rsid w:val="00FB0B70"/>
    <w:rsid w:val="00FB0BB0"/>
    <w:rsid w:val="00FB0BFB"/>
    <w:rsid w:val="00FB0C92"/>
    <w:rsid w:val="00FB0CA0"/>
    <w:rsid w:val="00FB0CF0"/>
    <w:rsid w:val="00FB0D13"/>
    <w:rsid w:val="00FB0D64"/>
    <w:rsid w:val="00FB0DD8"/>
    <w:rsid w:val="00FB0E73"/>
    <w:rsid w:val="00FB0ED7"/>
    <w:rsid w:val="00FB0EF4"/>
    <w:rsid w:val="00FB0F4D"/>
    <w:rsid w:val="00FB0F6C"/>
    <w:rsid w:val="00FB1024"/>
    <w:rsid w:val="00FB1036"/>
    <w:rsid w:val="00FB10A4"/>
    <w:rsid w:val="00FB10B6"/>
    <w:rsid w:val="00FB112C"/>
    <w:rsid w:val="00FB118D"/>
    <w:rsid w:val="00FB118F"/>
    <w:rsid w:val="00FB11A9"/>
    <w:rsid w:val="00FB11F6"/>
    <w:rsid w:val="00FB124F"/>
    <w:rsid w:val="00FB1252"/>
    <w:rsid w:val="00FB1287"/>
    <w:rsid w:val="00FB1318"/>
    <w:rsid w:val="00FB1329"/>
    <w:rsid w:val="00FB133E"/>
    <w:rsid w:val="00FB13E3"/>
    <w:rsid w:val="00FB1407"/>
    <w:rsid w:val="00FB1434"/>
    <w:rsid w:val="00FB1435"/>
    <w:rsid w:val="00FB146F"/>
    <w:rsid w:val="00FB14D0"/>
    <w:rsid w:val="00FB161E"/>
    <w:rsid w:val="00FB165B"/>
    <w:rsid w:val="00FB175B"/>
    <w:rsid w:val="00FB1784"/>
    <w:rsid w:val="00FB179F"/>
    <w:rsid w:val="00FB17B9"/>
    <w:rsid w:val="00FB17BF"/>
    <w:rsid w:val="00FB1806"/>
    <w:rsid w:val="00FB1846"/>
    <w:rsid w:val="00FB186F"/>
    <w:rsid w:val="00FB19AE"/>
    <w:rsid w:val="00FB1A0B"/>
    <w:rsid w:val="00FB1A12"/>
    <w:rsid w:val="00FB1A2C"/>
    <w:rsid w:val="00FB1AAC"/>
    <w:rsid w:val="00FB1AFF"/>
    <w:rsid w:val="00FB1B70"/>
    <w:rsid w:val="00FB1BB2"/>
    <w:rsid w:val="00FB1C4F"/>
    <w:rsid w:val="00FB1CE0"/>
    <w:rsid w:val="00FB1CEF"/>
    <w:rsid w:val="00FB1D0C"/>
    <w:rsid w:val="00FB1D79"/>
    <w:rsid w:val="00FB1DBE"/>
    <w:rsid w:val="00FB1EC8"/>
    <w:rsid w:val="00FB1FC3"/>
    <w:rsid w:val="00FB1FC7"/>
    <w:rsid w:val="00FB1FD6"/>
    <w:rsid w:val="00FB1FF9"/>
    <w:rsid w:val="00FB20F0"/>
    <w:rsid w:val="00FB2115"/>
    <w:rsid w:val="00FB2152"/>
    <w:rsid w:val="00FB2254"/>
    <w:rsid w:val="00FB226F"/>
    <w:rsid w:val="00FB22DE"/>
    <w:rsid w:val="00FB22E4"/>
    <w:rsid w:val="00FB2310"/>
    <w:rsid w:val="00FB23AA"/>
    <w:rsid w:val="00FB23E7"/>
    <w:rsid w:val="00FB2590"/>
    <w:rsid w:val="00FB25C9"/>
    <w:rsid w:val="00FB25F6"/>
    <w:rsid w:val="00FB2600"/>
    <w:rsid w:val="00FB266B"/>
    <w:rsid w:val="00FB2733"/>
    <w:rsid w:val="00FB27A3"/>
    <w:rsid w:val="00FB27F1"/>
    <w:rsid w:val="00FB2866"/>
    <w:rsid w:val="00FB2941"/>
    <w:rsid w:val="00FB2999"/>
    <w:rsid w:val="00FB2AEA"/>
    <w:rsid w:val="00FB2C38"/>
    <w:rsid w:val="00FB2C3B"/>
    <w:rsid w:val="00FB2CC9"/>
    <w:rsid w:val="00FB2CEB"/>
    <w:rsid w:val="00FB2CF1"/>
    <w:rsid w:val="00FB2D31"/>
    <w:rsid w:val="00FB2D32"/>
    <w:rsid w:val="00FB2D8B"/>
    <w:rsid w:val="00FB2DAD"/>
    <w:rsid w:val="00FB2DB4"/>
    <w:rsid w:val="00FB2E38"/>
    <w:rsid w:val="00FB2ED0"/>
    <w:rsid w:val="00FB2EE9"/>
    <w:rsid w:val="00FB2F48"/>
    <w:rsid w:val="00FB2F8B"/>
    <w:rsid w:val="00FB2FC1"/>
    <w:rsid w:val="00FB2FD6"/>
    <w:rsid w:val="00FB3074"/>
    <w:rsid w:val="00FB30E7"/>
    <w:rsid w:val="00FB31F2"/>
    <w:rsid w:val="00FB323D"/>
    <w:rsid w:val="00FB3254"/>
    <w:rsid w:val="00FB326E"/>
    <w:rsid w:val="00FB3300"/>
    <w:rsid w:val="00FB332D"/>
    <w:rsid w:val="00FB349C"/>
    <w:rsid w:val="00FB34B7"/>
    <w:rsid w:val="00FB3565"/>
    <w:rsid w:val="00FB35CA"/>
    <w:rsid w:val="00FB362B"/>
    <w:rsid w:val="00FB3653"/>
    <w:rsid w:val="00FB36FD"/>
    <w:rsid w:val="00FB376C"/>
    <w:rsid w:val="00FB37B9"/>
    <w:rsid w:val="00FB37E5"/>
    <w:rsid w:val="00FB3826"/>
    <w:rsid w:val="00FB3989"/>
    <w:rsid w:val="00FB39AB"/>
    <w:rsid w:val="00FB39D2"/>
    <w:rsid w:val="00FB39F9"/>
    <w:rsid w:val="00FB3A05"/>
    <w:rsid w:val="00FB3A56"/>
    <w:rsid w:val="00FB3BA4"/>
    <w:rsid w:val="00FB3C09"/>
    <w:rsid w:val="00FB3D0A"/>
    <w:rsid w:val="00FB3D6C"/>
    <w:rsid w:val="00FB3DA5"/>
    <w:rsid w:val="00FB3DA8"/>
    <w:rsid w:val="00FB3DDA"/>
    <w:rsid w:val="00FB3F36"/>
    <w:rsid w:val="00FB3F3D"/>
    <w:rsid w:val="00FB406C"/>
    <w:rsid w:val="00FB4113"/>
    <w:rsid w:val="00FB4285"/>
    <w:rsid w:val="00FB428C"/>
    <w:rsid w:val="00FB42BB"/>
    <w:rsid w:val="00FB43AE"/>
    <w:rsid w:val="00FB43FF"/>
    <w:rsid w:val="00FB4419"/>
    <w:rsid w:val="00FB44AD"/>
    <w:rsid w:val="00FB45C1"/>
    <w:rsid w:val="00FB4602"/>
    <w:rsid w:val="00FB4661"/>
    <w:rsid w:val="00FB4719"/>
    <w:rsid w:val="00FB477F"/>
    <w:rsid w:val="00FB47F9"/>
    <w:rsid w:val="00FB4844"/>
    <w:rsid w:val="00FB48A8"/>
    <w:rsid w:val="00FB48BE"/>
    <w:rsid w:val="00FB4907"/>
    <w:rsid w:val="00FB4920"/>
    <w:rsid w:val="00FB49A1"/>
    <w:rsid w:val="00FB4A35"/>
    <w:rsid w:val="00FB4B8F"/>
    <w:rsid w:val="00FB4C3C"/>
    <w:rsid w:val="00FB4CA3"/>
    <w:rsid w:val="00FB4CCA"/>
    <w:rsid w:val="00FB4CD6"/>
    <w:rsid w:val="00FB4D78"/>
    <w:rsid w:val="00FB4DD3"/>
    <w:rsid w:val="00FB4DE6"/>
    <w:rsid w:val="00FB4EC6"/>
    <w:rsid w:val="00FB4F20"/>
    <w:rsid w:val="00FB4F78"/>
    <w:rsid w:val="00FB4F7A"/>
    <w:rsid w:val="00FB4F8C"/>
    <w:rsid w:val="00FB5000"/>
    <w:rsid w:val="00FB5006"/>
    <w:rsid w:val="00FB5095"/>
    <w:rsid w:val="00FB50DF"/>
    <w:rsid w:val="00FB5136"/>
    <w:rsid w:val="00FB51DF"/>
    <w:rsid w:val="00FB5224"/>
    <w:rsid w:val="00FB523C"/>
    <w:rsid w:val="00FB529E"/>
    <w:rsid w:val="00FB52CA"/>
    <w:rsid w:val="00FB52EF"/>
    <w:rsid w:val="00FB5313"/>
    <w:rsid w:val="00FB5352"/>
    <w:rsid w:val="00FB5376"/>
    <w:rsid w:val="00FB5402"/>
    <w:rsid w:val="00FB5505"/>
    <w:rsid w:val="00FB5594"/>
    <w:rsid w:val="00FB55D0"/>
    <w:rsid w:val="00FB5637"/>
    <w:rsid w:val="00FB5640"/>
    <w:rsid w:val="00FB5663"/>
    <w:rsid w:val="00FB56AB"/>
    <w:rsid w:val="00FB56FD"/>
    <w:rsid w:val="00FB5718"/>
    <w:rsid w:val="00FB57B3"/>
    <w:rsid w:val="00FB57C2"/>
    <w:rsid w:val="00FB5835"/>
    <w:rsid w:val="00FB5898"/>
    <w:rsid w:val="00FB58BA"/>
    <w:rsid w:val="00FB58EC"/>
    <w:rsid w:val="00FB594D"/>
    <w:rsid w:val="00FB5975"/>
    <w:rsid w:val="00FB599B"/>
    <w:rsid w:val="00FB5AB9"/>
    <w:rsid w:val="00FB5AC0"/>
    <w:rsid w:val="00FB5AC6"/>
    <w:rsid w:val="00FB5AEF"/>
    <w:rsid w:val="00FB5B18"/>
    <w:rsid w:val="00FB5B7A"/>
    <w:rsid w:val="00FB5C0E"/>
    <w:rsid w:val="00FB5C6E"/>
    <w:rsid w:val="00FB5C9E"/>
    <w:rsid w:val="00FB5CAE"/>
    <w:rsid w:val="00FB5CDB"/>
    <w:rsid w:val="00FB5CF0"/>
    <w:rsid w:val="00FB5CF7"/>
    <w:rsid w:val="00FB5D11"/>
    <w:rsid w:val="00FB5E56"/>
    <w:rsid w:val="00FB5EB7"/>
    <w:rsid w:val="00FB5F93"/>
    <w:rsid w:val="00FB5FC7"/>
    <w:rsid w:val="00FB6014"/>
    <w:rsid w:val="00FB6019"/>
    <w:rsid w:val="00FB609B"/>
    <w:rsid w:val="00FB61DE"/>
    <w:rsid w:val="00FB62A7"/>
    <w:rsid w:val="00FB632E"/>
    <w:rsid w:val="00FB638E"/>
    <w:rsid w:val="00FB63E3"/>
    <w:rsid w:val="00FB63E8"/>
    <w:rsid w:val="00FB646A"/>
    <w:rsid w:val="00FB6498"/>
    <w:rsid w:val="00FB64F2"/>
    <w:rsid w:val="00FB6566"/>
    <w:rsid w:val="00FB6616"/>
    <w:rsid w:val="00FB6641"/>
    <w:rsid w:val="00FB66ED"/>
    <w:rsid w:val="00FB67BA"/>
    <w:rsid w:val="00FB67D9"/>
    <w:rsid w:val="00FB689B"/>
    <w:rsid w:val="00FB68B5"/>
    <w:rsid w:val="00FB68BA"/>
    <w:rsid w:val="00FB68C0"/>
    <w:rsid w:val="00FB690C"/>
    <w:rsid w:val="00FB695D"/>
    <w:rsid w:val="00FB69B7"/>
    <w:rsid w:val="00FB6AD8"/>
    <w:rsid w:val="00FB6B56"/>
    <w:rsid w:val="00FB6BB8"/>
    <w:rsid w:val="00FB6C16"/>
    <w:rsid w:val="00FB6D20"/>
    <w:rsid w:val="00FB6E0A"/>
    <w:rsid w:val="00FB6E43"/>
    <w:rsid w:val="00FB6EE0"/>
    <w:rsid w:val="00FB6EEB"/>
    <w:rsid w:val="00FB7038"/>
    <w:rsid w:val="00FB70C2"/>
    <w:rsid w:val="00FB7124"/>
    <w:rsid w:val="00FB71E0"/>
    <w:rsid w:val="00FB721F"/>
    <w:rsid w:val="00FB7269"/>
    <w:rsid w:val="00FB7322"/>
    <w:rsid w:val="00FB7350"/>
    <w:rsid w:val="00FB736D"/>
    <w:rsid w:val="00FB7387"/>
    <w:rsid w:val="00FB7393"/>
    <w:rsid w:val="00FB73F2"/>
    <w:rsid w:val="00FB740C"/>
    <w:rsid w:val="00FB7499"/>
    <w:rsid w:val="00FB74D9"/>
    <w:rsid w:val="00FB74E3"/>
    <w:rsid w:val="00FB751B"/>
    <w:rsid w:val="00FB753E"/>
    <w:rsid w:val="00FB75D3"/>
    <w:rsid w:val="00FB7608"/>
    <w:rsid w:val="00FB761D"/>
    <w:rsid w:val="00FB76E9"/>
    <w:rsid w:val="00FB7784"/>
    <w:rsid w:val="00FB77AD"/>
    <w:rsid w:val="00FB77FE"/>
    <w:rsid w:val="00FB784B"/>
    <w:rsid w:val="00FB7933"/>
    <w:rsid w:val="00FB7977"/>
    <w:rsid w:val="00FB7A93"/>
    <w:rsid w:val="00FB7AD1"/>
    <w:rsid w:val="00FB7B4A"/>
    <w:rsid w:val="00FB7B91"/>
    <w:rsid w:val="00FB7BC0"/>
    <w:rsid w:val="00FB7C51"/>
    <w:rsid w:val="00FB7DC6"/>
    <w:rsid w:val="00FB7DC8"/>
    <w:rsid w:val="00FB7DDD"/>
    <w:rsid w:val="00FB7E16"/>
    <w:rsid w:val="00FB7EF2"/>
    <w:rsid w:val="00FB7F22"/>
    <w:rsid w:val="00FB7F9E"/>
    <w:rsid w:val="00FB7FD5"/>
    <w:rsid w:val="00FC006A"/>
    <w:rsid w:val="00FC0192"/>
    <w:rsid w:val="00FC027B"/>
    <w:rsid w:val="00FC0280"/>
    <w:rsid w:val="00FC02DF"/>
    <w:rsid w:val="00FC0454"/>
    <w:rsid w:val="00FC04A5"/>
    <w:rsid w:val="00FC04B5"/>
    <w:rsid w:val="00FC04E6"/>
    <w:rsid w:val="00FC062D"/>
    <w:rsid w:val="00FC066C"/>
    <w:rsid w:val="00FC07E0"/>
    <w:rsid w:val="00FC0869"/>
    <w:rsid w:val="00FC0941"/>
    <w:rsid w:val="00FC095A"/>
    <w:rsid w:val="00FC099A"/>
    <w:rsid w:val="00FC0A71"/>
    <w:rsid w:val="00FC0A73"/>
    <w:rsid w:val="00FC0B94"/>
    <w:rsid w:val="00FC0C70"/>
    <w:rsid w:val="00FC0C86"/>
    <w:rsid w:val="00FC0CFB"/>
    <w:rsid w:val="00FC0D03"/>
    <w:rsid w:val="00FC0D5A"/>
    <w:rsid w:val="00FC0DE5"/>
    <w:rsid w:val="00FC0E38"/>
    <w:rsid w:val="00FC0EAE"/>
    <w:rsid w:val="00FC0F98"/>
    <w:rsid w:val="00FC0FCD"/>
    <w:rsid w:val="00FC0FD3"/>
    <w:rsid w:val="00FC114F"/>
    <w:rsid w:val="00FC122B"/>
    <w:rsid w:val="00FC1354"/>
    <w:rsid w:val="00FC13C6"/>
    <w:rsid w:val="00FC141D"/>
    <w:rsid w:val="00FC15E7"/>
    <w:rsid w:val="00FC164A"/>
    <w:rsid w:val="00FC1698"/>
    <w:rsid w:val="00FC16CD"/>
    <w:rsid w:val="00FC17B9"/>
    <w:rsid w:val="00FC1867"/>
    <w:rsid w:val="00FC1977"/>
    <w:rsid w:val="00FC197E"/>
    <w:rsid w:val="00FC19B3"/>
    <w:rsid w:val="00FC1AC8"/>
    <w:rsid w:val="00FC1ADE"/>
    <w:rsid w:val="00FC1AFC"/>
    <w:rsid w:val="00FC1BB3"/>
    <w:rsid w:val="00FC1CC3"/>
    <w:rsid w:val="00FC1CCB"/>
    <w:rsid w:val="00FC1DA9"/>
    <w:rsid w:val="00FC1E0F"/>
    <w:rsid w:val="00FC1E5F"/>
    <w:rsid w:val="00FC1E71"/>
    <w:rsid w:val="00FC1EC7"/>
    <w:rsid w:val="00FC1F5E"/>
    <w:rsid w:val="00FC1F71"/>
    <w:rsid w:val="00FC2077"/>
    <w:rsid w:val="00FC2182"/>
    <w:rsid w:val="00FC2198"/>
    <w:rsid w:val="00FC21E2"/>
    <w:rsid w:val="00FC2279"/>
    <w:rsid w:val="00FC22FF"/>
    <w:rsid w:val="00FC2396"/>
    <w:rsid w:val="00FC24DF"/>
    <w:rsid w:val="00FC24F4"/>
    <w:rsid w:val="00FC250D"/>
    <w:rsid w:val="00FC254E"/>
    <w:rsid w:val="00FC256E"/>
    <w:rsid w:val="00FC2657"/>
    <w:rsid w:val="00FC274B"/>
    <w:rsid w:val="00FC2825"/>
    <w:rsid w:val="00FC283C"/>
    <w:rsid w:val="00FC285C"/>
    <w:rsid w:val="00FC28A5"/>
    <w:rsid w:val="00FC28F0"/>
    <w:rsid w:val="00FC292A"/>
    <w:rsid w:val="00FC295F"/>
    <w:rsid w:val="00FC2993"/>
    <w:rsid w:val="00FC2A12"/>
    <w:rsid w:val="00FC2A24"/>
    <w:rsid w:val="00FC2A90"/>
    <w:rsid w:val="00FC2B41"/>
    <w:rsid w:val="00FC2C35"/>
    <w:rsid w:val="00FC2C95"/>
    <w:rsid w:val="00FC2CA3"/>
    <w:rsid w:val="00FC2D68"/>
    <w:rsid w:val="00FC2D77"/>
    <w:rsid w:val="00FC2DB2"/>
    <w:rsid w:val="00FC2DFD"/>
    <w:rsid w:val="00FC2E50"/>
    <w:rsid w:val="00FC2EA1"/>
    <w:rsid w:val="00FC2F0B"/>
    <w:rsid w:val="00FC2F19"/>
    <w:rsid w:val="00FC2F1E"/>
    <w:rsid w:val="00FC2F27"/>
    <w:rsid w:val="00FC2F2C"/>
    <w:rsid w:val="00FC2F6F"/>
    <w:rsid w:val="00FC2FBB"/>
    <w:rsid w:val="00FC303F"/>
    <w:rsid w:val="00FC30B3"/>
    <w:rsid w:val="00FC30D5"/>
    <w:rsid w:val="00FC310C"/>
    <w:rsid w:val="00FC31A1"/>
    <w:rsid w:val="00FC31C9"/>
    <w:rsid w:val="00FC31E5"/>
    <w:rsid w:val="00FC3211"/>
    <w:rsid w:val="00FC3294"/>
    <w:rsid w:val="00FC3306"/>
    <w:rsid w:val="00FC3315"/>
    <w:rsid w:val="00FC337F"/>
    <w:rsid w:val="00FC33E2"/>
    <w:rsid w:val="00FC33E8"/>
    <w:rsid w:val="00FC345A"/>
    <w:rsid w:val="00FC34B6"/>
    <w:rsid w:val="00FC34C2"/>
    <w:rsid w:val="00FC34DE"/>
    <w:rsid w:val="00FC351D"/>
    <w:rsid w:val="00FC3556"/>
    <w:rsid w:val="00FC35BA"/>
    <w:rsid w:val="00FC35CC"/>
    <w:rsid w:val="00FC361F"/>
    <w:rsid w:val="00FC3634"/>
    <w:rsid w:val="00FC3676"/>
    <w:rsid w:val="00FC3698"/>
    <w:rsid w:val="00FC36A0"/>
    <w:rsid w:val="00FC36A9"/>
    <w:rsid w:val="00FC370E"/>
    <w:rsid w:val="00FC3717"/>
    <w:rsid w:val="00FC379B"/>
    <w:rsid w:val="00FC3857"/>
    <w:rsid w:val="00FC3861"/>
    <w:rsid w:val="00FC38B0"/>
    <w:rsid w:val="00FC38C2"/>
    <w:rsid w:val="00FC3903"/>
    <w:rsid w:val="00FC3904"/>
    <w:rsid w:val="00FC3943"/>
    <w:rsid w:val="00FC3971"/>
    <w:rsid w:val="00FC39A9"/>
    <w:rsid w:val="00FC3A52"/>
    <w:rsid w:val="00FC3A69"/>
    <w:rsid w:val="00FC3AA2"/>
    <w:rsid w:val="00FC3B28"/>
    <w:rsid w:val="00FC3B2D"/>
    <w:rsid w:val="00FC3BFC"/>
    <w:rsid w:val="00FC3CA8"/>
    <w:rsid w:val="00FC3CD8"/>
    <w:rsid w:val="00FC3D2E"/>
    <w:rsid w:val="00FC3D6D"/>
    <w:rsid w:val="00FC3D75"/>
    <w:rsid w:val="00FC3DC3"/>
    <w:rsid w:val="00FC3DFC"/>
    <w:rsid w:val="00FC3E7D"/>
    <w:rsid w:val="00FC3EB2"/>
    <w:rsid w:val="00FC400F"/>
    <w:rsid w:val="00FC4029"/>
    <w:rsid w:val="00FC4128"/>
    <w:rsid w:val="00FC41A3"/>
    <w:rsid w:val="00FC41FD"/>
    <w:rsid w:val="00FC4211"/>
    <w:rsid w:val="00FC4284"/>
    <w:rsid w:val="00FC42B8"/>
    <w:rsid w:val="00FC431B"/>
    <w:rsid w:val="00FC43B7"/>
    <w:rsid w:val="00FC44ED"/>
    <w:rsid w:val="00FC4568"/>
    <w:rsid w:val="00FC470D"/>
    <w:rsid w:val="00FC4744"/>
    <w:rsid w:val="00FC4896"/>
    <w:rsid w:val="00FC48DE"/>
    <w:rsid w:val="00FC4936"/>
    <w:rsid w:val="00FC495E"/>
    <w:rsid w:val="00FC4974"/>
    <w:rsid w:val="00FC497D"/>
    <w:rsid w:val="00FC49AC"/>
    <w:rsid w:val="00FC4A72"/>
    <w:rsid w:val="00FC4AEA"/>
    <w:rsid w:val="00FC4B51"/>
    <w:rsid w:val="00FC4B72"/>
    <w:rsid w:val="00FC4BE2"/>
    <w:rsid w:val="00FC4D4E"/>
    <w:rsid w:val="00FC4D74"/>
    <w:rsid w:val="00FC4DCB"/>
    <w:rsid w:val="00FC4DFA"/>
    <w:rsid w:val="00FC4E16"/>
    <w:rsid w:val="00FC4F6A"/>
    <w:rsid w:val="00FC5023"/>
    <w:rsid w:val="00FC505E"/>
    <w:rsid w:val="00FC5088"/>
    <w:rsid w:val="00FC50A9"/>
    <w:rsid w:val="00FC50F1"/>
    <w:rsid w:val="00FC52E6"/>
    <w:rsid w:val="00FC53B9"/>
    <w:rsid w:val="00FC53DE"/>
    <w:rsid w:val="00FC53EE"/>
    <w:rsid w:val="00FC542C"/>
    <w:rsid w:val="00FC54B3"/>
    <w:rsid w:val="00FC54F1"/>
    <w:rsid w:val="00FC54F9"/>
    <w:rsid w:val="00FC5517"/>
    <w:rsid w:val="00FC5522"/>
    <w:rsid w:val="00FC5610"/>
    <w:rsid w:val="00FC564E"/>
    <w:rsid w:val="00FC56C8"/>
    <w:rsid w:val="00FC5721"/>
    <w:rsid w:val="00FC5742"/>
    <w:rsid w:val="00FC584A"/>
    <w:rsid w:val="00FC5938"/>
    <w:rsid w:val="00FC59C2"/>
    <w:rsid w:val="00FC59DF"/>
    <w:rsid w:val="00FC59E0"/>
    <w:rsid w:val="00FC5A6D"/>
    <w:rsid w:val="00FC5AFA"/>
    <w:rsid w:val="00FC5B0B"/>
    <w:rsid w:val="00FC5B68"/>
    <w:rsid w:val="00FC5BD6"/>
    <w:rsid w:val="00FC5C31"/>
    <w:rsid w:val="00FC5C38"/>
    <w:rsid w:val="00FC5C46"/>
    <w:rsid w:val="00FC5C5A"/>
    <w:rsid w:val="00FC5CC2"/>
    <w:rsid w:val="00FC5CFF"/>
    <w:rsid w:val="00FC5D8E"/>
    <w:rsid w:val="00FC5DA7"/>
    <w:rsid w:val="00FC5E60"/>
    <w:rsid w:val="00FC5E67"/>
    <w:rsid w:val="00FC604B"/>
    <w:rsid w:val="00FC60A2"/>
    <w:rsid w:val="00FC60B9"/>
    <w:rsid w:val="00FC60BC"/>
    <w:rsid w:val="00FC6155"/>
    <w:rsid w:val="00FC61F2"/>
    <w:rsid w:val="00FC6270"/>
    <w:rsid w:val="00FC62CA"/>
    <w:rsid w:val="00FC633B"/>
    <w:rsid w:val="00FC63A7"/>
    <w:rsid w:val="00FC63AC"/>
    <w:rsid w:val="00FC63C5"/>
    <w:rsid w:val="00FC63D5"/>
    <w:rsid w:val="00FC643D"/>
    <w:rsid w:val="00FC644C"/>
    <w:rsid w:val="00FC6473"/>
    <w:rsid w:val="00FC65DD"/>
    <w:rsid w:val="00FC65FF"/>
    <w:rsid w:val="00FC663D"/>
    <w:rsid w:val="00FC6682"/>
    <w:rsid w:val="00FC66BE"/>
    <w:rsid w:val="00FC6761"/>
    <w:rsid w:val="00FC67A5"/>
    <w:rsid w:val="00FC67C5"/>
    <w:rsid w:val="00FC6874"/>
    <w:rsid w:val="00FC68E8"/>
    <w:rsid w:val="00FC69D8"/>
    <w:rsid w:val="00FC6BA7"/>
    <w:rsid w:val="00FC6BDE"/>
    <w:rsid w:val="00FC6C1B"/>
    <w:rsid w:val="00FC6C21"/>
    <w:rsid w:val="00FC6C3A"/>
    <w:rsid w:val="00FC6CAD"/>
    <w:rsid w:val="00FC6CE0"/>
    <w:rsid w:val="00FC6CF9"/>
    <w:rsid w:val="00FC6D33"/>
    <w:rsid w:val="00FC6D4C"/>
    <w:rsid w:val="00FC6D7C"/>
    <w:rsid w:val="00FC6DBA"/>
    <w:rsid w:val="00FC6E08"/>
    <w:rsid w:val="00FC6E33"/>
    <w:rsid w:val="00FC6E41"/>
    <w:rsid w:val="00FC6F03"/>
    <w:rsid w:val="00FC700A"/>
    <w:rsid w:val="00FC700D"/>
    <w:rsid w:val="00FC701A"/>
    <w:rsid w:val="00FC7043"/>
    <w:rsid w:val="00FC71EA"/>
    <w:rsid w:val="00FC7294"/>
    <w:rsid w:val="00FC7305"/>
    <w:rsid w:val="00FC739C"/>
    <w:rsid w:val="00FC73A1"/>
    <w:rsid w:val="00FC7432"/>
    <w:rsid w:val="00FC743D"/>
    <w:rsid w:val="00FC7474"/>
    <w:rsid w:val="00FC74D2"/>
    <w:rsid w:val="00FC74D8"/>
    <w:rsid w:val="00FC74FB"/>
    <w:rsid w:val="00FC75F3"/>
    <w:rsid w:val="00FC7606"/>
    <w:rsid w:val="00FC76CE"/>
    <w:rsid w:val="00FC76EA"/>
    <w:rsid w:val="00FC76F4"/>
    <w:rsid w:val="00FC7870"/>
    <w:rsid w:val="00FC7930"/>
    <w:rsid w:val="00FC7942"/>
    <w:rsid w:val="00FC7958"/>
    <w:rsid w:val="00FC79B2"/>
    <w:rsid w:val="00FC79CF"/>
    <w:rsid w:val="00FC7A46"/>
    <w:rsid w:val="00FC7A6B"/>
    <w:rsid w:val="00FC7CA7"/>
    <w:rsid w:val="00FC7CCE"/>
    <w:rsid w:val="00FC7D37"/>
    <w:rsid w:val="00FC7D68"/>
    <w:rsid w:val="00FC7D74"/>
    <w:rsid w:val="00FC7DCB"/>
    <w:rsid w:val="00FC7E39"/>
    <w:rsid w:val="00FC7E7F"/>
    <w:rsid w:val="00FC7EDC"/>
    <w:rsid w:val="00FC7F4E"/>
    <w:rsid w:val="00FC7FDE"/>
    <w:rsid w:val="00FD0059"/>
    <w:rsid w:val="00FD018F"/>
    <w:rsid w:val="00FD01A9"/>
    <w:rsid w:val="00FD01E9"/>
    <w:rsid w:val="00FD0311"/>
    <w:rsid w:val="00FD0362"/>
    <w:rsid w:val="00FD03BF"/>
    <w:rsid w:val="00FD03D7"/>
    <w:rsid w:val="00FD0433"/>
    <w:rsid w:val="00FD046D"/>
    <w:rsid w:val="00FD04DB"/>
    <w:rsid w:val="00FD05C7"/>
    <w:rsid w:val="00FD05E2"/>
    <w:rsid w:val="00FD05E7"/>
    <w:rsid w:val="00FD0651"/>
    <w:rsid w:val="00FD0711"/>
    <w:rsid w:val="00FD0729"/>
    <w:rsid w:val="00FD0770"/>
    <w:rsid w:val="00FD078F"/>
    <w:rsid w:val="00FD0837"/>
    <w:rsid w:val="00FD08B1"/>
    <w:rsid w:val="00FD08E0"/>
    <w:rsid w:val="00FD095E"/>
    <w:rsid w:val="00FD09BE"/>
    <w:rsid w:val="00FD0A1D"/>
    <w:rsid w:val="00FD0AAB"/>
    <w:rsid w:val="00FD0B2E"/>
    <w:rsid w:val="00FD0B40"/>
    <w:rsid w:val="00FD0B6B"/>
    <w:rsid w:val="00FD0BEC"/>
    <w:rsid w:val="00FD0C38"/>
    <w:rsid w:val="00FD0C4E"/>
    <w:rsid w:val="00FD0D1F"/>
    <w:rsid w:val="00FD0D42"/>
    <w:rsid w:val="00FD0E67"/>
    <w:rsid w:val="00FD0E7E"/>
    <w:rsid w:val="00FD0E9B"/>
    <w:rsid w:val="00FD0EA3"/>
    <w:rsid w:val="00FD10F5"/>
    <w:rsid w:val="00FD11A1"/>
    <w:rsid w:val="00FD1317"/>
    <w:rsid w:val="00FD1382"/>
    <w:rsid w:val="00FD13D6"/>
    <w:rsid w:val="00FD1401"/>
    <w:rsid w:val="00FD144B"/>
    <w:rsid w:val="00FD1480"/>
    <w:rsid w:val="00FD14A9"/>
    <w:rsid w:val="00FD1504"/>
    <w:rsid w:val="00FD1533"/>
    <w:rsid w:val="00FD153E"/>
    <w:rsid w:val="00FD1541"/>
    <w:rsid w:val="00FD1583"/>
    <w:rsid w:val="00FD15A8"/>
    <w:rsid w:val="00FD167E"/>
    <w:rsid w:val="00FD1685"/>
    <w:rsid w:val="00FD16A0"/>
    <w:rsid w:val="00FD16B6"/>
    <w:rsid w:val="00FD16BA"/>
    <w:rsid w:val="00FD1756"/>
    <w:rsid w:val="00FD184B"/>
    <w:rsid w:val="00FD189B"/>
    <w:rsid w:val="00FD1913"/>
    <w:rsid w:val="00FD195A"/>
    <w:rsid w:val="00FD19F5"/>
    <w:rsid w:val="00FD1A34"/>
    <w:rsid w:val="00FD1A59"/>
    <w:rsid w:val="00FD1A62"/>
    <w:rsid w:val="00FD1A8A"/>
    <w:rsid w:val="00FD1AC6"/>
    <w:rsid w:val="00FD1B15"/>
    <w:rsid w:val="00FD1BB5"/>
    <w:rsid w:val="00FD1C33"/>
    <w:rsid w:val="00FD1D09"/>
    <w:rsid w:val="00FD1E26"/>
    <w:rsid w:val="00FD1E6A"/>
    <w:rsid w:val="00FD1EBE"/>
    <w:rsid w:val="00FD1ED5"/>
    <w:rsid w:val="00FD1F3D"/>
    <w:rsid w:val="00FD1F52"/>
    <w:rsid w:val="00FD1F9C"/>
    <w:rsid w:val="00FD1FCE"/>
    <w:rsid w:val="00FD1FFA"/>
    <w:rsid w:val="00FD2076"/>
    <w:rsid w:val="00FD20BF"/>
    <w:rsid w:val="00FD20C1"/>
    <w:rsid w:val="00FD219F"/>
    <w:rsid w:val="00FD221D"/>
    <w:rsid w:val="00FD2240"/>
    <w:rsid w:val="00FD2263"/>
    <w:rsid w:val="00FD22BA"/>
    <w:rsid w:val="00FD2371"/>
    <w:rsid w:val="00FD2396"/>
    <w:rsid w:val="00FD2412"/>
    <w:rsid w:val="00FD2425"/>
    <w:rsid w:val="00FD24B5"/>
    <w:rsid w:val="00FD256F"/>
    <w:rsid w:val="00FD25A9"/>
    <w:rsid w:val="00FD25D9"/>
    <w:rsid w:val="00FD25F1"/>
    <w:rsid w:val="00FD262A"/>
    <w:rsid w:val="00FD2674"/>
    <w:rsid w:val="00FD26AB"/>
    <w:rsid w:val="00FD2728"/>
    <w:rsid w:val="00FD274B"/>
    <w:rsid w:val="00FD2768"/>
    <w:rsid w:val="00FD2873"/>
    <w:rsid w:val="00FD2918"/>
    <w:rsid w:val="00FD29B6"/>
    <w:rsid w:val="00FD2A0A"/>
    <w:rsid w:val="00FD2A63"/>
    <w:rsid w:val="00FD2AF4"/>
    <w:rsid w:val="00FD2B21"/>
    <w:rsid w:val="00FD2BC6"/>
    <w:rsid w:val="00FD2C95"/>
    <w:rsid w:val="00FD2D8A"/>
    <w:rsid w:val="00FD2DB2"/>
    <w:rsid w:val="00FD2E4A"/>
    <w:rsid w:val="00FD2F70"/>
    <w:rsid w:val="00FD2FCB"/>
    <w:rsid w:val="00FD2FE6"/>
    <w:rsid w:val="00FD2FE7"/>
    <w:rsid w:val="00FD30A8"/>
    <w:rsid w:val="00FD3250"/>
    <w:rsid w:val="00FD326B"/>
    <w:rsid w:val="00FD3321"/>
    <w:rsid w:val="00FD3338"/>
    <w:rsid w:val="00FD33F5"/>
    <w:rsid w:val="00FD3450"/>
    <w:rsid w:val="00FD3463"/>
    <w:rsid w:val="00FD34CE"/>
    <w:rsid w:val="00FD3551"/>
    <w:rsid w:val="00FD3569"/>
    <w:rsid w:val="00FD35C7"/>
    <w:rsid w:val="00FD360A"/>
    <w:rsid w:val="00FD36EB"/>
    <w:rsid w:val="00FD393C"/>
    <w:rsid w:val="00FD3B29"/>
    <w:rsid w:val="00FD3BD5"/>
    <w:rsid w:val="00FD3BEA"/>
    <w:rsid w:val="00FD3C7A"/>
    <w:rsid w:val="00FD3CCA"/>
    <w:rsid w:val="00FD3CE9"/>
    <w:rsid w:val="00FD3DB9"/>
    <w:rsid w:val="00FD3DDB"/>
    <w:rsid w:val="00FD3E14"/>
    <w:rsid w:val="00FD3E78"/>
    <w:rsid w:val="00FD3E84"/>
    <w:rsid w:val="00FD3EEC"/>
    <w:rsid w:val="00FD3EFD"/>
    <w:rsid w:val="00FD404B"/>
    <w:rsid w:val="00FD4126"/>
    <w:rsid w:val="00FD412F"/>
    <w:rsid w:val="00FD41AE"/>
    <w:rsid w:val="00FD4200"/>
    <w:rsid w:val="00FD4218"/>
    <w:rsid w:val="00FD42DE"/>
    <w:rsid w:val="00FD4334"/>
    <w:rsid w:val="00FD433E"/>
    <w:rsid w:val="00FD44C4"/>
    <w:rsid w:val="00FD450B"/>
    <w:rsid w:val="00FD4536"/>
    <w:rsid w:val="00FD4598"/>
    <w:rsid w:val="00FD45D3"/>
    <w:rsid w:val="00FD461A"/>
    <w:rsid w:val="00FD4633"/>
    <w:rsid w:val="00FD4641"/>
    <w:rsid w:val="00FD4644"/>
    <w:rsid w:val="00FD4660"/>
    <w:rsid w:val="00FD4724"/>
    <w:rsid w:val="00FD4743"/>
    <w:rsid w:val="00FD47C4"/>
    <w:rsid w:val="00FD4835"/>
    <w:rsid w:val="00FD4908"/>
    <w:rsid w:val="00FD4916"/>
    <w:rsid w:val="00FD4994"/>
    <w:rsid w:val="00FD4AEB"/>
    <w:rsid w:val="00FD4C40"/>
    <w:rsid w:val="00FD4C44"/>
    <w:rsid w:val="00FD4EB6"/>
    <w:rsid w:val="00FD4F31"/>
    <w:rsid w:val="00FD4F55"/>
    <w:rsid w:val="00FD4FDF"/>
    <w:rsid w:val="00FD5090"/>
    <w:rsid w:val="00FD50E9"/>
    <w:rsid w:val="00FD5118"/>
    <w:rsid w:val="00FD512E"/>
    <w:rsid w:val="00FD51A0"/>
    <w:rsid w:val="00FD51E6"/>
    <w:rsid w:val="00FD5220"/>
    <w:rsid w:val="00FD5251"/>
    <w:rsid w:val="00FD527D"/>
    <w:rsid w:val="00FD52E8"/>
    <w:rsid w:val="00FD536E"/>
    <w:rsid w:val="00FD537C"/>
    <w:rsid w:val="00FD53C6"/>
    <w:rsid w:val="00FD53E5"/>
    <w:rsid w:val="00FD540D"/>
    <w:rsid w:val="00FD5416"/>
    <w:rsid w:val="00FD5424"/>
    <w:rsid w:val="00FD543B"/>
    <w:rsid w:val="00FD544A"/>
    <w:rsid w:val="00FD54C0"/>
    <w:rsid w:val="00FD54E7"/>
    <w:rsid w:val="00FD5625"/>
    <w:rsid w:val="00FD5706"/>
    <w:rsid w:val="00FD57F2"/>
    <w:rsid w:val="00FD5801"/>
    <w:rsid w:val="00FD5804"/>
    <w:rsid w:val="00FD5822"/>
    <w:rsid w:val="00FD583D"/>
    <w:rsid w:val="00FD587A"/>
    <w:rsid w:val="00FD59D4"/>
    <w:rsid w:val="00FD5A3A"/>
    <w:rsid w:val="00FD5AE9"/>
    <w:rsid w:val="00FD5B4E"/>
    <w:rsid w:val="00FD5B8C"/>
    <w:rsid w:val="00FD5B90"/>
    <w:rsid w:val="00FD5BCE"/>
    <w:rsid w:val="00FD5BDA"/>
    <w:rsid w:val="00FD5C05"/>
    <w:rsid w:val="00FD5C8F"/>
    <w:rsid w:val="00FD5C9F"/>
    <w:rsid w:val="00FD5CD3"/>
    <w:rsid w:val="00FD5D07"/>
    <w:rsid w:val="00FD6035"/>
    <w:rsid w:val="00FD6064"/>
    <w:rsid w:val="00FD6088"/>
    <w:rsid w:val="00FD60AE"/>
    <w:rsid w:val="00FD60ED"/>
    <w:rsid w:val="00FD615E"/>
    <w:rsid w:val="00FD61D1"/>
    <w:rsid w:val="00FD6258"/>
    <w:rsid w:val="00FD625D"/>
    <w:rsid w:val="00FD6294"/>
    <w:rsid w:val="00FD629C"/>
    <w:rsid w:val="00FD6409"/>
    <w:rsid w:val="00FD641A"/>
    <w:rsid w:val="00FD64A2"/>
    <w:rsid w:val="00FD6556"/>
    <w:rsid w:val="00FD6676"/>
    <w:rsid w:val="00FD6693"/>
    <w:rsid w:val="00FD66B5"/>
    <w:rsid w:val="00FD6721"/>
    <w:rsid w:val="00FD67B4"/>
    <w:rsid w:val="00FD67CB"/>
    <w:rsid w:val="00FD685A"/>
    <w:rsid w:val="00FD68D1"/>
    <w:rsid w:val="00FD6A02"/>
    <w:rsid w:val="00FD6A41"/>
    <w:rsid w:val="00FD6A88"/>
    <w:rsid w:val="00FD6AB0"/>
    <w:rsid w:val="00FD6BFB"/>
    <w:rsid w:val="00FD6C0C"/>
    <w:rsid w:val="00FD6C7F"/>
    <w:rsid w:val="00FD6CC9"/>
    <w:rsid w:val="00FD6CCC"/>
    <w:rsid w:val="00FD6CE4"/>
    <w:rsid w:val="00FD6D5C"/>
    <w:rsid w:val="00FD6DE3"/>
    <w:rsid w:val="00FD6EB3"/>
    <w:rsid w:val="00FD6F4A"/>
    <w:rsid w:val="00FD6FE4"/>
    <w:rsid w:val="00FD70CD"/>
    <w:rsid w:val="00FD70FB"/>
    <w:rsid w:val="00FD7119"/>
    <w:rsid w:val="00FD7140"/>
    <w:rsid w:val="00FD7147"/>
    <w:rsid w:val="00FD720F"/>
    <w:rsid w:val="00FD7259"/>
    <w:rsid w:val="00FD7274"/>
    <w:rsid w:val="00FD728A"/>
    <w:rsid w:val="00FD72AD"/>
    <w:rsid w:val="00FD7336"/>
    <w:rsid w:val="00FD7366"/>
    <w:rsid w:val="00FD73B2"/>
    <w:rsid w:val="00FD73C1"/>
    <w:rsid w:val="00FD73DC"/>
    <w:rsid w:val="00FD744F"/>
    <w:rsid w:val="00FD752B"/>
    <w:rsid w:val="00FD7696"/>
    <w:rsid w:val="00FD778F"/>
    <w:rsid w:val="00FD77B2"/>
    <w:rsid w:val="00FD77FA"/>
    <w:rsid w:val="00FD782D"/>
    <w:rsid w:val="00FD78BD"/>
    <w:rsid w:val="00FD78C4"/>
    <w:rsid w:val="00FD7940"/>
    <w:rsid w:val="00FD794A"/>
    <w:rsid w:val="00FD7966"/>
    <w:rsid w:val="00FD79FF"/>
    <w:rsid w:val="00FD7A29"/>
    <w:rsid w:val="00FD7AB3"/>
    <w:rsid w:val="00FD7AE9"/>
    <w:rsid w:val="00FD7AF1"/>
    <w:rsid w:val="00FD7AF6"/>
    <w:rsid w:val="00FD7B0E"/>
    <w:rsid w:val="00FD7BC8"/>
    <w:rsid w:val="00FD7C2D"/>
    <w:rsid w:val="00FD7C39"/>
    <w:rsid w:val="00FD7C43"/>
    <w:rsid w:val="00FD7C9A"/>
    <w:rsid w:val="00FD7CDA"/>
    <w:rsid w:val="00FD7CE2"/>
    <w:rsid w:val="00FD7CF4"/>
    <w:rsid w:val="00FD7D44"/>
    <w:rsid w:val="00FD7D4B"/>
    <w:rsid w:val="00FD7D50"/>
    <w:rsid w:val="00FD7D81"/>
    <w:rsid w:val="00FD7DA0"/>
    <w:rsid w:val="00FD7DCB"/>
    <w:rsid w:val="00FD7DD3"/>
    <w:rsid w:val="00FD7DDE"/>
    <w:rsid w:val="00FD7E6F"/>
    <w:rsid w:val="00FD7EC1"/>
    <w:rsid w:val="00FD7EEC"/>
    <w:rsid w:val="00FD7EF9"/>
    <w:rsid w:val="00FD7F3A"/>
    <w:rsid w:val="00FD7F6B"/>
    <w:rsid w:val="00FD7F7F"/>
    <w:rsid w:val="00FE0026"/>
    <w:rsid w:val="00FE002C"/>
    <w:rsid w:val="00FE003E"/>
    <w:rsid w:val="00FE0041"/>
    <w:rsid w:val="00FE011C"/>
    <w:rsid w:val="00FE015D"/>
    <w:rsid w:val="00FE0267"/>
    <w:rsid w:val="00FE0324"/>
    <w:rsid w:val="00FE038B"/>
    <w:rsid w:val="00FE03B6"/>
    <w:rsid w:val="00FE0447"/>
    <w:rsid w:val="00FE045A"/>
    <w:rsid w:val="00FE0485"/>
    <w:rsid w:val="00FE04E8"/>
    <w:rsid w:val="00FE0582"/>
    <w:rsid w:val="00FE063B"/>
    <w:rsid w:val="00FE0660"/>
    <w:rsid w:val="00FE06B7"/>
    <w:rsid w:val="00FE074E"/>
    <w:rsid w:val="00FE0785"/>
    <w:rsid w:val="00FE0842"/>
    <w:rsid w:val="00FE0926"/>
    <w:rsid w:val="00FE094F"/>
    <w:rsid w:val="00FE0A34"/>
    <w:rsid w:val="00FE0A8D"/>
    <w:rsid w:val="00FE0A9A"/>
    <w:rsid w:val="00FE0B47"/>
    <w:rsid w:val="00FE0BBE"/>
    <w:rsid w:val="00FE0C76"/>
    <w:rsid w:val="00FE0CF5"/>
    <w:rsid w:val="00FE0DAF"/>
    <w:rsid w:val="00FE0F16"/>
    <w:rsid w:val="00FE0F20"/>
    <w:rsid w:val="00FE0FD6"/>
    <w:rsid w:val="00FE102D"/>
    <w:rsid w:val="00FE105C"/>
    <w:rsid w:val="00FE1062"/>
    <w:rsid w:val="00FE10C3"/>
    <w:rsid w:val="00FE112D"/>
    <w:rsid w:val="00FE114B"/>
    <w:rsid w:val="00FE11AC"/>
    <w:rsid w:val="00FE11E7"/>
    <w:rsid w:val="00FE126E"/>
    <w:rsid w:val="00FE1313"/>
    <w:rsid w:val="00FE136E"/>
    <w:rsid w:val="00FE1375"/>
    <w:rsid w:val="00FE1400"/>
    <w:rsid w:val="00FE14A4"/>
    <w:rsid w:val="00FE14DD"/>
    <w:rsid w:val="00FE1539"/>
    <w:rsid w:val="00FE1575"/>
    <w:rsid w:val="00FE1581"/>
    <w:rsid w:val="00FE158F"/>
    <w:rsid w:val="00FE15C8"/>
    <w:rsid w:val="00FE15F7"/>
    <w:rsid w:val="00FE15F8"/>
    <w:rsid w:val="00FE16A0"/>
    <w:rsid w:val="00FE16F6"/>
    <w:rsid w:val="00FE17C0"/>
    <w:rsid w:val="00FE1916"/>
    <w:rsid w:val="00FE1924"/>
    <w:rsid w:val="00FE194B"/>
    <w:rsid w:val="00FE1A1F"/>
    <w:rsid w:val="00FE1A86"/>
    <w:rsid w:val="00FE1B60"/>
    <w:rsid w:val="00FE1CE2"/>
    <w:rsid w:val="00FE1D15"/>
    <w:rsid w:val="00FE1D29"/>
    <w:rsid w:val="00FE1D63"/>
    <w:rsid w:val="00FE1E54"/>
    <w:rsid w:val="00FE1E5E"/>
    <w:rsid w:val="00FE1E72"/>
    <w:rsid w:val="00FE1F48"/>
    <w:rsid w:val="00FE1F7D"/>
    <w:rsid w:val="00FE2080"/>
    <w:rsid w:val="00FE213D"/>
    <w:rsid w:val="00FE2142"/>
    <w:rsid w:val="00FE21BB"/>
    <w:rsid w:val="00FE21CC"/>
    <w:rsid w:val="00FE21F4"/>
    <w:rsid w:val="00FE2207"/>
    <w:rsid w:val="00FE223B"/>
    <w:rsid w:val="00FE22B8"/>
    <w:rsid w:val="00FE22F8"/>
    <w:rsid w:val="00FE2324"/>
    <w:rsid w:val="00FE23BA"/>
    <w:rsid w:val="00FE2647"/>
    <w:rsid w:val="00FE26E1"/>
    <w:rsid w:val="00FE2703"/>
    <w:rsid w:val="00FE2795"/>
    <w:rsid w:val="00FE27C8"/>
    <w:rsid w:val="00FE27FC"/>
    <w:rsid w:val="00FE2823"/>
    <w:rsid w:val="00FE2917"/>
    <w:rsid w:val="00FE2A8B"/>
    <w:rsid w:val="00FE2AE1"/>
    <w:rsid w:val="00FE2B08"/>
    <w:rsid w:val="00FE2B4B"/>
    <w:rsid w:val="00FE2BB1"/>
    <w:rsid w:val="00FE2BB6"/>
    <w:rsid w:val="00FE2CCE"/>
    <w:rsid w:val="00FE2CDC"/>
    <w:rsid w:val="00FE2D2A"/>
    <w:rsid w:val="00FE2D70"/>
    <w:rsid w:val="00FE2E01"/>
    <w:rsid w:val="00FE2E53"/>
    <w:rsid w:val="00FE2F27"/>
    <w:rsid w:val="00FE2F7F"/>
    <w:rsid w:val="00FE2FBC"/>
    <w:rsid w:val="00FE3052"/>
    <w:rsid w:val="00FE30D6"/>
    <w:rsid w:val="00FE3182"/>
    <w:rsid w:val="00FE3188"/>
    <w:rsid w:val="00FE31CB"/>
    <w:rsid w:val="00FE3276"/>
    <w:rsid w:val="00FE32B8"/>
    <w:rsid w:val="00FE32C8"/>
    <w:rsid w:val="00FE336E"/>
    <w:rsid w:val="00FE339F"/>
    <w:rsid w:val="00FE353D"/>
    <w:rsid w:val="00FE3553"/>
    <w:rsid w:val="00FE3562"/>
    <w:rsid w:val="00FE36CC"/>
    <w:rsid w:val="00FE375C"/>
    <w:rsid w:val="00FE3861"/>
    <w:rsid w:val="00FE38D4"/>
    <w:rsid w:val="00FE3A82"/>
    <w:rsid w:val="00FE3A84"/>
    <w:rsid w:val="00FE3AD7"/>
    <w:rsid w:val="00FE3B9C"/>
    <w:rsid w:val="00FE3BE1"/>
    <w:rsid w:val="00FE3C16"/>
    <w:rsid w:val="00FE3C29"/>
    <w:rsid w:val="00FE3C33"/>
    <w:rsid w:val="00FE3C45"/>
    <w:rsid w:val="00FE3C9B"/>
    <w:rsid w:val="00FE3CF0"/>
    <w:rsid w:val="00FE3D31"/>
    <w:rsid w:val="00FE3D59"/>
    <w:rsid w:val="00FE3DBE"/>
    <w:rsid w:val="00FE3DE8"/>
    <w:rsid w:val="00FE3DE9"/>
    <w:rsid w:val="00FE3E51"/>
    <w:rsid w:val="00FE3E5B"/>
    <w:rsid w:val="00FE3EEE"/>
    <w:rsid w:val="00FE3F0F"/>
    <w:rsid w:val="00FE3F99"/>
    <w:rsid w:val="00FE40CB"/>
    <w:rsid w:val="00FE4114"/>
    <w:rsid w:val="00FE4149"/>
    <w:rsid w:val="00FE415E"/>
    <w:rsid w:val="00FE416D"/>
    <w:rsid w:val="00FE4184"/>
    <w:rsid w:val="00FE4188"/>
    <w:rsid w:val="00FE4193"/>
    <w:rsid w:val="00FE41DB"/>
    <w:rsid w:val="00FE4268"/>
    <w:rsid w:val="00FE43A5"/>
    <w:rsid w:val="00FE43F6"/>
    <w:rsid w:val="00FE4446"/>
    <w:rsid w:val="00FE4455"/>
    <w:rsid w:val="00FE44D6"/>
    <w:rsid w:val="00FE44F4"/>
    <w:rsid w:val="00FE4500"/>
    <w:rsid w:val="00FE4518"/>
    <w:rsid w:val="00FE4536"/>
    <w:rsid w:val="00FE457A"/>
    <w:rsid w:val="00FE45C6"/>
    <w:rsid w:val="00FE46E6"/>
    <w:rsid w:val="00FE46F4"/>
    <w:rsid w:val="00FE4723"/>
    <w:rsid w:val="00FE47A0"/>
    <w:rsid w:val="00FE4834"/>
    <w:rsid w:val="00FE4840"/>
    <w:rsid w:val="00FE48FF"/>
    <w:rsid w:val="00FE493F"/>
    <w:rsid w:val="00FE4958"/>
    <w:rsid w:val="00FE4C02"/>
    <w:rsid w:val="00FE4C17"/>
    <w:rsid w:val="00FE4C6A"/>
    <w:rsid w:val="00FE4DBD"/>
    <w:rsid w:val="00FE4EB1"/>
    <w:rsid w:val="00FE4F09"/>
    <w:rsid w:val="00FE4FC9"/>
    <w:rsid w:val="00FE4FDD"/>
    <w:rsid w:val="00FE5096"/>
    <w:rsid w:val="00FE509F"/>
    <w:rsid w:val="00FE50B8"/>
    <w:rsid w:val="00FE5133"/>
    <w:rsid w:val="00FE5207"/>
    <w:rsid w:val="00FE52A9"/>
    <w:rsid w:val="00FE52C8"/>
    <w:rsid w:val="00FE530F"/>
    <w:rsid w:val="00FE5343"/>
    <w:rsid w:val="00FE5372"/>
    <w:rsid w:val="00FE5426"/>
    <w:rsid w:val="00FE5519"/>
    <w:rsid w:val="00FE55DA"/>
    <w:rsid w:val="00FE5637"/>
    <w:rsid w:val="00FE568B"/>
    <w:rsid w:val="00FE56DA"/>
    <w:rsid w:val="00FE56F2"/>
    <w:rsid w:val="00FE56F6"/>
    <w:rsid w:val="00FE5757"/>
    <w:rsid w:val="00FE57BA"/>
    <w:rsid w:val="00FE5800"/>
    <w:rsid w:val="00FE58B5"/>
    <w:rsid w:val="00FE5995"/>
    <w:rsid w:val="00FE599C"/>
    <w:rsid w:val="00FE5A1E"/>
    <w:rsid w:val="00FE5A32"/>
    <w:rsid w:val="00FE5A72"/>
    <w:rsid w:val="00FE5A76"/>
    <w:rsid w:val="00FE5A92"/>
    <w:rsid w:val="00FE5A94"/>
    <w:rsid w:val="00FE5AC0"/>
    <w:rsid w:val="00FE5AE0"/>
    <w:rsid w:val="00FE5B1D"/>
    <w:rsid w:val="00FE5B32"/>
    <w:rsid w:val="00FE5B46"/>
    <w:rsid w:val="00FE5BD5"/>
    <w:rsid w:val="00FE5CD8"/>
    <w:rsid w:val="00FE5D7C"/>
    <w:rsid w:val="00FE5E5E"/>
    <w:rsid w:val="00FE5E8A"/>
    <w:rsid w:val="00FE5EBA"/>
    <w:rsid w:val="00FE5EE8"/>
    <w:rsid w:val="00FE5EFB"/>
    <w:rsid w:val="00FE5F95"/>
    <w:rsid w:val="00FE6002"/>
    <w:rsid w:val="00FE602A"/>
    <w:rsid w:val="00FE6095"/>
    <w:rsid w:val="00FE60FB"/>
    <w:rsid w:val="00FE616E"/>
    <w:rsid w:val="00FE61E7"/>
    <w:rsid w:val="00FE620B"/>
    <w:rsid w:val="00FE623F"/>
    <w:rsid w:val="00FE624D"/>
    <w:rsid w:val="00FE6252"/>
    <w:rsid w:val="00FE6259"/>
    <w:rsid w:val="00FE6314"/>
    <w:rsid w:val="00FE6327"/>
    <w:rsid w:val="00FE6333"/>
    <w:rsid w:val="00FE6371"/>
    <w:rsid w:val="00FE63E6"/>
    <w:rsid w:val="00FE63F6"/>
    <w:rsid w:val="00FE6477"/>
    <w:rsid w:val="00FE655B"/>
    <w:rsid w:val="00FE667F"/>
    <w:rsid w:val="00FE675A"/>
    <w:rsid w:val="00FE6765"/>
    <w:rsid w:val="00FE67C8"/>
    <w:rsid w:val="00FE67D9"/>
    <w:rsid w:val="00FE682D"/>
    <w:rsid w:val="00FE69E9"/>
    <w:rsid w:val="00FE69EF"/>
    <w:rsid w:val="00FE6A34"/>
    <w:rsid w:val="00FE6A4C"/>
    <w:rsid w:val="00FE6A63"/>
    <w:rsid w:val="00FE6A6B"/>
    <w:rsid w:val="00FE6AD4"/>
    <w:rsid w:val="00FE6B1A"/>
    <w:rsid w:val="00FE6C92"/>
    <w:rsid w:val="00FE6CA3"/>
    <w:rsid w:val="00FE6E18"/>
    <w:rsid w:val="00FE6E20"/>
    <w:rsid w:val="00FE6E4F"/>
    <w:rsid w:val="00FE6E8D"/>
    <w:rsid w:val="00FE6E8F"/>
    <w:rsid w:val="00FE6F61"/>
    <w:rsid w:val="00FE6F9A"/>
    <w:rsid w:val="00FE6FB6"/>
    <w:rsid w:val="00FE6FD3"/>
    <w:rsid w:val="00FE6FF8"/>
    <w:rsid w:val="00FE705E"/>
    <w:rsid w:val="00FE70FD"/>
    <w:rsid w:val="00FE71CE"/>
    <w:rsid w:val="00FE720D"/>
    <w:rsid w:val="00FE7249"/>
    <w:rsid w:val="00FE7292"/>
    <w:rsid w:val="00FE72AE"/>
    <w:rsid w:val="00FE7392"/>
    <w:rsid w:val="00FE7396"/>
    <w:rsid w:val="00FE73A8"/>
    <w:rsid w:val="00FE73C1"/>
    <w:rsid w:val="00FE73E3"/>
    <w:rsid w:val="00FE7409"/>
    <w:rsid w:val="00FE7455"/>
    <w:rsid w:val="00FE746B"/>
    <w:rsid w:val="00FE748F"/>
    <w:rsid w:val="00FE76DE"/>
    <w:rsid w:val="00FE76EC"/>
    <w:rsid w:val="00FE774C"/>
    <w:rsid w:val="00FE7792"/>
    <w:rsid w:val="00FE77FF"/>
    <w:rsid w:val="00FE78F4"/>
    <w:rsid w:val="00FE7A6B"/>
    <w:rsid w:val="00FE7B13"/>
    <w:rsid w:val="00FE7B92"/>
    <w:rsid w:val="00FE7BE7"/>
    <w:rsid w:val="00FE7C78"/>
    <w:rsid w:val="00FE7D43"/>
    <w:rsid w:val="00FE7D80"/>
    <w:rsid w:val="00FE7E00"/>
    <w:rsid w:val="00FE7E03"/>
    <w:rsid w:val="00FE7EA1"/>
    <w:rsid w:val="00FE7EA3"/>
    <w:rsid w:val="00FE7F99"/>
    <w:rsid w:val="00FE7FBB"/>
    <w:rsid w:val="00FE7FC8"/>
    <w:rsid w:val="00FF00AB"/>
    <w:rsid w:val="00FF00C6"/>
    <w:rsid w:val="00FF0187"/>
    <w:rsid w:val="00FF02D5"/>
    <w:rsid w:val="00FF02F7"/>
    <w:rsid w:val="00FF0305"/>
    <w:rsid w:val="00FF031E"/>
    <w:rsid w:val="00FF037D"/>
    <w:rsid w:val="00FF03BF"/>
    <w:rsid w:val="00FF03E2"/>
    <w:rsid w:val="00FF040F"/>
    <w:rsid w:val="00FF0487"/>
    <w:rsid w:val="00FF04B7"/>
    <w:rsid w:val="00FF055C"/>
    <w:rsid w:val="00FF062B"/>
    <w:rsid w:val="00FF0744"/>
    <w:rsid w:val="00FF078A"/>
    <w:rsid w:val="00FF07AC"/>
    <w:rsid w:val="00FF0821"/>
    <w:rsid w:val="00FF085F"/>
    <w:rsid w:val="00FF08A8"/>
    <w:rsid w:val="00FF0981"/>
    <w:rsid w:val="00FF09AF"/>
    <w:rsid w:val="00FF09F7"/>
    <w:rsid w:val="00FF0AB3"/>
    <w:rsid w:val="00FF0B28"/>
    <w:rsid w:val="00FF0BC0"/>
    <w:rsid w:val="00FF0BF6"/>
    <w:rsid w:val="00FF0C76"/>
    <w:rsid w:val="00FF0CE1"/>
    <w:rsid w:val="00FF0D59"/>
    <w:rsid w:val="00FF0DE9"/>
    <w:rsid w:val="00FF0F8C"/>
    <w:rsid w:val="00FF0FA0"/>
    <w:rsid w:val="00FF1064"/>
    <w:rsid w:val="00FF10D3"/>
    <w:rsid w:val="00FF1114"/>
    <w:rsid w:val="00FF118A"/>
    <w:rsid w:val="00FF11D3"/>
    <w:rsid w:val="00FF120B"/>
    <w:rsid w:val="00FF1213"/>
    <w:rsid w:val="00FF1259"/>
    <w:rsid w:val="00FF1290"/>
    <w:rsid w:val="00FF12E3"/>
    <w:rsid w:val="00FF1310"/>
    <w:rsid w:val="00FF1394"/>
    <w:rsid w:val="00FF13C2"/>
    <w:rsid w:val="00FF1488"/>
    <w:rsid w:val="00FF148C"/>
    <w:rsid w:val="00FF14A3"/>
    <w:rsid w:val="00FF15E8"/>
    <w:rsid w:val="00FF16C2"/>
    <w:rsid w:val="00FF16D3"/>
    <w:rsid w:val="00FF16E0"/>
    <w:rsid w:val="00FF1705"/>
    <w:rsid w:val="00FF1728"/>
    <w:rsid w:val="00FF175A"/>
    <w:rsid w:val="00FF17F7"/>
    <w:rsid w:val="00FF1874"/>
    <w:rsid w:val="00FF1888"/>
    <w:rsid w:val="00FF18C2"/>
    <w:rsid w:val="00FF18E0"/>
    <w:rsid w:val="00FF19B5"/>
    <w:rsid w:val="00FF1A37"/>
    <w:rsid w:val="00FF1AFA"/>
    <w:rsid w:val="00FF1B1D"/>
    <w:rsid w:val="00FF1B85"/>
    <w:rsid w:val="00FF1C3D"/>
    <w:rsid w:val="00FF1C83"/>
    <w:rsid w:val="00FF1E31"/>
    <w:rsid w:val="00FF1E6D"/>
    <w:rsid w:val="00FF1EBD"/>
    <w:rsid w:val="00FF1F2D"/>
    <w:rsid w:val="00FF1F37"/>
    <w:rsid w:val="00FF1FBA"/>
    <w:rsid w:val="00FF1FFE"/>
    <w:rsid w:val="00FF201C"/>
    <w:rsid w:val="00FF2045"/>
    <w:rsid w:val="00FF20A9"/>
    <w:rsid w:val="00FF210F"/>
    <w:rsid w:val="00FF2179"/>
    <w:rsid w:val="00FF223D"/>
    <w:rsid w:val="00FF22A6"/>
    <w:rsid w:val="00FF232E"/>
    <w:rsid w:val="00FF2359"/>
    <w:rsid w:val="00FF236A"/>
    <w:rsid w:val="00FF2415"/>
    <w:rsid w:val="00FF246D"/>
    <w:rsid w:val="00FF2470"/>
    <w:rsid w:val="00FF24CB"/>
    <w:rsid w:val="00FF2647"/>
    <w:rsid w:val="00FF265A"/>
    <w:rsid w:val="00FF2687"/>
    <w:rsid w:val="00FF26D4"/>
    <w:rsid w:val="00FF273A"/>
    <w:rsid w:val="00FF2811"/>
    <w:rsid w:val="00FF281C"/>
    <w:rsid w:val="00FF2820"/>
    <w:rsid w:val="00FF2876"/>
    <w:rsid w:val="00FF293B"/>
    <w:rsid w:val="00FF2947"/>
    <w:rsid w:val="00FF294E"/>
    <w:rsid w:val="00FF2988"/>
    <w:rsid w:val="00FF29FA"/>
    <w:rsid w:val="00FF2A02"/>
    <w:rsid w:val="00FF2A54"/>
    <w:rsid w:val="00FF2A84"/>
    <w:rsid w:val="00FF2AA5"/>
    <w:rsid w:val="00FF2B27"/>
    <w:rsid w:val="00FF2B94"/>
    <w:rsid w:val="00FF2CBD"/>
    <w:rsid w:val="00FF2CD3"/>
    <w:rsid w:val="00FF2CE0"/>
    <w:rsid w:val="00FF2CEC"/>
    <w:rsid w:val="00FF2D15"/>
    <w:rsid w:val="00FF2E33"/>
    <w:rsid w:val="00FF2EE5"/>
    <w:rsid w:val="00FF2F81"/>
    <w:rsid w:val="00FF3035"/>
    <w:rsid w:val="00FF3117"/>
    <w:rsid w:val="00FF3122"/>
    <w:rsid w:val="00FF3250"/>
    <w:rsid w:val="00FF3253"/>
    <w:rsid w:val="00FF32E7"/>
    <w:rsid w:val="00FF32F8"/>
    <w:rsid w:val="00FF336C"/>
    <w:rsid w:val="00FF339E"/>
    <w:rsid w:val="00FF33ED"/>
    <w:rsid w:val="00FF34DF"/>
    <w:rsid w:val="00FF34E0"/>
    <w:rsid w:val="00FF34F2"/>
    <w:rsid w:val="00FF3511"/>
    <w:rsid w:val="00FF3541"/>
    <w:rsid w:val="00FF364A"/>
    <w:rsid w:val="00FF370B"/>
    <w:rsid w:val="00FF3748"/>
    <w:rsid w:val="00FF3787"/>
    <w:rsid w:val="00FF37D3"/>
    <w:rsid w:val="00FF37E4"/>
    <w:rsid w:val="00FF386F"/>
    <w:rsid w:val="00FF38ED"/>
    <w:rsid w:val="00FF3A80"/>
    <w:rsid w:val="00FF3AE1"/>
    <w:rsid w:val="00FF3AF4"/>
    <w:rsid w:val="00FF3B56"/>
    <w:rsid w:val="00FF3C1E"/>
    <w:rsid w:val="00FF3C25"/>
    <w:rsid w:val="00FF3C3B"/>
    <w:rsid w:val="00FF3CA4"/>
    <w:rsid w:val="00FF3D16"/>
    <w:rsid w:val="00FF3D53"/>
    <w:rsid w:val="00FF3D55"/>
    <w:rsid w:val="00FF3E39"/>
    <w:rsid w:val="00FF3E4E"/>
    <w:rsid w:val="00FF3EF7"/>
    <w:rsid w:val="00FF3F65"/>
    <w:rsid w:val="00FF41B3"/>
    <w:rsid w:val="00FF41E8"/>
    <w:rsid w:val="00FF41F2"/>
    <w:rsid w:val="00FF423D"/>
    <w:rsid w:val="00FF4244"/>
    <w:rsid w:val="00FF4261"/>
    <w:rsid w:val="00FF4273"/>
    <w:rsid w:val="00FF4317"/>
    <w:rsid w:val="00FF439D"/>
    <w:rsid w:val="00FF43A8"/>
    <w:rsid w:val="00FF4495"/>
    <w:rsid w:val="00FF450B"/>
    <w:rsid w:val="00FF4658"/>
    <w:rsid w:val="00FF466F"/>
    <w:rsid w:val="00FF4779"/>
    <w:rsid w:val="00FF479C"/>
    <w:rsid w:val="00FF47CF"/>
    <w:rsid w:val="00FF47DE"/>
    <w:rsid w:val="00FF4845"/>
    <w:rsid w:val="00FF489C"/>
    <w:rsid w:val="00FF48C4"/>
    <w:rsid w:val="00FF498D"/>
    <w:rsid w:val="00FF4993"/>
    <w:rsid w:val="00FF499D"/>
    <w:rsid w:val="00FF49D4"/>
    <w:rsid w:val="00FF49DC"/>
    <w:rsid w:val="00FF4A5A"/>
    <w:rsid w:val="00FF4B21"/>
    <w:rsid w:val="00FF4B22"/>
    <w:rsid w:val="00FF4BCE"/>
    <w:rsid w:val="00FF4BD0"/>
    <w:rsid w:val="00FF4C2F"/>
    <w:rsid w:val="00FF4C36"/>
    <w:rsid w:val="00FF4CBD"/>
    <w:rsid w:val="00FF4CF8"/>
    <w:rsid w:val="00FF4D1A"/>
    <w:rsid w:val="00FF4E05"/>
    <w:rsid w:val="00FF4E62"/>
    <w:rsid w:val="00FF4E92"/>
    <w:rsid w:val="00FF4EE0"/>
    <w:rsid w:val="00FF4EEA"/>
    <w:rsid w:val="00FF4F20"/>
    <w:rsid w:val="00FF4F32"/>
    <w:rsid w:val="00FF4F51"/>
    <w:rsid w:val="00FF4F66"/>
    <w:rsid w:val="00FF4F72"/>
    <w:rsid w:val="00FF4FDB"/>
    <w:rsid w:val="00FF5030"/>
    <w:rsid w:val="00FF5068"/>
    <w:rsid w:val="00FF50ED"/>
    <w:rsid w:val="00FF5230"/>
    <w:rsid w:val="00FF52AF"/>
    <w:rsid w:val="00FF52BE"/>
    <w:rsid w:val="00FF52E2"/>
    <w:rsid w:val="00FF52EF"/>
    <w:rsid w:val="00FF5342"/>
    <w:rsid w:val="00FF537F"/>
    <w:rsid w:val="00FF53F3"/>
    <w:rsid w:val="00FF541E"/>
    <w:rsid w:val="00FF5484"/>
    <w:rsid w:val="00FF553B"/>
    <w:rsid w:val="00FF5560"/>
    <w:rsid w:val="00FF55A3"/>
    <w:rsid w:val="00FF55C7"/>
    <w:rsid w:val="00FF5624"/>
    <w:rsid w:val="00FF5701"/>
    <w:rsid w:val="00FF5733"/>
    <w:rsid w:val="00FF57BA"/>
    <w:rsid w:val="00FF57C4"/>
    <w:rsid w:val="00FF5868"/>
    <w:rsid w:val="00FF58B7"/>
    <w:rsid w:val="00FF58FC"/>
    <w:rsid w:val="00FF593A"/>
    <w:rsid w:val="00FF5992"/>
    <w:rsid w:val="00FF5AF8"/>
    <w:rsid w:val="00FF5B07"/>
    <w:rsid w:val="00FF5B95"/>
    <w:rsid w:val="00FF5BB7"/>
    <w:rsid w:val="00FF5C49"/>
    <w:rsid w:val="00FF5CC6"/>
    <w:rsid w:val="00FF5CE0"/>
    <w:rsid w:val="00FF5D75"/>
    <w:rsid w:val="00FF5E12"/>
    <w:rsid w:val="00FF5E14"/>
    <w:rsid w:val="00FF5E25"/>
    <w:rsid w:val="00FF5E2E"/>
    <w:rsid w:val="00FF5E5C"/>
    <w:rsid w:val="00FF5EA5"/>
    <w:rsid w:val="00FF5EA8"/>
    <w:rsid w:val="00FF5EB2"/>
    <w:rsid w:val="00FF5F07"/>
    <w:rsid w:val="00FF5FB2"/>
    <w:rsid w:val="00FF6019"/>
    <w:rsid w:val="00FF607E"/>
    <w:rsid w:val="00FF609D"/>
    <w:rsid w:val="00FF60A2"/>
    <w:rsid w:val="00FF6267"/>
    <w:rsid w:val="00FF632D"/>
    <w:rsid w:val="00FF6371"/>
    <w:rsid w:val="00FF63E6"/>
    <w:rsid w:val="00FF6412"/>
    <w:rsid w:val="00FF6472"/>
    <w:rsid w:val="00FF6496"/>
    <w:rsid w:val="00FF657F"/>
    <w:rsid w:val="00FF65E5"/>
    <w:rsid w:val="00FF65F4"/>
    <w:rsid w:val="00FF665C"/>
    <w:rsid w:val="00FF6682"/>
    <w:rsid w:val="00FF66EB"/>
    <w:rsid w:val="00FF66F1"/>
    <w:rsid w:val="00FF6823"/>
    <w:rsid w:val="00FF6878"/>
    <w:rsid w:val="00FF68AD"/>
    <w:rsid w:val="00FF68DD"/>
    <w:rsid w:val="00FF68EB"/>
    <w:rsid w:val="00FF68F4"/>
    <w:rsid w:val="00FF69EE"/>
    <w:rsid w:val="00FF6A14"/>
    <w:rsid w:val="00FF6B29"/>
    <w:rsid w:val="00FF6B38"/>
    <w:rsid w:val="00FF6BF1"/>
    <w:rsid w:val="00FF6D10"/>
    <w:rsid w:val="00FF6D92"/>
    <w:rsid w:val="00FF6DA3"/>
    <w:rsid w:val="00FF6DDF"/>
    <w:rsid w:val="00FF6DF7"/>
    <w:rsid w:val="00FF6E25"/>
    <w:rsid w:val="00FF6E47"/>
    <w:rsid w:val="00FF6E5B"/>
    <w:rsid w:val="00FF6FAF"/>
    <w:rsid w:val="00FF6FD1"/>
    <w:rsid w:val="00FF6FE3"/>
    <w:rsid w:val="00FF70D1"/>
    <w:rsid w:val="00FF70E1"/>
    <w:rsid w:val="00FF711E"/>
    <w:rsid w:val="00FF7143"/>
    <w:rsid w:val="00FF718A"/>
    <w:rsid w:val="00FF71E1"/>
    <w:rsid w:val="00FF732B"/>
    <w:rsid w:val="00FF742C"/>
    <w:rsid w:val="00FF7441"/>
    <w:rsid w:val="00FF7454"/>
    <w:rsid w:val="00FF755A"/>
    <w:rsid w:val="00FF75BB"/>
    <w:rsid w:val="00FF75E3"/>
    <w:rsid w:val="00FF7642"/>
    <w:rsid w:val="00FF7766"/>
    <w:rsid w:val="00FF77AD"/>
    <w:rsid w:val="00FF7882"/>
    <w:rsid w:val="00FF78D0"/>
    <w:rsid w:val="00FF7929"/>
    <w:rsid w:val="00FF7958"/>
    <w:rsid w:val="00FF7A51"/>
    <w:rsid w:val="00FF7A8D"/>
    <w:rsid w:val="00FF7AC4"/>
    <w:rsid w:val="00FF7B0F"/>
    <w:rsid w:val="00FF7B29"/>
    <w:rsid w:val="00FF7B8A"/>
    <w:rsid w:val="00FF7BA9"/>
    <w:rsid w:val="00FF7C5A"/>
    <w:rsid w:val="00FF7CE0"/>
    <w:rsid w:val="00FF7D0E"/>
    <w:rsid w:val="00FF7D3D"/>
    <w:rsid w:val="00FF7D83"/>
    <w:rsid w:val="00FF7DB0"/>
    <w:rsid w:val="00FF7DBA"/>
    <w:rsid w:val="00FF7F6B"/>
    <w:rsid w:val="0107A706"/>
    <w:rsid w:val="010E29D3"/>
    <w:rsid w:val="01274579"/>
    <w:rsid w:val="012A157D"/>
    <w:rsid w:val="0131E16A"/>
    <w:rsid w:val="013CD19E"/>
    <w:rsid w:val="0140013F"/>
    <w:rsid w:val="014355FE"/>
    <w:rsid w:val="014B7EA5"/>
    <w:rsid w:val="014F8BF0"/>
    <w:rsid w:val="0154E69E"/>
    <w:rsid w:val="015C8423"/>
    <w:rsid w:val="015DDCB1"/>
    <w:rsid w:val="015EC25F"/>
    <w:rsid w:val="016534F4"/>
    <w:rsid w:val="0171050F"/>
    <w:rsid w:val="0172728E"/>
    <w:rsid w:val="01845583"/>
    <w:rsid w:val="018639F2"/>
    <w:rsid w:val="018B13A8"/>
    <w:rsid w:val="018DCC20"/>
    <w:rsid w:val="01943DCB"/>
    <w:rsid w:val="0197261D"/>
    <w:rsid w:val="019DF6F7"/>
    <w:rsid w:val="01A9E912"/>
    <w:rsid w:val="01B0AB0A"/>
    <w:rsid w:val="01B7A941"/>
    <w:rsid w:val="01C0EDE5"/>
    <w:rsid w:val="01C78305"/>
    <w:rsid w:val="01D129E0"/>
    <w:rsid w:val="01D92B02"/>
    <w:rsid w:val="01DAB051"/>
    <w:rsid w:val="01E4967B"/>
    <w:rsid w:val="01E7CF8A"/>
    <w:rsid w:val="01EA4ACB"/>
    <w:rsid w:val="01ECE2B2"/>
    <w:rsid w:val="01EDAE38"/>
    <w:rsid w:val="01F85E27"/>
    <w:rsid w:val="01FC815E"/>
    <w:rsid w:val="01FD9393"/>
    <w:rsid w:val="01FF26DD"/>
    <w:rsid w:val="0200DD16"/>
    <w:rsid w:val="0203514B"/>
    <w:rsid w:val="020541AC"/>
    <w:rsid w:val="020789E5"/>
    <w:rsid w:val="0208318C"/>
    <w:rsid w:val="020C0DC4"/>
    <w:rsid w:val="020EE69C"/>
    <w:rsid w:val="0214F1C4"/>
    <w:rsid w:val="0218DDED"/>
    <w:rsid w:val="02210E61"/>
    <w:rsid w:val="022184DE"/>
    <w:rsid w:val="0223AF51"/>
    <w:rsid w:val="0225DD03"/>
    <w:rsid w:val="0227DC09"/>
    <w:rsid w:val="02286EEE"/>
    <w:rsid w:val="022EC8E0"/>
    <w:rsid w:val="0231004B"/>
    <w:rsid w:val="0233EB36"/>
    <w:rsid w:val="0234C71E"/>
    <w:rsid w:val="023757F0"/>
    <w:rsid w:val="023CAB83"/>
    <w:rsid w:val="024F0B1F"/>
    <w:rsid w:val="0253FF9C"/>
    <w:rsid w:val="025735F3"/>
    <w:rsid w:val="02581E35"/>
    <w:rsid w:val="0260D413"/>
    <w:rsid w:val="026191AC"/>
    <w:rsid w:val="0261C2D0"/>
    <w:rsid w:val="0266335F"/>
    <w:rsid w:val="0268AF22"/>
    <w:rsid w:val="026C6F93"/>
    <w:rsid w:val="027447BE"/>
    <w:rsid w:val="02769D3D"/>
    <w:rsid w:val="027A47F6"/>
    <w:rsid w:val="027F8E4B"/>
    <w:rsid w:val="02810B1A"/>
    <w:rsid w:val="0281C971"/>
    <w:rsid w:val="0287CA95"/>
    <w:rsid w:val="028DFC4B"/>
    <w:rsid w:val="0292AF7C"/>
    <w:rsid w:val="029430BE"/>
    <w:rsid w:val="0296A4B6"/>
    <w:rsid w:val="0299CDAE"/>
    <w:rsid w:val="029D97F8"/>
    <w:rsid w:val="02A1E477"/>
    <w:rsid w:val="02AA3CF4"/>
    <w:rsid w:val="02AA987F"/>
    <w:rsid w:val="02AD544D"/>
    <w:rsid w:val="02B05F2E"/>
    <w:rsid w:val="02B6DC57"/>
    <w:rsid w:val="02C869E9"/>
    <w:rsid w:val="02D0EA01"/>
    <w:rsid w:val="02D3E1C1"/>
    <w:rsid w:val="02DC2A80"/>
    <w:rsid w:val="02DC9449"/>
    <w:rsid w:val="02E0AB0E"/>
    <w:rsid w:val="02E245FC"/>
    <w:rsid w:val="02ED34AE"/>
    <w:rsid w:val="02F0176D"/>
    <w:rsid w:val="02F4150D"/>
    <w:rsid w:val="02F7E3EC"/>
    <w:rsid w:val="03017F50"/>
    <w:rsid w:val="0302E5C2"/>
    <w:rsid w:val="0307BFA3"/>
    <w:rsid w:val="030B3E7F"/>
    <w:rsid w:val="03137A9C"/>
    <w:rsid w:val="03141FFA"/>
    <w:rsid w:val="0318DF71"/>
    <w:rsid w:val="0324FA5E"/>
    <w:rsid w:val="03266035"/>
    <w:rsid w:val="0326C892"/>
    <w:rsid w:val="0331FE91"/>
    <w:rsid w:val="033289F2"/>
    <w:rsid w:val="03332056"/>
    <w:rsid w:val="0337B287"/>
    <w:rsid w:val="0339F718"/>
    <w:rsid w:val="033D8B7C"/>
    <w:rsid w:val="034155E3"/>
    <w:rsid w:val="034C4679"/>
    <w:rsid w:val="0352EF86"/>
    <w:rsid w:val="035475A8"/>
    <w:rsid w:val="0354B4FF"/>
    <w:rsid w:val="035C984B"/>
    <w:rsid w:val="035F64A7"/>
    <w:rsid w:val="03655B7C"/>
    <w:rsid w:val="0365EFF7"/>
    <w:rsid w:val="0372104A"/>
    <w:rsid w:val="0372DDAA"/>
    <w:rsid w:val="03733786"/>
    <w:rsid w:val="037FF8AB"/>
    <w:rsid w:val="0384E7F1"/>
    <w:rsid w:val="038652CA"/>
    <w:rsid w:val="0386CEA4"/>
    <w:rsid w:val="038CDB67"/>
    <w:rsid w:val="038F51EB"/>
    <w:rsid w:val="03A34344"/>
    <w:rsid w:val="03A94A47"/>
    <w:rsid w:val="03AB9A6A"/>
    <w:rsid w:val="03ABF606"/>
    <w:rsid w:val="03B5B9BD"/>
    <w:rsid w:val="03BA37C4"/>
    <w:rsid w:val="03BA6F07"/>
    <w:rsid w:val="03D430DD"/>
    <w:rsid w:val="03DA4E45"/>
    <w:rsid w:val="03DD6FEC"/>
    <w:rsid w:val="03E156F8"/>
    <w:rsid w:val="03EBCDEE"/>
    <w:rsid w:val="03EC9795"/>
    <w:rsid w:val="03EF4F2D"/>
    <w:rsid w:val="03F5BA3C"/>
    <w:rsid w:val="03FAAA5F"/>
    <w:rsid w:val="03FD5BA2"/>
    <w:rsid w:val="03FE0D4E"/>
    <w:rsid w:val="040DF21B"/>
    <w:rsid w:val="040F46DA"/>
    <w:rsid w:val="04127178"/>
    <w:rsid w:val="0412BFC7"/>
    <w:rsid w:val="041997AD"/>
    <w:rsid w:val="0421E1A0"/>
    <w:rsid w:val="0423D860"/>
    <w:rsid w:val="042509E6"/>
    <w:rsid w:val="043179BA"/>
    <w:rsid w:val="043E19CE"/>
    <w:rsid w:val="044817DC"/>
    <w:rsid w:val="0451393C"/>
    <w:rsid w:val="0451A474"/>
    <w:rsid w:val="045AFE20"/>
    <w:rsid w:val="0467AED6"/>
    <w:rsid w:val="0468FF46"/>
    <w:rsid w:val="0471DED4"/>
    <w:rsid w:val="048F5385"/>
    <w:rsid w:val="04A1E320"/>
    <w:rsid w:val="04A45C0B"/>
    <w:rsid w:val="04ABCD46"/>
    <w:rsid w:val="04B25C51"/>
    <w:rsid w:val="04C4D8A0"/>
    <w:rsid w:val="04C87AFA"/>
    <w:rsid w:val="04C8E8D0"/>
    <w:rsid w:val="04CC4EBE"/>
    <w:rsid w:val="04D160CE"/>
    <w:rsid w:val="04DDA56C"/>
    <w:rsid w:val="04E71537"/>
    <w:rsid w:val="04E8118B"/>
    <w:rsid w:val="04E875B0"/>
    <w:rsid w:val="0500536E"/>
    <w:rsid w:val="0503F4D7"/>
    <w:rsid w:val="05078452"/>
    <w:rsid w:val="050937D7"/>
    <w:rsid w:val="050A1C32"/>
    <w:rsid w:val="050F1FE0"/>
    <w:rsid w:val="05171486"/>
    <w:rsid w:val="05179072"/>
    <w:rsid w:val="0519D20D"/>
    <w:rsid w:val="051C3186"/>
    <w:rsid w:val="051EA1CB"/>
    <w:rsid w:val="051EF02E"/>
    <w:rsid w:val="05202ABC"/>
    <w:rsid w:val="0520B5D2"/>
    <w:rsid w:val="05251AB9"/>
    <w:rsid w:val="05278B54"/>
    <w:rsid w:val="05321C49"/>
    <w:rsid w:val="053A1623"/>
    <w:rsid w:val="053AEC03"/>
    <w:rsid w:val="053AFF4B"/>
    <w:rsid w:val="053B3A46"/>
    <w:rsid w:val="054A64C9"/>
    <w:rsid w:val="054B396E"/>
    <w:rsid w:val="054BE0BD"/>
    <w:rsid w:val="054D3C5A"/>
    <w:rsid w:val="0555E82B"/>
    <w:rsid w:val="05570A1D"/>
    <w:rsid w:val="056487FA"/>
    <w:rsid w:val="056BF9AC"/>
    <w:rsid w:val="056E97C3"/>
    <w:rsid w:val="057BBBA1"/>
    <w:rsid w:val="057C0396"/>
    <w:rsid w:val="05866910"/>
    <w:rsid w:val="058898E7"/>
    <w:rsid w:val="0588B30E"/>
    <w:rsid w:val="05983D9F"/>
    <w:rsid w:val="059ACFC3"/>
    <w:rsid w:val="059FBCD9"/>
    <w:rsid w:val="05A62F5B"/>
    <w:rsid w:val="05B3F98D"/>
    <w:rsid w:val="05DFFBAF"/>
    <w:rsid w:val="05E14054"/>
    <w:rsid w:val="05E30D43"/>
    <w:rsid w:val="05E42732"/>
    <w:rsid w:val="05F0DB68"/>
    <w:rsid w:val="05F1CEF8"/>
    <w:rsid w:val="05F3C97F"/>
    <w:rsid w:val="060018CF"/>
    <w:rsid w:val="0601E6B7"/>
    <w:rsid w:val="0602D1C4"/>
    <w:rsid w:val="060A6B99"/>
    <w:rsid w:val="061079B8"/>
    <w:rsid w:val="061870E2"/>
    <w:rsid w:val="061E5BC1"/>
    <w:rsid w:val="0623E24C"/>
    <w:rsid w:val="0629AF17"/>
    <w:rsid w:val="062A83FA"/>
    <w:rsid w:val="0635BB83"/>
    <w:rsid w:val="063E66B5"/>
    <w:rsid w:val="063E7030"/>
    <w:rsid w:val="06413799"/>
    <w:rsid w:val="0645637F"/>
    <w:rsid w:val="0647B04A"/>
    <w:rsid w:val="064A3299"/>
    <w:rsid w:val="064B3D22"/>
    <w:rsid w:val="064E02AF"/>
    <w:rsid w:val="064F2016"/>
    <w:rsid w:val="06502B82"/>
    <w:rsid w:val="0651B4EC"/>
    <w:rsid w:val="0654B769"/>
    <w:rsid w:val="0657762F"/>
    <w:rsid w:val="0662F1E6"/>
    <w:rsid w:val="0666B08D"/>
    <w:rsid w:val="0666B093"/>
    <w:rsid w:val="06670254"/>
    <w:rsid w:val="06724400"/>
    <w:rsid w:val="06829900"/>
    <w:rsid w:val="06852923"/>
    <w:rsid w:val="069123A3"/>
    <w:rsid w:val="0694064E"/>
    <w:rsid w:val="0694CEE9"/>
    <w:rsid w:val="0694FDDE"/>
    <w:rsid w:val="069799B0"/>
    <w:rsid w:val="0698A867"/>
    <w:rsid w:val="06A45B71"/>
    <w:rsid w:val="06A8C7FB"/>
    <w:rsid w:val="06B15113"/>
    <w:rsid w:val="06C2FCA4"/>
    <w:rsid w:val="06D13FB3"/>
    <w:rsid w:val="06DB784E"/>
    <w:rsid w:val="06DC42B3"/>
    <w:rsid w:val="06E6FD04"/>
    <w:rsid w:val="06ED7FE8"/>
    <w:rsid w:val="06F48821"/>
    <w:rsid w:val="06F6D958"/>
    <w:rsid w:val="06F791BC"/>
    <w:rsid w:val="06FCA675"/>
    <w:rsid w:val="06FF6120"/>
    <w:rsid w:val="0701F593"/>
    <w:rsid w:val="0703EE19"/>
    <w:rsid w:val="0706D1E5"/>
    <w:rsid w:val="070D9042"/>
    <w:rsid w:val="0717B8BD"/>
    <w:rsid w:val="071CCF82"/>
    <w:rsid w:val="071DC986"/>
    <w:rsid w:val="071E0B4C"/>
    <w:rsid w:val="071EEC23"/>
    <w:rsid w:val="072DF24E"/>
    <w:rsid w:val="0732C2CE"/>
    <w:rsid w:val="073443CD"/>
    <w:rsid w:val="0734F0ED"/>
    <w:rsid w:val="073BA92B"/>
    <w:rsid w:val="073FEB70"/>
    <w:rsid w:val="073FFD2B"/>
    <w:rsid w:val="0740C1D1"/>
    <w:rsid w:val="074212AA"/>
    <w:rsid w:val="07463F41"/>
    <w:rsid w:val="074B9636"/>
    <w:rsid w:val="074C6838"/>
    <w:rsid w:val="074E431C"/>
    <w:rsid w:val="07663B38"/>
    <w:rsid w:val="076815CE"/>
    <w:rsid w:val="07732E29"/>
    <w:rsid w:val="0788A8E2"/>
    <w:rsid w:val="078C372B"/>
    <w:rsid w:val="078DE759"/>
    <w:rsid w:val="078FF542"/>
    <w:rsid w:val="07943644"/>
    <w:rsid w:val="0794B7F0"/>
    <w:rsid w:val="07952494"/>
    <w:rsid w:val="079701F1"/>
    <w:rsid w:val="079F8D13"/>
    <w:rsid w:val="07A47EBD"/>
    <w:rsid w:val="07A5F045"/>
    <w:rsid w:val="07ADB64A"/>
    <w:rsid w:val="07BCC182"/>
    <w:rsid w:val="07BD6847"/>
    <w:rsid w:val="07C30A05"/>
    <w:rsid w:val="07C4F6A0"/>
    <w:rsid w:val="07CA8CA7"/>
    <w:rsid w:val="07CCB0EC"/>
    <w:rsid w:val="07D23645"/>
    <w:rsid w:val="07EFE602"/>
    <w:rsid w:val="07F51181"/>
    <w:rsid w:val="07FC5D04"/>
    <w:rsid w:val="08052040"/>
    <w:rsid w:val="0809A418"/>
    <w:rsid w:val="080A9523"/>
    <w:rsid w:val="080D0DFF"/>
    <w:rsid w:val="08146299"/>
    <w:rsid w:val="0829ECD4"/>
    <w:rsid w:val="082CD447"/>
    <w:rsid w:val="082E6AF5"/>
    <w:rsid w:val="0833DF48"/>
    <w:rsid w:val="08393C1E"/>
    <w:rsid w:val="083A11CD"/>
    <w:rsid w:val="083B370E"/>
    <w:rsid w:val="083CA06D"/>
    <w:rsid w:val="084003FF"/>
    <w:rsid w:val="0844E881"/>
    <w:rsid w:val="084D2E78"/>
    <w:rsid w:val="084DFAF3"/>
    <w:rsid w:val="0851675A"/>
    <w:rsid w:val="085208FA"/>
    <w:rsid w:val="0854DD02"/>
    <w:rsid w:val="0855A15B"/>
    <w:rsid w:val="08642AD0"/>
    <w:rsid w:val="0864831A"/>
    <w:rsid w:val="0865FAFE"/>
    <w:rsid w:val="0866BAC6"/>
    <w:rsid w:val="086A9FAB"/>
    <w:rsid w:val="0871E43C"/>
    <w:rsid w:val="0872DF7F"/>
    <w:rsid w:val="0875C362"/>
    <w:rsid w:val="087B9A70"/>
    <w:rsid w:val="0896BFE7"/>
    <w:rsid w:val="089A2C2B"/>
    <w:rsid w:val="089CAA04"/>
    <w:rsid w:val="089D2EAA"/>
    <w:rsid w:val="08A0E0D3"/>
    <w:rsid w:val="08A17C64"/>
    <w:rsid w:val="08A7C9FF"/>
    <w:rsid w:val="08A99BBF"/>
    <w:rsid w:val="08B074E0"/>
    <w:rsid w:val="08B4C126"/>
    <w:rsid w:val="08B871F4"/>
    <w:rsid w:val="08B9E5FC"/>
    <w:rsid w:val="08BD9F17"/>
    <w:rsid w:val="08C1691A"/>
    <w:rsid w:val="08C9433C"/>
    <w:rsid w:val="08CDAE0E"/>
    <w:rsid w:val="08D3A699"/>
    <w:rsid w:val="08DB4AAC"/>
    <w:rsid w:val="08E0B716"/>
    <w:rsid w:val="08E56D2D"/>
    <w:rsid w:val="08ED291D"/>
    <w:rsid w:val="08EF781B"/>
    <w:rsid w:val="08FBB1EC"/>
    <w:rsid w:val="090090A9"/>
    <w:rsid w:val="09028509"/>
    <w:rsid w:val="09041B93"/>
    <w:rsid w:val="090BE720"/>
    <w:rsid w:val="091571E8"/>
    <w:rsid w:val="091CFC1F"/>
    <w:rsid w:val="09244182"/>
    <w:rsid w:val="092E1EC9"/>
    <w:rsid w:val="093225F5"/>
    <w:rsid w:val="09333E5F"/>
    <w:rsid w:val="0933CDE0"/>
    <w:rsid w:val="09383CA7"/>
    <w:rsid w:val="0938DC74"/>
    <w:rsid w:val="0939C58B"/>
    <w:rsid w:val="093CA8EB"/>
    <w:rsid w:val="09494CB0"/>
    <w:rsid w:val="0953F8DA"/>
    <w:rsid w:val="09550B0C"/>
    <w:rsid w:val="09564795"/>
    <w:rsid w:val="095A8048"/>
    <w:rsid w:val="095CE4C2"/>
    <w:rsid w:val="09656637"/>
    <w:rsid w:val="09786B98"/>
    <w:rsid w:val="098B5373"/>
    <w:rsid w:val="0996BD4D"/>
    <w:rsid w:val="099A4928"/>
    <w:rsid w:val="099B8C66"/>
    <w:rsid w:val="099E75EC"/>
    <w:rsid w:val="09A28C91"/>
    <w:rsid w:val="09A2A3AF"/>
    <w:rsid w:val="09A2F9F6"/>
    <w:rsid w:val="09A401DC"/>
    <w:rsid w:val="09AD34B3"/>
    <w:rsid w:val="09B29B97"/>
    <w:rsid w:val="09B6E39B"/>
    <w:rsid w:val="09C3A3A7"/>
    <w:rsid w:val="09C95C09"/>
    <w:rsid w:val="09D6EC9A"/>
    <w:rsid w:val="09DBA60F"/>
    <w:rsid w:val="09E219D8"/>
    <w:rsid w:val="09E3A18A"/>
    <w:rsid w:val="09E5D52D"/>
    <w:rsid w:val="09E81D20"/>
    <w:rsid w:val="09E8AEC9"/>
    <w:rsid w:val="09E8E5F7"/>
    <w:rsid w:val="09F18792"/>
    <w:rsid w:val="09F2CAF9"/>
    <w:rsid w:val="09F89830"/>
    <w:rsid w:val="09FFF250"/>
    <w:rsid w:val="0A01CB5F"/>
    <w:rsid w:val="0A0322BD"/>
    <w:rsid w:val="0A036403"/>
    <w:rsid w:val="0A0865D9"/>
    <w:rsid w:val="0A173145"/>
    <w:rsid w:val="0A1DA704"/>
    <w:rsid w:val="0A20328B"/>
    <w:rsid w:val="0A2044EB"/>
    <w:rsid w:val="0A424643"/>
    <w:rsid w:val="0A426B24"/>
    <w:rsid w:val="0A45E297"/>
    <w:rsid w:val="0A4AB98D"/>
    <w:rsid w:val="0A4EFFA3"/>
    <w:rsid w:val="0A583F9D"/>
    <w:rsid w:val="0A5A6B7C"/>
    <w:rsid w:val="0A69A883"/>
    <w:rsid w:val="0A6BE542"/>
    <w:rsid w:val="0A6DA0AB"/>
    <w:rsid w:val="0A788C09"/>
    <w:rsid w:val="0A7CFB5E"/>
    <w:rsid w:val="0A8886B3"/>
    <w:rsid w:val="0A8970E4"/>
    <w:rsid w:val="0A89B989"/>
    <w:rsid w:val="0A8C40FD"/>
    <w:rsid w:val="0A8E96C9"/>
    <w:rsid w:val="0A9140EB"/>
    <w:rsid w:val="0A96E029"/>
    <w:rsid w:val="0A9EE792"/>
    <w:rsid w:val="0AA28E52"/>
    <w:rsid w:val="0AA5632E"/>
    <w:rsid w:val="0AAA9CF5"/>
    <w:rsid w:val="0AACF921"/>
    <w:rsid w:val="0AAD99FD"/>
    <w:rsid w:val="0AB51F44"/>
    <w:rsid w:val="0AB6304E"/>
    <w:rsid w:val="0AB74B83"/>
    <w:rsid w:val="0AB8F6E9"/>
    <w:rsid w:val="0AC510F2"/>
    <w:rsid w:val="0ACA1F92"/>
    <w:rsid w:val="0ACA2AAF"/>
    <w:rsid w:val="0AD160C9"/>
    <w:rsid w:val="0AD9F60F"/>
    <w:rsid w:val="0ADAEAA6"/>
    <w:rsid w:val="0ADCD900"/>
    <w:rsid w:val="0AE7D493"/>
    <w:rsid w:val="0AEB7851"/>
    <w:rsid w:val="0AEF3A4E"/>
    <w:rsid w:val="0AF21826"/>
    <w:rsid w:val="0AFB4B6F"/>
    <w:rsid w:val="0B0792F8"/>
    <w:rsid w:val="0B118BB6"/>
    <w:rsid w:val="0B1209C4"/>
    <w:rsid w:val="0B1291FE"/>
    <w:rsid w:val="0B255022"/>
    <w:rsid w:val="0B2B20A1"/>
    <w:rsid w:val="0B36A2A1"/>
    <w:rsid w:val="0B385680"/>
    <w:rsid w:val="0B3D583A"/>
    <w:rsid w:val="0B3EE53A"/>
    <w:rsid w:val="0B4713BE"/>
    <w:rsid w:val="0B4BECE2"/>
    <w:rsid w:val="0B547765"/>
    <w:rsid w:val="0B57E8EA"/>
    <w:rsid w:val="0B5B0D5F"/>
    <w:rsid w:val="0B5F358C"/>
    <w:rsid w:val="0B5FA61F"/>
    <w:rsid w:val="0B6301C7"/>
    <w:rsid w:val="0B6B590C"/>
    <w:rsid w:val="0B718E97"/>
    <w:rsid w:val="0B727116"/>
    <w:rsid w:val="0B738CD3"/>
    <w:rsid w:val="0B767AE9"/>
    <w:rsid w:val="0B7B9FF5"/>
    <w:rsid w:val="0B86013D"/>
    <w:rsid w:val="0B909DB1"/>
    <w:rsid w:val="0B959642"/>
    <w:rsid w:val="0BA15DEE"/>
    <w:rsid w:val="0BA328FF"/>
    <w:rsid w:val="0BA47056"/>
    <w:rsid w:val="0BA8E618"/>
    <w:rsid w:val="0BA90858"/>
    <w:rsid w:val="0BADB6D9"/>
    <w:rsid w:val="0BBA6CD8"/>
    <w:rsid w:val="0BC2A6AF"/>
    <w:rsid w:val="0BC812DC"/>
    <w:rsid w:val="0BCE1323"/>
    <w:rsid w:val="0BCFA65B"/>
    <w:rsid w:val="0BD208C9"/>
    <w:rsid w:val="0BDAD291"/>
    <w:rsid w:val="0BE6AB5C"/>
    <w:rsid w:val="0BE749B9"/>
    <w:rsid w:val="0BF1FE0E"/>
    <w:rsid w:val="0C09F5E1"/>
    <w:rsid w:val="0C0EFDC0"/>
    <w:rsid w:val="0C106ED6"/>
    <w:rsid w:val="0C191855"/>
    <w:rsid w:val="0C1AE156"/>
    <w:rsid w:val="0C1DE797"/>
    <w:rsid w:val="0C203390"/>
    <w:rsid w:val="0C24B848"/>
    <w:rsid w:val="0C29FFCD"/>
    <w:rsid w:val="0C2D9031"/>
    <w:rsid w:val="0C2FB078"/>
    <w:rsid w:val="0C335B2D"/>
    <w:rsid w:val="0C3666E3"/>
    <w:rsid w:val="0C3E49A7"/>
    <w:rsid w:val="0C415D7F"/>
    <w:rsid w:val="0C496CB8"/>
    <w:rsid w:val="0C4B6D2B"/>
    <w:rsid w:val="0C4CA50D"/>
    <w:rsid w:val="0C4CE615"/>
    <w:rsid w:val="0C543AE1"/>
    <w:rsid w:val="0C54F7E8"/>
    <w:rsid w:val="0C590737"/>
    <w:rsid w:val="0C5A23C3"/>
    <w:rsid w:val="0C5AAA2C"/>
    <w:rsid w:val="0C5D5D43"/>
    <w:rsid w:val="0C5DE908"/>
    <w:rsid w:val="0C68EB8E"/>
    <w:rsid w:val="0C6F30C9"/>
    <w:rsid w:val="0C7A2EF0"/>
    <w:rsid w:val="0C7A5D52"/>
    <w:rsid w:val="0C7B15AA"/>
    <w:rsid w:val="0C7E06B9"/>
    <w:rsid w:val="0C860034"/>
    <w:rsid w:val="0C86A024"/>
    <w:rsid w:val="0C968FB3"/>
    <w:rsid w:val="0C983480"/>
    <w:rsid w:val="0C983B11"/>
    <w:rsid w:val="0C9A65EB"/>
    <w:rsid w:val="0C9AC7F2"/>
    <w:rsid w:val="0CA83521"/>
    <w:rsid w:val="0CB88E0A"/>
    <w:rsid w:val="0CBB168C"/>
    <w:rsid w:val="0CBE6F49"/>
    <w:rsid w:val="0CBECCBA"/>
    <w:rsid w:val="0CC2FDAF"/>
    <w:rsid w:val="0CC7D3A1"/>
    <w:rsid w:val="0CCE3131"/>
    <w:rsid w:val="0CD34DB5"/>
    <w:rsid w:val="0CD6EE90"/>
    <w:rsid w:val="0CD78E9F"/>
    <w:rsid w:val="0CD8996C"/>
    <w:rsid w:val="0CDA1ED2"/>
    <w:rsid w:val="0CDD0242"/>
    <w:rsid w:val="0CE414F1"/>
    <w:rsid w:val="0CE4AA73"/>
    <w:rsid w:val="0CE583D2"/>
    <w:rsid w:val="0CEB1B8F"/>
    <w:rsid w:val="0CF1D5C6"/>
    <w:rsid w:val="0CF996BB"/>
    <w:rsid w:val="0D0823AA"/>
    <w:rsid w:val="0D120503"/>
    <w:rsid w:val="0D1349E3"/>
    <w:rsid w:val="0D153CD6"/>
    <w:rsid w:val="0D171951"/>
    <w:rsid w:val="0D1889D6"/>
    <w:rsid w:val="0D1EB831"/>
    <w:rsid w:val="0D2F992E"/>
    <w:rsid w:val="0D307E9E"/>
    <w:rsid w:val="0D32EBEC"/>
    <w:rsid w:val="0D39E526"/>
    <w:rsid w:val="0D3A475F"/>
    <w:rsid w:val="0D3C1F62"/>
    <w:rsid w:val="0D3DEF31"/>
    <w:rsid w:val="0D43C812"/>
    <w:rsid w:val="0D46741F"/>
    <w:rsid w:val="0D494E44"/>
    <w:rsid w:val="0D4E6155"/>
    <w:rsid w:val="0D594F00"/>
    <w:rsid w:val="0D5D87B7"/>
    <w:rsid w:val="0D5DBE02"/>
    <w:rsid w:val="0D6F2164"/>
    <w:rsid w:val="0D737770"/>
    <w:rsid w:val="0D773DFA"/>
    <w:rsid w:val="0D865B2E"/>
    <w:rsid w:val="0D8C0C98"/>
    <w:rsid w:val="0D8F9901"/>
    <w:rsid w:val="0D954ABA"/>
    <w:rsid w:val="0D97BA48"/>
    <w:rsid w:val="0D99289F"/>
    <w:rsid w:val="0D99EA00"/>
    <w:rsid w:val="0D9A2290"/>
    <w:rsid w:val="0D9F52E9"/>
    <w:rsid w:val="0DA25F2B"/>
    <w:rsid w:val="0DA5BC00"/>
    <w:rsid w:val="0DA9E80A"/>
    <w:rsid w:val="0DAC6E7E"/>
    <w:rsid w:val="0DB24236"/>
    <w:rsid w:val="0DB2788C"/>
    <w:rsid w:val="0DC32220"/>
    <w:rsid w:val="0DC5C288"/>
    <w:rsid w:val="0DC8626A"/>
    <w:rsid w:val="0DCA093C"/>
    <w:rsid w:val="0DCD2222"/>
    <w:rsid w:val="0DDF9B26"/>
    <w:rsid w:val="0DEB8B20"/>
    <w:rsid w:val="0DEED83A"/>
    <w:rsid w:val="0E02866B"/>
    <w:rsid w:val="0E05EE75"/>
    <w:rsid w:val="0E066FE9"/>
    <w:rsid w:val="0E0D1C68"/>
    <w:rsid w:val="0E111577"/>
    <w:rsid w:val="0E11F463"/>
    <w:rsid w:val="0E15F73F"/>
    <w:rsid w:val="0E28EE6D"/>
    <w:rsid w:val="0E3545C9"/>
    <w:rsid w:val="0E361CB7"/>
    <w:rsid w:val="0E461238"/>
    <w:rsid w:val="0E57E1C7"/>
    <w:rsid w:val="0E60359B"/>
    <w:rsid w:val="0E627255"/>
    <w:rsid w:val="0E6841A4"/>
    <w:rsid w:val="0E711CD6"/>
    <w:rsid w:val="0E7D85F1"/>
    <w:rsid w:val="0E809479"/>
    <w:rsid w:val="0E83D920"/>
    <w:rsid w:val="0E85ADAF"/>
    <w:rsid w:val="0E8C98CB"/>
    <w:rsid w:val="0E8DB15E"/>
    <w:rsid w:val="0E9DBDC0"/>
    <w:rsid w:val="0EA22728"/>
    <w:rsid w:val="0EAB143D"/>
    <w:rsid w:val="0EB4CE6C"/>
    <w:rsid w:val="0EB6A93F"/>
    <w:rsid w:val="0EB7763B"/>
    <w:rsid w:val="0EBECFFD"/>
    <w:rsid w:val="0EC60481"/>
    <w:rsid w:val="0ECED987"/>
    <w:rsid w:val="0ED18BC5"/>
    <w:rsid w:val="0ED4B962"/>
    <w:rsid w:val="0ED51641"/>
    <w:rsid w:val="0EDAA26E"/>
    <w:rsid w:val="0EE86B64"/>
    <w:rsid w:val="0EEAD7C4"/>
    <w:rsid w:val="0EEE419E"/>
    <w:rsid w:val="0EEFA63E"/>
    <w:rsid w:val="0EF8316F"/>
    <w:rsid w:val="0EFE1BCD"/>
    <w:rsid w:val="0F0A09BC"/>
    <w:rsid w:val="0F0D5B36"/>
    <w:rsid w:val="0F0D96B9"/>
    <w:rsid w:val="0F10EC3B"/>
    <w:rsid w:val="0F12CFEA"/>
    <w:rsid w:val="0F180A6D"/>
    <w:rsid w:val="0F247245"/>
    <w:rsid w:val="0F289095"/>
    <w:rsid w:val="0F3127A5"/>
    <w:rsid w:val="0F35BD1F"/>
    <w:rsid w:val="0F370839"/>
    <w:rsid w:val="0F3D03AF"/>
    <w:rsid w:val="0F3D07C7"/>
    <w:rsid w:val="0F49360F"/>
    <w:rsid w:val="0F4D3DDA"/>
    <w:rsid w:val="0F58C5F1"/>
    <w:rsid w:val="0F7BDB70"/>
    <w:rsid w:val="0F8163DE"/>
    <w:rsid w:val="0F853A09"/>
    <w:rsid w:val="0F8C82C4"/>
    <w:rsid w:val="0F8CA2EC"/>
    <w:rsid w:val="0F8FE946"/>
    <w:rsid w:val="0F9013B0"/>
    <w:rsid w:val="0F923529"/>
    <w:rsid w:val="0F9344C2"/>
    <w:rsid w:val="0F93B592"/>
    <w:rsid w:val="0F94365C"/>
    <w:rsid w:val="0F970F8B"/>
    <w:rsid w:val="0F9FC0C1"/>
    <w:rsid w:val="0FA2519B"/>
    <w:rsid w:val="0FA5BE75"/>
    <w:rsid w:val="0FA5C0F6"/>
    <w:rsid w:val="0FAAAB24"/>
    <w:rsid w:val="0FB21081"/>
    <w:rsid w:val="0FB58659"/>
    <w:rsid w:val="0FB6D317"/>
    <w:rsid w:val="0FBEDBC7"/>
    <w:rsid w:val="0FC4691E"/>
    <w:rsid w:val="0FC66D24"/>
    <w:rsid w:val="0FC7720F"/>
    <w:rsid w:val="0FC9D6F3"/>
    <w:rsid w:val="0FCE1ADD"/>
    <w:rsid w:val="0FDE5D31"/>
    <w:rsid w:val="0FE10BAD"/>
    <w:rsid w:val="0FF06D14"/>
    <w:rsid w:val="0FF41E63"/>
    <w:rsid w:val="10080E00"/>
    <w:rsid w:val="100B50CF"/>
    <w:rsid w:val="100DA77C"/>
    <w:rsid w:val="100E89C5"/>
    <w:rsid w:val="1020E2A8"/>
    <w:rsid w:val="10244085"/>
    <w:rsid w:val="1026D51E"/>
    <w:rsid w:val="1028F3DD"/>
    <w:rsid w:val="103E8E7C"/>
    <w:rsid w:val="1047B50D"/>
    <w:rsid w:val="10518D0A"/>
    <w:rsid w:val="105DC682"/>
    <w:rsid w:val="106AAB6A"/>
    <w:rsid w:val="106BAC7A"/>
    <w:rsid w:val="10770077"/>
    <w:rsid w:val="1077A651"/>
    <w:rsid w:val="10781BD0"/>
    <w:rsid w:val="107D65B7"/>
    <w:rsid w:val="108C43AD"/>
    <w:rsid w:val="1094312B"/>
    <w:rsid w:val="1099AA04"/>
    <w:rsid w:val="10A7FB00"/>
    <w:rsid w:val="10AAF585"/>
    <w:rsid w:val="10AC73D9"/>
    <w:rsid w:val="10AD6889"/>
    <w:rsid w:val="10AE7F61"/>
    <w:rsid w:val="10BDB7B5"/>
    <w:rsid w:val="10C16276"/>
    <w:rsid w:val="10C6A584"/>
    <w:rsid w:val="10C7F223"/>
    <w:rsid w:val="10C90CDF"/>
    <w:rsid w:val="10C9A190"/>
    <w:rsid w:val="10D37872"/>
    <w:rsid w:val="10D55254"/>
    <w:rsid w:val="10D78181"/>
    <w:rsid w:val="10D8803E"/>
    <w:rsid w:val="10EBD613"/>
    <w:rsid w:val="10ECE147"/>
    <w:rsid w:val="10F4BD5B"/>
    <w:rsid w:val="10F8D47A"/>
    <w:rsid w:val="10F94FC2"/>
    <w:rsid w:val="1102F67A"/>
    <w:rsid w:val="1108EC35"/>
    <w:rsid w:val="111205AB"/>
    <w:rsid w:val="1113CE88"/>
    <w:rsid w:val="11149FAB"/>
    <w:rsid w:val="111DB2FB"/>
    <w:rsid w:val="1123F81E"/>
    <w:rsid w:val="1124F0BB"/>
    <w:rsid w:val="112D2D36"/>
    <w:rsid w:val="112ED55F"/>
    <w:rsid w:val="113DB990"/>
    <w:rsid w:val="1140BA6B"/>
    <w:rsid w:val="114AC869"/>
    <w:rsid w:val="114BAF65"/>
    <w:rsid w:val="114DBCB7"/>
    <w:rsid w:val="114E9CD9"/>
    <w:rsid w:val="1154650B"/>
    <w:rsid w:val="1155365D"/>
    <w:rsid w:val="115AF374"/>
    <w:rsid w:val="116259DE"/>
    <w:rsid w:val="11650673"/>
    <w:rsid w:val="117081EC"/>
    <w:rsid w:val="117DE665"/>
    <w:rsid w:val="1185228F"/>
    <w:rsid w:val="1188E022"/>
    <w:rsid w:val="11890598"/>
    <w:rsid w:val="118F30D4"/>
    <w:rsid w:val="119210CD"/>
    <w:rsid w:val="11923410"/>
    <w:rsid w:val="1197DA2D"/>
    <w:rsid w:val="11988156"/>
    <w:rsid w:val="119CD60F"/>
    <w:rsid w:val="11A2EB06"/>
    <w:rsid w:val="11AA35FF"/>
    <w:rsid w:val="11AC9DA1"/>
    <w:rsid w:val="11B80093"/>
    <w:rsid w:val="11C61CF2"/>
    <w:rsid w:val="11D26C23"/>
    <w:rsid w:val="11D7EC74"/>
    <w:rsid w:val="11D81EC5"/>
    <w:rsid w:val="11DB8A83"/>
    <w:rsid w:val="11DE52EC"/>
    <w:rsid w:val="11E5FF6A"/>
    <w:rsid w:val="11E60AC7"/>
    <w:rsid w:val="11EA9D7C"/>
    <w:rsid w:val="11EDED09"/>
    <w:rsid w:val="11EE17F5"/>
    <w:rsid w:val="11F146BE"/>
    <w:rsid w:val="11F91068"/>
    <w:rsid w:val="12050F8E"/>
    <w:rsid w:val="12169AFD"/>
    <w:rsid w:val="1219C485"/>
    <w:rsid w:val="121B6D8B"/>
    <w:rsid w:val="1221E396"/>
    <w:rsid w:val="122A1C5B"/>
    <w:rsid w:val="122EF93F"/>
    <w:rsid w:val="12382A6F"/>
    <w:rsid w:val="1240D6C5"/>
    <w:rsid w:val="1247545B"/>
    <w:rsid w:val="124C7CD4"/>
    <w:rsid w:val="1258576F"/>
    <w:rsid w:val="1259F6F1"/>
    <w:rsid w:val="125B3B4E"/>
    <w:rsid w:val="12603559"/>
    <w:rsid w:val="1260E387"/>
    <w:rsid w:val="12652306"/>
    <w:rsid w:val="12655166"/>
    <w:rsid w:val="126B7CAA"/>
    <w:rsid w:val="127347F1"/>
    <w:rsid w:val="127560F6"/>
    <w:rsid w:val="1282ECBF"/>
    <w:rsid w:val="1283D47D"/>
    <w:rsid w:val="12843F92"/>
    <w:rsid w:val="1286DC04"/>
    <w:rsid w:val="1289BA11"/>
    <w:rsid w:val="129155CD"/>
    <w:rsid w:val="129A2C87"/>
    <w:rsid w:val="12AD00B6"/>
    <w:rsid w:val="12B454B1"/>
    <w:rsid w:val="12B6B1B1"/>
    <w:rsid w:val="12BACC32"/>
    <w:rsid w:val="12BB06DC"/>
    <w:rsid w:val="12BEFF8E"/>
    <w:rsid w:val="12C454CB"/>
    <w:rsid w:val="12C68E4C"/>
    <w:rsid w:val="12D0CD92"/>
    <w:rsid w:val="12D189B2"/>
    <w:rsid w:val="12DA519A"/>
    <w:rsid w:val="12DE2821"/>
    <w:rsid w:val="12DE7316"/>
    <w:rsid w:val="12E7EA5F"/>
    <w:rsid w:val="12E8FE8C"/>
    <w:rsid w:val="12ED54C4"/>
    <w:rsid w:val="12F0744F"/>
    <w:rsid w:val="12F0E9D7"/>
    <w:rsid w:val="12F2E40D"/>
    <w:rsid w:val="12FC45BF"/>
    <w:rsid w:val="12FCB116"/>
    <w:rsid w:val="12FD9AAA"/>
    <w:rsid w:val="13064A61"/>
    <w:rsid w:val="130B266E"/>
    <w:rsid w:val="130D013A"/>
    <w:rsid w:val="1312D297"/>
    <w:rsid w:val="1313233A"/>
    <w:rsid w:val="1315C188"/>
    <w:rsid w:val="131A075F"/>
    <w:rsid w:val="1325FB98"/>
    <w:rsid w:val="132F67DB"/>
    <w:rsid w:val="133AAFF8"/>
    <w:rsid w:val="133B69A9"/>
    <w:rsid w:val="1343418D"/>
    <w:rsid w:val="13449CA6"/>
    <w:rsid w:val="1355E851"/>
    <w:rsid w:val="1356E947"/>
    <w:rsid w:val="1356EFB9"/>
    <w:rsid w:val="13641B68"/>
    <w:rsid w:val="136A0902"/>
    <w:rsid w:val="136FA131"/>
    <w:rsid w:val="1371149A"/>
    <w:rsid w:val="1372A766"/>
    <w:rsid w:val="137394E9"/>
    <w:rsid w:val="1374A641"/>
    <w:rsid w:val="137C95BF"/>
    <w:rsid w:val="137FB8C7"/>
    <w:rsid w:val="1381F2D7"/>
    <w:rsid w:val="13823838"/>
    <w:rsid w:val="1382AF4A"/>
    <w:rsid w:val="1382F933"/>
    <w:rsid w:val="13838B9B"/>
    <w:rsid w:val="1383EE6D"/>
    <w:rsid w:val="13892E05"/>
    <w:rsid w:val="138C850E"/>
    <w:rsid w:val="1393A177"/>
    <w:rsid w:val="13971BEC"/>
    <w:rsid w:val="139AF6B6"/>
    <w:rsid w:val="13ADBEBF"/>
    <w:rsid w:val="13B8838F"/>
    <w:rsid w:val="13BA1835"/>
    <w:rsid w:val="13BD0784"/>
    <w:rsid w:val="13C0F9E7"/>
    <w:rsid w:val="13C235B0"/>
    <w:rsid w:val="13CBC59B"/>
    <w:rsid w:val="13CE29FA"/>
    <w:rsid w:val="13D3FF43"/>
    <w:rsid w:val="13D4B81F"/>
    <w:rsid w:val="13DE355D"/>
    <w:rsid w:val="13E05EBC"/>
    <w:rsid w:val="13EAA61D"/>
    <w:rsid w:val="13EBDAB8"/>
    <w:rsid w:val="13F00047"/>
    <w:rsid w:val="13F11126"/>
    <w:rsid w:val="13F194BC"/>
    <w:rsid w:val="13F83AEE"/>
    <w:rsid w:val="13F9C1AE"/>
    <w:rsid w:val="13FA29E8"/>
    <w:rsid w:val="1403AE7D"/>
    <w:rsid w:val="140E6FE9"/>
    <w:rsid w:val="1410ABD8"/>
    <w:rsid w:val="14120D32"/>
    <w:rsid w:val="1419D40D"/>
    <w:rsid w:val="1428670C"/>
    <w:rsid w:val="142A5235"/>
    <w:rsid w:val="142F1A46"/>
    <w:rsid w:val="14353154"/>
    <w:rsid w:val="1437380D"/>
    <w:rsid w:val="143A36D2"/>
    <w:rsid w:val="143A8ECC"/>
    <w:rsid w:val="143B4A10"/>
    <w:rsid w:val="143CB589"/>
    <w:rsid w:val="143E2C24"/>
    <w:rsid w:val="14415EC6"/>
    <w:rsid w:val="14453704"/>
    <w:rsid w:val="1448C01C"/>
    <w:rsid w:val="144AF2FE"/>
    <w:rsid w:val="144D0800"/>
    <w:rsid w:val="14510A8D"/>
    <w:rsid w:val="1464C336"/>
    <w:rsid w:val="146BE21F"/>
    <w:rsid w:val="147227D6"/>
    <w:rsid w:val="147266D4"/>
    <w:rsid w:val="14789123"/>
    <w:rsid w:val="1486A219"/>
    <w:rsid w:val="1491D65D"/>
    <w:rsid w:val="1497808F"/>
    <w:rsid w:val="149D07F9"/>
    <w:rsid w:val="149D356C"/>
    <w:rsid w:val="149EEF52"/>
    <w:rsid w:val="14A14CB2"/>
    <w:rsid w:val="14A22E15"/>
    <w:rsid w:val="14A6C2A1"/>
    <w:rsid w:val="14AAF29C"/>
    <w:rsid w:val="14B36637"/>
    <w:rsid w:val="14B4137C"/>
    <w:rsid w:val="14B47B19"/>
    <w:rsid w:val="14BABAC7"/>
    <w:rsid w:val="14BC719A"/>
    <w:rsid w:val="14C70562"/>
    <w:rsid w:val="14CEC1E9"/>
    <w:rsid w:val="14D24485"/>
    <w:rsid w:val="14D46E09"/>
    <w:rsid w:val="14D9E3D6"/>
    <w:rsid w:val="14E29101"/>
    <w:rsid w:val="14E37674"/>
    <w:rsid w:val="14EA5FD3"/>
    <w:rsid w:val="14ED0243"/>
    <w:rsid w:val="14F415EF"/>
    <w:rsid w:val="14FADFFA"/>
    <w:rsid w:val="15016A23"/>
    <w:rsid w:val="1501DAB3"/>
    <w:rsid w:val="1502A507"/>
    <w:rsid w:val="150CA435"/>
    <w:rsid w:val="15195124"/>
    <w:rsid w:val="151BB3A4"/>
    <w:rsid w:val="151CE9A6"/>
    <w:rsid w:val="1529F51C"/>
    <w:rsid w:val="1532104D"/>
    <w:rsid w:val="1532A1C6"/>
    <w:rsid w:val="15344D1A"/>
    <w:rsid w:val="153789BB"/>
    <w:rsid w:val="15393187"/>
    <w:rsid w:val="153F4E43"/>
    <w:rsid w:val="155CBCEA"/>
    <w:rsid w:val="1568297E"/>
    <w:rsid w:val="1568DF13"/>
    <w:rsid w:val="15698955"/>
    <w:rsid w:val="1575426C"/>
    <w:rsid w:val="1575904A"/>
    <w:rsid w:val="15775613"/>
    <w:rsid w:val="157967AE"/>
    <w:rsid w:val="1581E040"/>
    <w:rsid w:val="158D7B52"/>
    <w:rsid w:val="1595DD7D"/>
    <w:rsid w:val="15A3C081"/>
    <w:rsid w:val="15A8209E"/>
    <w:rsid w:val="15A92634"/>
    <w:rsid w:val="15AE652D"/>
    <w:rsid w:val="15AEB46F"/>
    <w:rsid w:val="15B142FE"/>
    <w:rsid w:val="15B4284E"/>
    <w:rsid w:val="15B9A12F"/>
    <w:rsid w:val="15C34ECC"/>
    <w:rsid w:val="15C682FD"/>
    <w:rsid w:val="15C8E30E"/>
    <w:rsid w:val="15CC2965"/>
    <w:rsid w:val="15D72D65"/>
    <w:rsid w:val="15D824BA"/>
    <w:rsid w:val="15DC22D4"/>
    <w:rsid w:val="15E2390B"/>
    <w:rsid w:val="15E292DA"/>
    <w:rsid w:val="15E50D55"/>
    <w:rsid w:val="15E55AC8"/>
    <w:rsid w:val="15ED4AEB"/>
    <w:rsid w:val="15F64E3D"/>
    <w:rsid w:val="15F771DE"/>
    <w:rsid w:val="15FDC25A"/>
    <w:rsid w:val="1607E0F2"/>
    <w:rsid w:val="16105376"/>
    <w:rsid w:val="1610AC27"/>
    <w:rsid w:val="1614B881"/>
    <w:rsid w:val="1617CC91"/>
    <w:rsid w:val="161F6AC3"/>
    <w:rsid w:val="1623BF20"/>
    <w:rsid w:val="16276D5A"/>
    <w:rsid w:val="162CA3A7"/>
    <w:rsid w:val="1632CC71"/>
    <w:rsid w:val="16333A1F"/>
    <w:rsid w:val="1634900A"/>
    <w:rsid w:val="1637C472"/>
    <w:rsid w:val="1638AB5C"/>
    <w:rsid w:val="16397FB2"/>
    <w:rsid w:val="163BADEC"/>
    <w:rsid w:val="163CBF50"/>
    <w:rsid w:val="163E16EF"/>
    <w:rsid w:val="16400854"/>
    <w:rsid w:val="1656FBB4"/>
    <w:rsid w:val="165B0ED6"/>
    <w:rsid w:val="165F00C9"/>
    <w:rsid w:val="16710A17"/>
    <w:rsid w:val="1671508C"/>
    <w:rsid w:val="167588B1"/>
    <w:rsid w:val="1679128E"/>
    <w:rsid w:val="167D78D2"/>
    <w:rsid w:val="167DEA40"/>
    <w:rsid w:val="16808541"/>
    <w:rsid w:val="169517D8"/>
    <w:rsid w:val="169C6E85"/>
    <w:rsid w:val="169DF9E1"/>
    <w:rsid w:val="169E7859"/>
    <w:rsid w:val="16A10724"/>
    <w:rsid w:val="16A3F6BF"/>
    <w:rsid w:val="16A4D5DD"/>
    <w:rsid w:val="16AD4FF9"/>
    <w:rsid w:val="16B5A52A"/>
    <w:rsid w:val="16B62420"/>
    <w:rsid w:val="16C14B40"/>
    <w:rsid w:val="16C91B77"/>
    <w:rsid w:val="16D1001F"/>
    <w:rsid w:val="16D29452"/>
    <w:rsid w:val="16D9D842"/>
    <w:rsid w:val="16DB0917"/>
    <w:rsid w:val="16E20E52"/>
    <w:rsid w:val="16E8529D"/>
    <w:rsid w:val="16F41FB8"/>
    <w:rsid w:val="16F6BA0F"/>
    <w:rsid w:val="16F814D1"/>
    <w:rsid w:val="1706883A"/>
    <w:rsid w:val="171B81ED"/>
    <w:rsid w:val="1720CDE5"/>
    <w:rsid w:val="172160E9"/>
    <w:rsid w:val="1722513D"/>
    <w:rsid w:val="1723D689"/>
    <w:rsid w:val="1725A2C2"/>
    <w:rsid w:val="17265813"/>
    <w:rsid w:val="1726FA23"/>
    <w:rsid w:val="172B51EA"/>
    <w:rsid w:val="1746C70E"/>
    <w:rsid w:val="1754CAE0"/>
    <w:rsid w:val="17559389"/>
    <w:rsid w:val="175751D9"/>
    <w:rsid w:val="175847CE"/>
    <w:rsid w:val="17717BE3"/>
    <w:rsid w:val="1779C1E9"/>
    <w:rsid w:val="177B9DC2"/>
    <w:rsid w:val="177D60EE"/>
    <w:rsid w:val="1782A237"/>
    <w:rsid w:val="1783A797"/>
    <w:rsid w:val="1784B53D"/>
    <w:rsid w:val="178902DB"/>
    <w:rsid w:val="17976A91"/>
    <w:rsid w:val="17983367"/>
    <w:rsid w:val="179A95AC"/>
    <w:rsid w:val="17A0B60F"/>
    <w:rsid w:val="17A26770"/>
    <w:rsid w:val="17B5AD65"/>
    <w:rsid w:val="17C1C927"/>
    <w:rsid w:val="17C37922"/>
    <w:rsid w:val="17C5A706"/>
    <w:rsid w:val="17E4D74A"/>
    <w:rsid w:val="17E534BE"/>
    <w:rsid w:val="17E7ED2A"/>
    <w:rsid w:val="17E90C44"/>
    <w:rsid w:val="17F24DBC"/>
    <w:rsid w:val="17F26F91"/>
    <w:rsid w:val="17F5D310"/>
    <w:rsid w:val="17FD5ACE"/>
    <w:rsid w:val="18025D2B"/>
    <w:rsid w:val="180FE2D2"/>
    <w:rsid w:val="181738B1"/>
    <w:rsid w:val="181B00B9"/>
    <w:rsid w:val="181C0229"/>
    <w:rsid w:val="181C384B"/>
    <w:rsid w:val="181D40FF"/>
    <w:rsid w:val="181F1A15"/>
    <w:rsid w:val="181FC410"/>
    <w:rsid w:val="181FEF40"/>
    <w:rsid w:val="1827E2A7"/>
    <w:rsid w:val="182A596C"/>
    <w:rsid w:val="182F6DA7"/>
    <w:rsid w:val="1830FD21"/>
    <w:rsid w:val="1835DCCE"/>
    <w:rsid w:val="18412393"/>
    <w:rsid w:val="184730AF"/>
    <w:rsid w:val="184E3F06"/>
    <w:rsid w:val="1850475C"/>
    <w:rsid w:val="1856DEE4"/>
    <w:rsid w:val="185A0370"/>
    <w:rsid w:val="185A71B4"/>
    <w:rsid w:val="186147C1"/>
    <w:rsid w:val="18614EC7"/>
    <w:rsid w:val="1863B90A"/>
    <w:rsid w:val="1865FD06"/>
    <w:rsid w:val="18671709"/>
    <w:rsid w:val="1875D43F"/>
    <w:rsid w:val="187E08D1"/>
    <w:rsid w:val="187E21E3"/>
    <w:rsid w:val="187E9309"/>
    <w:rsid w:val="1881B17A"/>
    <w:rsid w:val="188220B4"/>
    <w:rsid w:val="1885E3AC"/>
    <w:rsid w:val="1885EB86"/>
    <w:rsid w:val="189BDB0D"/>
    <w:rsid w:val="18A4C80A"/>
    <w:rsid w:val="18A605B3"/>
    <w:rsid w:val="18AE2AF0"/>
    <w:rsid w:val="18AE80A0"/>
    <w:rsid w:val="18AFBD8F"/>
    <w:rsid w:val="18B7BF7E"/>
    <w:rsid w:val="18BAEB6E"/>
    <w:rsid w:val="18BB716F"/>
    <w:rsid w:val="18BC78BF"/>
    <w:rsid w:val="18C180E0"/>
    <w:rsid w:val="18C9955F"/>
    <w:rsid w:val="18D1A8D4"/>
    <w:rsid w:val="18D50323"/>
    <w:rsid w:val="18DA7146"/>
    <w:rsid w:val="18DB642C"/>
    <w:rsid w:val="18DBC02A"/>
    <w:rsid w:val="18E17015"/>
    <w:rsid w:val="18E29C67"/>
    <w:rsid w:val="18E5C4A3"/>
    <w:rsid w:val="18E78AF0"/>
    <w:rsid w:val="18E9F692"/>
    <w:rsid w:val="18EC9F74"/>
    <w:rsid w:val="18ED6D93"/>
    <w:rsid w:val="18F1155D"/>
    <w:rsid w:val="190217E1"/>
    <w:rsid w:val="190727D4"/>
    <w:rsid w:val="190A2A78"/>
    <w:rsid w:val="190BAB81"/>
    <w:rsid w:val="190D6DBE"/>
    <w:rsid w:val="1912352E"/>
    <w:rsid w:val="191BCE12"/>
    <w:rsid w:val="19249657"/>
    <w:rsid w:val="192EE80B"/>
    <w:rsid w:val="192FC59E"/>
    <w:rsid w:val="193351CD"/>
    <w:rsid w:val="19394BF8"/>
    <w:rsid w:val="19409561"/>
    <w:rsid w:val="1940C4D0"/>
    <w:rsid w:val="19414D5C"/>
    <w:rsid w:val="1941ABAE"/>
    <w:rsid w:val="1948D5EA"/>
    <w:rsid w:val="1951936A"/>
    <w:rsid w:val="1956E742"/>
    <w:rsid w:val="195B3BD8"/>
    <w:rsid w:val="195C6B5A"/>
    <w:rsid w:val="19633E88"/>
    <w:rsid w:val="19660886"/>
    <w:rsid w:val="196776D2"/>
    <w:rsid w:val="196A6165"/>
    <w:rsid w:val="196E974B"/>
    <w:rsid w:val="1977C5BC"/>
    <w:rsid w:val="19794E91"/>
    <w:rsid w:val="197BEE99"/>
    <w:rsid w:val="197EC2BC"/>
    <w:rsid w:val="19914A87"/>
    <w:rsid w:val="1998A225"/>
    <w:rsid w:val="1999A64C"/>
    <w:rsid w:val="199D80AF"/>
    <w:rsid w:val="19A45D27"/>
    <w:rsid w:val="19A5ED60"/>
    <w:rsid w:val="19AC001D"/>
    <w:rsid w:val="19BA5E14"/>
    <w:rsid w:val="19BBBC5A"/>
    <w:rsid w:val="19BC415B"/>
    <w:rsid w:val="19BCF3B9"/>
    <w:rsid w:val="19C73D9B"/>
    <w:rsid w:val="19CDF895"/>
    <w:rsid w:val="19D14314"/>
    <w:rsid w:val="19D63487"/>
    <w:rsid w:val="19D6475C"/>
    <w:rsid w:val="19D8D7F5"/>
    <w:rsid w:val="19D8DE96"/>
    <w:rsid w:val="19DC60FB"/>
    <w:rsid w:val="19DCD331"/>
    <w:rsid w:val="19DCE93B"/>
    <w:rsid w:val="19E2D44E"/>
    <w:rsid w:val="19E56DD2"/>
    <w:rsid w:val="19E601EE"/>
    <w:rsid w:val="19E7B8DA"/>
    <w:rsid w:val="19F110AE"/>
    <w:rsid w:val="19F92A74"/>
    <w:rsid w:val="19FDF8D6"/>
    <w:rsid w:val="1A07F743"/>
    <w:rsid w:val="1A10A7C5"/>
    <w:rsid w:val="1A164B39"/>
    <w:rsid w:val="1A17BCD6"/>
    <w:rsid w:val="1A1FE7B2"/>
    <w:rsid w:val="1A21A904"/>
    <w:rsid w:val="1A226B60"/>
    <w:rsid w:val="1A2B34D4"/>
    <w:rsid w:val="1A2D47B0"/>
    <w:rsid w:val="1A35BE77"/>
    <w:rsid w:val="1A35DF55"/>
    <w:rsid w:val="1A37BE6B"/>
    <w:rsid w:val="1A39F78C"/>
    <w:rsid w:val="1A46F91C"/>
    <w:rsid w:val="1A4E3970"/>
    <w:rsid w:val="1A520B82"/>
    <w:rsid w:val="1A5582DB"/>
    <w:rsid w:val="1A56953D"/>
    <w:rsid w:val="1A58CAA3"/>
    <w:rsid w:val="1A5D20EE"/>
    <w:rsid w:val="1A5D69E8"/>
    <w:rsid w:val="1A5F1D0B"/>
    <w:rsid w:val="1A5FF932"/>
    <w:rsid w:val="1A63D38B"/>
    <w:rsid w:val="1A65246F"/>
    <w:rsid w:val="1A6D3F0D"/>
    <w:rsid w:val="1A737994"/>
    <w:rsid w:val="1A7504B9"/>
    <w:rsid w:val="1A765526"/>
    <w:rsid w:val="1A77392F"/>
    <w:rsid w:val="1A7A9D37"/>
    <w:rsid w:val="1A7E990F"/>
    <w:rsid w:val="1A7F8936"/>
    <w:rsid w:val="1A7FA4C5"/>
    <w:rsid w:val="1A8096E6"/>
    <w:rsid w:val="1A84F9DC"/>
    <w:rsid w:val="1A86631F"/>
    <w:rsid w:val="1A943BBD"/>
    <w:rsid w:val="1A943E93"/>
    <w:rsid w:val="1A947AD4"/>
    <w:rsid w:val="1A94A1DA"/>
    <w:rsid w:val="1A9CABF6"/>
    <w:rsid w:val="1AA7290C"/>
    <w:rsid w:val="1AA794C3"/>
    <w:rsid w:val="1AB34BF0"/>
    <w:rsid w:val="1ABB2DF9"/>
    <w:rsid w:val="1ABCAE2B"/>
    <w:rsid w:val="1AC0D5A5"/>
    <w:rsid w:val="1ACF70F3"/>
    <w:rsid w:val="1ACFE074"/>
    <w:rsid w:val="1ADE8100"/>
    <w:rsid w:val="1AE4F906"/>
    <w:rsid w:val="1AE7FF1D"/>
    <w:rsid w:val="1AEA4F74"/>
    <w:rsid w:val="1AEC6B08"/>
    <w:rsid w:val="1AF06652"/>
    <w:rsid w:val="1AF078DD"/>
    <w:rsid w:val="1AFB976F"/>
    <w:rsid w:val="1AFF32BF"/>
    <w:rsid w:val="1B05B617"/>
    <w:rsid w:val="1B0691E9"/>
    <w:rsid w:val="1B06B17B"/>
    <w:rsid w:val="1B0A41F1"/>
    <w:rsid w:val="1B0AEC90"/>
    <w:rsid w:val="1B0BA9BE"/>
    <w:rsid w:val="1B0FC0D4"/>
    <w:rsid w:val="1B13E7C9"/>
    <w:rsid w:val="1B16A346"/>
    <w:rsid w:val="1B1BBB71"/>
    <w:rsid w:val="1B1CD88F"/>
    <w:rsid w:val="1B21A142"/>
    <w:rsid w:val="1B2CBEC7"/>
    <w:rsid w:val="1B301D6D"/>
    <w:rsid w:val="1B3137FA"/>
    <w:rsid w:val="1B457C86"/>
    <w:rsid w:val="1B4CEA65"/>
    <w:rsid w:val="1B63BC7B"/>
    <w:rsid w:val="1B6557B9"/>
    <w:rsid w:val="1B685945"/>
    <w:rsid w:val="1B6AA07B"/>
    <w:rsid w:val="1B6E0F64"/>
    <w:rsid w:val="1B76C92A"/>
    <w:rsid w:val="1B7C69EB"/>
    <w:rsid w:val="1B7F5342"/>
    <w:rsid w:val="1B82B732"/>
    <w:rsid w:val="1B8649AE"/>
    <w:rsid w:val="1B871359"/>
    <w:rsid w:val="1B8917FD"/>
    <w:rsid w:val="1B8ACD29"/>
    <w:rsid w:val="1B9402D9"/>
    <w:rsid w:val="1B95DBBF"/>
    <w:rsid w:val="1B973E4A"/>
    <w:rsid w:val="1B98D1A2"/>
    <w:rsid w:val="1B9FCBD2"/>
    <w:rsid w:val="1BA5B902"/>
    <w:rsid w:val="1BA68E9C"/>
    <w:rsid w:val="1BAA1385"/>
    <w:rsid w:val="1BB053E1"/>
    <w:rsid w:val="1BBA1865"/>
    <w:rsid w:val="1BBC1C99"/>
    <w:rsid w:val="1BC08211"/>
    <w:rsid w:val="1BC0D682"/>
    <w:rsid w:val="1BC77383"/>
    <w:rsid w:val="1BCA2842"/>
    <w:rsid w:val="1BCB8D22"/>
    <w:rsid w:val="1BD559E4"/>
    <w:rsid w:val="1BD96EB7"/>
    <w:rsid w:val="1BE4EC5A"/>
    <w:rsid w:val="1BE7E484"/>
    <w:rsid w:val="1BE92147"/>
    <w:rsid w:val="1BF49870"/>
    <w:rsid w:val="1BF4BB2A"/>
    <w:rsid w:val="1BF53C0A"/>
    <w:rsid w:val="1BFB9D84"/>
    <w:rsid w:val="1C00149A"/>
    <w:rsid w:val="1C096BB5"/>
    <w:rsid w:val="1C18E17B"/>
    <w:rsid w:val="1C1A46E0"/>
    <w:rsid w:val="1C233222"/>
    <w:rsid w:val="1C23CEDB"/>
    <w:rsid w:val="1C2F3CBE"/>
    <w:rsid w:val="1C2F5A3E"/>
    <w:rsid w:val="1C2FBA99"/>
    <w:rsid w:val="1C302F30"/>
    <w:rsid w:val="1C32BE46"/>
    <w:rsid w:val="1C3BC07E"/>
    <w:rsid w:val="1C3EBC34"/>
    <w:rsid w:val="1C454FF5"/>
    <w:rsid w:val="1C46B8B4"/>
    <w:rsid w:val="1C4BD3AB"/>
    <w:rsid w:val="1C4E621D"/>
    <w:rsid w:val="1C5262C3"/>
    <w:rsid w:val="1C530513"/>
    <w:rsid w:val="1C5CC202"/>
    <w:rsid w:val="1C5CC8A8"/>
    <w:rsid w:val="1C5E0CD4"/>
    <w:rsid w:val="1C63E30B"/>
    <w:rsid w:val="1C73844E"/>
    <w:rsid w:val="1C747BA5"/>
    <w:rsid w:val="1C7BCF28"/>
    <w:rsid w:val="1C7D713E"/>
    <w:rsid w:val="1C7DB3FC"/>
    <w:rsid w:val="1C7E3810"/>
    <w:rsid w:val="1C83038E"/>
    <w:rsid w:val="1C87A508"/>
    <w:rsid w:val="1C87B722"/>
    <w:rsid w:val="1C912338"/>
    <w:rsid w:val="1C92D008"/>
    <w:rsid w:val="1C9973A9"/>
    <w:rsid w:val="1C99F7D8"/>
    <w:rsid w:val="1CA3B017"/>
    <w:rsid w:val="1CA9F2DD"/>
    <w:rsid w:val="1CB1BAC0"/>
    <w:rsid w:val="1CB23AAE"/>
    <w:rsid w:val="1CB33481"/>
    <w:rsid w:val="1CB532B6"/>
    <w:rsid w:val="1CC0E69C"/>
    <w:rsid w:val="1CCBFB0D"/>
    <w:rsid w:val="1CD3D4A4"/>
    <w:rsid w:val="1CD74C4C"/>
    <w:rsid w:val="1CD82E17"/>
    <w:rsid w:val="1CD85936"/>
    <w:rsid w:val="1CDBB4FF"/>
    <w:rsid w:val="1CDD9480"/>
    <w:rsid w:val="1CDDC65B"/>
    <w:rsid w:val="1CDEDAB7"/>
    <w:rsid w:val="1CEA65B7"/>
    <w:rsid w:val="1CF40DB3"/>
    <w:rsid w:val="1CF64A2E"/>
    <w:rsid w:val="1CF82F35"/>
    <w:rsid w:val="1CF8FE2D"/>
    <w:rsid w:val="1D02A52C"/>
    <w:rsid w:val="1D086C26"/>
    <w:rsid w:val="1D0BDA90"/>
    <w:rsid w:val="1D0E68FE"/>
    <w:rsid w:val="1D0EE4F2"/>
    <w:rsid w:val="1D107545"/>
    <w:rsid w:val="1D175DB5"/>
    <w:rsid w:val="1D17F260"/>
    <w:rsid w:val="1D2D89E5"/>
    <w:rsid w:val="1D2EA5A7"/>
    <w:rsid w:val="1D370936"/>
    <w:rsid w:val="1D397D99"/>
    <w:rsid w:val="1D3ACEF7"/>
    <w:rsid w:val="1D40901C"/>
    <w:rsid w:val="1D4D5312"/>
    <w:rsid w:val="1D4EA655"/>
    <w:rsid w:val="1D57EFFC"/>
    <w:rsid w:val="1D627C37"/>
    <w:rsid w:val="1D689EBE"/>
    <w:rsid w:val="1D7F4FF6"/>
    <w:rsid w:val="1D849C9F"/>
    <w:rsid w:val="1D8A5163"/>
    <w:rsid w:val="1D8A7EFF"/>
    <w:rsid w:val="1D8BF939"/>
    <w:rsid w:val="1D94D2AA"/>
    <w:rsid w:val="1D9A4593"/>
    <w:rsid w:val="1D9C1DC3"/>
    <w:rsid w:val="1DA6E945"/>
    <w:rsid w:val="1DA94900"/>
    <w:rsid w:val="1DAA4614"/>
    <w:rsid w:val="1DAD1275"/>
    <w:rsid w:val="1DAD4843"/>
    <w:rsid w:val="1DB2378B"/>
    <w:rsid w:val="1DBB654A"/>
    <w:rsid w:val="1DBCFD05"/>
    <w:rsid w:val="1DBE963B"/>
    <w:rsid w:val="1DC64E3F"/>
    <w:rsid w:val="1DC7A005"/>
    <w:rsid w:val="1DC93CE3"/>
    <w:rsid w:val="1DCAB0D6"/>
    <w:rsid w:val="1DCD416D"/>
    <w:rsid w:val="1DD218CD"/>
    <w:rsid w:val="1DD7D503"/>
    <w:rsid w:val="1DDBEFD0"/>
    <w:rsid w:val="1DDC8765"/>
    <w:rsid w:val="1DDF4833"/>
    <w:rsid w:val="1DE24605"/>
    <w:rsid w:val="1DEE2699"/>
    <w:rsid w:val="1DEF3D1F"/>
    <w:rsid w:val="1DEFEFB7"/>
    <w:rsid w:val="1DF50CFC"/>
    <w:rsid w:val="1DF674E5"/>
    <w:rsid w:val="1DFA2478"/>
    <w:rsid w:val="1DFC037A"/>
    <w:rsid w:val="1DFDDA8B"/>
    <w:rsid w:val="1DFFE7C6"/>
    <w:rsid w:val="1E01FF34"/>
    <w:rsid w:val="1E03D365"/>
    <w:rsid w:val="1E076ECB"/>
    <w:rsid w:val="1E0ABE9E"/>
    <w:rsid w:val="1E0B8BCD"/>
    <w:rsid w:val="1E0DC837"/>
    <w:rsid w:val="1E14F74D"/>
    <w:rsid w:val="1E160D7D"/>
    <w:rsid w:val="1E16CC95"/>
    <w:rsid w:val="1E18CFB3"/>
    <w:rsid w:val="1E1A3F73"/>
    <w:rsid w:val="1E2DCC7E"/>
    <w:rsid w:val="1E3E3422"/>
    <w:rsid w:val="1E3F1E06"/>
    <w:rsid w:val="1E4115B8"/>
    <w:rsid w:val="1E449AE3"/>
    <w:rsid w:val="1E4E06F0"/>
    <w:rsid w:val="1E599288"/>
    <w:rsid w:val="1E5BAD74"/>
    <w:rsid w:val="1E5BDE42"/>
    <w:rsid w:val="1E6AE28C"/>
    <w:rsid w:val="1E6BDC55"/>
    <w:rsid w:val="1E720598"/>
    <w:rsid w:val="1E759555"/>
    <w:rsid w:val="1E7BD267"/>
    <w:rsid w:val="1E85EE2B"/>
    <w:rsid w:val="1E912BB6"/>
    <w:rsid w:val="1E916348"/>
    <w:rsid w:val="1EAD18B5"/>
    <w:rsid w:val="1EB3578F"/>
    <w:rsid w:val="1EB744A0"/>
    <w:rsid w:val="1EBBBF43"/>
    <w:rsid w:val="1EBEF249"/>
    <w:rsid w:val="1EC35AEB"/>
    <w:rsid w:val="1EC61FB8"/>
    <w:rsid w:val="1EC81BE5"/>
    <w:rsid w:val="1ECBAFB3"/>
    <w:rsid w:val="1ECBF1F8"/>
    <w:rsid w:val="1ECEAC9B"/>
    <w:rsid w:val="1EDA3913"/>
    <w:rsid w:val="1EE247F2"/>
    <w:rsid w:val="1EE3F493"/>
    <w:rsid w:val="1EED6458"/>
    <w:rsid w:val="1EF30692"/>
    <w:rsid w:val="1EFF5A82"/>
    <w:rsid w:val="1F02FBD0"/>
    <w:rsid w:val="1F08B3E4"/>
    <w:rsid w:val="1F0A11A6"/>
    <w:rsid w:val="1F0B1E99"/>
    <w:rsid w:val="1F0D40F0"/>
    <w:rsid w:val="1F127EA9"/>
    <w:rsid w:val="1F14B57D"/>
    <w:rsid w:val="1F15CF90"/>
    <w:rsid w:val="1F1A0D1A"/>
    <w:rsid w:val="1F259B31"/>
    <w:rsid w:val="1F25C6DD"/>
    <w:rsid w:val="1F3EBE7C"/>
    <w:rsid w:val="1F44C9A4"/>
    <w:rsid w:val="1F45840F"/>
    <w:rsid w:val="1F45C462"/>
    <w:rsid w:val="1F475B47"/>
    <w:rsid w:val="1F570C59"/>
    <w:rsid w:val="1F59DAFA"/>
    <w:rsid w:val="1F6067AB"/>
    <w:rsid w:val="1F61BB73"/>
    <w:rsid w:val="1F63592A"/>
    <w:rsid w:val="1F747171"/>
    <w:rsid w:val="1F76F22E"/>
    <w:rsid w:val="1F786484"/>
    <w:rsid w:val="1F7C8233"/>
    <w:rsid w:val="1F7E21A0"/>
    <w:rsid w:val="1F81DE0F"/>
    <w:rsid w:val="1F8770FB"/>
    <w:rsid w:val="1F87D4FD"/>
    <w:rsid w:val="1F88A8CF"/>
    <w:rsid w:val="1F89B33D"/>
    <w:rsid w:val="1F90E653"/>
    <w:rsid w:val="1F92AFBD"/>
    <w:rsid w:val="1F9A6B9A"/>
    <w:rsid w:val="1F9B54B8"/>
    <w:rsid w:val="1F9BCEB8"/>
    <w:rsid w:val="1FA28125"/>
    <w:rsid w:val="1FABB2CB"/>
    <w:rsid w:val="1FB68FB4"/>
    <w:rsid w:val="1FB972A5"/>
    <w:rsid w:val="1FBA1416"/>
    <w:rsid w:val="1FBEA084"/>
    <w:rsid w:val="1FC0C9C7"/>
    <w:rsid w:val="1FC7146E"/>
    <w:rsid w:val="1FC90AB5"/>
    <w:rsid w:val="1FCC7F4C"/>
    <w:rsid w:val="1FD28614"/>
    <w:rsid w:val="1FD5798C"/>
    <w:rsid w:val="1FDA6821"/>
    <w:rsid w:val="1FDFA3B9"/>
    <w:rsid w:val="1FE1F574"/>
    <w:rsid w:val="1FE7BA36"/>
    <w:rsid w:val="1FECE8A6"/>
    <w:rsid w:val="1FED6A68"/>
    <w:rsid w:val="1FEFAC4A"/>
    <w:rsid w:val="1FFDA9D4"/>
    <w:rsid w:val="1FFE8D4D"/>
    <w:rsid w:val="200D01E5"/>
    <w:rsid w:val="200EE3BD"/>
    <w:rsid w:val="2019B7AA"/>
    <w:rsid w:val="201D47EF"/>
    <w:rsid w:val="201E4E72"/>
    <w:rsid w:val="202742D7"/>
    <w:rsid w:val="20316208"/>
    <w:rsid w:val="2035F2C8"/>
    <w:rsid w:val="2045EE47"/>
    <w:rsid w:val="204D3958"/>
    <w:rsid w:val="205238D9"/>
    <w:rsid w:val="2052A7EB"/>
    <w:rsid w:val="2053B0AA"/>
    <w:rsid w:val="205F4A6B"/>
    <w:rsid w:val="206047A2"/>
    <w:rsid w:val="206223D6"/>
    <w:rsid w:val="20681654"/>
    <w:rsid w:val="207018EF"/>
    <w:rsid w:val="2076F3E1"/>
    <w:rsid w:val="207BED7E"/>
    <w:rsid w:val="20878876"/>
    <w:rsid w:val="2092721D"/>
    <w:rsid w:val="20939E9D"/>
    <w:rsid w:val="20998124"/>
    <w:rsid w:val="20AEFB18"/>
    <w:rsid w:val="20BC336E"/>
    <w:rsid w:val="20BDAE7E"/>
    <w:rsid w:val="20C402C5"/>
    <w:rsid w:val="20C6E67F"/>
    <w:rsid w:val="20C7E2C8"/>
    <w:rsid w:val="20CAA5DF"/>
    <w:rsid w:val="20D095B8"/>
    <w:rsid w:val="20D199D2"/>
    <w:rsid w:val="20E1C429"/>
    <w:rsid w:val="20E791F4"/>
    <w:rsid w:val="20E965BC"/>
    <w:rsid w:val="20EA0F16"/>
    <w:rsid w:val="20F3AE3F"/>
    <w:rsid w:val="20F47AE3"/>
    <w:rsid w:val="20FB483F"/>
    <w:rsid w:val="20FEC6D0"/>
    <w:rsid w:val="2113F506"/>
    <w:rsid w:val="2117B38F"/>
    <w:rsid w:val="21217A76"/>
    <w:rsid w:val="212968B2"/>
    <w:rsid w:val="212FCBA0"/>
    <w:rsid w:val="21328EF9"/>
    <w:rsid w:val="213E9E22"/>
    <w:rsid w:val="214EEFE1"/>
    <w:rsid w:val="21590B35"/>
    <w:rsid w:val="2169C013"/>
    <w:rsid w:val="216B2AB4"/>
    <w:rsid w:val="216E12B7"/>
    <w:rsid w:val="217743AC"/>
    <w:rsid w:val="217AC093"/>
    <w:rsid w:val="2181D699"/>
    <w:rsid w:val="2182B2D6"/>
    <w:rsid w:val="2187B30A"/>
    <w:rsid w:val="218EC7B2"/>
    <w:rsid w:val="2190E232"/>
    <w:rsid w:val="219198E1"/>
    <w:rsid w:val="2193AD6E"/>
    <w:rsid w:val="2198CF3F"/>
    <w:rsid w:val="219BC8FD"/>
    <w:rsid w:val="219C32D5"/>
    <w:rsid w:val="21A04B1B"/>
    <w:rsid w:val="21AAAAE0"/>
    <w:rsid w:val="21AF49B6"/>
    <w:rsid w:val="21B0F447"/>
    <w:rsid w:val="21B3B70F"/>
    <w:rsid w:val="21B685CA"/>
    <w:rsid w:val="21B6AC8B"/>
    <w:rsid w:val="21B8D489"/>
    <w:rsid w:val="21BC3417"/>
    <w:rsid w:val="21BD1BF3"/>
    <w:rsid w:val="21BF7D8D"/>
    <w:rsid w:val="21C46895"/>
    <w:rsid w:val="21C869E9"/>
    <w:rsid w:val="21E11868"/>
    <w:rsid w:val="21E18042"/>
    <w:rsid w:val="21E2BDD5"/>
    <w:rsid w:val="21E4DE64"/>
    <w:rsid w:val="21E66B6F"/>
    <w:rsid w:val="21E9DBDC"/>
    <w:rsid w:val="21F0739B"/>
    <w:rsid w:val="21F142A6"/>
    <w:rsid w:val="21F41A81"/>
    <w:rsid w:val="21FC5B74"/>
    <w:rsid w:val="21FD6AB0"/>
    <w:rsid w:val="21FD8A0A"/>
    <w:rsid w:val="21FD9710"/>
    <w:rsid w:val="21FEE912"/>
    <w:rsid w:val="2201E95A"/>
    <w:rsid w:val="2213EEE3"/>
    <w:rsid w:val="2214BE9B"/>
    <w:rsid w:val="22157135"/>
    <w:rsid w:val="2217A6DF"/>
    <w:rsid w:val="2219BDA7"/>
    <w:rsid w:val="221BB973"/>
    <w:rsid w:val="2223B157"/>
    <w:rsid w:val="2223FABC"/>
    <w:rsid w:val="2224D215"/>
    <w:rsid w:val="22279ABC"/>
    <w:rsid w:val="22282B38"/>
    <w:rsid w:val="22292210"/>
    <w:rsid w:val="222CEBFE"/>
    <w:rsid w:val="222F5232"/>
    <w:rsid w:val="223093C2"/>
    <w:rsid w:val="224A8594"/>
    <w:rsid w:val="224FA1BC"/>
    <w:rsid w:val="225FC32E"/>
    <w:rsid w:val="2260045B"/>
    <w:rsid w:val="2265593F"/>
    <w:rsid w:val="22697218"/>
    <w:rsid w:val="226AC75A"/>
    <w:rsid w:val="227BB6AE"/>
    <w:rsid w:val="2285CDD8"/>
    <w:rsid w:val="228DC084"/>
    <w:rsid w:val="2292EFED"/>
    <w:rsid w:val="22949B59"/>
    <w:rsid w:val="2299E947"/>
    <w:rsid w:val="229F349D"/>
    <w:rsid w:val="229F6685"/>
    <w:rsid w:val="22B250D6"/>
    <w:rsid w:val="22B6C98B"/>
    <w:rsid w:val="22BC9908"/>
    <w:rsid w:val="22C04BA0"/>
    <w:rsid w:val="22C76873"/>
    <w:rsid w:val="22CED2F0"/>
    <w:rsid w:val="22CEEBDD"/>
    <w:rsid w:val="22D266BD"/>
    <w:rsid w:val="22D55090"/>
    <w:rsid w:val="22DFA781"/>
    <w:rsid w:val="22E112DF"/>
    <w:rsid w:val="22EC7698"/>
    <w:rsid w:val="22EFF088"/>
    <w:rsid w:val="22F31613"/>
    <w:rsid w:val="22F5BAA2"/>
    <w:rsid w:val="22F6CD35"/>
    <w:rsid w:val="22F84FC9"/>
    <w:rsid w:val="22F86703"/>
    <w:rsid w:val="22FAF9D9"/>
    <w:rsid w:val="22FEB74E"/>
    <w:rsid w:val="230766F3"/>
    <w:rsid w:val="2309D471"/>
    <w:rsid w:val="231F6FBD"/>
    <w:rsid w:val="2324ED73"/>
    <w:rsid w:val="2327926B"/>
    <w:rsid w:val="2329736D"/>
    <w:rsid w:val="23297FBF"/>
    <w:rsid w:val="232C79F1"/>
    <w:rsid w:val="2348A934"/>
    <w:rsid w:val="234AA8E2"/>
    <w:rsid w:val="23525FA2"/>
    <w:rsid w:val="235315FB"/>
    <w:rsid w:val="2357FB69"/>
    <w:rsid w:val="235F1B1E"/>
    <w:rsid w:val="235F518E"/>
    <w:rsid w:val="23610134"/>
    <w:rsid w:val="2362C660"/>
    <w:rsid w:val="2362E624"/>
    <w:rsid w:val="23644A1A"/>
    <w:rsid w:val="23667D36"/>
    <w:rsid w:val="237575C5"/>
    <w:rsid w:val="237CA287"/>
    <w:rsid w:val="238A6E38"/>
    <w:rsid w:val="238E3E96"/>
    <w:rsid w:val="238F93B9"/>
    <w:rsid w:val="238FCBA5"/>
    <w:rsid w:val="2392E084"/>
    <w:rsid w:val="23937A02"/>
    <w:rsid w:val="239458B9"/>
    <w:rsid w:val="239AF687"/>
    <w:rsid w:val="23A0138B"/>
    <w:rsid w:val="23AF4E45"/>
    <w:rsid w:val="23B485A2"/>
    <w:rsid w:val="23B4DFE3"/>
    <w:rsid w:val="23B5E96D"/>
    <w:rsid w:val="23B71D69"/>
    <w:rsid w:val="23BC832A"/>
    <w:rsid w:val="23BC9DC4"/>
    <w:rsid w:val="23C1A2AE"/>
    <w:rsid w:val="23C60EC6"/>
    <w:rsid w:val="23C9FA35"/>
    <w:rsid w:val="23D0E520"/>
    <w:rsid w:val="23DCEB91"/>
    <w:rsid w:val="23E67A83"/>
    <w:rsid w:val="23E789E6"/>
    <w:rsid w:val="23E7C83E"/>
    <w:rsid w:val="23E9B700"/>
    <w:rsid w:val="23F1EDEF"/>
    <w:rsid w:val="23F5A609"/>
    <w:rsid w:val="24009064"/>
    <w:rsid w:val="24101493"/>
    <w:rsid w:val="24126B2F"/>
    <w:rsid w:val="24196070"/>
    <w:rsid w:val="241ABFA7"/>
    <w:rsid w:val="242022AF"/>
    <w:rsid w:val="24265239"/>
    <w:rsid w:val="24272A81"/>
    <w:rsid w:val="2427ED08"/>
    <w:rsid w:val="242D52BE"/>
    <w:rsid w:val="242D621A"/>
    <w:rsid w:val="2436C3B9"/>
    <w:rsid w:val="2438DFD1"/>
    <w:rsid w:val="243955F6"/>
    <w:rsid w:val="243C5934"/>
    <w:rsid w:val="24460CE7"/>
    <w:rsid w:val="244F11B4"/>
    <w:rsid w:val="245DDE4A"/>
    <w:rsid w:val="245EE771"/>
    <w:rsid w:val="24612936"/>
    <w:rsid w:val="246D4354"/>
    <w:rsid w:val="246FBCE6"/>
    <w:rsid w:val="24796915"/>
    <w:rsid w:val="247E7C97"/>
    <w:rsid w:val="24816F57"/>
    <w:rsid w:val="2485F592"/>
    <w:rsid w:val="24866296"/>
    <w:rsid w:val="2486D5BE"/>
    <w:rsid w:val="24878EDD"/>
    <w:rsid w:val="2487F6E1"/>
    <w:rsid w:val="248AC5A0"/>
    <w:rsid w:val="248BF2B8"/>
    <w:rsid w:val="248FCDDE"/>
    <w:rsid w:val="2492F15A"/>
    <w:rsid w:val="24951C3A"/>
    <w:rsid w:val="24998E40"/>
    <w:rsid w:val="249A3440"/>
    <w:rsid w:val="249EFDFE"/>
    <w:rsid w:val="24A02A9B"/>
    <w:rsid w:val="24A6B960"/>
    <w:rsid w:val="24AFA2F9"/>
    <w:rsid w:val="24B553F1"/>
    <w:rsid w:val="24B66381"/>
    <w:rsid w:val="24B8AC99"/>
    <w:rsid w:val="24B8C1CD"/>
    <w:rsid w:val="24B92DB6"/>
    <w:rsid w:val="24C59305"/>
    <w:rsid w:val="24CFDF21"/>
    <w:rsid w:val="24D005F2"/>
    <w:rsid w:val="24D244F4"/>
    <w:rsid w:val="24D28E8D"/>
    <w:rsid w:val="24DF5795"/>
    <w:rsid w:val="24E22C32"/>
    <w:rsid w:val="24E320F8"/>
    <w:rsid w:val="24E6B9F6"/>
    <w:rsid w:val="24E8ABC1"/>
    <w:rsid w:val="24E97010"/>
    <w:rsid w:val="25049457"/>
    <w:rsid w:val="25055F7B"/>
    <w:rsid w:val="250785D3"/>
    <w:rsid w:val="2515A277"/>
    <w:rsid w:val="2517185C"/>
    <w:rsid w:val="251D08FC"/>
    <w:rsid w:val="2521EF99"/>
    <w:rsid w:val="2527D1AF"/>
    <w:rsid w:val="252A2241"/>
    <w:rsid w:val="2537E8B6"/>
    <w:rsid w:val="25380431"/>
    <w:rsid w:val="2538083F"/>
    <w:rsid w:val="253B1C9A"/>
    <w:rsid w:val="2546BD1D"/>
    <w:rsid w:val="254CB03C"/>
    <w:rsid w:val="2556475F"/>
    <w:rsid w:val="2556BC41"/>
    <w:rsid w:val="255BFD4D"/>
    <w:rsid w:val="255F750D"/>
    <w:rsid w:val="25605675"/>
    <w:rsid w:val="2563696B"/>
    <w:rsid w:val="256E3D8F"/>
    <w:rsid w:val="256F2935"/>
    <w:rsid w:val="2571EB80"/>
    <w:rsid w:val="257DF9A0"/>
    <w:rsid w:val="257FF705"/>
    <w:rsid w:val="258CA972"/>
    <w:rsid w:val="2590A00B"/>
    <w:rsid w:val="259DD595"/>
    <w:rsid w:val="25A4A511"/>
    <w:rsid w:val="25A8A6E3"/>
    <w:rsid w:val="25A9D4CF"/>
    <w:rsid w:val="25B9C42E"/>
    <w:rsid w:val="25C798B6"/>
    <w:rsid w:val="25CB9CBC"/>
    <w:rsid w:val="25CE0806"/>
    <w:rsid w:val="25D86400"/>
    <w:rsid w:val="25D9ED3A"/>
    <w:rsid w:val="25DDC576"/>
    <w:rsid w:val="25ECAC04"/>
    <w:rsid w:val="25FB3C26"/>
    <w:rsid w:val="260489B6"/>
    <w:rsid w:val="2604AEAE"/>
    <w:rsid w:val="26074BBE"/>
    <w:rsid w:val="26084E42"/>
    <w:rsid w:val="2608B0AF"/>
    <w:rsid w:val="2609906A"/>
    <w:rsid w:val="26108214"/>
    <w:rsid w:val="26131D30"/>
    <w:rsid w:val="2614B352"/>
    <w:rsid w:val="261788C7"/>
    <w:rsid w:val="261E91DA"/>
    <w:rsid w:val="261FCD3B"/>
    <w:rsid w:val="262105AA"/>
    <w:rsid w:val="262D6405"/>
    <w:rsid w:val="262E25EC"/>
    <w:rsid w:val="26306A2B"/>
    <w:rsid w:val="263DCF1E"/>
    <w:rsid w:val="26476B25"/>
    <w:rsid w:val="265999E3"/>
    <w:rsid w:val="2666766E"/>
    <w:rsid w:val="2666B56A"/>
    <w:rsid w:val="266943E4"/>
    <w:rsid w:val="266A3EFE"/>
    <w:rsid w:val="266B8728"/>
    <w:rsid w:val="267EEB2D"/>
    <w:rsid w:val="26838F83"/>
    <w:rsid w:val="2684200A"/>
    <w:rsid w:val="26861B48"/>
    <w:rsid w:val="26863747"/>
    <w:rsid w:val="2686BA98"/>
    <w:rsid w:val="26892461"/>
    <w:rsid w:val="268ED984"/>
    <w:rsid w:val="26973C75"/>
    <w:rsid w:val="26977283"/>
    <w:rsid w:val="269C2D59"/>
    <w:rsid w:val="26A24312"/>
    <w:rsid w:val="26A48084"/>
    <w:rsid w:val="26B5903A"/>
    <w:rsid w:val="26B631B6"/>
    <w:rsid w:val="26C0CB79"/>
    <w:rsid w:val="26C1B80C"/>
    <w:rsid w:val="26C23655"/>
    <w:rsid w:val="26C89E5B"/>
    <w:rsid w:val="26C973C5"/>
    <w:rsid w:val="26CB036A"/>
    <w:rsid w:val="26CC18BC"/>
    <w:rsid w:val="26CDB7F3"/>
    <w:rsid w:val="26D44BDC"/>
    <w:rsid w:val="26D690E0"/>
    <w:rsid w:val="26D8E125"/>
    <w:rsid w:val="26D96870"/>
    <w:rsid w:val="26EABE9D"/>
    <w:rsid w:val="26EF8CFF"/>
    <w:rsid w:val="26F1FA50"/>
    <w:rsid w:val="26F792F7"/>
    <w:rsid w:val="26F910F6"/>
    <w:rsid w:val="26FBA540"/>
    <w:rsid w:val="26FD7201"/>
    <w:rsid w:val="2702C373"/>
    <w:rsid w:val="27084472"/>
    <w:rsid w:val="270D9777"/>
    <w:rsid w:val="2712A8B6"/>
    <w:rsid w:val="2716D893"/>
    <w:rsid w:val="271A4AD8"/>
    <w:rsid w:val="272351D2"/>
    <w:rsid w:val="27290617"/>
    <w:rsid w:val="273832F8"/>
    <w:rsid w:val="273B8CE4"/>
    <w:rsid w:val="27436663"/>
    <w:rsid w:val="2749D992"/>
    <w:rsid w:val="274B63B5"/>
    <w:rsid w:val="274D08DE"/>
    <w:rsid w:val="275C5D89"/>
    <w:rsid w:val="27634EB9"/>
    <w:rsid w:val="2763F1CE"/>
    <w:rsid w:val="2767E057"/>
    <w:rsid w:val="2776E092"/>
    <w:rsid w:val="277BF9E6"/>
    <w:rsid w:val="277D79BB"/>
    <w:rsid w:val="27801044"/>
    <w:rsid w:val="27803E9E"/>
    <w:rsid w:val="2783027F"/>
    <w:rsid w:val="27868484"/>
    <w:rsid w:val="2786B7F7"/>
    <w:rsid w:val="27880506"/>
    <w:rsid w:val="27887CC6"/>
    <w:rsid w:val="27986414"/>
    <w:rsid w:val="279BB5F7"/>
    <w:rsid w:val="279BCB5F"/>
    <w:rsid w:val="27AF330C"/>
    <w:rsid w:val="27B9A90A"/>
    <w:rsid w:val="27C0A5BF"/>
    <w:rsid w:val="27C0DD86"/>
    <w:rsid w:val="27CEA72E"/>
    <w:rsid w:val="27CEFB31"/>
    <w:rsid w:val="27D55EF9"/>
    <w:rsid w:val="27D93D2A"/>
    <w:rsid w:val="27DC66D5"/>
    <w:rsid w:val="27E0A42D"/>
    <w:rsid w:val="27E12717"/>
    <w:rsid w:val="27E266CF"/>
    <w:rsid w:val="27E7DE71"/>
    <w:rsid w:val="27F146B1"/>
    <w:rsid w:val="27FA93C2"/>
    <w:rsid w:val="27FEE001"/>
    <w:rsid w:val="2803A6D0"/>
    <w:rsid w:val="280968A4"/>
    <w:rsid w:val="280AD6CD"/>
    <w:rsid w:val="280BB7F4"/>
    <w:rsid w:val="2810042C"/>
    <w:rsid w:val="28185EDC"/>
    <w:rsid w:val="281B66BD"/>
    <w:rsid w:val="28270BF5"/>
    <w:rsid w:val="2829F7AE"/>
    <w:rsid w:val="282D8E1B"/>
    <w:rsid w:val="283752FE"/>
    <w:rsid w:val="283C7569"/>
    <w:rsid w:val="284553B8"/>
    <w:rsid w:val="28470A6C"/>
    <w:rsid w:val="284A693D"/>
    <w:rsid w:val="284D227F"/>
    <w:rsid w:val="285220DA"/>
    <w:rsid w:val="28542EA8"/>
    <w:rsid w:val="2857BE02"/>
    <w:rsid w:val="28584598"/>
    <w:rsid w:val="28595128"/>
    <w:rsid w:val="286B21C3"/>
    <w:rsid w:val="286E00A2"/>
    <w:rsid w:val="28705D77"/>
    <w:rsid w:val="28721A8C"/>
    <w:rsid w:val="2872B014"/>
    <w:rsid w:val="2874370F"/>
    <w:rsid w:val="28746423"/>
    <w:rsid w:val="2883121E"/>
    <w:rsid w:val="28851DB6"/>
    <w:rsid w:val="288FEEFE"/>
    <w:rsid w:val="28953E4B"/>
    <w:rsid w:val="2898854A"/>
    <w:rsid w:val="289B7E58"/>
    <w:rsid w:val="289F45D9"/>
    <w:rsid w:val="28A4A434"/>
    <w:rsid w:val="28A73226"/>
    <w:rsid w:val="28AB822A"/>
    <w:rsid w:val="28B6DA8B"/>
    <w:rsid w:val="28BE3623"/>
    <w:rsid w:val="28C71A05"/>
    <w:rsid w:val="28CD0800"/>
    <w:rsid w:val="28D2E5C2"/>
    <w:rsid w:val="28D472BC"/>
    <w:rsid w:val="28D49214"/>
    <w:rsid w:val="28D4FEA8"/>
    <w:rsid w:val="28E14D66"/>
    <w:rsid w:val="28E632CA"/>
    <w:rsid w:val="28E67AF9"/>
    <w:rsid w:val="28F2B002"/>
    <w:rsid w:val="2909E979"/>
    <w:rsid w:val="29102E98"/>
    <w:rsid w:val="291C7A7A"/>
    <w:rsid w:val="291E1E9D"/>
    <w:rsid w:val="292A684E"/>
    <w:rsid w:val="292B1C98"/>
    <w:rsid w:val="29300E19"/>
    <w:rsid w:val="29309197"/>
    <w:rsid w:val="29333ABB"/>
    <w:rsid w:val="2935F8DE"/>
    <w:rsid w:val="2939152B"/>
    <w:rsid w:val="29446E73"/>
    <w:rsid w:val="2944E26C"/>
    <w:rsid w:val="294FD08F"/>
    <w:rsid w:val="29538BFC"/>
    <w:rsid w:val="2954AEAC"/>
    <w:rsid w:val="2961D9AF"/>
    <w:rsid w:val="296CF4D1"/>
    <w:rsid w:val="2976BDAB"/>
    <w:rsid w:val="297B18F7"/>
    <w:rsid w:val="2980081D"/>
    <w:rsid w:val="298B68A1"/>
    <w:rsid w:val="2991903A"/>
    <w:rsid w:val="299986A7"/>
    <w:rsid w:val="299C099E"/>
    <w:rsid w:val="29A86D9C"/>
    <w:rsid w:val="29AF8074"/>
    <w:rsid w:val="29AF828B"/>
    <w:rsid w:val="29B21A4C"/>
    <w:rsid w:val="29B29B60"/>
    <w:rsid w:val="29B385CE"/>
    <w:rsid w:val="29B39973"/>
    <w:rsid w:val="29C0AB62"/>
    <w:rsid w:val="29C348AD"/>
    <w:rsid w:val="29C46C7D"/>
    <w:rsid w:val="29CD0E5F"/>
    <w:rsid w:val="29CD2484"/>
    <w:rsid w:val="29D6B63F"/>
    <w:rsid w:val="29DB5B6A"/>
    <w:rsid w:val="29DBC7BC"/>
    <w:rsid w:val="29DC1CEF"/>
    <w:rsid w:val="29E1DEB0"/>
    <w:rsid w:val="29E6BE02"/>
    <w:rsid w:val="29E95EA6"/>
    <w:rsid w:val="29F5D2ED"/>
    <w:rsid w:val="29FB1A98"/>
    <w:rsid w:val="29FEF97B"/>
    <w:rsid w:val="2A002C7B"/>
    <w:rsid w:val="2A021D76"/>
    <w:rsid w:val="2A0456FD"/>
    <w:rsid w:val="2A079ABD"/>
    <w:rsid w:val="2A08F0D8"/>
    <w:rsid w:val="2A0FC942"/>
    <w:rsid w:val="2A1068C8"/>
    <w:rsid w:val="2A17130D"/>
    <w:rsid w:val="2A24D7E9"/>
    <w:rsid w:val="2A2A8034"/>
    <w:rsid w:val="2A334918"/>
    <w:rsid w:val="2A35DC19"/>
    <w:rsid w:val="2A3F791F"/>
    <w:rsid w:val="2A4120D1"/>
    <w:rsid w:val="2A4B19D5"/>
    <w:rsid w:val="2A4CA639"/>
    <w:rsid w:val="2A4E7D65"/>
    <w:rsid w:val="2A531E53"/>
    <w:rsid w:val="2A5324D6"/>
    <w:rsid w:val="2A574E28"/>
    <w:rsid w:val="2A5AC891"/>
    <w:rsid w:val="2A660883"/>
    <w:rsid w:val="2A6BFDE1"/>
    <w:rsid w:val="2A7C572E"/>
    <w:rsid w:val="2A7D6246"/>
    <w:rsid w:val="2A7E0F2B"/>
    <w:rsid w:val="2A7FE5CA"/>
    <w:rsid w:val="2A810F48"/>
    <w:rsid w:val="2A82ACDF"/>
    <w:rsid w:val="2A8423AD"/>
    <w:rsid w:val="2A8991CE"/>
    <w:rsid w:val="2A9B6594"/>
    <w:rsid w:val="2AA49D47"/>
    <w:rsid w:val="2AA6C49D"/>
    <w:rsid w:val="2AA8501D"/>
    <w:rsid w:val="2AB141D8"/>
    <w:rsid w:val="2AB30E0A"/>
    <w:rsid w:val="2AB63156"/>
    <w:rsid w:val="2AB86A73"/>
    <w:rsid w:val="2ABB9775"/>
    <w:rsid w:val="2ABDB3E6"/>
    <w:rsid w:val="2AC654CB"/>
    <w:rsid w:val="2AC716EF"/>
    <w:rsid w:val="2AD5EC5D"/>
    <w:rsid w:val="2AD9FC15"/>
    <w:rsid w:val="2ADEF523"/>
    <w:rsid w:val="2AE75DC5"/>
    <w:rsid w:val="2AE9DCB6"/>
    <w:rsid w:val="2AEE5A0C"/>
    <w:rsid w:val="2AF1F555"/>
    <w:rsid w:val="2AF3AB70"/>
    <w:rsid w:val="2B013F92"/>
    <w:rsid w:val="2B0C5AE5"/>
    <w:rsid w:val="2B12BB28"/>
    <w:rsid w:val="2B1E0517"/>
    <w:rsid w:val="2B1E3378"/>
    <w:rsid w:val="2B32F5DD"/>
    <w:rsid w:val="2B340B6C"/>
    <w:rsid w:val="2B3CA12B"/>
    <w:rsid w:val="2B4D690A"/>
    <w:rsid w:val="2B50E739"/>
    <w:rsid w:val="2B58B61F"/>
    <w:rsid w:val="2B5B8F94"/>
    <w:rsid w:val="2B5C76F6"/>
    <w:rsid w:val="2B60547E"/>
    <w:rsid w:val="2B60CCB1"/>
    <w:rsid w:val="2B60D681"/>
    <w:rsid w:val="2B63D975"/>
    <w:rsid w:val="2B64AF7E"/>
    <w:rsid w:val="2B659F13"/>
    <w:rsid w:val="2B65E8B4"/>
    <w:rsid w:val="2B69E6B1"/>
    <w:rsid w:val="2B6F67F2"/>
    <w:rsid w:val="2B6FBDC0"/>
    <w:rsid w:val="2B74984B"/>
    <w:rsid w:val="2B76B001"/>
    <w:rsid w:val="2B7D7AAA"/>
    <w:rsid w:val="2B7D97F4"/>
    <w:rsid w:val="2B848002"/>
    <w:rsid w:val="2B84EAEA"/>
    <w:rsid w:val="2B934CDB"/>
    <w:rsid w:val="2B942FF4"/>
    <w:rsid w:val="2B9CFC14"/>
    <w:rsid w:val="2B9EC0C7"/>
    <w:rsid w:val="2BA1B6C2"/>
    <w:rsid w:val="2BA9BE26"/>
    <w:rsid w:val="2BACE9E6"/>
    <w:rsid w:val="2BB1B8E8"/>
    <w:rsid w:val="2BB2A54F"/>
    <w:rsid w:val="2BB65D4F"/>
    <w:rsid w:val="2BBFE998"/>
    <w:rsid w:val="2BC589A1"/>
    <w:rsid w:val="2BD2310D"/>
    <w:rsid w:val="2BE89FE0"/>
    <w:rsid w:val="2BEB07E6"/>
    <w:rsid w:val="2BF48E83"/>
    <w:rsid w:val="2BF678CB"/>
    <w:rsid w:val="2BF831CD"/>
    <w:rsid w:val="2BFC89DE"/>
    <w:rsid w:val="2C04682A"/>
    <w:rsid w:val="2C0A5D4C"/>
    <w:rsid w:val="2C0F13FD"/>
    <w:rsid w:val="2C11BEA8"/>
    <w:rsid w:val="2C174114"/>
    <w:rsid w:val="2C1FEF4D"/>
    <w:rsid w:val="2C254AB1"/>
    <w:rsid w:val="2C31AA45"/>
    <w:rsid w:val="2C36BB13"/>
    <w:rsid w:val="2C381191"/>
    <w:rsid w:val="2C3D6927"/>
    <w:rsid w:val="2C3E6AA8"/>
    <w:rsid w:val="2C45EE53"/>
    <w:rsid w:val="2C493A2A"/>
    <w:rsid w:val="2C4C6524"/>
    <w:rsid w:val="2C4EB1CD"/>
    <w:rsid w:val="2C586E20"/>
    <w:rsid w:val="2C588803"/>
    <w:rsid w:val="2C5EF8A9"/>
    <w:rsid w:val="2C65F450"/>
    <w:rsid w:val="2C6BBD60"/>
    <w:rsid w:val="2C6DF32F"/>
    <w:rsid w:val="2C70D6F1"/>
    <w:rsid w:val="2C7D11B2"/>
    <w:rsid w:val="2C84777F"/>
    <w:rsid w:val="2C8BB281"/>
    <w:rsid w:val="2C8FDDC2"/>
    <w:rsid w:val="2C8FEE2F"/>
    <w:rsid w:val="2C9A21C7"/>
    <w:rsid w:val="2C9BBEF4"/>
    <w:rsid w:val="2C9CAB2C"/>
    <w:rsid w:val="2C9D789F"/>
    <w:rsid w:val="2CA15650"/>
    <w:rsid w:val="2CAA9F25"/>
    <w:rsid w:val="2CB535EA"/>
    <w:rsid w:val="2CC7A13B"/>
    <w:rsid w:val="2CCF73E7"/>
    <w:rsid w:val="2CD2127A"/>
    <w:rsid w:val="2CD5FAB7"/>
    <w:rsid w:val="2CDA5E1D"/>
    <w:rsid w:val="2CDB6FF1"/>
    <w:rsid w:val="2CDE1324"/>
    <w:rsid w:val="2CDEE35D"/>
    <w:rsid w:val="2CE7363E"/>
    <w:rsid w:val="2CED8F9C"/>
    <w:rsid w:val="2CEE24B4"/>
    <w:rsid w:val="2CF073D3"/>
    <w:rsid w:val="2CF8A73B"/>
    <w:rsid w:val="2CFA69A8"/>
    <w:rsid w:val="2CFF7AC5"/>
    <w:rsid w:val="2D0664D5"/>
    <w:rsid w:val="2D0A301F"/>
    <w:rsid w:val="2D0DF376"/>
    <w:rsid w:val="2D0EE748"/>
    <w:rsid w:val="2D103DD0"/>
    <w:rsid w:val="2D1E7FE7"/>
    <w:rsid w:val="2D20E225"/>
    <w:rsid w:val="2D223E53"/>
    <w:rsid w:val="2D228DC6"/>
    <w:rsid w:val="2D2F6CFC"/>
    <w:rsid w:val="2D32237E"/>
    <w:rsid w:val="2D398179"/>
    <w:rsid w:val="2D3D38B4"/>
    <w:rsid w:val="2D3D72A4"/>
    <w:rsid w:val="2D457975"/>
    <w:rsid w:val="2D46F6AE"/>
    <w:rsid w:val="2D481374"/>
    <w:rsid w:val="2D500545"/>
    <w:rsid w:val="2D507363"/>
    <w:rsid w:val="2D5417CE"/>
    <w:rsid w:val="2D5EA212"/>
    <w:rsid w:val="2D5F67B4"/>
    <w:rsid w:val="2D623DC2"/>
    <w:rsid w:val="2D660C7C"/>
    <w:rsid w:val="2D678478"/>
    <w:rsid w:val="2D6A4B44"/>
    <w:rsid w:val="2D732610"/>
    <w:rsid w:val="2D7331FA"/>
    <w:rsid w:val="2D7978FF"/>
    <w:rsid w:val="2D91D065"/>
    <w:rsid w:val="2D935915"/>
    <w:rsid w:val="2D956795"/>
    <w:rsid w:val="2D991F66"/>
    <w:rsid w:val="2D99F7D8"/>
    <w:rsid w:val="2D9D3A8C"/>
    <w:rsid w:val="2DA67833"/>
    <w:rsid w:val="2DB21D40"/>
    <w:rsid w:val="2DB38326"/>
    <w:rsid w:val="2DB67FC0"/>
    <w:rsid w:val="2DC47EE3"/>
    <w:rsid w:val="2DC72DF1"/>
    <w:rsid w:val="2DD34E05"/>
    <w:rsid w:val="2DE39152"/>
    <w:rsid w:val="2DE63D2E"/>
    <w:rsid w:val="2DE76186"/>
    <w:rsid w:val="2DF4EF83"/>
    <w:rsid w:val="2DF5114E"/>
    <w:rsid w:val="2DF54593"/>
    <w:rsid w:val="2DFA4AB7"/>
    <w:rsid w:val="2E033A49"/>
    <w:rsid w:val="2E033B4C"/>
    <w:rsid w:val="2E040DE4"/>
    <w:rsid w:val="2E053BD0"/>
    <w:rsid w:val="2E0899B9"/>
    <w:rsid w:val="2E0A498B"/>
    <w:rsid w:val="2E0D4E07"/>
    <w:rsid w:val="2E119D4B"/>
    <w:rsid w:val="2E167D14"/>
    <w:rsid w:val="2E169E0F"/>
    <w:rsid w:val="2E207340"/>
    <w:rsid w:val="2E3097D8"/>
    <w:rsid w:val="2E3D6486"/>
    <w:rsid w:val="2E4807F4"/>
    <w:rsid w:val="2E488623"/>
    <w:rsid w:val="2E51223E"/>
    <w:rsid w:val="2E5166D7"/>
    <w:rsid w:val="2E58545F"/>
    <w:rsid w:val="2E5A9846"/>
    <w:rsid w:val="2E5BB10E"/>
    <w:rsid w:val="2E5EA568"/>
    <w:rsid w:val="2E6EE8FE"/>
    <w:rsid w:val="2E789012"/>
    <w:rsid w:val="2E7B0808"/>
    <w:rsid w:val="2E7C85BB"/>
    <w:rsid w:val="2E8405F4"/>
    <w:rsid w:val="2E8B7D38"/>
    <w:rsid w:val="2E908C7C"/>
    <w:rsid w:val="2E9113BC"/>
    <w:rsid w:val="2E987405"/>
    <w:rsid w:val="2E9A3B26"/>
    <w:rsid w:val="2E9A9ABB"/>
    <w:rsid w:val="2E9DDF8B"/>
    <w:rsid w:val="2E9F02DD"/>
    <w:rsid w:val="2EA02F8A"/>
    <w:rsid w:val="2EA1A863"/>
    <w:rsid w:val="2EACD8FD"/>
    <w:rsid w:val="2EAFD4A8"/>
    <w:rsid w:val="2EB3F2E6"/>
    <w:rsid w:val="2EB7FA84"/>
    <w:rsid w:val="2EB8EBCE"/>
    <w:rsid w:val="2EBDB073"/>
    <w:rsid w:val="2ED1D67D"/>
    <w:rsid w:val="2ED76FFE"/>
    <w:rsid w:val="2EE09E03"/>
    <w:rsid w:val="2EE1ECAE"/>
    <w:rsid w:val="2EE3830C"/>
    <w:rsid w:val="2EE38A47"/>
    <w:rsid w:val="2EE8DA02"/>
    <w:rsid w:val="2EEF29F4"/>
    <w:rsid w:val="2EF5D896"/>
    <w:rsid w:val="2EF8D518"/>
    <w:rsid w:val="2EF9DD16"/>
    <w:rsid w:val="2EFE894C"/>
    <w:rsid w:val="2F061570"/>
    <w:rsid w:val="2F0625A6"/>
    <w:rsid w:val="2F138735"/>
    <w:rsid w:val="2F2256BA"/>
    <w:rsid w:val="2F23A198"/>
    <w:rsid w:val="2F25340E"/>
    <w:rsid w:val="2F2953BF"/>
    <w:rsid w:val="2F33226D"/>
    <w:rsid w:val="2F3AA5D4"/>
    <w:rsid w:val="2F3C5FFB"/>
    <w:rsid w:val="2F3F0F7A"/>
    <w:rsid w:val="2F41BB15"/>
    <w:rsid w:val="2F42EEAF"/>
    <w:rsid w:val="2F48257D"/>
    <w:rsid w:val="2F485D31"/>
    <w:rsid w:val="2F4E9315"/>
    <w:rsid w:val="2F4F12F5"/>
    <w:rsid w:val="2F5002CD"/>
    <w:rsid w:val="2F53A93E"/>
    <w:rsid w:val="2F612FCD"/>
    <w:rsid w:val="2F76E61F"/>
    <w:rsid w:val="2F87174C"/>
    <w:rsid w:val="2F875D35"/>
    <w:rsid w:val="2F94522D"/>
    <w:rsid w:val="2F9E0FB8"/>
    <w:rsid w:val="2FA82C64"/>
    <w:rsid w:val="2FAFE6B2"/>
    <w:rsid w:val="2FB76220"/>
    <w:rsid w:val="2FBA265C"/>
    <w:rsid w:val="2FBA6EFB"/>
    <w:rsid w:val="2FBEC7DA"/>
    <w:rsid w:val="2FC0B928"/>
    <w:rsid w:val="2FC51779"/>
    <w:rsid w:val="2FE3B75A"/>
    <w:rsid w:val="2FE57684"/>
    <w:rsid w:val="2FE5A2F8"/>
    <w:rsid w:val="2FF3D9F1"/>
    <w:rsid w:val="2FF3F92B"/>
    <w:rsid w:val="2FF72A5C"/>
    <w:rsid w:val="2FFAD910"/>
    <w:rsid w:val="2FFCECB7"/>
    <w:rsid w:val="2FFD6090"/>
    <w:rsid w:val="3002676F"/>
    <w:rsid w:val="3004086D"/>
    <w:rsid w:val="30041665"/>
    <w:rsid w:val="3005FE1E"/>
    <w:rsid w:val="300D1D35"/>
    <w:rsid w:val="300D7632"/>
    <w:rsid w:val="3016553F"/>
    <w:rsid w:val="30173813"/>
    <w:rsid w:val="30190EF0"/>
    <w:rsid w:val="30208002"/>
    <w:rsid w:val="3029BE67"/>
    <w:rsid w:val="3042FC88"/>
    <w:rsid w:val="30435976"/>
    <w:rsid w:val="304470B8"/>
    <w:rsid w:val="304AE155"/>
    <w:rsid w:val="30526A09"/>
    <w:rsid w:val="3055B588"/>
    <w:rsid w:val="3059E614"/>
    <w:rsid w:val="306154D2"/>
    <w:rsid w:val="306DF784"/>
    <w:rsid w:val="3072E6A4"/>
    <w:rsid w:val="307390CC"/>
    <w:rsid w:val="307C9BE6"/>
    <w:rsid w:val="307CD1FA"/>
    <w:rsid w:val="307E7D14"/>
    <w:rsid w:val="307F4F89"/>
    <w:rsid w:val="30823DA3"/>
    <w:rsid w:val="3085833B"/>
    <w:rsid w:val="308ABF5D"/>
    <w:rsid w:val="308E4E10"/>
    <w:rsid w:val="30921FB8"/>
    <w:rsid w:val="30947156"/>
    <w:rsid w:val="3098A719"/>
    <w:rsid w:val="30996256"/>
    <w:rsid w:val="309BECFD"/>
    <w:rsid w:val="309ED8C0"/>
    <w:rsid w:val="30A59DA3"/>
    <w:rsid w:val="30AFFD7F"/>
    <w:rsid w:val="30B1EF86"/>
    <w:rsid w:val="30B57925"/>
    <w:rsid w:val="30BB32A8"/>
    <w:rsid w:val="30C023BC"/>
    <w:rsid w:val="30C73A3B"/>
    <w:rsid w:val="30C98E70"/>
    <w:rsid w:val="30CE9376"/>
    <w:rsid w:val="30D5E919"/>
    <w:rsid w:val="30D7317B"/>
    <w:rsid w:val="30DA1FF1"/>
    <w:rsid w:val="30DAA751"/>
    <w:rsid w:val="30E9B662"/>
    <w:rsid w:val="30EC21EC"/>
    <w:rsid w:val="30F2A1A2"/>
    <w:rsid w:val="30F72588"/>
    <w:rsid w:val="30FAEDA7"/>
    <w:rsid w:val="30FD1B4F"/>
    <w:rsid w:val="30FD7521"/>
    <w:rsid w:val="3100AD01"/>
    <w:rsid w:val="31037AD2"/>
    <w:rsid w:val="31037D90"/>
    <w:rsid w:val="310C0C57"/>
    <w:rsid w:val="310D4DA8"/>
    <w:rsid w:val="3115C68C"/>
    <w:rsid w:val="31194F5D"/>
    <w:rsid w:val="311EEC36"/>
    <w:rsid w:val="312344BB"/>
    <w:rsid w:val="312504F1"/>
    <w:rsid w:val="312554C6"/>
    <w:rsid w:val="3129D41C"/>
    <w:rsid w:val="312A4894"/>
    <w:rsid w:val="312A8857"/>
    <w:rsid w:val="312AB1C0"/>
    <w:rsid w:val="3135BE96"/>
    <w:rsid w:val="3139F530"/>
    <w:rsid w:val="313EEC5C"/>
    <w:rsid w:val="3142AA80"/>
    <w:rsid w:val="3144CBFB"/>
    <w:rsid w:val="3144F804"/>
    <w:rsid w:val="314E47DF"/>
    <w:rsid w:val="3151FAD9"/>
    <w:rsid w:val="3152CA0C"/>
    <w:rsid w:val="31553E15"/>
    <w:rsid w:val="31571AF2"/>
    <w:rsid w:val="3159DC0C"/>
    <w:rsid w:val="3160756B"/>
    <w:rsid w:val="3165ED05"/>
    <w:rsid w:val="316656DD"/>
    <w:rsid w:val="316D1CD6"/>
    <w:rsid w:val="316E511E"/>
    <w:rsid w:val="3174125A"/>
    <w:rsid w:val="317AD65A"/>
    <w:rsid w:val="31880B5A"/>
    <w:rsid w:val="31884C5B"/>
    <w:rsid w:val="3194367C"/>
    <w:rsid w:val="31955DCF"/>
    <w:rsid w:val="31970278"/>
    <w:rsid w:val="319E470E"/>
    <w:rsid w:val="319EC897"/>
    <w:rsid w:val="31A071A7"/>
    <w:rsid w:val="31A57F2D"/>
    <w:rsid w:val="31A65EC7"/>
    <w:rsid w:val="31A8F27A"/>
    <w:rsid w:val="31ADB1C7"/>
    <w:rsid w:val="31B88226"/>
    <w:rsid w:val="31B91C22"/>
    <w:rsid w:val="31BD5FF3"/>
    <w:rsid w:val="31C006D1"/>
    <w:rsid w:val="31CD5859"/>
    <w:rsid w:val="31CE3712"/>
    <w:rsid w:val="31CEFD7F"/>
    <w:rsid w:val="31D15BDA"/>
    <w:rsid w:val="31D282A4"/>
    <w:rsid w:val="31D4D4C0"/>
    <w:rsid w:val="31DEA377"/>
    <w:rsid w:val="31E1A7D8"/>
    <w:rsid w:val="31E4A4DD"/>
    <w:rsid w:val="31E7BB57"/>
    <w:rsid w:val="31E867BB"/>
    <w:rsid w:val="31EFB685"/>
    <w:rsid w:val="31F489A7"/>
    <w:rsid w:val="31F541A6"/>
    <w:rsid w:val="31FC14BF"/>
    <w:rsid w:val="31FE1C15"/>
    <w:rsid w:val="31FE3FE0"/>
    <w:rsid w:val="3208B423"/>
    <w:rsid w:val="32117C7D"/>
    <w:rsid w:val="3212509C"/>
    <w:rsid w:val="321649A5"/>
    <w:rsid w:val="321CD35F"/>
    <w:rsid w:val="321E3D90"/>
    <w:rsid w:val="3222C33E"/>
    <w:rsid w:val="322DEBBC"/>
    <w:rsid w:val="3234E2DC"/>
    <w:rsid w:val="323E1ACA"/>
    <w:rsid w:val="3240B3F0"/>
    <w:rsid w:val="3243523C"/>
    <w:rsid w:val="3248DE45"/>
    <w:rsid w:val="3249B54F"/>
    <w:rsid w:val="324E9C17"/>
    <w:rsid w:val="3252414F"/>
    <w:rsid w:val="32543EB4"/>
    <w:rsid w:val="326422FF"/>
    <w:rsid w:val="3266AC0B"/>
    <w:rsid w:val="326A75D8"/>
    <w:rsid w:val="326E58B0"/>
    <w:rsid w:val="326FF839"/>
    <w:rsid w:val="327168C9"/>
    <w:rsid w:val="32780B91"/>
    <w:rsid w:val="327B139D"/>
    <w:rsid w:val="327E1BBD"/>
    <w:rsid w:val="327ECC37"/>
    <w:rsid w:val="32802C39"/>
    <w:rsid w:val="328C75F6"/>
    <w:rsid w:val="328D5187"/>
    <w:rsid w:val="328DBAD0"/>
    <w:rsid w:val="328E07AA"/>
    <w:rsid w:val="3290BD58"/>
    <w:rsid w:val="329451B3"/>
    <w:rsid w:val="329B7128"/>
    <w:rsid w:val="329BDF29"/>
    <w:rsid w:val="329F2783"/>
    <w:rsid w:val="32A06F91"/>
    <w:rsid w:val="32A52CAD"/>
    <w:rsid w:val="32A711C7"/>
    <w:rsid w:val="32A7BDC1"/>
    <w:rsid w:val="32AF6A32"/>
    <w:rsid w:val="32BA7497"/>
    <w:rsid w:val="32BC8415"/>
    <w:rsid w:val="32BC94C7"/>
    <w:rsid w:val="32BF2D08"/>
    <w:rsid w:val="32C48D79"/>
    <w:rsid w:val="32C5DE02"/>
    <w:rsid w:val="32D17CCA"/>
    <w:rsid w:val="32D7B5E5"/>
    <w:rsid w:val="32D84E3A"/>
    <w:rsid w:val="32D9141A"/>
    <w:rsid w:val="32EA9378"/>
    <w:rsid w:val="32EC05AC"/>
    <w:rsid w:val="32F392C1"/>
    <w:rsid w:val="32F66448"/>
    <w:rsid w:val="32F80F9D"/>
    <w:rsid w:val="32FD483B"/>
    <w:rsid w:val="3307E17D"/>
    <w:rsid w:val="330C2846"/>
    <w:rsid w:val="330FD7E9"/>
    <w:rsid w:val="33123207"/>
    <w:rsid w:val="3312689B"/>
    <w:rsid w:val="331B4A0B"/>
    <w:rsid w:val="331CBA1E"/>
    <w:rsid w:val="3327989E"/>
    <w:rsid w:val="33295E28"/>
    <w:rsid w:val="332BFEC3"/>
    <w:rsid w:val="33314A67"/>
    <w:rsid w:val="333B2D01"/>
    <w:rsid w:val="334158A1"/>
    <w:rsid w:val="33459CC7"/>
    <w:rsid w:val="3348B344"/>
    <w:rsid w:val="3358912D"/>
    <w:rsid w:val="335A3024"/>
    <w:rsid w:val="335AF659"/>
    <w:rsid w:val="335CFB3B"/>
    <w:rsid w:val="335EB831"/>
    <w:rsid w:val="3363813D"/>
    <w:rsid w:val="3363A9E2"/>
    <w:rsid w:val="336CF6EF"/>
    <w:rsid w:val="3374C2ED"/>
    <w:rsid w:val="3376A2E9"/>
    <w:rsid w:val="33793B78"/>
    <w:rsid w:val="33852E92"/>
    <w:rsid w:val="338748E8"/>
    <w:rsid w:val="33935EC2"/>
    <w:rsid w:val="339418AF"/>
    <w:rsid w:val="33962688"/>
    <w:rsid w:val="33A02CFE"/>
    <w:rsid w:val="33A8654A"/>
    <w:rsid w:val="33A8CF94"/>
    <w:rsid w:val="33ABA129"/>
    <w:rsid w:val="33B0B82C"/>
    <w:rsid w:val="33B1DEF5"/>
    <w:rsid w:val="33B51CAE"/>
    <w:rsid w:val="33B6E392"/>
    <w:rsid w:val="33BA3493"/>
    <w:rsid w:val="33BAC1F0"/>
    <w:rsid w:val="33BBA68C"/>
    <w:rsid w:val="33BD6C63"/>
    <w:rsid w:val="33BEA958"/>
    <w:rsid w:val="33C15E82"/>
    <w:rsid w:val="33C4D0E7"/>
    <w:rsid w:val="33C64D3F"/>
    <w:rsid w:val="33C81090"/>
    <w:rsid w:val="33D25A72"/>
    <w:rsid w:val="33D62320"/>
    <w:rsid w:val="33D940F1"/>
    <w:rsid w:val="33DBFEF2"/>
    <w:rsid w:val="33DEA442"/>
    <w:rsid w:val="33DFA1E9"/>
    <w:rsid w:val="33F256FF"/>
    <w:rsid w:val="33FAA9AE"/>
    <w:rsid w:val="33FE4F25"/>
    <w:rsid w:val="3408C022"/>
    <w:rsid w:val="34092DF5"/>
    <w:rsid w:val="340A4E2D"/>
    <w:rsid w:val="3413A8A0"/>
    <w:rsid w:val="3414C55B"/>
    <w:rsid w:val="341A98A8"/>
    <w:rsid w:val="341D8397"/>
    <w:rsid w:val="341D92E9"/>
    <w:rsid w:val="34238A84"/>
    <w:rsid w:val="3423E931"/>
    <w:rsid w:val="342B01E7"/>
    <w:rsid w:val="3434DDE3"/>
    <w:rsid w:val="343A7C16"/>
    <w:rsid w:val="343BDB19"/>
    <w:rsid w:val="3458DF4F"/>
    <w:rsid w:val="345DF7D2"/>
    <w:rsid w:val="345F7C4D"/>
    <w:rsid w:val="34668A53"/>
    <w:rsid w:val="34703B66"/>
    <w:rsid w:val="3473633E"/>
    <w:rsid w:val="347C91C3"/>
    <w:rsid w:val="347D00F4"/>
    <w:rsid w:val="347FCFEA"/>
    <w:rsid w:val="349E418C"/>
    <w:rsid w:val="34A8B3B7"/>
    <w:rsid w:val="34AE2BBF"/>
    <w:rsid w:val="34B3D8FE"/>
    <w:rsid w:val="34B9913C"/>
    <w:rsid w:val="34C255CA"/>
    <w:rsid w:val="34D9F7E1"/>
    <w:rsid w:val="34DFE80C"/>
    <w:rsid w:val="34E35FEB"/>
    <w:rsid w:val="34E6C060"/>
    <w:rsid w:val="34E6F557"/>
    <w:rsid w:val="34EE51C0"/>
    <w:rsid w:val="34EF70C4"/>
    <w:rsid w:val="34F9DCDF"/>
    <w:rsid w:val="34FB34F5"/>
    <w:rsid w:val="34FF6576"/>
    <w:rsid w:val="3501A422"/>
    <w:rsid w:val="3503B2C3"/>
    <w:rsid w:val="350CE3DC"/>
    <w:rsid w:val="35119128"/>
    <w:rsid w:val="3513D9C3"/>
    <w:rsid w:val="35179138"/>
    <w:rsid w:val="3518465D"/>
    <w:rsid w:val="3520BE7F"/>
    <w:rsid w:val="3521EA69"/>
    <w:rsid w:val="35221A13"/>
    <w:rsid w:val="3525A40D"/>
    <w:rsid w:val="35271BDF"/>
    <w:rsid w:val="352A29A6"/>
    <w:rsid w:val="352E6A50"/>
    <w:rsid w:val="352E91A0"/>
    <w:rsid w:val="353AD05B"/>
    <w:rsid w:val="353BABC8"/>
    <w:rsid w:val="353CDDF6"/>
    <w:rsid w:val="3544D393"/>
    <w:rsid w:val="3545F3D7"/>
    <w:rsid w:val="35549B5D"/>
    <w:rsid w:val="3557FFDE"/>
    <w:rsid w:val="355CF1EB"/>
    <w:rsid w:val="355F1528"/>
    <w:rsid w:val="3562028B"/>
    <w:rsid w:val="35627146"/>
    <w:rsid w:val="35634470"/>
    <w:rsid w:val="35669348"/>
    <w:rsid w:val="356DE7A8"/>
    <w:rsid w:val="356EEDE3"/>
    <w:rsid w:val="3573DC10"/>
    <w:rsid w:val="3573F088"/>
    <w:rsid w:val="35740D2E"/>
    <w:rsid w:val="35795782"/>
    <w:rsid w:val="357A81F9"/>
    <w:rsid w:val="3583670E"/>
    <w:rsid w:val="3585055B"/>
    <w:rsid w:val="3586ED67"/>
    <w:rsid w:val="358B3315"/>
    <w:rsid w:val="358FCAAE"/>
    <w:rsid w:val="3593046F"/>
    <w:rsid w:val="35955BE4"/>
    <w:rsid w:val="3599A55B"/>
    <w:rsid w:val="359AE6D3"/>
    <w:rsid w:val="35A10337"/>
    <w:rsid w:val="35A27DFC"/>
    <w:rsid w:val="35A460AF"/>
    <w:rsid w:val="35AEC9B7"/>
    <w:rsid w:val="35AEDE0F"/>
    <w:rsid w:val="35BCF986"/>
    <w:rsid w:val="35C0291B"/>
    <w:rsid w:val="35C15EAF"/>
    <w:rsid w:val="35C4BD69"/>
    <w:rsid w:val="35C89992"/>
    <w:rsid w:val="35D74C61"/>
    <w:rsid w:val="35DA1A55"/>
    <w:rsid w:val="35E1CFAA"/>
    <w:rsid w:val="35E37DF0"/>
    <w:rsid w:val="35E42664"/>
    <w:rsid w:val="35E434E3"/>
    <w:rsid w:val="35E5E460"/>
    <w:rsid w:val="35E601EA"/>
    <w:rsid w:val="35E79FE3"/>
    <w:rsid w:val="35ED2DFC"/>
    <w:rsid w:val="35F1248F"/>
    <w:rsid w:val="35F3A629"/>
    <w:rsid w:val="35FA86C4"/>
    <w:rsid w:val="35FAEA93"/>
    <w:rsid w:val="35FB60F8"/>
    <w:rsid w:val="35FB95D0"/>
    <w:rsid w:val="35FFE839"/>
    <w:rsid w:val="36044B97"/>
    <w:rsid w:val="36145D96"/>
    <w:rsid w:val="3615D6FE"/>
    <w:rsid w:val="361CFB02"/>
    <w:rsid w:val="36205E3C"/>
    <w:rsid w:val="3627EDA6"/>
    <w:rsid w:val="362B7F20"/>
    <w:rsid w:val="36392421"/>
    <w:rsid w:val="3640BDCF"/>
    <w:rsid w:val="36509D6B"/>
    <w:rsid w:val="36533EE9"/>
    <w:rsid w:val="36541D56"/>
    <w:rsid w:val="3658C94B"/>
    <w:rsid w:val="365F0649"/>
    <w:rsid w:val="3669FE45"/>
    <w:rsid w:val="369079C1"/>
    <w:rsid w:val="36940429"/>
    <w:rsid w:val="3696AEBE"/>
    <w:rsid w:val="369D3107"/>
    <w:rsid w:val="36A15470"/>
    <w:rsid w:val="36A3BB1E"/>
    <w:rsid w:val="36A4751A"/>
    <w:rsid w:val="36AF7352"/>
    <w:rsid w:val="36B14E93"/>
    <w:rsid w:val="36B4E0A2"/>
    <w:rsid w:val="36B5F530"/>
    <w:rsid w:val="36C97484"/>
    <w:rsid w:val="36CB7E1C"/>
    <w:rsid w:val="36CBC38A"/>
    <w:rsid w:val="36CF86D8"/>
    <w:rsid w:val="36D6200F"/>
    <w:rsid w:val="36DD98F1"/>
    <w:rsid w:val="36E15D1C"/>
    <w:rsid w:val="36E84DAE"/>
    <w:rsid w:val="36F3A9CF"/>
    <w:rsid w:val="370187FB"/>
    <w:rsid w:val="370C7649"/>
    <w:rsid w:val="37146C32"/>
    <w:rsid w:val="3714FEF0"/>
    <w:rsid w:val="37165C19"/>
    <w:rsid w:val="37176D3A"/>
    <w:rsid w:val="37192727"/>
    <w:rsid w:val="371F1BEB"/>
    <w:rsid w:val="3722BE83"/>
    <w:rsid w:val="37341F2F"/>
    <w:rsid w:val="3738092B"/>
    <w:rsid w:val="3739EFA1"/>
    <w:rsid w:val="373C7821"/>
    <w:rsid w:val="374514EA"/>
    <w:rsid w:val="3752C672"/>
    <w:rsid w:val="37561384"/>
    <w:rsid w:val="375DEA7D"/>
    <w:rsid w:val="3769737B"/>
    <w:rsid w:val="376B7D89"/>
    <w:rsid w:val="376CFF49"/>
    <w:rsid w:val="37729BCB"/>
    <w:rsid w:val="377C4684"/>
    <w:rsid w:val="3782E531"/>
    <w:rsid w:val="3782F3D8"/>
    <w:rsid w:val="37853DCE"/>
    <w:rsid w:val="378C79AB"/>
    <w:rsid w:val="379CE513"/>
    <w:rsid w:val="37A27181"/>
    <w:rsid w:val="37A884AD"/>
    <w:rsid w:val="37AAA301"/>
    <w:rsid w:val="37B46FE1"/>
    <w:rsid w:val="37C017E9"/>
    <w:rsid w:val="37C255A5"/>
    <w:rsid w:val="37CA4A53"/>
    <w:rsid w:val="37CC8EED"/>
    <w:rsid w:val="37CDD91A"/>
    <w:rsid w:val="37CE027E"/>
    <w:rsid w:val="37CFBE08"/>
    <w:rsid w:val="37D85BEB"/>
    <w:rsid w:val="37D8A3C7"/>
    <w:rsid w:val="37DAE64B"/>
    <w:rsid w:val="37DC8064"/>
    <w:rsid w:val="37E1C4F0"/>
    <w:rsid w:val="37F29C9A"/>
    <w:rsid w:val="37FD0353"/>
    <w:rsid w:val="37FDED86"/>
    <w:rsid w:val="3804B46B"/>
    <w:rsid w:val="38140F89"/>
    <w:rsid w:val="381567C8"/>
    <w:rsid w:val="3821CB09"/>
    <w:rsid w:val="3829CF4A"/>
    <w:rsid w:val="38375BD9"/>
    <w:rsid w:val="3845277F"/>
    <w:rsid w:val="384E58A4"/>
    <w:rsid w:val="3867452C"/>
    <w:rsid w:val="386C9D24"/>
    <w:rsid w:val="3878F94A"/>
    <w:rsid w:val="387C83D5"/>
    <w:rsid w:val="387C9326"/>
    <w:rsid w:val="388979A4"/>
    <w:rsid w:val="389147F8"/>
    <w:rsid w:val="38A58DFF"/>
    <w:rsid w:val="38B38A05"/>
    <w:rsid w:val="38B7DA14"/>
    <w:rsid w:val="38BAA16F"/>
    <w:rsid w:val="38BCF809"/>
    <w:rsid w:val="38BE23D8"/>
    <w:rsid w:val="38CC11D8"/>
    <w:rsid w:val="38CED4EE"/>
    <w:rsid w:val="38CFA8FA"/>
    <w:rsid w:val="38D2B9F3"/>
    <w:rsid w:val="38D547D2"/>
    <w:rsid w:val="38D5F467"/>
    <w:rsid w:val="38D6E994"/>
    <w:rsid w:val="38DE0635"/>
    <w:rsid w:val="38ED5AFB"/>
    <w:rsid w:val="38EDF3B7"/>
    <w:rsid w:val="38F6FDAD"/>
    <w:rsid w:val="39021C27"/>
    <w:rsid w:val="390D034F"/>
    <w:rsid w:val="390F169D"/>
    <w:rsid w:val="3917DA2A"/>
    <w:rsid w:val="39197B39"/>
    <w:rsid w:val="391B9CF7"/>
    <w:rsid w:val="391BDC4F"/>
    <w:rsid w:val="391FD9D5"/>
    <w:rsid w:val="39249E6A"/>
    <w:rsid w:val="392686E2"/>
    <w:rsid w:val="39278548"/>
    <w:rsid w:val="392C0EAB"/>
    <w:rsid w:val="392C831B"/>
    <w:rsid w:val="393411DB"/>
    <w:rsid w:val="393976E6"/>
    <w:rsid w:val="393AAFE8"/>
    <w:rsid w:val="393CC268"/>
    <w:rsid w:val="393F8C03"/>
    <w:rsid w:val="393FE846"/>
    <w:rsid w:val="39422D76"/>
    <w:rsid w:val="39443181"/>
    <w:rsid w:val="39477BB9"/>
    <w:rsid w:val="3949A4E2"/>
    <w:rsid w:val="3949E855"/>
    <w:rsid w:val="394A7280"/>
    <w:rsid w:val="3951E562"/>
    <w:rsid w:val="3959C5F3"/>
    <w:rsid w:val="395DECF7"/>
    <w:rsid w:val="39630513"/>
    <w:rsid w:val="397109F7"/>
    <w:rsid w:val="3972C958"/>
    <w:rsid w:val="39757470"/>
    <w:rsid w:val="3977688D"/>
    <w:rsid w:val="397B1ED9"/>
    <w:rsid w:val="397C2616"/>
    <w:rsid w:val="397CE578"/>
    <w:rsid w:val="397D0CA5"/>
    <w:rsid w:val="397F9E53"/>
    <w:rsid w:val="398248F6"/>
    <w:rsid w:val="398796B0"/>
    <w:rsid w:val="39911A67"/>
    <w:rsid w:val="399370E5"/>
    <w:rsid w:val="399E3AF1"/>
    <w:rsid w:val="399EB6F9"/>
    <w:rsid w:val="39A34C3C"/>
    <w:rsid w:val="39AA7266"/>
    <w:rsid w:val="39AEABF5"/>
    <w:rsid w:val="39AEBDD4"/>
    <w:rsid w:val="39BDC1A2"/>
    <w:rsid w:val="39C41296"/>
    <w:rsid w:val="39C49C5C"/>
    <w:rsid w:val="39C4E88A"/>
    <w:rsid w:val="39C829A6"/>
    <w:rsid w:val="39C8FAB2"/>
    <w:rsid w:val="39D062E7"/>
    <w:rsid w:val="39D63B40"/>
    <w:rsid w:val="39D6F7A8"/>
    <w:rsid w:val="39D9D82E"/>
    <w:rsid w:val="39DC92B5"/>
    <w:rsid w:val="39DDD6E5"/>
    <w:rsid w:val="39E71B6F"/>
    <w:rsid w:val="39F3A4C9"/>
    <w:rsid w:val="39F4D8E7"/>
    <w:rsid w:val="39FDFA09"/>
    <w:rsid w:val="3A0562D0"/>
    <w:rsid w:val="3A079923"/>
    <w:rsid w:val="3A07C06C"/>
    <w:rsid w:val="3A0A2B76"/>
    <w:rsid w:val="3A0AD26F"/>
    <w:rsid w:val="3A116622"/>
    <w:rsid w:val="3A1216C2"/>
    <w:rsid w:val="3A146873"/>
    <w:rsid w:val="3A1F1C16"/>
    <w:rsid w:val="3A23B62C"/>
    <w:rsid w:val="3A28EEE4"/>
    <w:rsid w:val="3A2B4A60"/>
    <w:rsid w:val="3A32C8A1"/>
    <w:rsid w:val="3A36A312"/>
    <w:rsid w:val="3A3BA18C"/>
    <w:rsid w:val="3A3C6F4D"/>
    <w:rsid w:val="3A3DB14B"/>
    <w:rsid w:val="3A3F16D7"/>
    <w:rsid w:val="3A421FF8"/>
    <w:rsid w:val="3A42EC1D"/>
    <w:rsid w:val="3A462939"/>
    <w:rsid w:val="3A4C15D9"/>
    <w:rsid w:val="3A523FA2"/>
    <w:rsid w:val="3A584AF2"/>
    <w:rsid w:val="3A5E4E9A"/>
    <w:rsid w:val="3A672ED3"/>
    <w:rsid w:val="3A675A10"/>
    <w:rsid w:val="3A678586"/>
    <w:rsid w:val="3A73D507"/>
    <w:rsid w:val="3A804564"/>
    <w:rsid w:val="3A846995"/>
    <w:rsid w:val="3A88C21B"/>
    <w:rsid w:val="3A88FF40"/>
    <w:rsid w:val="3A8E388C"/>
    <w:rsid w:val="3A94D110"/>
    <w:rsid w:val="3A9EBEAE"/>
    <w:rsid w:val="3AA02465"/>
    <w:rsid w:val="3AA569FE"/>
    <w:rsid w:val="3AB0DA1C"/>
    <w:rsid w:val="3AB92295"/>
    <w:rsid w:val="3ABB19A2"/>
    <w:rsid w:val="3ABCC18B"/>
    <w:rsid w:val="3AC33714"/>
    <w:rsid w:val="3AD3343D"/>
    <w:rsid w:val="3ADA7D69"/>
    <w:rsid w:val="3ADD954C"/>
    <w:rsid w:val="3AE182FC"/>
    <w:rsid w:val="3AE3C2E3"/>
    <w:rsid w:val="3AE63237"/>
    <w:rsid w:val="3AEAF383"/>
    <w:rsid w:val="3AEDF31C"/>
    <w:rsid w:val="3AEFADE1"/>
    <w:rsid w:val="3B02DC33"/>
    <w:rsid w:val="3B096480"/>
    <w:rsid w:val="3B0A8E6C"/>
    <w:rsid w:val="3B0B018B"/>
    <w:rsid w:val="3B0B1E71"/>
    <w:rsid w:val="3B0D80AE"/>
    <w:rsid w:val="3B13B961"/>
    <w:rsid w:val="3B145BBF"/>
    <w:rsid w:val="3B1FA552"/>
    <w:rsid w:val="3B228280"/>
    <w:rsid w:val="3B25A6AC"/>
    <w:rsid w:val="3B3E9C99"/>
    <w:rsid w:val="3B42E955"/>
    <w:rsid w:val="3B4FC348"/>
    <w:rsid w:val="3B77FC0B"/>
    <w:rsid w:val="3B79674A"/>
    <w:rsid w:val="3B84C66E"/>
    <w:rsid w:val="3B89207F"/>
    <w:rsid w:val="3B8A2BC9"/>
    <w:rsid w:val="3B8EADFA"/>
    <w:rsid w:val="3B96920E"/>
    <w:rsid w:val="3B97845A"/>
    <w:rsid w:val="3BA05A64"/>
    <w:rsid w:val="3BA0B2AA"/>
    <w:rsid w:val="3BA12D73"/>
    <w:rsid w:val="3BA36D6F"/>
    <w:rsid w:val="3BA5B3F4"/>
    <w:rsid w:val="3BA9B161"/>
    <w:rsid w:val="3BB4E2F9"/>
    <w:rsid w:val="3BB75FDA"/>
    <w:rsid w:val="3BBC50CA"/>
    <w:rsid w:val="3BC15FA9"/>
    <w:rsid w:val="3BD77AE8"/>
    <w:rsid w:val="3BD8527A"/>
    <w:rsid w:val="3BEBAD5B"/>
    <w:rsid w:val="3BEDABB4"/>
    <w:rsid w:val="3BF1AF0A"/>
    <w:rsid w:val="3BF3199B"/>
    <w:rsid w:val="3BF3659A"/>
    <w:rsid w:val="3BF8D91D"/>
    <w:rsid w:val="3C08E60B"/>
    <w:rsid w:val="3C0B7E0A"/>
    <w:rsid w:val="3C0D13BE"/>
    <w:rsid w:val="3C169634"/>
    <w:rsid w:val="3C1962F6"/>
    <w:rsid w:val="3C21576C"/>
    <w:rsid w:val="3C25EA6F"/>
    <w:rsid w:val="3C311C4A"/>
    <w:rsid w:val="3C3682FE"/>
    <w:rsid w:val="3C3874F3"/>
    <w:rsid w:val="3C3A22A6"/>
    <w:rsid w:val="3C41AF71"/>
    <w:rsid w:val="3C44C653"/>
    <w:rsid w:val="3C44E91D"/>
    <w:rsid w:val="3C4A47E0"/>
    <w:rsid w:val="3C51E79E"/>
    <w:rsid w:val="3C55654B"/>
    <w:rsid w:val="3C5CC53A"/>
    <w:rsid w:val="3C6B23C2"/>
    <w:rsid w:val="3C6CCE2B"/>
    <w:rsid w:val="3C7C29EF"/>
    <w:rsid w:val="3C7E0360"/>
    <w:rsid w:val="3C7E45D2"/>
    <w:rsid w:val="3C823B93"/>
    <w:rsid w:val="3C83A708"/>
    <w:rsid w:val="3C8909A5"/>
    <w:rsid w:val="3C9E7956"/>
    <w:rsid w:val="3CA9ED43"/>
    <w:rsid w:val="3CB0039E"/>
    <w:rsid w:val="3CBC13B6"/>
    <w:rsid w:val="3CC0A2E6"/>
    <w:rsid w:val="3CC1BCA1"/>
    <w:rsid w:val="3CC20536"/>
    <w:rsid w:val="3CC315A4"/>
    <w:rsid w:val="3CCDC230"/>
    <w:rsid w:val="3CCFD3D8"/>
    <w:rsid w:val="3CD7614D"/>
    <w:rsid w:val="3CDA7B23"/>
    <w:rsid w:val="3CDCA235"/>
    <w:rsid w:val="3CE1CD7C"/>
    <w:rsid w:val="3CE207A9"/>
    <w:rsid w:val="3CE74A96"/>
    <w:rsid w:val="3CEBC1BB"/>
    <w:rsid w:val="3CF9119E"/>
    <w:rsid w:val="3CFF0839"/>
    <w:rsid w:val="3D021DE2"/>
    <w:rsid w:val="3D0687D9"/>
    <w:rsid w:val="3D1029CA"/>
    <w:rsid w:val="3D111C76"/>
    <w:rsid w:val="3D125849"/>
    <w:rsid w:val="3D212A15"/>
    <w:rsid w:val="3D25FB64"/>
    <w:rsid w:val="3D2667A0"/>
    <w:rsid w:val="3D29D1E8"/>
    <w:rsid w:val="3D2D4659"/>
    <w:rsid w:val="3D355547"/>
    <w:rsid w:val="3D357EB4"/>
    <w:rsid w:val="3D388651"/>
    <w:rsid w:val="3D39C137"/>
    <w:rsid w:val="3D3D595A"/>
    <w:rsid w:val="3D3EA5B2"/>
    <w:rsid w:val="3D41A629"/>
    <w:rsid w:val="3D439A22"/>
    <w:rsid w:val="3D44B408"/>
    <w:rsid w:val="3D4FE442"/>
    <w:rsid w:val="3D552A94"/>
    <w:rsid w:val="3D571911"/>
    <w:rsid w:val="3D58CF8F"/>
    <w:rsid w:val="3D5BA4AE"/>
    <w:rsid w:val="3D6AA116"/>
    <w:rsid w:val="3D717DEB"/>
    <w:rsid w:val="3D72586C"/>
    <w:rsid w:val="3D80CBBA"/>
    <w:rsid w:val="3D8B5C84"/>
    <w:rsid w:val="3D937FBA"/>
    <w:rsid w:val="3D9429F3"/>
    <w:rsid w:val="3D9486D6"/>
    <w:rsid w:val="3D966271"/>
    <w:rsid w:val="3D9DB6B8"/>
    <w:rsid w:val="3DA1A185"/>
    <w:rsid w:val="3DA29A21"/>
    <w:rsid w:val="3DA2C5FA"/>
    <w:rsid w:val="3DA30499"/>
    <w:rsid w:val="3DA83075"/>
    <w:rsid w:val="3DAC8F51"/>
    <w:rsid w:val="3DACF92B"/>
    <w:rsid w:val="3DAE1530"/>
    <w:rsid w:val="3DB23D24"/>
    <w:rsid w:val="3DB24287"/>
    <w:rsid w:val="3DB6CD9D"/>
    <w:rsid w:val="3DB99412"/>
    <w:rsid w:val="3DBC4B5C"/>
    <w:rsid w:val="3DC0B2AC"/>
    <w:rsid w:val="3DC2D8FD"/>
    <w:rsid w:val="3DCC6546"/>
    <w:rsid w:val="3DCC8AF3"/>
    <w:rsid w:val="3DCD4014"/>
    <w:rsid w:val="3DCE596B"/>
    <w:rsid w:val="3DCFDB53"/>
    <w:rsid w:val="3DD3F047"/>
    <w:rsid w:val="3DD598D1"/>
    <w:rsid w:val="3DD8DFBF"/>
    <w:rsid w:val="3DDAA5F6"/>
    <w:rsid w:val="3DE189FD"/>
    <w:rsid w:val="3DE76C7A"/>
    <w:rsid w:val="3DE7B04E"/>
    <w:rsid w:val="3DF8EE3F"/>
    <w:rsid w:val="3DFC0286"/>
    <w:rsid w:val="3E00EDE1"/>
    <w:rsid w:val="3E26023B"/>
    <w:rsid w:val="3E2612BC"/>
    <w:rsid w:val="3E27A1C4"/>
    <w:rsid w:val="3E304BEC"/>
    <w:rsid w:val="3E32969C"/>
    <w:rsid w:val="3E36EAC3"/>
    <w:rsid w:val="3E387A6C"/>
    <w:rsid w:val="3E3DCC76"/>
    <w:rsid w:val="3E3F9D98"/>
    <w:rsid w:val="3E40164B"/>
    <w:rsid w:val="3E48ADBE"/>
    <w:rsid w:val="3E48B094"/>
    <w:rsid w:val="3E4ACB15"/>
    <w:rsid w:val="3E4B437D"/>
    <w:rsid w:val="3E4FD848"/>
    <w:rsid w:val="3E5A89B0"/>
    <w:rsid w:val="3E5D1989"/>
    <w:rsid w:val="3E5E5941"/>
    <w:rsid w:val="3E60E6B9"/>
    <w:rsid w:val="3E74A072"/>
    <w:rsid w:val="3E75BB6F"/>
    <w:rsid w:val="3E7C8D8C"/>
    <w:rsid w:val="3E7EBDC4"/>
    <w:rsid w:val="3E813330"/>
    <w:rsid w:val="3E862661"/>
    <w:rsid w:val="3E94F360"/>
    <w:rsid w:val="3E9B2592"/>
    <w:rsid w:val="3E9ED4F6"/>
    <w:rsid w:val="3EAD613A"/>
    <w:rsid w:val="3EAE8DC8"/>
    <w:rsid w:val="3EB20AF7"/>
    <w:rsid w:val="3EC35BFF"/>
    <w:rsid w:val="3EC38305"/>
    <w:rsid w:val="3EC60E6F"/>
    <w:rsid w:val="3ED65C9D"/>
    <w:rsid w:val="3EE608C6"/>
    <w:rsid w:val="3EE8515D"/>
    <w:rsid w:val="3EF0D891"/>
    <w:rsid w:val="3EF71C72"/>
    <w:rsid w:val="3EF882C3"/>
    <w:rsid w:val="3EF9408A"/>
    <w:rsid w:val="3EFE2654"/>
    <w:rsid w:val="3F018969"/>
    <w:rsid w:val="3F061FE1"/>
    <w:rsid w:val="3F1009D1"/>
    <w:rsid w:val="3F10E093"/>
    <w:rsid w:val="3F132D6D"/>
    <w:rsid w:val="3F135B60"/>
    <w:rsid w:val="3F138374"/>
    <w:rsid w:val="3F163604"/>
    <w:rsid w:val="3F1FBD21"/>
    <w:rsid w:val="3F2075BE"/>
    <w:rsid w:val="3F2119C7"/>
    <w:rsid w:val="3F218525"/>
    <w:rsid w:val="3F2A4CA3"/>
    <w:rsid w:val="3F2AE620"/>
    <w:rsid w:val="3F2B7955"/>
    <w:rsid w:val="3F3A7CE2"/>
    <w:rsid w:val="3F3B3434"/>
    <w:rsid w:val="3F3D6ADD"/>
    <w:rsid w:val="3F3F42A5"/>
    <w:rsid w:val="3F4494AA"/>
    <w:rsid w:val="3F4A7946"/>
    <w:rsid w:val="3F4B0469"/>
    <w:rsid w:val="3F589FA2"/>
    <w:rsid w:val="3F5ACD35"/>
    <w:rsid w:val="3F5CB4E8"/>
    <w:rsid w:val="3F61F900"/>
    <w:rsid w:val="3F62CBD7"/>
    <w:rsid w:val="3F6425A7"/>
    <w:rsid w:val="3F68AAB3"/>
    <w:rsid w:val="3F6B63D3"/>
    <w:rsid w:val="3F76679B"/>
    <w:rsid w:val="3F7996D2"/>
    <w:rsid w:val="3F82E97E"/>
    <w:rsid w:val="3F86FC7F"/>
    <w:rsid w:val="3F8AFA92"/>
    <w:rsid w:val="3F8BD66E"/>
    <w:rsid w:val="3F998D42"/>
    <w:rsid w:val="3FA1BEB5"/>
    <w:rsid w:val="3FAB2295"/>
    <w:rsid w:val="3FB2A6A8"/>
    <w:rsid w:val="3FB5E96B"/>
    <w:rsid w:val="3FB7662F"/>
    <w:rsid w:val="3FBB8791"/>
    <w:rsid w:val="3FBBE702"/>
    <w:rsid w:val="3FC17DD0"/>
    <w:rsid w:val="3FC336D6"/>
    <w:rsid w:val="3FC6437A"/>
    <w:rsid w:val="3FCA3CF3"/>
    <w:rsid w:val="3FCC3013"/>
    <w:rsid w:val="3FCC521A"/>
    <w:rsid w:val="3FD2D993"/>
    <w:rsid w:val="3FDA50E7"/>
    <w:rsid w:val="3FDD9A36"/>
    <w:rsid w:val="3FDF4250"/>
    <w:rsid w:val="3FEC65F9"/>
    <w:rsid w:val="3FEE0BEF"/>
    <w:rsid w:val="3FF67046"/>
    <w:rsid w:val="3FF8A015"/>
    <w:rsid w:val="3FFA9481"/>
    <w:rsid w:val="4000C9B8"/>
    <w:rsid w:val="40016E7B"/>
    <w:rsid w:val="4001A395"/>
    <w:rsid w:val="4005A1BE"/>
    <w:rsid w:val="4008DC49"/>
    <w:rsid w:val="40098A31"/>
    <w:rsid w:val="4011E106"/>
    <w:rsid w:val="4013F899"/>
    <w:rsid w:val="4014EE61"/>
    <w:rsid w:val="4016867F"/>
    <w:rsid w:val="40179DE6"/>
    <w:rsid w:val="40251F46"/>
    <w:rsid w:val="4026F6CE"/>
    <w:rsid w:val="40342937"/>
    <w:rsid w:val="403D24CC"/>
    <w:rsid w:val="4048499B"/>
    <w:rsid w:val="40512282"/>
    <w:rsid w:val="4051433E"/>
    <w:rsid w:val="4054AD30"/>
    <w:rsid w:val="40598F57"/>
    <w:rsid w:val="40600543"/>
    <w:rsid w:val="406A22DA"/>
    <w:rsid w:val="406CC8CA"/>
    <w:rsid w:val="406EE2FC"/>
    <w:rsid w:val="40736216"/>
    <w:rsid w:val="407676DA"/>
    <w:rsid w:val="4076C979"/>
    <w:rsid w:val="40788B07"/>
    <w:rsid w:val="407C4144"/>
    <w:rsid w:val="40857690"/>
    <w:rsid w:val="408B93DF"/>
    <w:rsid w:val="408D277A"/>
    <w:rsid w:val="408E4998"/>
    <w:rsid w:val="4092CC32"/>
    <w:rsid w:val="4098BD0C"/>
    <w:rsid w:val="4098F465"/>
    <w:rsid w:val="40A02E73"/>
    <w:rsid w:val="40A3CCC5"/>
    <w:rsid w:val="40A864E3"/>
    <w:rsid w:val="40AA0897"/>
    <w:rsid w:val="40AC87A3"/>
    <w:rsid w:val="40B00D91"/>
    <w:rsid w:val="40B57918"/>
    <w:rsid w:val="40B633F4"/>
    <w:rsid w:val="40B82A5E"/>
    <w:rsid w:val="40BFEFCE"/>
    <w:rsid w:val="40C26CE2"/>
    <w:rsid w:val="40C35E22"/>
    <w:rsid w:val="40C520E7"/>
    <w:rsid w:val="40CAAD19"/>
    <w:rsid w:val="40DDE1F3"/>
    <w:rsid w:val="40E96E7D"/>
    <w:rsid w:val="40EEF7AE"/>
    <w:rsid w:val="40F54EC8"/>
    <w:rsid w:val="40F76AFE"/>
    <w:rsid w:val="40F84FA1"/>
    <w:rsid w:val="40F966EA"/>
    <w:rsid w:val="40FFC69B"/>
    <w:rsid w:val="410A1431"/>
    <w:rsid w:val="410BC9DF"/>
    <w:rsid w:val="41109731"/>
    <w:rsid w:val="41139CB1"/>
    <w:rsid w:val="41258A33"/>
    <w:rsid w:val="412B42B7"/>
    <w:rsid w:val="412D03ED"/>
    <w:rsid w:val="412D078D"/>
    <w:rsid w:val="412E3050"/>
    <w:rsid w:val="413183E1"/>
    <w:rsid w:val="4132DB09"/>
    <w:rsid w:val="413D6469"/>
    <w:rsid w:val="41402CDA"/>
    <w:rsid w:val="414A486D"/>
    <w:rsid w:val="414BF4F5"/>
    <w:rsid w:val="4154A57F"/>
    <w:rsid w:val="416141D5"/>
    <w:rsid w:val="41627964"/>
    <w:rsid w:val="416DCC63"/>
    <w:rsid w:val="41701C18"/>
    <w:rsid w:val="41756A0B"/>
    <w:rsid w:val="417AC38D"/>
    <w:rsid w:val="417E2D63"/>
    <w:rsid w:val="417E9E7D"/>
    <w:rsid w:val="417FC206"/>
    <w:rsid w:val="4194AE41"/>
    <w:rsid w:val="4195AD61"/>
    <w:rsid w:val="419C58EC"/>
    <w:rsid w:val="41A04326"/>
    <w:rsid w:val="41A069A9"/>
    <w:rsid w:val="41A3AF44"/>
    <w:rsid w:val="41AC2468"/>
    <w:rsid w:val="41ACDF04"/>
    <w:rsid w:val="41AD016C"/>
    <w:rsid w:val="41BB51FB"/>
    <w:rsid w:val="41BC8641"/>
    <w:rsid w:val="41BEE72B"/>
    <w:rsid w:val="41C44C89"/>
    <w:rsid w:val="41C62691"/>
    <w:rsid w:val="41CBB1A4"/>
    <w:rsid w:val="41D04838"/>
    <w:rsid w:val="41D7041D"/>
    <w:rsid w:val="41DED20E"/>
    <w:rsid w:val="41E143DE"/>
    <w:rsid w:val="41E605A9"/>
    <w:rsid w:val="41E7467D"/>
    <w:rsid w:val="41ECB66D"/>
    <w:rsid w:val="41F2DF02"/>
    <w:rsid w:val="41FFCDD8"/>
    <w:rsid w:val="4201B6ED"/>
    <w:rsid w:val="4208B3A7"/>
    <w:rsid w:val="420CF275"/>
    <w:rsid w:val="42117BFA"/>
    <w:rsid w:val="42121F58"/>
    <w:rsid w:val="4213E9FB"/>
    <w:rsid w:val="4217AD31"/>
    <w:rsid w:val="421DA995"/>
    <w:rsid w:val="42204D7D"/>
    <w:rsid w:val="42240AFE"/>
    <w:rsid w:val="423B85DD"/>
    <w:rsid w:val="423C6007"/>
    <w:rsid w:val="42409C61"/>
    <w:rsid w:val="424330DC"/>
    <w:rsid w:val="42436D73"/>
    <w:rsid w:val="42452473"/>
    <w:rsid w:val="424671FD"/>
    <w:rsid w:val="424AB164"/>
    <w:rsid w:val="424D93C5"/>
    <w:rsid w:val="42508270"/>
    <w:rsid w:val="4256DD5D"/>
    <w:rsid w:val="4259612D"/>
    <w:rsid w:val="425C688A"/>
    <w:rsid w:val="4260DA89"/>
    <w:rsid w:val="4278F5A3"/>
    <w:rsid w:val="427BF6FB"/>
    <w:rsid w:val="428913B0"/>
    <w:rsid w:val="428C65D0"/>
    <w:rsid w:val="428E399E"/>
    <w:rsid w:val="429045C2"/>
    <w:rsid w:val="42912EE6"/>
    <w:rsid w:val="4292BCB8"/>
    <w:rsid w:val="4296B32A"/>
    <w:rsid w:val="42AF523E"/>
    <w:rsid w:val="42B55172"/>
    <w:rsid w:val="42B7F07C"/>
    <w:rsid w:val="42BA8843"/>
    <w:rsid w:val="42CCA516"/>
    <w:rsid w:val="42D40987"/>
    <w:rsid w:val="42D4906F"/>
    <w:rsid w:val="42D61BFB"/>
    <w:rsid w:val="42D697EF"/>
    <w:rsid w:val="42E08670"/>
    <w:rsid w:val="42E2DB8C"/>
    <w:rsid w:val="42E353E7"/>
    <w:rsid w:val="42E8745D"/>
    <w:rsid w:val="42EA6404"/>
    <w:rsid w:val="42F00C3C"/>
    <w:rsid w:val="42F34826"/>
    <w:rsid w:val="42F4D7B6"/>
    <w:rsid w:val="42F6546D"/>
    <w:rsid w:val="42F992E5"/>
    <w:rsid w:val="42FDDE0F"/>
    <w:rsid w:val="43026D6C"/>
    <w:rsid w:val="430825DE"/>
    <w:rsid w:val="430E4652"/>
    <w:rsid w:val="4315A60D"/>
    <w:rsid w:val="4323652B"/>
    <w:rsid w:val="4327C559"/>
    <w:rsid w:val="4329EF55"/>
    <w:rsid w:val="43303610"/>
    <w:rsid w:val="43375354"/>
    <w:rsid w:val="433914B7"/>
    <w:rsid w:val="4339A139"/>
    <w:rsid w:val="433AF7BB"/>
    <w:rsid w:val="433E03DA"/>
    <w:rsid w:val="434163F0"/>
    <w:rsid w:val="43449C55"/>
    <w:rsid w:val="4348397C"/>
    <w:rsid w:val="435254F8"/>
    <w:rsid w:val="435CD147"/>
    <w:rsid w:val="435F8C1B"/>
    <w:rsid w:val="43608065"/>
    <w:rsid w:val="4368D761"/>
    <w:rsid w:val="436B07F1"/>
    <w:rsid w:val="436B3EE5"/>
    <w:rsid w:val="436BE313"/>
    <w:rsid w:val="436EF2BE"/>
    <w:rsid w:val="4373AFA7"/>
    <w:rsid w:val="4374D70E"/>
    <w:rsid w:val="43755969"/>
    <w:rsid w:val="43785971"/>
    <w:rsid w:val="4380C3FB"/>
    <w:rsid w:val="438CDE1B"/>
    <w:rsid w:val="438CFDB8"/>
    <w:rsid w:val="43916421"/>
    <w:rsid w:val="439620CC"/>
    <w:rsid w:val="43A468AC"/>
    <w:rsid w:val="43B24242"/>
    <w:rsid w:val="43B436BF"/>
    <w:rsid w:val="43B9FD6C"/>
    <w:rsid w:val="43BBA7A2"/>
    <w:rsid w:val="43BFE40E"/>
    <w:rsid w:val="43C17363"/>
    <w:rsid w:val="43C6AD09"/>
    <w:rsid w:val="43C8571D"/>
    <w:rsid w:val="43CB6260"/>
    <w:rsid w:val="43CCDE74"/>
    <w:rsid w:val="43CF87A3"/>
    <w:rsid w:val="43D0E5D7"/>
    <w:rsid w:val="43D9104D"/>
    <w:rsid w:val="43DB1255"/>
    <w:rsid w:val="43DDA787"/>
    <w:rsid w:val="43EE1219"/>
    <w:rsid w:val="43F338F1"/>
    <w:rsid w:val="43F8FA02"/>
    <w:rsid w:val="43FE8905"/>
    <w:rsid w:val="4401997B"/>
    <w:rsid w:val="4403BFA5"/>
    <w:rsid w:val="4403F791"/>
    <w:rsid w:val="440690FE"/>
    <w:rsid w:val="440A6DCC"/>
    <w:rsid w:val="440ED62F"/>
    <w:rsid w:val="441239A4"/>
    <w:rsid w:val="44194E97"/>
    <w:rsid w:val="441DF0AC"/>
    <w:rsid w:val="4421F4AF"/>
    <w:rsid w:val="4422D472"/>
    <w:rsid w:val="442C1912"/>
    <w:rsid w:val="443055CE"/>
    <w:rsid w:val="443AF594"/>
    <w:rsid w:val="443B7CD0"/>
    <w:rsid w:val="443D752F"/>
    <w:rsid w:val="44446E7D"/>
    <w:rsid w:val="44464372"/>
    <w:rsid w:val="4448E097"/>
    <w:rsid w:val="444B9755"/>
    <w:rsid w:val="444F71ED"/>
    <w:rsid w:val="445413BA"/>
    <w:rsid w:val="4454C7B6"/>
    <w:rsid w:val="44567721"/>
    <w:rsid w:val="4458C512"/>
    <w:rsid w:val="4463C2AA"/>
    <w:rsid w:val="44644A2E"/>
    <w:rsid w:val="446D5F38"/>
    <w:rsid w:val="4470145C"/>
    <w:rsid w:val="44750BF2"/>
    <w:rsid w:val="4475B173"/>
    <w:rsid w:val="4479ACEA"/>
    <w:rsid w:val="4480FDED"/>
    <w:rsid w:val="44866AFA"/>
    <w:rsid w:val="4487399C"/>
    <w:rsid w:val="448D6482"/>
    <w:rsid w:val="4495A36A"/>
    <w:rsid w:val="44A48D98"/>
    <w:rsid w:val="44AB8A5F"/>
    <w:rsid w:val="44AC8FB1"/>
    <w:rsid w:val="44B20160"/>
    <w:rsid w:val="44B49A27"/>
    <w:rsid w:val="44C5BDEB"/>
    <w:rsid w:val="44CACAE3"/>
    <w:rsid w:val="44CB2501"/>
    <w:rsid w:val="44CC9982"/>
    <w:rsid w:val="44CE5F8E"/>
    <w:rsid w:val="44DF7CB6"/>
    <w:rsid w:val="44E02C4A"/>
    <w:rsid w:val="44E7D9A6"/>
    <w:rsid w:val="44EAAC0E"/>
    <w:rsid w:val="44FDA4BA"/>
    <w:rsid w:val="44FDE0DB"/>
    <w:rsid w:val="450524B4"/>
    <w:rsid w:val="450CB305"/>
    <w:rsid w:val="451168A2"/>
    <w:rsid w:val="4517B69B"/>
    <w:rsid w:val="4528B502"/>
    <w:rsid w:val="452D6F2C"/>
    <w:rsid w:val="452DC702"/>
    <w:rsid w:val="452F4E5C"/>
    <w:rsid w:val="453C02AA"/>
    <w:rsid w:val="4542E3DD"/>
    <w:rsid w:val="4546F4E6"/>
    <w:rsid w:val="45506766"/>
    <w:rsid w:val="45535529"/>
    <w:rsid w:val="4566207D"/>
    <w:rsid w:val="45672922"/>
    <w:rsid w:val="456AEBFE"/>
    <w:rsid w:val="456FF9BC"/>
    <w:rsid w:val="457442CA"/>
    <w:rsid w:val="457F6068"/>
    <w:rsid w:val="45880297"/>
    <w:rsid w:val="458970C2"/>
    <w:rsid w:val="4591FA1E"/>
    <w:rsid w:val="459386F4"/>
    <w:rsid w:val="4596078D"/>
    <w:rsid w:val="45975D73"/>
    <w:rsid w:val="459797A4"/>
    <w:rsid w:val="459C4CA3"/>
    <w:rsid w:val="45A4F66C"/>
    <w:rsid w:val="45A6B39B"/>
    <w:rsid w:val="45A6D885"/>
    <w:rsid w:val="45AA7359"/>
    <w:rsid w:val="45AD5B7D"/>
    <w:rsid w:val="45BC34DF"/>
    <w:rsid w:val="45BE163D"/>
    <w:rsid w:val="45C5C508"/>
    <w:rsid w:val="45C60136"/>
    <w:rsid w:val="45C97195"/>
    <w:rsid w:val="45D03FCA"/>
    <w:rsid w:val="45D37E40"/>
    <w:rsid w:val="45DF2CD9"/>
    <w:rsid w:val="45E0F7BD"/>
    <w:rsid w:val="45E4202B"/>
    <w:rsid w:val="45E487A4"/>
    <w:rsid w:val="45E48CAD"/>
    <w:rsid w:val="45E5B2CC"/>
    <w:rsid w:val="45ED8D1F"/>
    <w:rsid w:val="45FAE5C3"/>
    <w:rsid w:val="46051C3E"/>
    <w:rsid w:val="460581E5"/>
    <w:rsid w:val="46082DA5"/>
    <w:rsid w:val="460DD5C8"/>
    <w:rsid w:val="4610101D"/>
    <w:rsid w:val="4612B98A"/>
    <w:rsid w:val="4619BF0D"/>
    <w:rsid w:val="462155A9"/>
    <w:rsid w:val="462A6518"/>
    <w:rsid w:val="46349316"/>
    <w:rsid w:val="46377CC0"/>
    <w:rsid w:val="46394DAD"/>
    <w:rsid w:val="463B5F6F"/>
    <w:rsid w:val="463FD7BA"/>
    <w:rsid w:val="464253B1"/>
    <w:rsid w:val="4642EC89"/>
    <w:rsid w:val="46475973"/>
    <w:rsid w:val="464F2C80"/>
    <w:rsid w:val="4652481F"/>
    <w:rsid w:val="46530154"/>
    <w:rsid w:val="4657822D"/>
    <w:rsid w:val="4660D2CF"/>
    <w:rsid w:val="46610284"/>
    <w:rsid w:val="466E95FF"/>
    <w:rsid w:val="466F376A"/>
    <w:rsid w:val="46737A12"/>
    <w:rsid w:val="46764670"/>
    <w:rsid w:val="467B72AC"/>
    <w:rsid w:val="46804695"/>
    <w:rsid w:val="4683EC41"/>
    <w:rsid w:val="468935BD"/>
    <w:rsid w:val="468F3A8F"/>
    <w:rsid w:val="46956CB9"/>
    <w:rsid w:val="4698675C"/>
    <w:rsid w:val="469F1F13"/>
    <w:rsid w:val="46A6526C"/>
    <w:rsid w:val="46AA6977"/>
    <w:rsid w:val="46AC771D"/>
    <w:rsid w:val="46B2DDD5"/>
    <w:rsid w:val="46B40278"/>
    <w:rsid w:val="46BB37C1"/>
    <w:rsid w:val="46BDF72C"/>
    <w:rsid w:val="46BEEC68"/>
    <w:rsid w:val="46D17F28"/>
    <w:rsid w:val="46D81DD5"/>
    <w:rsid w:val="46DB1746"/>
    <w:rsid w:val="46DC999E"/>
    <w:rsid w:val="46DCB77B"/>
    <w:rsid w:val="46DD2035"/>
    <w:rsid w:val="46DE7CFA"/>
    <w:rsid w:val="46EBBED1"/>
    <w:rsid w:val="46F369A1"/>
    <w:rsid w:val="46FCE304"/>
    <w:rsid w:val="4706D1BF"/>
    <w:rsid w:val="47092BF1"/>
    <w:rsid w:val="470CDEC7"/>
    <w:rsid w:val="4711730F"/>
    <w:rsid w:val="47154277"/>
    <w:rsid w:val="471C2163"/>
    <w:rsid w:val="471F4B4E"/>
    <w:rsid w:val="4720A5E0"/>
    <w:rsid w:val="472457A1"/>
    <w:rsid w:val="472C0CD3"/>
    <w:rsid w:val="4730C550"/>
    <w:rsid w:val="4730CE2C"/>
    <w:rsid w:val="47387E45"/>
    <w:rsid w:val="473BAA34"/>
    <w:rsid w:val="47412D9A"/>
    <w:rsid w:val="474D228E"/>
    <w:rsid w:val="4751373C"/>
    <w:rsid w:val="4752EAA7"/>
    <w:rsid w:val="475D1C74"/>
    <w:rsid w:val="47667480"/>
    <w:rsid w:val="4769B951"/>
    <w:rsid w:val="4770CF7A"/>
    <w:rsid w:val="477F0099"/>
    <w:rsid w:val="4783E7D0"/>
    <w:rsid w:val="47892F95"/>
    <w:rsid w:val="478ED237"/>
    <w:rsid w:val="4799F007"/>
    <w:rsid w:val="47A325DB"/>
    <w:rsid w:val="47A59BE6"/>
    <w:rsid w:val="47A884DA"/>
    <w:rsid w:val="47AE7B04"/>
    <w:rsid w:val="47BC6FE8"/>
    <w:rsid w:val="47BD7947"/>
    <w:rsid w:val="47C1332E"/>
    <w:rsid w:val="47CB2B1C"/>
    <w:rsid w:val="47D58B21"/>
    <w:rsid w:val="47DCDA37"/>
    <w:rsid w:val="47DFA056"/>
    <w:rsid w:val="47E47CC5"/>
    <w:rsid w:val="47F00079"/>
    <w:rsid w:val="47F15B67"/>
    <w:rsid w:val="47F3585C"/>
    <w:rsid w:val="47F40EA3"/>
    <w:rsid w:val="48033BF5"/>
    <w:rsid w:val="48039A39"/>
    <w:rsid w:val="4804F796"/>
    <w:rsid w:val="4808A68A"/>
    <w:rsid w:val="48097BF2"/>
    <w:rsid w:val="480A61E0"/>
    <w:rsid w:val="480FC16B"/>
    <w:rsid w:val="48196CD5"/>
    <w:rsid w:val="481FBC00"/>
    <w:rsid w:val="4820AA43"/>
    <w:rsid w:val="4821F542"/>
    <w:rsid w:val="4822D536"/>
    <w:rsid w:val="482F1A7F"/>
    <w:rsid w:val="4831C246"/>
    <w:rsid w:val="4831CC06"/>
    <w:rsid w:val="483C2E2D"/>
    <w:rsid w:val="483EA018"/>
    <w:rsid w:val="484404E9"/>
    <w:rsid w:val="48456ED7"/>
    <w:rsid w:val="484B9CED"/>
    <w:rsid w:val="484D462F"/>
    <w:rsid w:val="484D9B28"/>
    <w:rsid w:val="484E5F79"/>
    <w:rsid w:val="4850CD42"/>
    <w:rsid w:val="48560900"/>
    <w:rsid w:val="485F3A9E"/>
    <w:rsid w:val="485F3FB6"/>
    <w:rsid w:val="488A20F3"/>
    <w:rsid w:val="488D3694"/>
    <w:rsid w:val="488D5656"/>
    <w:rsid w:val="488E325F"/>
    <w:rsid w:val="488F8EE9"/>
    <w:rsid w:val="489DE8B3"/>
    <w:rsid w:val="48AAE52E"/>
    <w:rsid w:val="48AB5711"/>
    <w:rsid w:val="48BCCD9E"/>
    <w:rsid w:val="48BF11E2"/>
    <w:rsid w:val="48CADF14"/>
    <w:rsid w:val="48D40DBB"/>
    <w:rsid w:val="48DB14A6"/>
    <w:rsid w:val="48DB3AB2"/>
    <w:rsid w:val="48E2FDEF"/>
    <w:rsid w:val="48E500C6"/>
    <w:rsid w:val="48E6F6AB"/>
    <w:rsid w:val="48E835A3"/>
    <w:rsid w:val="48E92D29"/>
    <w:rsid w:val="48EDD192"/>
    <w:rsid w:val="48F19C03"/>
    <w:rsid w:val="490867AE"/>
    <w:rsid w:val="49089E69"/>
    <w:rsid w:val="4910F276"/>
    <w:rsid w:val="4910F5A4"/>
    <w:rsid w:val="4917615D"/>
    <w:rsid w:val="49217EB0"/>
    <w:rsid w:val="4921A041"/>
    <w:rsid w:val="49231B1C"/>
    <w:rsid w:val="492858C4"/>
    <w:rsid w:val="492E1D50"/>
    <w:rsid w:val="493A1DDB"/>
    <w:rsid w:val="493BE153"/>
    <w:rsid w:val="49438252"/>
    <w:rsid w:val="4945C327"/>
    <w:rsid w:val="4945D645"/>
    <w:rsid w:val="494F953E"/>
    <w:rsid w:val="494FFE66"/>
    <w:rsid w:val="49534031"/>
    <w:rsid w:val="495D1920"/>
    <w:rsid w:val="49691641"/>
    <w:rsid w:val="49708AB3"/>
    <w:rsid w:val="497626C9"/>
    <w:rsid w:val="4976E828"/>
    <w:rsid w:val="4979849E"/>
    <w:rsid w:val="497AF0D0"/>
    <w:rsid w:val="497C164A"/>
    <w:rsid w:val="4987DC3E"/>
    <w:rsid w:val="498C7483"/>
    <w:rsid w:val="498E2E52"/>
    <w:rsid w:val="49940300"/>
    <w:rsid w:val="4994079F"/>
    <w:rsid w:val="499A66D8"/>
    <w:rsid w:val="499D93D0"/>
    <w:rsid w:val="49AE2EA4"/>
    <w:rsid w:val="49B4238C"/>
    <w:rsid w:val="49C04EFA"/>
    <w:rsid w:val="49C27B27"/>
    <w:rsid w:val="49CE22DB"/>
    <w:rsid w:val="49CEBF4C"/>
    <w:rsid w:val="49D05D93"/>
    <w:rsid w:val="49D53565"/>
    <w:rsid w:val="49DCEAC9"/>
    <w:rsid w:val="49E30937"/>
    <w:rsid w:val="49EEE9D8"/>
    <w:rsid w:val="49F1B692"/>
    <w:rsid w:val="49F44AEA"/>
    <w:rsid w:val="49F4FE99"/>
    <w:rsid w:val="49F6C65A"/>
    <w:rsid w:val="49F9E261"/>
    <w:rsid w:val="49FD74B7"/>
    <w:rsid w:val="49FE63E7"/>
    <w:rsid w:val="4A12A13D"/>
    <w:rsid w:val="4A16376D"/>
    <w:rsid w:val="4A16AE93"/>
    <w:rsid w:val="4A19BF78"/>
    <w:rsid w:val="4A1FA45C"/>
    <w:rsid w:val="4A254B92"/>
    <w:rsid w:val="4A2E8B39"/>
    <w:rsid w:val="4A306B00"/>
    <w:rsid w:val="4A48005B"/>
    <w:rsid w:val="4A548C49"/>
    <w:rsid w:val="4A57D9F2"/>
    <w:rsid w:val="4A5A4674"/>
    <w:rsid w:val="4A5DFC4B"/>
    <w:rsid w:val="4A642962"/>
    <w:rsid w:val="4A735E0C"/>
    <w:rsid w:val="4A767CF4"/>
    <w:rsid w:val="4A76F2EF"/>
    <w:rsid w:val="4A78879A"/>
    <w:rsid w:val="4A7CEB3E"/>
    <w:rsid w:val="4A7EB58C"/>
    <w:rsid w:val="4A84650C"/>
    <w:rsid w:val="4A877D4A"/>
    <w:rsid w:val="4A8C7A05"/>
    <w:rsid w:val="4A8CA202"/>
    <w:rsid w:val="4A94474D"/>
    <w:rsid w:val="4A97FD30"/>
    <w:rsid w:val="4A9BA766"/>
    <w:rsid w:val="4A9C0513"/>
    <w:rsid w:val="4AAA83D9"/>
    <w:rsid w:val="4AAD8834"/>
    <w:rsid w:val="4AB30B73"/>
    <w:rsid w:val="4AB5BDE4"/>
    <w:rsid w:val="4AB79DC3"/>
    <w:rsid w:val="4AC8F868"/>
    <w:rsid w:val="4ACB7CFD"/>
    <w:rsid w:val="4AD32483"/>
    <w:rsid w:val="4AE2ED23"/>
    <w:rsid w:val="4AF0673E"/>
    <w:rsid w:val="4AF74614"/>
    <w:rsid w:val="4AF76EB9"/>
    <w:rsid w:val="4AF7CB1E"/>
    <w:rsid w:val="4AFA865E"/>
    <w:rsid w:val="4B02AC61"/>
    <w:rsid w:val="4B0C7499"/>
    <w:rsid w:val="4B0D3A47"/>
    <w:rsid w:val="4B100A3B"/>
    <w:rsid w:val="4B191241"/>
    <w:rsid w:val="4B20E864"/>
    <w:rsid w:val="4B21D9B3"/>
    <w:rsid w:val="4B24082F"/>
    <w:rsid w:val="4B27B98B"/>
    <w:rsid w:val="4B2A9279"/>
    <w:rsid w:val="4B309946"/>
    <w:rsid w:val="4B401F68"/>
    <w:rsid w:val="4B44146B"/>
    <w:rsid w:val="4B541FC1"/>
    <w:rsid w:val="4B5F8FED"/>
    <w:rsid w:val="4B5F959F"/>
    <w:rsid w:val="4B5FA4EC"/>
    <w:rsid w:val="4B64C27A"/>
    <w:rsid w:val="4B6C334B"/>
    <w:rsid w:val="4B74F81E"/>
    <w:rsid w:val="4B7E7C04"/>
    <w:rsid w:val="4B7F9DF3"/>
    <w:rsid w:val="4B805AFF"/>
    <w:rsid w:val="4B816F96"/>
    <w:rsid w:val="4B839611"/>
    <w:rsid w:val="4B8B82C5"/>
    <w:rsid w:val="4B8EC39A"/>
    <w:rsid w:val="4B921A53"/>
    <w:rsid w:val="4B92B8D8"/>
    <w:rsid w:val="4B9E70FA"/>
    <w:rsid w:val="4BA4CD62"/>
    <w:rsid w:val="4BA6F4AE"/>
    <w:rsid w:val="4BB7E066"/>
    <w:rsid w:val="4BB892B5"/>
    <w:rsid w:val="4BC052EA"/>
    <w:rsid w:val="4BC723E9"/>
    <w:rsid w:val="4BCA8EC8"/>
    <w:rsid w:val="4BDBA6C1"/>
    <w:rsid w:val="4BDC1C97"/>
    <w:rsid w:val="4BDCC109"/>
    <w:rsid w:val="4BE04DCE"/>
    <w:rsid w:val="4BE9B122"/>
    <w:rsid w:val="4BEA0804"/>
    <w:rsid w:val="4BF35EDE"/>
    <w:rsid w:val="4BF4C5A1"/>
    <w:rsid w:val="4BF623C4"/>
    <w:rsid w:val="4BFA8972"/>
    <w:rsid w:val="4BFB3967"/>
    <w:rsid w:val="4BFDC382"/>
    <w:rsid w:val="4C04DF6D"/>
    <w:rsid w:val="4C06BC30"/>
    <w:rsid w:val="4C0861B1"/>
    <w:rsid w:val="4C103075"/>
    <w:rsid w:val="4C1198EF"/>
    <w:rsid w:val="4C1316A0"/>
    <w:rsid w:val="4C17F097"/>
    <w:rsid w:val="4C18C4FB"/>
    <w:rsid w:val="4C1F5792"/>
    <w:rsid w:val="4C1F67A2"/>
    <w:rsid w:val="4C21C574"/>
    <w:rsid w:val="4C276CCF"/>
    <w:rsid w:val="4C2CD144"/>
    <w:rsid w:val="4C37FB13"/>
    <w:rsid w:val="4C3B25C4"/>
    <w:rsid w:val="4C3F7641"/>
    <w:rsid w:val="4C4E4F23"/>
    <w:rsid w:val="4C57F047"/>
    <w:rsid w:val="4C587637"/>
    <w:rsid w:val="4C58B5E1"/>
    <w:rsid w:val="4C5BBCCE"/>
    <w:rsid w:val="4C5C2EAD"/>
    <w:rsid w:val="4C5E78D9"/>
    <w:rsid w:val="4C641C23"/>
    <w:rsid w:val="4C6528B5"/>
    <w:rsid w:val="4C7828E7"/>
    <w:rsid w:val="4C8243B7"/>
    <w:rsid w:val="4C833B2F"/>
    <w:rsid w:val="4C9306FA"/>
    <w:rsid w:val="4C97511B"/>
    <w:rsid w:val="4C997DCE"/>
    <w:rsid w:val="4C9B414C"/>
    <w:rsid w:val="4C9BCA2D"/>
    <w:rsid w:val="4C9C51A8"/>
    <w:rsid w:val="4CA53793"/>
    <w:rsid w:val="4CA7D180"/>
    <w:rsid w:val="4CA8EB3A"/>
    <w:rsid w:val="4CAA29B9"/>
    <w:rsid w:val="4CADB858"/>
    <w:rsid w:val="4CAEB12D"/>
    <w:rsid w:val="4CB89120"/>
    <w:rsid w:val="4CBA44E6"/>
    <w:rsid w:val="4CBF69B7"/>
    <w:rsid w:val="4CC50DB1"/>
    <w:rsid w:val="4CCC6448"/>
    <w:rsid w:val="4CD3B2EB"/>
    <w:rsid w:val="4CD3E7A2"/>
    <w:rsid w:val="4CE15167"/>
    <w:rsid w:val="4CE1C49A"/>
    <w:rsid w:val="4CE1FB9A"/>
    <w:rsid w:val="4CE6AD51"/>
    <w:rsid w:val="4CE98041"/>
    <w:rsid w:val="4CE9B6F2"/>
    <w:rsid w:val="4CED3E8F"/>
    <w:rsid w:val="4CEF0698"/>
    <w:rsid w:val="4CF3B06D"/>
    <w:rsid w:val="4CF73FA1"/>
    <w:rsid w:val="4CFA17D7"/>
    <w:rsid w:val="4CFB2431"/>
    <w:rsid w:val="4CFCB123"/>
    <w:rsid w:val="4CFD1C03"/>
    <w:rsid w:val="4CFEE1E7"/>
    <w:rsid w:val="4D049AED"/>
    <w:rsid w:val="4D051B1B"/>
    <w:rsid w:val="4D06184B"/>
    <w:rsid w:val="4D0E6DD8"/>
    <w:rsid w:val="4D0F42AC"/>
    <w:rsid w:val="4D1E1932"/>
    <w:rsid w:val="4D212D51"/>
    <w:rsid w:val="4D2A9352"/>
    <w:rsid w:val="4D2AFBB7"/>
    <w:rsid w:val="4D2C86EB"/>
    <w:rsid w:val="4D3C990B"/>
    <w:rsid w:val="4D415F8F"/>
    <w:rsid w:val="4D4AD8D7"/>
    <w:rsid w:val="4D54457F"/>
    <w:rsid w:val="4D568E5E"/>
    <w:rsid w:val="4D5CD605"/>
    <w:rsid w:val="4D5D77F3"/>
    <w:rsid w:val="4D675923"/>
    <w:rsid w:val="4D6E74C5"/>
    <w:rsid w:val="4D774FFF"/>
    <w:rsid w:val="4D79EDE8"/>
    <w:rsid w:val="4D80E1FA"/>
    <w:rsid w:val="4D82C5C9"/>
    <w:rsid w:val="4D8476B8"/>
    <w:rsid w:val="4D850850"/>
    <w:rsid w:val="4D852CA4"/>
    <w:rsid w:val="4D879E49"/>
    <w:rsid w:val="4D8D381C"/>
    <w:rsid w:val="4D931299"/>
    <w:rsid w:val="4D94E484"/>
    <w:rsid w:val="4D950093"/>
    <w:rsid w:val="4D95CCA6"/>
    <w:rsid w:val="4DA0D42B"/>
    <w:rsid w:val="4DA9032F"/>
    <w:rsid w:val="4DA98E2F"/>
    <w:rsid w:val="4DB04789"/>
    <w:rsid w:val="4DBF78D9"/>
    <w:rsid w:val="4DCD1A41"/>
    <w:rsid w:val="4DD0D10D"/>
    <w:rsid w:val="4DDC66CA"/>
    <w:rsid w:val="4DDC9711"/>
    <w:rsid w:val="4DDE9E4F"/>
    <w:rsid w:val="4DE6866E"/>
    <w:rsid w:val="4DF04573"/>
    <w:rsid w:val="4DF53F87"/>
    <w:rsid w:val="4DF825D8"/>
    <w:rsid w:val="4DFA14F2"/>
    <w:rsid w:val="4DFEA101"/>
    <w:rsid w:val="4E01BA97"/>
    <w:rsid w:val="4E079DD4"/>
    <w:rsid w:val="4E15B11C"/>
    <w:rsid w:val="4E18979E"/>
    <w:rsid w:val="4E20AE94"/>
    <w:rsid w:val="4E25E4E7"/>
    <w:rsid w:val="4E26874A"/>
    <w:rsid w:val="4E289F6E"/>
    <w:rsid w:val="4E2C4D9B"/>
    <w:rsid w:val="4E31CB9C"/>
    <w:rsid w:val="4E3811C0"/>
    <w:rsid w:val="4E389E38"/>
    <w:rsid w:val="4E3BBF45"/>
    <w:rsid w:val="4E500E0F"/>
    <w:rsid w:val="4E5F827D"/>
    <w:rsid w:val="4E6201D7"/>
    <w:rsid w:val="4E664E8B"/>
    <w:rsid w:val="4E6793AC"/>
    <w:rsid w:val="4E6B4E84"/>
    <w:rsid w:val="4E6BD3BE"/>
    <w:rsid w:val="4E6EBCBD"/>
    <w:rsid w:val="4E7604E6"/>
    <w:rsid w:val="4E82E472"/>
    <w:rsid w:val="4E84C704"/>
    <w:rsid w:val="4E89B7CD"/>
    <w:rsid w:val="4E94743C"/>
    <w:rsid w:val="4E9707A1"/>
    <w:rsid w:val="4E9C6BEF"/>
    <w:rsid w:val="4E9DC241"/>
    <w:rsid w:val="4EAFA0AB"/>
    <w:rsid w:val="4EB01F16"/>
    <w:rsid w:val="4EB0FE2A"/>
    <w:rsid w:val="4EB6D786"/>
    <w:rsid w:val="4EBA702A"/>
    <w:rsid w:val="4EBB7685"/>
    <w:rsid w:val="4EBBE68D"/>
    <w:rsid w:val="4EBD08FA"/>
    <w:rsid w:val="4EBE0684"/>
    <w:rsid w:val="4EC2E6E8"/>
    <w:rsid w:val="4EC35610"/>
    <w:rsid w:val="4EC550EF"/>
    <w:rsid w:val="4ECA31DF"/>
    <w:rsid w:val="4ECC7337"/>
    <w:rsid w:val="4ECE4A8C"/>
    <w:rsid w:val="4ED77395"/>
    <w:rsid w:val="4ED907B7"/>
    <w:rsid w:val="4EDA5D02"/>
    <w:rsid w:val="4EDC7913"/>
    <w:rsid w:val="4EE81874"/>
    <w:rsid w:val="4EEDC144"/>
    <w:rsid w:val="4EEF0032"/>
    <w:rsid w:val="4EF598FD"/>
    <w:rsid w:val="4EF6B801"/>
    <w:rsid w:val="4EFDB9D4"/>
    <w:rsid w:val="4F01C8EA"/>
    <w:rsid w:val="4F092250"/>
    <w:rsid w:val="4F0C41EB"/>
    <w:rsid w:val="4F0C8A1F"/>
    <w:rsid w:val="4F0F4D49"/>
    <w:rsid w:val="4F11AF4C"/>
    <w:rsid w:val="4F15FA4A"/>
    <w:rsid w:val="4F170258"/>
    <w:rsid w:val="4F173882"/>
    <w:rsid w:val="4F176908"/>
    <w:rsid w:val="4F1DFA8C"/>
    <w:rsid w:val="4F208276"/>
    <w:rsid w:val="4F269B7F"/>
    <w:rsid w:val="4F272B44"/>
    <w:rsid w:val="4F292DC4"/>
    <w:rsid w:val="4F2ADB61"/>
    <w:rsid w:val="4F2FA997"/>
    <w:rsid w:val="4F3394E6"/>
    <w:rsid w:val="4F33B39F"/>
    <w:rsid w:val="4F37903F"/>
    <w:rsid w:val="4F38F3ED"/>
    <w:rsid w:val="4F43CF5C"/>
    <w:rsid w:val="4F465468"/>
    <w:rsid w:val="4F475E93"/>
    <w:rsid w:val="4F4B72AE"/>
    <w:rsid w:val="4F5BA2ED"/>
    <w:rsid w:val="4F66F30B"/>
    <w:rsid w:val="4F690E8C"/>
    <w:rsid w:val="4F6D4A59"/>
    <w:rsid w:val="4F6F2C67"/>
    <w:rsid w:val="4F7B37C9"/>
    <w:rsid w:val="4F7C8B5D"/>
    <w:rsid w:val="4F836F0D"/>
    <w:rsid w:val="4F8761E0"/>
    <w:rsid w:val="4F87F7FF"/>
    <w:rsid w:val="4F8C32F7"/>
    <w:rsid w:val="4F8E073C"/>
    <w:rsid w:val="4F8E3A4D"/>
    <w:rsid w:val="4F9465CF"/>
    <w:rsid w:val="4F94FF49"/>
    <w:rsid w:val="4F96314E"/>
    <w:rsid w:val="4F9BB857"/>
    <w:rsid w:val="4F9C08BF"/>
    <w:rsid w:val="4FA057AB"/>
    <w:rsid w:val="4FA21939"/>
    <w:rsid w:val="4FA8C85D"/>
    <w:rsid w:val="4FBF8090"/>
    <w:rsid w:val="4FC30142"/>
    <w:rsid w:val="4FC5CFC3"/>
    <w:rsid w:val="4FC6E1D3"/>
    <w:rsid w:val="4FCBE640"/>
    <w:rsid w:val="4FD2FBA4"/>
    <w:rsid w:val="4FD5BCEE"/>
    <w:rsid w:val="4FD991DE"/>
    <w:rsid w:val="4FDD8148"/>
    <w:rsid w:val="4FE13E3E"/>
    <w:rsid w:val="4FE704B0"/>
    <w:rsid w:val="4FEC5A5E"/>
    <w:rsid w:val="4FEEC660"/>
    <w:rsid w:val="4FF191FF"/>
    <w:rsid w:val="4FFD8FF0"/>
    <w:rsid w:val="4FFE4E6B"/>
    <w:rsid w:val="4FFF3BE1"/>
    <w:rsid w:val="500450AF"/>
    <w:rsid w:val="500682BE"/>
    <w:rsid w:val="500C2C29"/>
    <w:rsid w:val="500D797E"/>
    <w:rsid w:val="500F42C1"/>
    <w:rsid w:val="500FE09F"/>
    <w:rsid w:val="5014EA2C"/>
    <w:rsid w:val="502BE86C"/>
    <w:rsid w:val="502D8D92"/>
    <w:rsid w:val="50329E0F"/>
    <w:rsid w:val="503CB34A"/>
    <w:rsid w:val="50413A40"/>
    <w:rsid w:val="5041F152"/>
    <w:rsid w:val="5042C815"/>
    <w:rsid w:val="504F1569"/>
    <w:rsid w:val="5054267A"/>
    <w:rsid w:val="5057A9EC"/>
    <w:rsid w:val="506718EC"/>
    <w:rsid w:val="506955EC"/>
    <w:rsid w:val="506C53AC"/>
    <w:rsid w:val="506C8D9A"/>
    <w:rsid w:val="5073739E"/>
    <w:rsid w:val="507545B9"/>
    <w:rsid w:val="5081D9BA"/>
    <w:rsid w:val="50880D4F"/>
    <w:rsid w:val="5089BDD8"/>
    <w:rsid w:val="508D8A1E"/>
    <w:rsid w:val="5090B950"/>
    <w:rsid w:val="5092E169"/>
    <w:rsid w:val="50936579"/>
    <w:rsid w:val="50A009DE"/>
    <w:rsid w:val="50A2932B"/>
    <w:rsid w:val="50A76CE7"/>
    <w:rsid w:val="50AAB47A"/>
    <w:rsid w:val="50AFEDDC"/>
    <w:rsid w:val="50BC3345"/>
    <w:rsid w:val="50BF8E64"/>
    <w:rsid w:val="50C01363"/>
    <w:rsid w:val="50C0D7E1"/>
    <w:rsid w:val="50C479D3"/>
    <w:rsid w:val="50CAD182"/>
    <w:rsid w:val="50CAD635"/>
    <w:rsid w:val="50CC2947"/>
    <w:rsid w:val="50D6EDD0"/>
    <w:rsid w:val="50E83C95"/>
    <w:rsid w:val="50EB57CE"/>
    <w:rsid w:val="50EE52F3"/>
    <w:rsid w:val="50EFEAE2"/>
    <w:rsid w:val="50F2565C"/>
    <w:rsid w:val="511AB202"/>
    <w:rsid w:val="511E2A4A"/>
    <w:rsid w:val="5121F3CF"/>
    <w:rsid w:val="51260E18"/>
    <w:rsid w:val="512BDE88"/>
    <w:rsid w:val="512D5BCC"/>
    <w:rsid w:val="51312599"/>
    <w:rsid w:val="513B9A01"/>
    <w:rsid w:val="513F3CB3"/>
    <w:rsid w:val="513F7D8F"/>
    <w:rsid w:val="5145265D"/>
    <w:rsid w:val="5146BC7B"/>
    <w:rsid w:val="51540E9F"/>
    <w:rsid w:val="5158C27A"/>
    <w:rsid w:val="516D5A3B"/>
    <w:rsid w:val="516E5500"/>
    <w:rsid w:val="517BD476"/>
    <w:rsid w:val="517D14DF"/>
    <w:rsid w:val="517D1F94"/>
    <w:rsid w:val="5182CE9D"/>
    <w:rsid w:val="51838738"/>
    <w:rsid w:val="51876354"/>
    <w:rsid w:val="518FA2D8"/>
    <w:rsid w:val="518FFD90"/>
    <w:rsid w:val="519112A7"/>
    <w:rsid w:val="5196D99A"/>
    <w:rsid w:val="5197C817"/>
    <w:rsid w:val="519A389C"/>
    <w:rsid w:val="519A53D2"/>
    <w:rsid w:val="519A6A82"/>
    <w:rsid w:val="519CC16B"/>
    <w:rsid w:val="519F49B0"/>
    <w:rsid w:val="519FE20C"/>
    <w:rsid w:val="51AEF70C"/>
    <w:rsid w:val="51AF25D8"/>
    <w:rsid w:val="51B0C37C"/>
    <w:rsid w:val="51B931B6"/>
    <w:rsid w:val="51BA9450"/>
    <w:rsid w:val="51BDE737"/>
    <w:rsid w:val="51C5B155"/>
    <w:rsid w:val="51C7565D"/>
    <w:rsid w:val="51CBA5F6"/>
    <w:rsid w:val="51D19685"/>
    <w:rsid w:val="51E265D3"/>
    <w:rsid w:val="51E5C68F"/>
    <w:rsid w:val="51E70B69"/>
    <w:rsid w:val="51EBD285"/>
    <w:rsid w:val="51F066AF"/>
    <w:rsid w:val="51F10949"/>
    <w:rsid w:val="51FB4E71"/>
    <w:rsid w:val="5200332C"/>
    <w:rsid w:val="520D96AC"/>
    <w:rsid w:val="520E8B73"/>
    <w:rsid w:val="52127BBD"/>
    <w:rsid w:val="5216932B"/>
    <w:rsid w:val="521CD211"/>
    <w:rsid w:val="5225EF8F"/>
    <w:rsid w:val="5230B18D"/>
    <w:rsid w:val="52372DF8"/>
    <w:rsid w:val="523738C6"/>
    <w:rsid w:val="523CC8ED"/>
    <w:rsid w:val="524BFD79"/>
    <w:rsid w:val="5250EEDA"/>
    <w:rsid w:val="5251417A"/>
    <w:rsid w:val="5252957F"/>
    <w:rsid w:val="525B6802"/>
    <w:rsid w:val="525B8222"/>
    <w:rsid w:val="525C8E69"/>
    <w:rsid w:val="52600BAC"/>
    <w:rsid w:val="5261FDEA"/>
    <w:rsid w:val="5264CA46"/>
    <w:rsid w:val="52654B51"/>
    <w:rsid w:val="526B6992"/>
    <w:rsid w:val="526EFC60"/>
    <w:rsid w:val="52730C7E"/>
    <w:rsid w:val="52738A2A"/>
    <w:rsid w:val="5279AC06"/>
    <w:rsid w:val="528C6CF7"/>
    <w:rsid w:val="529028C8"/>
    <w:rsid w:val="5294AE76"/>
    <w:rsid w:val="52990260"/>
    <w:rsid w:val="529CADC1"/>
    <w:rsid w:val="52A31294"/>
    <w:rsid w:val="52A33F42"/>
    <w:rsid w:val="52AE0760"/>
    <w:rsid w:val="52B3A262"/>
    <w:rsid w:val="52B4CC0B"/>
    <w:rsid w:val="52B5CB9A"/>
    <w:rsid w:val="52B889BA"/>
    <w:rsid w:val="52B8A6C7"/>
    <w:rsid w:val="52B90BF9"/>
    <w:rsid w:val="52B9F53F"/>
    <w:rsid w:val="52C56104"/>
    <w:rsid w:val="52CE8A9C"/>
    <w:rsid w:val="52D188E0"/>
    <w:rsid w:val="52D3D754"/>
    <w:rsid w:val="52D5C363"/>
    <w:rsid w:val="52D7C96D"/>
    <w:rsid w:val="52D9F519"/>
    <w:rsid w:val="52DA0B3F"/>
    <w:rsid w:val="52F8931A"/>
    <w:rsid w:val="52FAF42D"/>
    <w:rsid w:val="530289B2"/>
    <w:rsid w:val="5302C894"/>
    <w:rsid w:val="5307A59D"/>
    <w:rsid w:val="530F0CD3"/>
    <w:rsid w:val="53152E2A"/>
    <w:rsid w:val="5317B04D"/>
    <w:rsid w:val="5319DCA1"/>
    <w:rsid w:val="5322AD05"/>
    <w:rsid w:val="532874BE"/>
    <w:rsid w:val="5329C497"/>
    <w:rsid w:val="532AD486"/>
    <w:rsid w:val="534B47F3"/>
    <w:rsid w:val="5353D8C0"/>
    <w:rsid w:val="5359439E"/>
    <w:rsid w:val="535ACFCE"/>
    <w:rsid w:val="5366DD75"/>
    <w:rsid w:val="5371E402"/>
    <w:rsid w:val="5376248C"/>
    <w:rsid w:val="537A9091"/>
    <w:rsid w:val="537CAAE4"/>
    <w:rsid w:val="538631D0"/>
    <w:rsid w:val="538FED66"/>
    <w:rsid w:val="53964140"/>
    <w:rsid w:val="539A7AE5"/>
    <w:rsid w:val="539B38F1"/>
    <w:rsid w:val="53A7A341"/>
    <w:rsid w:val="53AA5A47"/>
    <w:rsid w:val="53AC57C9"/>
    <w:rsid w:val="53B325CD"/>
    <w:rsid w:val="53B9CEC9"/>
    <w:rsid w:val="53BE4BDE"/>
    <w:rsid w:val="53C36381"/>
    <w:rsid w:val="53D1B699"/>
    <w:rsid w:val="53DBB6B2"/>
    <w:rsid w:val="53DCB19B"/>
    <w:rsid w:val="53E0103E"/>
    <w:rsid w:val="53E0AF27"/>
    <w:rsid w:val="53E2F2FE"/>
    <w:rsid w:val="53EB3B3C"/>
    <w:rsid w:val="53EDF81A"/>
    <w:rsid w:val="53F99656"/>
    <w:rsid w:val="53FDF29F"/>
    <w:rsid w:val="5403D9E4"/>
    <w:rsid w:val="5404BCDF"/>
    <w:rsid w:val="54065F32"/>
    <w:rsid w:val="54094A43"/>
    <w:rsid w:val="540F2216"/>
    <w:rsid w:val="5421920D"/>
    <w:rsid w:val="5428AE38"/>
    <w:rsid w:val="542F10CA"/>
    <w:rsid w:val="5433E6C1"/>
    <w:rsid w:val="5436D7C5"/>
    <w:rsid w:val="54387FEC"/>
    <w:rsid w:val="543A67BC"/>
    <w:rsid w:val="543CEB76"/>
    <w:rsid w:val="543FF712"/>
    <w:rsid w:val="54467FDF"/>
    <w:rsid w:val="544AFD28"/>
    <w:rsid w:val="544B2BED"/>
    <w:rsid w:val="54580B50"/>
    <w:rsid w:val="54610203"/>
    <w:rsid w:val="54630AC2"/>
    <w:rsid w:val="5466C282"/>
    <w:rsid w:val="54688A02"/>
    <w:rsid w:val="546AF820"/>
    <w:rsid w:val="547A44B8"/>
    <w:rsid w:val="547D520B"/>
    <w:rsid w:val="548BEA12"/>
    <w:rsid w:val="548DE6FE"/>
    <w:rsid w:val="549D2A75"/>
    <w:rsid w:val="54A3272F"/>
    <w:rsid w:val="54A98F82"/>
    <w:rsid w:val="54B3267C"/>
    <w:rsid w:val="54B59097"/>
    <w:rsid w:val="54BDEF4D"/>
    <w:rsid w:val="54C2A558"/>
    <w:rsid w:val="54C4B48B"/>
    <w:rsid w:val="54CB925D"/>
    <w:rsid w:val="54CCE3F5"/>
    <w:rsid w:val="54DB8C17"/>
    <w:rsid w:val="54E7A99D"/>
    <w:rsid w:val="54F8C51B"/>
    <w:rsid w:val="54FCFA23"/>
    <w:rsid w:val="5507E35E"/>
    <w:rsid w:val="550A6209"/>
    <w:rsid w:val="551DAD79"/>
    <w:rsid w:val="552374EE"/>
    <w:rsid w:val="5523D641"/>
    <w:rsid w:val="55270240"/>
    <w:rsid w:val="552AA460"/>
    <w:rsid w:val="552D1D9C"/>
    <w:rsid w:val="552F5760"/>
    <w:rsid w:val="55304BE7"/>
    <w:rsid w:val="5531E3A3"/>
    <w:rsid w:val="55384598"/>
    <w:rsid w:val="553A5D3F"/>
    <w:rsid w:val="553EB2C3"/>
    <w:rsid w:val="554F808A"/>
    <w:rsid w:val="556758C1"/>
    <w:rsid w:val="556B32F4"/>
    <w:rsid w:val="55720770"/>
    <w:rsid w:val="5573C5EF"/>
    <w:rsid w:val="55743552"/>
    <w:rsid w:val="55869539"/>
    <w:rsid w:val="5587401B"/>
    <w:rsid w:val="558A6A3E"/>
    <w:rsid w:val="558E0C14"/>
    <w:rsid w:val="558FBF7E"/>
    <w:rsid w:val="5596BF2C"/>
    <w:rsid w:val="559A7213"/>
    <w:rsid w:val="559D264F"/>
    <w:rsid w:val="559F09A0"/>
    <w:rsid w:val="55A7993A"/>
    <w:rsid w:val="55B37C0B"/>
    <w:rsid w:val="55B8CECE"/>
    <w:rsid w:val="55BA9DEE"/>
    <w:rsid w:val="55BD076B"/>
    <w:rsid w:val="55C6A98F"/>
    <w:rsid w:val="55C6E163"/>
    <w:rsid w:val="55D2F4F2"/>
    <w:rsid w:val="55D66FB4"/>
    <w:rsid w:val="55D9E0A7"/>
    <w:rsid w:val="55DFA221"/>
    <w:rsid w:val="55EBE791"/>
    <w:rsid w:val="55EEC7E6"/>
    <w:rsid w:val="55EF1362"/>
    <w:rsid w:val="55F4CC56"/>
    <w:rsid w:val="55F84378"/>
    <w:rsid w:val="55FDD364"/>
    <w:rsid w:val="55FF625A"/>
    <w:rsid w:val="56023C11"/>
    <w:rsid w:val="5609F351"/>
    <w:rsid w:val="560CA312"/>
    <w:rsid w:val="561CBC35"/>
    <w:rsid w:val="56277CB2"/>
    <w:rsid w:val="563E220C"/>
    <w:rsid w:val="563FAF80"/>
    <w:rsid w:val="5640C5DA"/>
    <w:rsid w:val="564398CF"/>
    <w:rsid w:val="56557721"/>
    <w:rsid w:val="565E5D00"/>
    <w:rsid w:val="5660D471"/>
    <w:rsid w:val="566A42DE"/>
    <w:rsid w:val="566E5395"/>
    <w:rsid w:val="567D6C26"/>
    <w:rsid w:val="56807A3E"/>
    <w:rsid w:val="5680F679"/>
    <w:rsid w:val="5681809A"/>
    <w:rsid w:val="56823A30"/>
    <w:rsid w:val="568DA42E"/>
    <w:rsid w:val="568DFFF4"/>
    <w:rsid w:val="56961864"/>
    <w:rsid w:val="56963C3D"/>
    <w:rsid w:val="569744AB"/>
    <w:rsid w:val="569B5BB0"/>
    <w:rsid w:val="56A01C46"/>
    <w:rsid w:val="56A46C07"/>
    <w:rsid w:val="56AF9B19"/>
    <w:rsid w:val="56AFDDB2"/>
    <w:rsid w:val="56B130C1"/>
    <w:rsid w:val="56B16187"/>
    <w:rsid w:val="56B16894"/>
    <w:rsid w:val="56B22B26"/>
    <w:rsid w:val="56B28858"/>
    <w:rsid w:val="56B73E03"/>
    <w:rsid w:val="56B9C993"/>
    <w:rsid w:val="56BBA87D"/>
    <w:rsid w:val="56BBDDF0"/>
    <w:rsid w:val="56BD6AA7"/>
    <w:rsid w:val="56C27C1B"/>
    <w:rsid w:val="56C47253"/>
    <w:rsid w:val="56CA3EAE"/>
    <w:rsid w:val="56CA450F"/>
    <w:rsid w:val="56CC7332"/>
    <w:rsid w:val="56D12D25"/>
    <w:rsid w:val="56D3679B"/>
    <w:rsid w:val="56E08911"/>
    <w:rsid w:val="56E217AE"/>
    <w:rsid w:val="56EA2377"/>
    <w:rsid w:val="56EAC3B7"/>
    <w:rsid w:val="56F31591"/>
    <w:rsid w:val="56F50E66"/>
    <w:rsid w:val="56F51230"/>
    <w:rsid w:val="57025775"/>
    <w:rsid w:val="57073A24"/>
    <w:rsid w:val="570AC56B"/>
    <w:rsid w:val="571C1B44"/>
    <w:rsid w:val="571D4179"/>
    <w:rsid w:val="571E660C"/>
    <w:rsid w:val="5723E5E6"/>
    <w:rsid w:val="572B498C"/>
    <w:rsid w:val="5732C739"/>
    <w:rsid w:val="573D5D98"/>
    <w:rsid w:val="573DBFD1"/>
    <w:rsid w:val="57461F86"/>
    <w:rsid w:val="574DEE79"/>
    <w:rsid w:val="5751DEFD"/>
    <w:rsid w:val="5752C970"/>
    <w:rsid w:val="5752CDF5"/>
    <w:rsid w:val="575A4B96"/>
    <w:rsid w:val="575B10EA"/>
    <w:rsid w:val="575BC023"/>
    <w:rsid w:val="575D4EA5"/>
    <w:rsid w:val="576AD6A8"/>
    <w:rsid w:val="5773F12C"/>
    <w:rsid w:val="577ACC1B"/>
    <w:rsid w:val="577BDBE1"/>
    <w:rsid w:val="577ED877"/>
    <w:rsid w:val="57805273"/>
    <w:rsid w:val="579C1575"/>
    <w:rsid w:val="57A0B3EF"/>
    <w:rsid w:val="57A37B32"/>
    <w:rsid w:val="57A3C986"/>
    <w:rsid w:val="57A8A9FB"/>
    <w:rsid w:val="57AFB235"/>
    <w:rsid w:val="57B2DD39"/>
    <w:rsid w:val="57B58121"/>
    <w:rsid w:val="57BE640F"/>
    <w:rsid w:val="57CA948C"/>
    <w:rsid w:val="57CC6661"/>
    <w:rsid w:val="57D187E4"/>
    <w:rsid w:val="57D63367"/>
    <w:rsid w:val="57DA0519"/>
    <w:rsid w:val="57E3DB21"/>
    <w:rsid w:val="57E7E07E"/>
    <w:rsid w:val="57EE85C6"/>
    <w:rsid w:val="57EEB558"/>
    <w:rsid w:val="57F09A03"/>
    <w:rsid w:val="57F9720F"/>
    <w:rsid w:val="58053535"/>
    <w:rsid w:val="5814D184"/>
    <w:rsid w:val="581633D8"/>
    <w:rsid w:val="5817064A"/>
    <w:rsid w:val="581DDC70"/>
    <w:rsid w:val="582024E6"/>
    <w:rsid w:val="58332125"/>
    <w:rsid w:val="583484E3"/>
    <w:rsid w:val="5835101E"/>
    <w:rsid w:val="583BAFE2"/>
    <w:rsid w:val="5857493C"/>
    <w:rsid w:val="585BB6FA"/>
    <w:rsid w:val="5867FE9D"/>
    <w:rsid w:val="586C324B"/>
    <w:rsid w:val="587E2FAD"/>
    <w:rsid w:val="58850A03"/>
    <w:rsid w:val="588D5F80"/>
    <w:rsid w:val="589645F9"/>
    <w:rsid w:val="589AE675"/>
    <w:rsid w:val="58A58FCA"/>
    <w:rsid w:val="58A8995B"/>
    <w:rsid w:val="58A9A05B"/>
    <w:rsid w:val="58AD2614"/>
    <w:rsid w:val="58B6C465"/>
    <w:rsid w:val="58BB97F3"/>
    <w:rsid w:val="58BE5AA2"/>
    <w:rsid w:val="58C17802"/>
    <w:rsid w:val="58C6094D"/>
    <w:rsid w:val="58CC7F2E"/>
    <w:rsid w:val="58D3E961"/>
    <w:rsid w:val="58E5F8E9"/>
    <w:rsid w:val="58EFAF1E"/>
    <w:rsid w:val="58FB33E6"/>
    <w:rsid w:val="58FEA456"/>
    <w:rsid w:val="58FF1205"/>
    <w:rsid w:val="59147E59"/>
    <w:rsid w:val="593414C6"/>
    <w:rsid w:val="59431A6D"/>
    <w:rsid w:val="59451D49"/>
    <w:rsid w:val="594916FC"/>
    <w:rsid w:val="594CCF49"/>
    <w:rsid w:val="594D902C"/>
    <w:rsid w:val="59518AE4"/>
    <w:rsid w:val="5953F481"/>
    <w:rsid w:val="59613CBD"/>
    <w:rsid w:val="5963C865"/>
    <w:rsid w:val="5966FD85"/>
    <w:rsid w:val="596715DA"/>
    <w:rsid w:val="597F1093"/>
    <w:rsid w:val="5983912C"/>
    <w:rsid w:val="5985559C"/>
    <w:rsid w:val="599CF7A7"/>
    <w:rsid w:val="599E033C"/>
    <w:rsid w:val="599FD8BF"/>
    <w:rsid w:val="59A332FA"/>
    <w:rsid w:val="59A78762"/>
    <w:rsid w:val="59A945E3"/>
    <w:rsid w:val="59AC4529"/>
    <w:rsid w:val="59ACF639"/>
    <w:rsid w:val="59ADE758"/>
    <w:rsid w:val="59B34389"/>
    <w:rsid w:val="59BA9F24"/>
    <w:rsid w:val="59BC80D0"/>
    <w:rsid w:val="59C0560E"/>
    <w:rsid w:val="59C30A36"/>
    <w:rsid w:val="59CA76E1"/>
    <w:rsid w:val="59CEBBDE"/>
    <w:rsid w:val="59D18E0B"/>
    <w:rsid w:val="59D7FB7D"/>
    <w:rsid w:val="59DD04ED"/>
    <w:rsid w:val="59DDAF6C"/>
    <w:rsid w:val="59E5D4D0"/>
    <w:rsid w:val="59E74C37"/>
    <w:rsid w:val="59E8E0FA"/>
    <w:rsid w:val="59E8F8C8"/>
    <w:rsid w:val="59F4A3F7"/>
    <w:rsid w:val="59F58856"/>
    <w:rsid w:val="59F6E80A"/>
    <w:rsid w:val="5A0A76EC"/>
    <w:rsid w:val="5A0AAFEA"/>
    <w:rsid w:val="5A0E1050"/>
    <w:rsid w:val="5A0E1086"/>
    <w:rsid w:val="5A0F847F"/>
    <w:rsid w:val="5A0FFB06"/>
    <w:rsid w:val="5A16BA81"/>
    <w:rsid w:val="5A1A567F"/>
    <w:rsid w:val="5A1FA5CF"/>
    <w:rsid w:val="5A28B7E2"/>
    <w:rsid w:val="5A2C05AA"/>
    <w:rsid w:val="5A38BEE8"/>
    <w:rsid w:val="5A3AE8F1"/>
    <w:rsid w:val="5A3BE3A3"/>
    <w:rsid w:val="5A3CCA26"/>
    <w:rsid w:val="5A466EC8"/>
    <w:rsid w:val="5A5FE292"/>
    <w:rsid w:val="5A61577D"/>
    <w:rsid w:val="5A61C81A"/>
    <w:rsid w:val="5A633C34"/>
    <w:rsid w:val="5A6DAD32"/>
    <w:rsid w:val="5A704284"/>
    <w:rsid w:val="5A7488B9"/>
    <w:rsid w:val="5A767CF9"/>
    <w:rsid w:val="5A790DAA"/>
    <w:rsid w:val="5A80F8F9"/>
    <w:rsid w:val="5A844CB2"/>
    <w:rsid w:val="5A87744F"/>
    <w:rsid w:val="5A8AD542"/>
    <w:rsid w:val="5A9996EB"/>
    <w:rsid w:val="5AA056C7"/>
    <w:rsid w:val="5AA0C619"/>
    <w:rsid w:val="5AA9B2D8"/>
    <w:rsid w:val="5AB20390"/>
    <w:rsid w:val="5AC8B788"/>
    <w:rsid w:val="5ACD6256"/>
    <w:rsid w:val="5ACEF959"/>
    <w:rsid w:val="5AD343BE"/>
    <w:rsid w:val="5AD374E2"/>
    <w:rsid w:val="5AD488E6"/>
    <w:rsid w:val="5ADCAFD6"/>
    <w:rsid w:val="5AE720E6"/>
    <w:rsid w:val="5AE824C0"/>
    <w:rsid w:val="5AEE64BD"/>
    <w:rsid w:val="5AF7788F"/>
    <w:rsid w:val="5AF7FD2C"/>
    <w:rsid w:val="5AFA99D8"/>
    <w:rsid w:val="5AFF3D07"/>
    <w:rsid w:val="5B060B28"/>
    <w:rsid w:val="5B0B5670"/>
    <w:rsid w:val="5B1139FF"/>
    <w:rsid w:val="5B1409DA"/>
    <w:rsid w:val="5B16A4A3"/>
    <w:rsid w:val="5B185AC0"/>
    <w:rsid w:val="5B199367"/>
    <w:rsid w:val="5B1BAC5E"/>
    <w:rsid w:val="5B21FA29"/>
    <w:rsid w:val="5B248BDD"/>
    <w:rsid w:val="5B2A11E4"/>
    <w:rsid w:val="5B2C7CE2"/>
    <w:rsid w:val="5B32B4AE"/>
    <w:rsid w:val="5B433DB8"/>
    <w:rsid w:val="5B497680"/>
    <w:rsid w:val="5B4A31FA"/>
    <w:rsid w:val="5B502475"/>
    <w:rsid w:val="5B5171DA"/>
    <w:rsid w:val="5B517605"/>
    <w:rsid w:val="5B52AC43"/>
    <w:rsid w:val="5B5E42ED"/>
    <w:rsid w:val="5B5EEDE6"/>
    <w:rsid w:val="5B609499"/>
    <w:rsid w:val="5B629348"/>
    <w:rsid w:val="5B64952A"/>
    <w:rsid w:val="5B678EE5"/>
    <w:rsid w:val="5B691822"/>
    <w:rsid w:val="5B6AAACC"/>
    <w:rsid w:val="5B6D8629"/>
    <w:rsid w:val="5B7AEB5C"/>
    <w:rsid w:val="5B81E36D"/>
    <w:rsid w:val="5B8C1F5A"/>
    <w:rsid w:val="5B8C7CF4"/>
    <w:rsid w:val="5B8D8CC6"/>
    <w:rsid w:val="5B9102AE"/>
    <w:rsid w:val="5B975CEA"/>
    <w:rsid w:val="5B983C2B"/>
    <w:rsid w:val="5B9ABE17"/>
    <w:rsid w:val="5BA3BDD0"/>
    <w:rsid w:val="5BA767BA"/>
    <w:rsid w:val="5BA84EE6"/>
    <w:rsid w:val="5BA8B6CD"/>
    <w:rsid w:val="5BAA100F"/>
    <w:rsid w:val="5BB6CA35"/>
    <w:rsid w:val="5BB6F4D8"/>
    <w:rsid w:val="5BBD0C47"/>
    <w:rsid w:val="5BBE4A90"/>
    <w:rsid w:val="5BC04EC8"/>
    <w:rsid w:val="5BC37C83"/>
    <w:rsid w:val="5BCA2F69"/>
    <w:rsid w:val="5BD0141A"/>
    <w:rsid w:val="5BD1F60E"/>
    <w:rsid w:val="5BDA5152"/>
    <w:rsid w:val="5BDB8B20"/>
    <w:rsid w:val="5BE451CA"/>
    <w:rsid w:val="5BE4FEFD"/>
    <w:rsid w:val="5BEAB94F"/>
    <w:rsid w:val="5BECCBC8"/>
    <w:rsid w:val="5BF10258"/>
    <w:rsid w:val="5BF33262"/>
    <w:rsid w:val="5BF420D1"/>
    <w:rsid w:val="5C06E917"/>
    <w:rsid w:val="5C07296D"/>
    <w:rsid w:val="5C0820EF"/>
    <w:rsid w:val="5C0E49C7"/>
    <w:rsid w:val="5C0E73FC"/>
    <w:rsid w:val="5C146A92"/>
    <w:rsid w:val="5C14988E"/>
    <w:rsid w:val="5C1D948F"/>
    <w:rsid w:val="5C1E5D30"/>
    <w:rsid w:val="5C223C7D"/>
    <w:rsid w:val="5C226ECA"/>
    <w:rsid w:val="5C231EBD"/>
    <w:rsid w:val="5C24BF85"/>
    <w:rsid w:val="5C256A5F"/>
    <w:rsid w:val="5C32A007"/>
    <w:rsid w:val="5C360C70"/>
    <w:rsid w:val="5C3E7969"/>
    <w:rsid w:val="5C418F7B"/>
    <w:rsid w:val="5C46AE78"/>
    <w:rsid w:val="5C4B2D11"/>
    <w:rsid w:val="5C65FAA9"/>
    <w:rsid w:val="5C6B584D"/>
    <w:rsid w:val="5C6FD6DB"/>
    <w:rsid w:val="5C701C4C"/>
    <w:rsid w:val="5C7593D1"/>
    <w:rsid w:val="5C7989AE"/>
    <w:rsid w:val="5C7B268D"/>
    <w:rsid w:val="5C8B3D84"/>
    <w:rsid w:val="5C8D5CEE"/>
    <w:rsid w:val="5C8DC268"/>
    <w:rsid w:val="5C8E5E09"/>
    <w:rsid w:val="5C91F284"/>
    <w:rsid w:val="5C982456"/>
    <w:rsid w:val="5C99E14F"/>
    <w:rsid w:val="5CA8EA1D"/>
    <w:rsid w:val="5CB83F32"/>
    <w:rsid w:val="5CB8C3F4"/>
    <w:rsid w:val="5CC44303"/>
    <w:rsid w:val="5CC541FB"/>
    <w:rsid w:val="5CC54670"/>
    <w:rsid w:val="5CD3FA8D"/>
    <w:rsid w:val="5CD5CB88"/>
    <w:rsid w:val="5CD79A14"/>
    <w:rsid w:val="5CD9390C"/>
    <w:rsid w:val="5CDCECD6"/>
    <w:rsid w:val="5CDE9E7F"/>
    <w:rsid w:val="5CE967B6"/>
    <w:rsid w:val="5CEA4C38"/>
    <w:rsid w:val="5CEE9F8F"/>
    <w:rsid w:val="5CF7F24D"/>
    <w:rsid w:val="5CF83827"/>
    <w:rsid w:val="5CFE5D0A"/>
    <w:rsid w:val="5D0052CF"/>
    <w:rsid w:val="5D00C865"/>
    <w:rsid w:val="5D012684"/>
    <w:rsid w:val="5D091A64"/>
    <w:rsid w:val="5D1D33D8"/>
    <w:rsid w:val="5D2360C6"/>
    <w:rsid w:val="5D2452AF"/>
    <w:rsid w:val="5D289CEF"/>
    <w:rsid w:val="5D2D49C6"/>
    <w:rsid w:val="5D322A88"/>
    <w:rsid w:val="5D39EEB3"/>
    <w:rsid w:val="5D3A9B8A"/>
    <w:rsid w:val="5D3B17E9"/>
    <w:rsid w:val="5D3DA3D7"/>
    <w:rsid w:val="5D415E4A"/>
    <w:rsid w:val="5D43AA5C"/>
    <w:rsid w:val="5D49F8E1"/>
    <w:rsid w:val="5D4AE211"/>
    <w:rsid w:val="5D4C3BE1"/>
    <w:rsid w:val="5D52C722"/>
    <w:rsid w:val="5D594149"/>
    <w:rsid w:val="5D5DADC8"/>
    <w:rsid w:val="5D5ED41D"/>
    <w:rsid w:val="5D5F526D"/>
    <w:rsid w:val="5D5FD94B"/>
    <w:rsid w:val="5D63BDCA"/>
    <w:rsid w:val="5D66C06A"/>
    <w:rsid w:val="5D6A02A9"/>
    <w:rsid w:val="5D6B64B6"/>
    <w:rsid w:val="5D6B691D"/>
    <w:rsid w:val="5D7507F5"/>
    <w:rsid w:val="5D76DF40"/>
    <w:rsid w:val="5D8C8790"/>
    <w:rsid w:val="5D8EF855"/>
    <w:rsid w:val="5D992149"/>
    <w:rsid w:val="5DA050F7"/>
    <w:rsid w:val="5DA5D241"/>
    <w:rsid w:val="5DB67438"/>
    <w:rsid w:val="5DBBC6DB"/>
    <w:rsid w:val="5DC5B5C3"/>
    <w:rsid w:val="5DD12A31"/>
    <w:rsid w:val="5DD4A7C8"/>
    <w:rsid w:val="5DD7F7FF"/>
    <w:rsid w:val="5DE18BFD"/>
    <w:rsid w:val="5DE55895"/>
    <w:rsid w:val="5DE93E0D"/>
    <w:rsid w:val="5DEAA68C"/>
    <w:rsid w:val="5DF0DED0"/>
    <w:rsid w:val="5DF305FD"/>
    <w:rsid w:val="5DF9920C"/>
    <w:rsid w:val="5DFFD6F1"/>
    <w:rsid w:val="5E00A186"/>
    <w:rsid w:val="5E04BB8C"/>
    <w:rsid w:val="5E07AE04"/>
    <w:rsid w:val="5E0CF97B"/>
    <w:rsid w:val="5E14A41F"/>
    <w:rsid w:val="5E1B258D"/>
    <w:rsid w:val="5E2B7892"/>
    <w:rsid w:val="5E316E26"/>
    <w:rsid w:val="5E36B0D3"/>
    <w:rsid w:val="5E3A604E"/>
    <w:rsid w:val="5E3B5171"/>
    <w:rsid w:val="5E3BD5E5"/>
    <w:rsid w:val="5E3C0EB1"/>
    <w:rsid w:val="5E4D207A"/>
    <w:rsid w:val="5E5BB195"/>
    <w:rsid w:val="5E62E323"/>
    <w:rsid w:val="5E68F110"/>
    <w:rsid w:val="5E70F56E"/>
    <w:rsid w:val="5E71A66F"/>
    <w:rsid w:val="5E77E0A0"/>
    <w:rsid w:val="5E7C7D37"/>
    <w:rsid w:val="5E7CAC03"/>
    <w:rsid w:val="5E8886B8"/>
    <w:rsid w:val="5E9C7D88"/>
    <w:rsid w:val="5E9CD0B1"/>
    <w:rsid w:val="5EAA0918"/>
    <w:rsid w:val="5EB52453"/>
    <w:rsid w:val="5EB61CB9"/>
    <w:rsid w:val="5EBF0CA7"/>
    <w:rsid w:val="5EC5310D"/>
    <w:rsid w:val="5EC71CEA"/>
    <w:rsid w:val="5ED0AB09"/>
    <w:rsid w:val="5ED612AC"/>
    <w:rsid w:val="5EDBB2C7"/>
    <w:rsid w:val="5EDFDFF0"/>
    <w:rsid w:val="5EE05094"/>
    <w:rsid w:val="5EE76A19"/>
    <w:rsid w:val="5EE7A5CD"/>
    <w:rsid w:val="5EE8A129"/>
    <w:rsid w:val="5EEC4F09"/>
    <w:rsid w:val="5EEEC9F5"/>
    <w:rsid w:val="5EF2C188"/>
    <w:rsid w:val="5EF61806"/>
    <w:rsid w:val="5EFDDAB8"/>
    <w:rsid w:val="5F037A28"/>
    <w:rsid w:val="5F064D32"/>
    <w:rsid w:val="5F0744ED"/>
    <w:rsid w:val="5F0FCBB5"/>
    <w:rsid w:val="5F141E33"/>
    <w:rsid w:val="5F1699A5"/>
    <w:rsid w:val="5F20F461"/>
    <w:rsid w:val="5F22E05E"/>
    <w:rsid w:val="5F241704"/>
    <w:rsid w:val="5F24325D"/>
    <w:rsid w:val="5F253F0A"/>
    <w:rsid w:val="5F2AB1EA"/>
    <w:rsid w:val="5F333FE4"/>
    <w:rsid w:val="5F3E037A"/>
    <w:rsid w:val="5F402607"/>
    <w:rsid w:val="5F421508"/>
    <w:rsid w:val="5F45B2D0"/>
    <w:rsid w:val="5F484CC0"/>
    <w:rsid w:val="5F497B40"/>
    <w:rsid w:val="5F4FB844"/>
    <w:rsid w:val="5F532F4F"/>
    <w:rsid w:val="5F5C0B6F"/>
    <w:rsid w:val="5F6BA6EE"/>
    <w:rsid w:val="5F6DA832"/>
    <w:rsid w:val="5F70029E"/>
    <w:rsid w:val="5F7707FA"/>
    <w:rsid w:val="5F7A3820"/>
    <w:rsid w:val="5F85852A"/>
    <w:rsid w:val="5F86A5C2"/>
    <w:rsid w:val="5F88D8EF"/>
    <w:rsid w:val="5F93682D"/>
    <w:rsid w:val="5F9475FB"/>
    <w:rsid w:val="5F95874C"/>
    <w:rsid w:val="5F95C5EA"/>
    <w:rsid w:val="5F9A3850"/>
    <w:rsid w:val="5FA7AF3E"/>
    <w:rsid w:val="5FBF56FC"/>
    <w:rsid w:val="5FC3D60C"/>
    <w:rsid w:val="5FC561E9"/>
    <w:rsid w:val="5FC5689E"/>
    <w:rsid w:val="5FCA7C97"/>
    <w:rsid w:val="5FCD366B"/>
    <w:rsid w:val="5FD56E99"/>
    <w:rsid w:val="5FD9B1E9"/>
    <w:rsid w:val="5FE6042D"/>
    <w:rsid w:val="5FE936EF"/>
    <w:rsid w:val="5FF25B00"/>
    <w:rsid w:val="5FF30DAD"/>
    <w:rsid w:val="5FFA63D6"/>
    <w:rsid w:val="6007BFD6"/>
    <w:rsid w:val="600E7568"/>
    <w:rsid w:val="6015C085"/>
    <w:rsid w:val="601C0AE4"/>
    <w:rsid w:val="60209893"/>
    <w:rsid w:val="60391FD3"/>
    <w:rsid w:val="603D3F15"/>
    <w:rsid w:val="603E4A01"/>
    <w:rsid w:val="60490A80"/>
    <w:rsid w:val="605564A7"/>
    <w:rsid w:val="6063E9C2"/>
    <w:rsid w:val="606A3385"/>
    <w:rsid w:val="6076A7B8"/>
    <w:rsid w:val="60801A1D"/>
    <w:rsid w:val="6088644F"/>
    <w:rsid w:val="60890DBB"/>
    <w:rsid w:val="609469E0"/>
    <w:rsid w:val="60967E82"/>
    <w:rsid w:val="6097EA6C"/>
    <w:rsid w:val="609E123A"/>
    <w:rsid w:val="60A9197E"/>
    <w:rsid w:val="60A9589F"/>
    <w:rsid w:val="60AC7AC2"/>
    <w:rsid w:val="60AC8E68"/>
    <w:rsid w:val="60ADF8C7"/>
    <w:rsid w:val="60AE27A3"/>
    <w:rsid w:val="60B0A86A"/>
    <w:rsid w:val="60B4DF09"/>
    <w:rsid w:val="60BBF990"/>
    <w:rsid w:val="60BE5D08"/>
    <w:rsid w:val="60C08D66"/>
    <w:rsid w:val="60C23D56"/>
    <w:rsid w:val="60C2DD3F"/>
    <w:rsid w:val="60CDC7F2"/>
    <w:rsid w:val="60CFFE37"/>
    <w:rsid w:val="60D22C81"/>
    <w:rsid w:val="60D77249"/>
    <w:rsid w:val="60D9037A"/>
    <w:rsid w:val="60D9C64E"/>
    <w:rsid w:val="60DE5A97"/>
    <w:rsid w:val="60E7F1FD"/>
    <w:rsid w:val="60EC5CC4"/>
    <w:rsid w:val="60F0795F"/>
    <w:rsid w:val="60F51790"/>
    <w:rsid w:val="60F68514"/>
    <w:rsid w:val="60FBA523"/>
    <w:rsid w:val="60FBFB53"/>
    <w:rsid w:val="60FEAB66"/>
    <w:rsid w:val="60FEB800"/>
    <w:rsid w:val="60FF6734"/>
    <w:rsid w:val="60FFEC90"/>
    <w:rsid w:val="610138F9"/>
    <w:rsid w:val="610DF275"/>
    <w:rsid w:val="61180C21"/>
    <w:rsid w:val="612367DC"/>
    <w:rsid w:val="61242B16"/>
    <w:rsid w:val="612FE0A8"/>
    <w:rsid w:val="6138C9DE"/>
    <w:rsid w:val="614D1922"/>
    <w:rsid w:val="615815E0"/>
    <w:rsid w:val="615DA51B"/>
    <w:rsid w:val="616A3F0D"/>
    <w:rsid w:val="616D66E2"/>
    <w:rsid w:val="617E8406"/>
    <w:rsid w:val="618A18B9"/>
    <w:rsid w:val="618C915C"/>
    <w:rsid w:val="61948F10"/>
    <w:rsid w:val="6195FCA8"/>
    <w:rsid w:val="61A2414D"/>
    <w:rsid w:val="61A2BE14"/>
    <w:rsid w:val="61A42D71"/>
    <w:rsid w:val="61A7C8EA"/>
    <w:rsid w:val="61BBA12E"/>
    <w:rsid w:val="61C184FF"/>
    <w:rsid w:val="61C4AEEB"/>
    <w:rsid w:val="61C9E88E"/>
    <w:rsid w:val="61CA9066"/>
    <w:rsid w:val="61CBC59C"/>
    <w:rsid w:val="61CFBE43"/>
    <w:rsid w:val="61D5F88A"/>
    <w:rsid w:val="61D9F769"/>
    <w:rsid w:val="61DAD691"/>
    <w:rsid w:val="61DD1442"/>
    <w:rsid w:val="61DDAB99"/>
    <w:rsid w:val="61E7DF4B"/>
    <w:rsid w:val="61EC49B7"/>
    <w:rsid w:val="61F8E5D8"/>
    <w:rsid w:val="620CB55A"/>
    <w:rsid w:val="62107381"/>
    <w:rsid w:val="621D189B"/>
    <w:rsid w:val="622DB91E"/>
    <w:rsid w:val="622DEA18"/>
    <w:rsid w:val="623219F0"/>
    <w:rsid w:val="62327888"/>
    <w:rsid w:val="623B8049"/>
    <w:rsid w:val="623BED72"/>
    <w:rsid w:val="6247CB3A"/>
    <w:rsid w:val="624EE763"/>
    <w:rsid w:val="624FD8D9"/>
    <w:rsid w:val="62540BA9"/>
    <w:rsid w:val="625A1D3E"/>
    <w:rsid w:val="625B7E43"/>
    <w:rsid w:val="625D8E11"/>
    <w:rsid w:val="62618F51"/>
    <w:rsid w:val="626C849E"/>
    <w:rsid w:val="626E44DE"/>
    <w:rsid w:val="626F7BBC"/>
    <w:rsid w:val="627059DF"/>
    <w:rsid w:val="62797040"/>
    <w:rsid w:val="627BDB28"/>
    <w:rsid w:val="627BEB7A"/>
    <w:rsid w:val="628772FC"/>
    <w:rsid w:val="628AB184"/>
    <w:rsid w:val="6295CCC5"/>
    <w:rsid w:val="62966AB6"/>
    <w:rsid w:val="629F8EB4"/>
    <w:rsid w:val="62AD17C7"/>
    <w:rsid w:val="62B19FB3"/>
    <w:rsid w:val="62B4AACA"/>
    <w:rsid w:val="62BCD18A"/>
    <w:rsid w:val="62BCEA18"/>
    <w:rsid w:val="62C0AFAB"/>
    <w:rsid w:val="62C43608"/>
    <w:rsid w:val="62D0281F"/>
    <w:rsid w:val="62DA5CF9"/>
    <w:rsid w:val="62E6E76A"/>
    <w:rsid w:val="62E98AC7"/>
    <w:rsid w:val="62EA99AC"/>
    <w:rsid w:val="62EC3BE2"/>
    <w:rsid w:val="62F35570"/>
    <w:rsid w:val="62F81513"/>
    <w:rsid w:val="62F8DB03"/>
    <w:rsid w:val="62FEDB9E"/>
    <w:rsid w:val="6307B1CB"/>
    <w:rsid w:val="6307F801"/>
    <w:rsid w:val="6309FBA2"/>
    <w:rsid w:val="630B64A0"/>
    <w:rsid w:val="630FD5C0"/>
    <w:rsid w:val="63125C41"/>
    <w:rsid w:val="6317680E"/>
    <w:rsid w:val="6318B871"/>
    <w:rsid w:val="631E430E"/>
    <w:rsid w:val="631EB516"/>
    <w:rsid w:val="63242E4C"/>
    <w:rsid w:val="63292DFE"/>
    <w:rsid w:val="632A5010"/>
    <w:rsid w:val="632D549E"/>
    <w:rsid w:val="632DEFB1"/>
    <w:rsid w:val="6334D55F"/>
    <w:rsid w:val="634FC6A1"/>
    <w:rsid w:val="6353CC6A"/>
    <w:rsid w:val="6356C052"/>
    <w:rsid w:val="6357CD49"/>
    <w:rsid w:val="6358AB68"/>
    <w:rsid w:val="635C45E1"/>
    <w:rsid w:val="6365B595"/>
    <w:rsid w:val="636F0125"/>
    <w:rsid w:val="637B0D39"/>
    <w:rsid w:val="637BB6C5"/>
    <w:rsid w:val="638066E1"/>
    <w:rsid w:val="63833CE9"/>
    <w:rsid w:val="63895054"/>
    <w:rsid w:val="6392CC80"/>
    <w:rsid w:val="639536DD"/>
    <w:rsid w:val="63A15C42"/>
    <w:rsid w:val="63A54A66"/>
    <w:rsid w:val="63A89CF1"/>
    <w:rsid w:val="63B32243"/>
    <w:rsid w:val="63B9C8D8"/>
    <w:rsid w:val="63BA2B94"/>
    <w:rsid w:val="63BA8F9E"/>
    <w:rsid w:val="63CCBE84"/>
    <w:rsid w:val="63D38CE6"/>
    <w:rsid w:val="63D90F68"/>
    <w:rsid w:val="63DA5008"/>
    <w:rsid w:val="63DE7F9A"/>
    <w:rsid w:val="63E1DA81"/>
    <w:rsid w:val="63E5C59E"/>
    <w:rsid w:val="63E9C6D6"/>
    <w:rsid w:val="63EB8111"/>
    <w:rsid w:val="6402B291"/>
    <w:rsid w:val="6402BD50"/>
    <w:rsid w:val="6403E44C"/>
    <w:rsid w:val="6405C40F"/>
    <w:rsid w:val="640AC4B5"/>
    <w:rsid w:val="6413A44E"/>
    <w:rsid w:val="6415FE6F"/>
    <w:rsid w:val="641E23CC"/>
    <w:rsid w:val="642750BD"/>
    <w:rsid w:val="64298F73"/>
    <w:rsid w:val="6433D7D8"/>
    <w:rsid w:val="643459B1"/>
    <w:rsid w:val="643A108F"/>
    <w:rsid w:val="64538C5B"/>
    <w:rsid w:val="6454275B"/>
    <w:rsid w:val="645CD235"/>
    <w:rsid w:val="645EB4D7"/>
    <w:rsid w:val="64694142"/>
    <w:rsid w:val="646AA3AE"/>
    <w:rsid w:val="646ECA49"/>
    <w:rsid w:val="64827742"/>
    <w:rsid w:val="6483AACC"/>
    <w:rsid w:val="6487619A"/>
    <w:rsid w:val="648A7076"/>
    <w:rsid w:val="648B1979"/>
    <w:rsid w:val="648CC886"/>
    <w:rsid w:val="6490B700"/>
    <w:rsid w:val="649C35BA"/>
    <w:rsid w:val="649FF473"/>
    <w:rsid w:val="64A4AF6B"/>
    <w:rsid w:val="64A7B9BA"/>
    <w:rsid w:val="64A89216"/>
    <w:rsid w:val="64B19BBD"/>
    <w:rsid w:val="64C4C22B"/>
    <w:rsid w:val="64C6D0E3"/>
    <w:rsid w:val="64C9457E"/>
    <w:rsid w:val="64C94777"/>
    <w:rsid w:val="64D06A3A"/>
    <w:rsid w:val="64D98D27"/>
    <w:rsid w:val="64DDCD3F"/>
    <w:rsid w:val="64E24F7B"/>
    <w:rsid w:val="64E4C2A4"/>
    <w:rsid w:val="64E8EA13"/>
    <w:rsid w:val="64FA49F9"/>
    <w:rsid w:val="64FC3191"/>
    <w:rsid w:val="65027F94"/>
    <w:rsid w:val="65034197"/>
    <w:rsid w:val="6505477D"/>
    <w:rsid w:val="65100C4B"/>
    <w:rsid w:val="651221B8"/>
    <w:rsid w:val="65140776"/>
    <w:rsid w:val="6517E1C5"/>
    <w:rsid w:val="651CCCF3"/>
    <w:rsid w:val="652125E0"/>
    <w:rsid w:val="6529BBAB"/>
    <w:rsid w:val="6529BBCE"/>
    <w:rsid w:val="652A1D37"/>
    <w:rsid w:val="652D0F6C"/>
    <w:rsid w:val="652D6596"/>
    <w:rsid w:val="653A1944"/>
    <w:rsid w:val="65400A47"/>
    <w:rsid w:val="65402BD4"/>
    <w:rsid w:val="654799A9"/>
    <w:rsid w:val="654E4DC2"/>
    <w:rsid w:val="6550AC9B"/>
    <w:rsid w:val="655576F7"/>
    <w:rsid w:val="65557F7E"/>
    <w:rsid w:val="655A3B20"/>
    <w:rsid w:val="6560A47A"/>
    <w:rsid w:val="6560BCE9"/>
    <w:rsid w:val="65646F97"/>
    <w:rsid w:val="65665105"/>
    <w:rsid w:val="65681B3D"/>
    <w:rsid w:val="656B65A5"/>
    <w:rsid w:val="656FD312"/>
    <w:rsid w:val="656FDE3B"/>
    <w:rsid w:val="6571D3A7"/>
    <w:rsid w:val="6575F9D9"/>
    <w:rsid w:val="657917F1"/>
    <w:rsid w:val="657DBEEC"/>
    <w:rsid w:val="6581391D"/>
    <w:rsid w:val="658EF2ED"/>
    <w:rsid w:val="658FB3F4"/>
    <w:rsid w:val="659A19AF"/>
    <w:rsid w:val="65A71148"/>
    <w:rsid w:val="65A91017"/>
    <w:rsid w:val="65ADD96D"/>
    <w:rsid w:val="65B45E8A"/>
    <w:rsid w:val="65B88D72"/>
    <w:rsid w:val="65BBA892"/>
    <w:rsid w:val="65BE141E"/>
    <w:rsid w:val="65C13606"/>
    <w:rsid w:val="65D7D54F"/>
    <w:rsid w:val="65DBC2D3"/>
    <w:rsid w:val="65DC6520"/>
    <w:rsid w:val="65DD4AB1"/>
    <w:rsid w:val="65EB4EB8"/>
    <w:rsid w:val="65F09334"/>
    <w:rsid w:val="65F6D655"/>
    <w:rsid w:val="65F9375A"/>
    <w:rsid w:val="65FA92EB"/>
    <w:rsid w:val="66052196"/>
    <w:rsid w:val="660EBD0E"/>
    <w:rsid w:val="6610ED46"/>
    <w:rsid w:val="6613EA40"/>
    <w:rsid w:val="66142D9C"/>
    <w:rsid w:val="6616C4CC"/>
    <w:rsid w:val="6619E04C"/>
    <w:rsid w:val="66241C1A"/>
    <w:rsid w:val="662E3D0B"/>
    <w:rsid w:val="66318FDD"/>
    <w:rsid w:val="6633BE9F"/>
    <w:rsid w:val="663463C1"/>
    <w:rsid w:val="6634FE86"/>
    <w:rsid w:val="663A65E2"/>
    <w:rsid w:val="663BCB58"/>
    <w:rsid w:val="664CB675"/>
    <w:rsid w:val="664D2DF5"/>
    <w:rsid w:val="665282DE"/>
    <w:rsid w:val="6653A65D"/>
    <w:rsid w:val="66581140"/>
    <w:rsid w:val="66591BA2"/>
    <w:rsid w:val="665B1CA3"/>
    <w:rsid w:val="665BFF48"/>
    <w:rsid w:val="665D863F"/>
    <w:rsid w:val="6660CDDE"/>
    <w:rsid w:val="666183DB"/>
    <w:rsid w:val="66626864"/>
    <w:rsid w:val="6667A5BB"/>
    <w:rsid w:val="6668DEC8"/>
    <w:rsid w:val="6669FB62"/>
    <w:rsid w:val="666CFF5B"/>
    <w:rsid w:val="666DAD82"/>
    <w:rsid w:val="667337BA"/>
    <w:rsid w:val="66747BEE"/>
    <w:rsid w:val="6676CEA6"/>
    <w:rsid w:val="667CDA46"/>
    <w:rsid w:val="667EA01F"/>
    <w:rsid w:val="6680B349"/>
    <w:rsid w:val="66883D12"/>
    <w:rsid w:val="66886557"/>
    <w:rsid w:val="669057AD"/>
    <w:rsid w:val="669A7063"/>
    <w:rsid w:val="669D034C"/>
    <w:rsid w:val="66B5E4F5"/>
    <w:rsid w:val="66B6D9B5"/>
    <w:rsid w:val="66B841C2"/>
    <w:rsid w:val="66B99E2C"/>
    <w:rsid w:val="66BF0A39"/>
    <w:rsid w:val="66C02429"/>
    <w:rsid w:val="66C36CDC"/>
    <w:rsid w:val="66C5C205"/>
    <w:rsid w:val="66D91A79"/>
    <w:rsid w:val="66DAA2E7"/>
    <w:rsid w:val="66DAE4B1"/>
    <w:rsid w:val="66E3EEAF"/>
    <w:rsid w:val="66E9A266"/>
    <w:rsid w:val="66F40A65"/>
    <w:rsid w:val="66F74FC5"/>
    <w:rsid w:val="66FB09B2"/>
    <w:rsid w:val="67010728"/>
    <w:rsid w:val="67030BC1"/>
    <w:rsid w:val="6703EB89"/>
    <w:rsid w:val="67040A7B"/>
    <w:rsid w:val="671030FC"/>
    <w:rsid w:val="671745ED"/>
    <w:rsid w:val="67174B4C"/>
    <w:rsid w:val="671BE5AC"/>
    <w:rsid w:val="6722CA85"/>
    <w:rsid w:val="6724D5D5"/>
    <w:rsid w:val="6724FA6F"/>
    <w:rsid w:val="672952D4"/>
    <w:rsid w:val="67324A0E"/>
    <w:rsid w:val="67346497"/>
    <w:rsid w:val="67354316"/>
    <w:rsid w:val="6738016B"/>
    <w:rsid w:val="673A9BD6"/>
    <w:rsid w:val="673B0DDE"/>
    <w:rsid w:val="673D9F32"/>
    <w:rsid w:val="674DCF8F"/>
    <w:rsid w:val="674F5FBD"/>
    <w:rsid w:val="675346F8"/>
    <w:rsid w:val="67544F2B"/>
    <w:rsid w:val="675474B6"/>
    <w:rsid w:val="6765946F"/>
    <w:rsid w:val="676F557A"/>
    <w:rsid w:val="67704E74"/>
    <w:rsid w:val="6774EB25"/>
    <w:rsid w:val="6775DC9D"/>
    <w:rsid w:val="6776E824"/>
    <w:rsid w:val="67799A8D"/>
    <w:rsid w:val="677B8075"/>
    <w:rsid w:val="677BFF9B"/>
    <w:rsid w:val="677DB56B"/>
    <w:rsid w:val="678136F5"/>
    <w:rsid w:val="6781C2BD"/>
    <w:rsid w:val="67849481"/>
    <w:rsid w:val="6784C503"/>
    <w:rsid w:val="67853E44"/>
    <w:rsid w:val="6787DB8B"/>
    <w:rsid w:val="678E6D7A"/>
    <w:rsid w:val="678F1BC6"/>
    <w:rsid w:val="67914B14"/>
    <w:rsid w:val="6798ECDF"/>
    <w:rsid w:val="679C7FAF"/>
    <w:rsid w:val="679D4C3C"/>
    <w:rsid w:val="67A15328"/>
    <w:rsid w:val="67AADEE8"/>
    <w:rsid w:val="67ADC393"/>
    <w:rsid w:val="67BC4FAF"/>
    <w:rsid w:val="67BCF514"/>
    <w:rsid w:val="67BD3EA6"/>
    <w:rsid w:val="67C8B5FA"/>
    <w:rsid w:val="67CA8D45"/>
    <w:rsid w:val="67CC2426"/>
    <w:rsid w:val="67D164BE"/>
    <w:rsid w:val="67DBD0C8"/>
    <w:rsid w:val="67DD01A1"/>
    <w:rsid w:val="67E339A0"/>
    <w:rsid w:val="67E3C349"/>
    <w:rsid w:val="67EA0A07"/>
    <w:rsid w:val="67F0BD5E"/>
    <w:rsid w:val="67F19C83"/>
    <w:rsid w:val="67FA0F9F"/>
    <w:rsid w:val="67FEEB75"/>
    <w:rsid w:val="6801FFAB"/>
    <w:rsid w:val="6804B59B"/>
    <w:rsid w:val="68064418"/>
    <w:rsid w:val="680C10C9"/>
    <w:rsid w:val="6816B25D"/>
    <w:rsid w:val="6818695B"/>
    <w:rsid w:val="681AB23C"/>
    <w:rsid w:val="6825BB84"/>
    <w:rsid w:val="682A207A"/>
    <w:rsid w:val="682BA526"/>
    <w:rsid w:val="6838CCDE"/>
    <w:rsid w:val="683C0FF3"/>
    <w:rsid w:val="683E985B"/>
    <w:rsid w:val="683F44E3"/>
    <w:rsid w:val="6854E470"/>
    <w:rsid w:val="685AD83D"/>
    <w:rsid w:val="685CE571"/>
    <w:rsid w:val="685F4AB4"/>
    <w:rsid w:val="686D6014"/>
    <w:rsid w:val="686E8A8B"/>
    <w:rsid w:val="6872E560"/>
    <w:rsid w:val="687A2FD6"/>
    <w:rsid w:val="687AB4E4"/>
    <w:rsid w:val="68881BAE"/>
    <w:rsid w:val="68916616"/>
    <w:rsid w:val="68919845"/>
    <w:rsid w:val="68972766"/>
    <w:rsid w:val="68A3007D"/>
    <w:rsid w:val="68A30BF0"/>
    <w:rsid w:val="68B92636"/>
    <w:rsid w:val="68B9E118"/>
    <w:rsid w:val="68BA2BE9"/>
    <w:rsid w:val="68BD83E5"/>
    <w:rsid w:val="68C5CC88"/>
    <w:rsid w:val="68D451F1"/>
    <w:rsid w:val="68D66B8E"/>
    <w:rsid w:val="68DAE752"/>
    <w:rsid w:val="68DB4BD1"/>
    <w:rsid w:val="68DDE9A6"/>
    <w:rsid w:val="68DF2B58"/>
    <w:rsid w:val="68E75584"/>
    <w:rsid w:val="68EA842E"/>
    <w:rsid w:val="68EFB757"/>
    <w:rsid w:val="68F0F672"/>
    <w:rsid w:val="68F20A68"/>
    <w:rsid w:val="68F3FE5B"/>
    <w:rsid w:val="69019A67"/>
    <w:rsid w:val="6904DA18"/>
    <w:rsid w:val="6908778A"/>
    <w:rsid w:val="6920D080"/>
    <w:rsid w:val="6921C235"/>
    <w:rsid w:val="69293F16"/>
    <w:rsid w:val="69316858"/>
    <w:rsid w:val="6932DCC0"/>
    <w:rsid w:val="69371989"/>
    <w:rsid w:val="6950505C"/>
    <w:rsid w:val="69541F32"/>
    <w:rsid w:val="6956A4B1"/>
    <w:rsid w:val="695A12B3"/>
    <w:rsid w:val="695A29B3"/>
    <w:rsid w:val="6965EE90"/>
    <w:rsid w:val="6968518E"/>
    <w:rsid w:val="696B7268"/>
    <w:rsid w:val="696DD2A8"/>
    <w:rsid w:val="6970A051"/>
    <w:rsid w:val="69735072"/>
    <w:rsid w:val="69738570"/>
    <w:rsid w:val="69758FC0"/>
    <w:rsid w:val="697A905C"/>
    <w:rsid w:val="697BFFBD"/>
    <w:rsid w:val="6982294A"/>
    <w:rsid w:val="6986DAA0"/>
    <w:rsid w:val="69883B99"/>
    <w:rsid w:val="698AC720"/>
    <w:rsid w:val="69950F50"/>
    <w:rsid w:val="699C6764"/>
    <w:rsid w:val="69A16465"/>
    <w:rsid w:val="69B43EF5"/>
    <w:rsid w:val="69BB8FA4"/>
    <w:rsid w:val="69C33D22"/>
    <w:rsid w:val="69C8DE60"/>
    <w:rsid w:val="69CC1CDB"/>
    <w:rsid w:val="69D0EC7E"/>
    <w:rsid w:val="69D363A9"/>
    <w:rsid w:val="69D46EEF"/>
    <w:rsid w:val="69D5FD44"/>
    <w:rsid w:val="69D723E5"/>
    <w:rsid w:val="69D7355E"/>
    <w:rsid w:val="69D94524"/>
    <w:rsid w:val="69DFA21B"/>
    <w:rsid w:val="69E54DE5"/>
    <w:rsid w:val="69E60833"/>
    <w:rsid w:val="69E8E23E"/>
    <w:rsid w:val="69E9FC9E"/>
    <w:rsid w:val="69EFC923"/>
    <w:rsid w:val="69F1A0B7"/>
    <w:rsid w:val="69F24B9D"/>
    <w:rsid w:val="69F3D562"/>
    <w:rsid w:val="69F68E18"/>
    <w:rsid w:val="69F768D1"/>
    <w:rsid w:val="69F969DA"/>
    <w:rsid w:val="69FBB189"/>
    <w:rsid w:val="69FC8CFF"/>
    <w:rsid w:val="6A0307CD"/>
    <w:rsid w:val="6A05771A"/>
    <w:rsid w:val="6A06ABE3"/>
    <w:rsid w:val="6A06EC62"/>
    <w:rsid w:val="6A0BE8F2"/>
    <w:rsid w:val="6A112A76"/>
    <w:rsid w:val="6A116B15"/>
    <w:rsid w:val="6A12197E"/>
    <w:rsid w:val="6A145AE2"/>
    <w:rsid w:val="6A1CDB3C"/>
    <w:rsid w:val="6A25C00F"/>
    <w:rsid w:val="6A296CE0"/>
    <w:rsid w:val="6A2F4D80"/>
    <w:rsid w:val="6A479C28"/>
    <w:rsid w:val="6A4DEF00"/>
    <w:rsid w:val="6A52462D"/>
    <w:rsid w:val="6A585815"/>
    <w:rsid w:val="6A5FE91D"/>
    <w:rsid w:val="6A64ACB1"/>
    <w:rsid w:val="6A6612EE"/>
    <w:rsid w:val="6A67A782"/>
    <w:rsid w:val="6A6A823F"/>
    <w:rsid w:val="6A71660D"/>
    <w:rsid w:val="6A75EA71"/>
    <w:rsid w:val="6A7630EA"/>
    <w:rsid w:val="6A76C551"/>
    <w:rsid w:val="6A84786C"/>
    <w:rsid w:val="6A869C73"/>
    <w:rsid w:val="6A86A0BE"/>
    <w:rsid w:val="6A8972BE"/>
    <w:rsid w:val="6A8D4B48"/>
    <w:rsid w:val="6A91055A"/>
    <w:rsid w:val="6A976F4A"/>
    <w:rsid w:val="6A97852F"/>
    <w:rsid w:val="6A992097"/>
    <w:rsid w:val="6AA2C57E"/>
    <w:rsid w:val="6AAEAE9D"/>
    <w:rsid w:val="6AAEE4EC"/>
    <w:rsid w:val="6AAF92D5"/>
    <w:rsid w:val="6AB7A229"/>
    <w:rsid w:val="6ABEAFDB"/>
    <w:rsid w:val="6AC26AA1"/>
    <w:rsid w:val="6AC2745E"/>
    <w:rsid w:val="6AC35D08"/>
    <w:rsid w:val="6AC5DEB6"/>
    <w:rsid w:val="6AD0D1D1"/>
    <w:rsid w:val="6AD3FA34"/>
    <w:rsid w:val="6AE8E55A"/>
    <w:rsid w:val="6AF72BCC"/>
    <w:rsid w:val="6AF7A37D"/>
    <w:rsid w:val="6AF7D6F6"/>
    <w:rsid w:val="6AF8B2AF"/>
    <w:rsid w:val="6B03C58A"/>
    <w:rsid w:val="6B0B13DB"/>
    <w:rsid w:val="6B198D5F"/>
    <w:rsid w:val="6B19D3D5"/>
    <w:rsid w:val="6B1B3FA4"/>
    <w:rsid w:val="6B227FD5"/>
    <w:rsid w:val="6B278D0B"/>
    <w:rsid w:val="6B2831E0"/>
    <w:rsid w:val="6B299EFD"/>
    <w:rsid w:val="6B2BC0DB"/>
    <w:rsid w:val="6B3271C9"/>
    <w:rsid w:val="6B3817BC"/>
    <w:rsid w:val="6B3B897E"/>
    <w:rsid w:val="6B3D206F"/>
    <w:rsid w:val="6B4EDB5C"/>
    <w:rsid w:val="6B5FB40E"/>
    <w:rsid w:val="6B661EF2"/>
    <w:rsid w:val="6B708090"/>
    <w:rsid w:val="6B7A0CE9"/>
    <w:rsid w:val="6B87E598"/>
    <w:rsid w:val="6B899DE1"/>
    <w:rsid w:val="6B8A450F"/>
    <w:rsid w:val="6B8E3CFF"/>
    <w:rsid w:val="6B9E67EB"/>
    <w:rsid w:val="6BA25E27"/>
    <w:rsid w:val="6BA6C44C"/>
    <w:rsid w:val="6BADCC03"/>
    <w:rsid w:val="6BAF644A"/>
    <w:rsid w:val="6BAFC99A"/>
    <w:rsid w:val="6BB5DF17"/>
    <w:rsid w:val="6BB727DD"/>
    <w:rsid w:val="6BC21E05"/>
    <w:rsid w:val="6BC24467"/>
    <w:rsid w:val="6BC38D33"/>
    <w:rsid w:val="6BC579DC"/>
    <w:rsid w:val="6BC8B52C"/>
    <w:rsid w:val="6BD28335"/>
    <w:rsid w:val="6BD3E937"/>
    <w:rsid w:val="6BD73E14"/>
    <w:rsid w:val="6BDA8CBE"/>
    <w:rsid w:val="6BDCF795"/>
    <w:rsid w:val="6BE61D67"/>
    <w:rsid w:val="6BE7C8DC"/>
    <w:rsid w:val="6BEE03BB"/>
    <w:rsid w:val="6BFEF0E5"/>
    <w:rsid w:val="6C079347"/>
    <w:rsid w:val="6C0FE9C7"/>
    <w:rsid w:val="6C28A2F8"/>
    <w:rsid w:val="6C29EEF8"/>
    <w:rsid w:val="6C2AD5C4"/>
    <w:rsid w:val="6C329EFC"/>
    <w:rsid w:val="6C354C97"/>
    <w:rsid w:val="6C43E299"/>
    <w:rsid w:val="6C4B85C2"/>
    <w:rsid w:val="6C6275C2"/>
    <w:rsid w:val="6C6AC895"/>
    <w:rsid w:val="6C6F6AD5"/>
    <w:rsid w:val="6C6F9465"/>
    <w:rsid w:val="6C72085C"/>
    <w:rsid w:val="6C79BFE4"/>
    <w:rsid w:val="6C7DDBE5"/>
    <w:rsid w:val="6C80DDBA"/>
    <w:rsid w:val="6C874206"/>
    <w:rsid w:val="6C92D969"/>
    <w:rsid w:val="6CA05A78"/>
    <w:rsid w:val="6CBB2535"/>
    <w:rsid w:val="6CC47B7D"/>
    <w:rsid w:val="6CC4C237"/>
    <w:rsid w:val="6CCBD0AE"/>
    <w:rsid w:val="6CCD8A72"/>
    <w:rsid w:val="6CCF3FF7"/>
    <w:rsid w:val="6CD6D297"/>
    <w:rsid w:val="6CD95C90"/>
    <w:rsid w:val="6D0510F3"/>
    <w:rsid w:val="6D05E3B2"/>
    <w:rsid w:val="6D08AA81"/>
    <w:rsid w:val="6D0A407F"/>
    <w:rsid w:val="6D20EE19"/>
    <w:rsid w:val="6D2178B3"/>
    <w:rsid w:val="6D2396FB"/>
    <w:rsid w:val="6D2A911E"/>
    <w:rsid w:val="6D2BEEF7"/>
    <w:rsid w:val="6D3163CD"/>
    <w:rsid w:val="6D31E644"/>
    <w:rsid w:val="6D32F69A"/>
    <w:rsid w:val="6D3E1A64"/>
    <w:rsid w:val="6D3E5E6A"/>
    <w:rsid w:val="6D439981"/>
    <w:rsid w:val="6D448CF5"/>
    <w:rsid w:val="6D4DE3EF"/>
    <w:rsid w:val="6D5732AE"/>
    <w:rsid w:val="6D57CF27"/>
    <w:rsid w:val="6D629DDA"/>
    <w:rsid w:val="6D646BB5"/>
    <w:rsid w:val="6D66E806"/>
    <w:rsid w:val="6D678C38"/>
    <w:rsid w:val="6D67EC8A"/>
    <w:rsid w:val="6D6A201A"/>
    <w:rsid w:val="6D6F3D3D"/>
    <w:rsid w:val="6D756D7C"/>
    <w:rsid w:val="6D7FDB21"/>
    <w:rsid w:val="6D83879D"/>
    <w:rsid w:val="6D851A67"/>
    <w:rsid w:val="6D861029"/>
    <w:rsid w:val="6D9B0443"/>
    <w:rsid w:val="6D9FC36A"/>
    <w:rsid w:val="6DA26472"/>
    <w:rsid w:val="6DAD4BDF"/>
    <w:rsid w:val="6DAEAFBA"/>
    <w:rsid w:val="6DAFA97C"/>
    <w:rsid w:val="6DB07714"/>
    <w:rsid w:val="6DBAA875"/>
    <w:rsid w:val="6DC98C9A"/>
    <w:rsid w:val="6DCE4F06"/>
    <w:rsid w:val="6DCF8642"/>
    <w:rsid w:val="6DD05207"/>
    <w:rsid w:val="6DD452F8"/>
    <w:rsid w:val="6DD6EF8A"/>
    <w:rsid w:val="6DDAEDEB"/>
    <w:rsid w:val="6DDB7A33"/>
    <w:rsid w:val="6DDCCECD"/>
    <w:rsid w:val="6DDF7ACE"/>
    <w:rsid w:val="6DE10A53"/>
    <w:rsid w:val="6DE370AC"/>
    <w:rsid w:val="6DEBAC35"/>
    <w:rsid w:val="6DEE6AE9"/>
    <w:rsid w:val="6DF0DDFA"/>
    <w:rsid w:val="6DF91C59"/>
    <w:rsid w:val="6DFF5094"/>
    <w:rsid w:val="6E0BE7DA"/>
    <w:rsid w:val="6E18918B"/>
    <w:rsid w:val="6E18B8E3"/>
    <w:rsid w:val="6E201A3B"/>
    <w:rsid w:val="6E2417FE"/>
    <w:rsid w:val="6E253AA8"/>
    <w:rsid w:val="6E2BA7E0"/>
    <w:rsid w:val="6E2FDC8F"/>
    <w:rsid w:val="6E3C65FB"/>
    <w:rsid w:val="6E3CCD7B"/>
    <w:rsid w:val="6E4AA4FE"/>
    <w:rsid w:val="6E4D60DC"/>
    <w:rsid w:val="6E558042"/>
    <w:rsid w:val="6E58A800"/>
    <w:rsid w:val="6E5A0AD9"/>
    <w:rsid w:val="6E5FCDE3"/>
    <w:rsid w:val="6E6B35BA"/>
    <w:rsid w:val="6E753248"/>
    <w:rsid w:val="6E7DFB8A"/>
    <w:rsid w:val="6E9D6B45"/>
    <w:rsid w:val="6E9EACDC"/>
    <w:rsid w:val="6EA276C0"/>
    <w:rsid w:val="6EAE1FB3"/>
    <w:rsid w:val="6EB2C5AA"/>
    <w:rsid w:val="6EB52BE4"/>
    <w:rsid w:val="6EB892E7"/>
    <w:rsid w:val="6EC69785"/>
    <w:rsid w:val="6ECFA41E"/>
    <w:rsid w:val="6ED96FA6"/>
    <w:rsid w:val="6ED9A13A"/>
    <w:rsid w:val="6EE1A74D"/>
    <w:rsid w:val="6EE3A5C5"/>
    <w:rsid w:val="6EFEE6C2"/>
    <w:rsid w:val="6F068E1D"/>
    <w:rsid w:val="6F0B6739"/>
    <w:rsid w:val="6F0FBC59"/>
    <w:rsid w:val="6F118319"/>
    <w:rsid w:val="6F1DCE6F"/>
    <w:rsid w:val="6F2AFCC9"/>
    <w:rsid w:val="6F326613"/>
    <w:rsid w:val="6F32E205"/>
    <w:rsid w:val="6F331DB4"/>
    <w:rsid w:val="6F3D8E44"/>
    <w:rsid w:val="6F53DD1A"/>
    <w:rsid w:val="6F59BD02"/>
    <w:rsid w:val="6F5B0067"/>
    <w:rsid w:val="6F5F4EA8"/>
    <w:rsid w:val="6F6001A9"/>
    <w:rsid w:val="6F6039E2"/>
    <w:rsid w:val="6F64872F"/>
    <w:rsid w:val="6F67D39A"/>
    <w:rsid w:val="6F6AFF9F"/>
    <w:rsid w:val="6F6F0A7D"/>
    <w:rsid w:val="6F6FC8E0"/>
    <w:rsid w:val="6F72E9B1"/>
    <w:rsid w:val="6F7AB55E"/>
    <w:rsid w:val="6F7C676A"/>
    <w:rsid w:val="6F7CF23F"/>
    <w:rsid w:val="6F805632"/>
    <w:rsid w:val="6F8402B8"/>
    <w:rsid w:val="6F8BB0F5"/>
    <w:rsid w:val="6F90C3A6"/>
    <w:rsid w:val="6F936B36"/>
    <w:rsid w:val="6F9A1678"/>
    <w:rsid w:val="6FA3C2C8"/>
    <w:rsid w:val="6FA688CE"/>
    <w:rsid w:val="6FA892C8"/>
    <w:rsid w:val="6FAAE79F"/>
    <w:rsid w:val="6FACE64F"/>
    <w:rsid w:val="6FB3B044"/>
    <w:rsid w:val="6FB61115"/>
    <w:rsid w:val="6FBE0F26"/>
    <w:rsid w:val="6FC0EEB0"/>
    <w:rsid w:val="6FCC2416"/>
    <w:rsid w:val="6FCDE1BB"/>
    <w:rsid w:val="6FD0263D"/>
    <w:rsid w:val="6FD6EFBC"/>
    <w:rsid w:val="6FE8C0ED"/>
    <w:rsid w:val="6FE93314"/>
    <w:rsid w:val="6FECCD20"/>
    <w:rsid w:val="6FEDA17E"/>
    <w:rsid w:val="6FF6A9C3"/>
    <w:rsid w:val="6FFAC8EE"/>
    <w:rsid w:val="700A6B71"/>
    <w:rsid w:val="7011DBE3"/>
    <w:rsid w:val="7012FB58"/>
    <w:rsid w:val="7015ECEB"/>
    <w:rsid w:val="701CF4D9"/>
    <w:rsid w:val="701F9CFE"/>
    <w:rsid w:val="7022FA86"/>
    <w:rsid w:val="7023A429"/>
    <w:rsid w:val="702B02A6"/>
    <w:rsid w:val="702BBBF3"/>
    <w:rsid w:val="702E6432"/>
    <w:rsid w:val="70384046"/>
    <w:rsid w:val="70473D12"/>
    <w:rsid w:val="704CA74A"/>
    <w:rsid w:val="704CB8C6"/>
    <w:rsid w:val="704FEBC4"/>
    <w:rsid w:val="7056D85D"/>
    <w:rsid w:val="7059FEEA"/>
    <w:rsid w:val="70627CDD"/>
    <w:rsid w:val="706878E2"/>
    <w:rsid w:val="706C3343"/>
    <w:rsid w:val="706FDE7D"/>
    <w:rsid w:val="7070A9DD"/>
    <w:rsid w:val="70791643"/>
    <w:rsid w:val="70794024"/>
    <w:rsid w:val="7088B5F5"/>
    <w:rsid w:val="70893ADC"/>
    <w:rsid w:val="708D6D5A"/>
    <w:rsid w:val="708E740A"/>
    <w:rsid w:val="70947BF8"/>
    <w:rsid w:val="70956D83"/>
    <w:rsid w:val="709710C3"/>
    <w:rsid w:val="70972C01"/>
    <w:rsid w:val="70A9A0E5"/>
    <w:rsid w:val="70BF6826"/>
    <w:rsid w:val="70C077BA"/>
    <w:rsid w:val="70C4AEED"/>
    <w:rsid w:val="70C81384"/>
    <w:rsid w:val="70C9C836"/>
    <w:rsid w:val="70CC9ED0"/>
    <w:rsid w:val="70CFA7B5"/>
    <w:rsid w:val="70D01871"/>
    <w:rsid w:val="70DDFC13"/>
    <w:rsid w:val="70E21033"/>
    <w:rsid w:val="70E5C85C"/>
    <w:rsid w:val="70ED9C3D"/>
    <w:rsid w:val="70F60AFF"/>
    <w:rsid w:val="70FB1FB9"/>
    <w:rsid w:val="71022332"/>
    <w:rsid w:val="71053A04"/>
    <w:rsid w:val="71054466"/>
    <w:rsid w:val="7107D36C"/>
    <w:rsid w:val="71110720"/>
    <w:rsid w:val="7112FF3A"/>
    <w:rsid w:val="71202C45"/>
    <w:rsid w:val="7123086F"/>
    <w:rsid w:val="7128B6DD"/>
    <w:rsid w:val="713538CB"/>
    <w:rsid w:val="7136AAB0"/>
    <w:rsid w:val="713EA34D"/>
    <w:rsid w:val="7142E73C"/>
    <w:rsid w:val="7149AEE8"/>
    <w:rsid w:val="714C88BD"/>
    <w:rsid w:val="715B64AF"/>
    <w:rsid w:val="715E22F2"/>
    <w:rsid w:val="71675DAC"/>
    <w:rsid w:val="716860D6"/>
    <w:rsid w:val="7168D158"/>
    <w:rsid w:val="716B55CD"/>
    <w:rsid w:val="71716C57"/>
    <w:rsid w:val="7176268F"/>
    <w:rsid w:val="7181F0C7"/>
    <w:rsid w:val="718A46A1"/>
    <w:rsid w:val="718DAAE1"/>
    <w:rsid w:val="718E251C"/>
    <w:rsid w:val="7191D514"/>
    <w:rsid w:val="71961FF6"/>
    <w:rsid w:val="71969BEE"/>
    <w:rsid w:val="7197C035"/>
    <w:rsid w:val="719A6D64"/>
    <w:rsid w:val="719F719C"/>
    <w:rsid w:val="71A1C22D"/>
    <w:rsid w:val="71A1DAF0"/>
    <w:rsid w:val="71A43E5D"/>
    <w:rsid w:val="71AA164E"/>
    <w:rsid w:val="71AD1B82"/>
    <w:rsid w:val="71B3C9D6"/>
    <w:rsid w:val="71B572B9"/>
    <w:rsid w:val="71B8D003"/>
    <w:rsid w:val="71BEFAA1"/>
    <w:rsid w:val="71C43FFB"/>
    <w:rsid w:val="71CABB7A"/>
    <w:rsid w:val="71CACF52"/>
    <w:rsid w:val="71D8BF3B"/>
    <w:rsid w:val="71E195BC"/>
    <w:rsid w:val="71E28BE1"/>
    <w:rsid w:val="71EBB774"/>
    <w:rsid w:val="71EE4B31"/>
    <w:rsid w:val="71F2F9CB"/>
    <w:rsid w:val="71F6ABD0"/>
    <w:rsid w:val="71F7F176"/>
    <w:rsid w:val="71FA4EC9"/>
    <w:rsid w:val="7205ECD2"/>
    <w:rsid w:val="720B3E92"/>
    <w:rsid w:val="7212ABEE"/>
    <w:rsid w:val="72181B1D"/>
    <w:rsid w:val="721BBB7D"/>
    <w:rsid w:val="721FB190"/>
    <w:rsid w:val="72249503"/>
    <w:rsid w:val="722E2CDA"/>
    <w:rsid w:val="72310F74"/>
    <w:rsid w:val="723349B4"/>
    <w:rsid w:val="723EBBA4"/>
    <w:rsid w:val="7240C0DD"/>
    <w:rsid w:val="7242AEE3"/>
    <w:rsid w:val="72438FFB"/>
    <w:rsid w:val="724898C4"/>
    <w:rsid w:val="724E2755"/>
    <w:rsid w:val="72528756"/>
    <w:rsid w:val="725472E6"/>
    <w:rsid w:val="72640B10"/>
    <w:rsid w:val="72671B58"/>
    <w:rsid w:val="72689FFC"/>
    <w:rsid w:val="726962BC"/>
    <w:rsid w:val="726A894D"/>
    <w:rsid w:val="726B678E"/>
    <w:rsid w:val="72716E2D"/>
    <w:rsid w:val="72729B10"/>
    <w:rsid w:val="7272D4D7"/>
    <w:rsid w:val="72756831"/>
    <w:rsid w:val="72782868"/>
    <w:rsid w:val="727B047D"/>
    <w:rsid w:val="727B7CB2"/>
    <w:rsid w:val="727F22FB"/>
    <w:rsid w:val="727F4628"/>
    <w:rsid w:val="727FB514"/>
    <w:rsid w:val="728CDD46"/>
    <w:rsid w:val="728FC363"/>
    <w:rsid w:val="729BD717"/>
    <w:rsid w:val="72A4C850"/>
    <w:rsid w:val="72A522CA"/>
    <w:rsid w:val="72A8D2B7"/>
    <w:rsid w:val="72AC2773"/>
    <w:rsid w:val="72AD25F4"/>
    <w:rsid w:val="72B41301"/>
    <w:rsid w:val="72B9FD07"/>
    <w:rsid w:val="72BF5071"/>
    <w:rsid w:val="72BF8B1F"/>
    <w:rsid w:val="72DD6B5A"/>
    <w:rsid w:val="72DE3F18"/>
    <w:rsid w:val="72ECDC3C"/>
    <w:rsid w:val="72F0D000"/>
    <w:rsid w:val="72F17A06"/>
    <w:rsid w:val="7304B591"/>
    <w:rsid w:val="7308454E"/>
    <w:rsid w:val="7309CA2E"/>
    <w:rsid w:val="730E36D3"/>
    <w:rsid w:val="7311E78C"/>
    <w:rsid w:val="7316040C"/>
    <w:rsid w:val="73173F43"/>
    <w:rsid w:val="7322C1AC"/>
    <w:rsid w:val="73254AB3"/>
    <w:rsid w:val="73259030"/>
    <w:rsid w:val="7326424D"/>
    <w:rsid w:val="73266134"/>
    <w:rsid w:val="732B2490"/>
    <w:rsid w:val="732F44BD"/>
    <w:rsid w:val="73378859"/>
    <w:rsid w:val="733943BE"/>
    <w:rsid w:val="733A7E1E"/>
    <w:rsid w:val="733C9DA8"/>
    <w:rsid w:val="734572D2"/>
    <w:rsid w:val="734A5727"/>
    <w:rsid w:val="734B8902"/>
    <w:rsid w:val="7356E2EA"/>
    <w:rsid w:val="7359D214"/>
    <w:rsid w:val="735A8B3C"/>
    <w:rsid w:val="735C7D15"/>
    <w:rsid w:val="736A79F5"/>
    <w:rsid w:val="73762697"/>
    <w:rsid w:val="737A353F"/>
    <w:rsid w:val="738F7066"/>
    <w:rsid w:val="73931D4C"/>
    <w:rsid w:val="7399BDF0"/>
    <w:rsid w:val="739DA401"/>
    <w:rsid w:val="739DB1BF"/>
    <w:rsid w:val="739E966F"/>
    <w:rsid w:val="73A402E8"/>
    <w:rsid w:val="73A5EC41"/>
    <w:rsid w:val="73A81B26"/>
    <w:rsid w:val="73ADA7A8"/>
    <w:rsid w:val="73B0036E"/>
    <w:rsid w:val="73B23C43"/>
    <w:rsid w:val="73B79C0C"/>
    <w:rsid w:val="73B968BE"/>
    <w:rsid w:val="73E44589"/>
    <w:rsid w:val="73E9D55E"/>
    <w:rsid w:val="73F312A1"/>
    <w:rsid w:val="73F3ABFB"/>
    <w:rsid w:val="73F478BF"/>
    <w:rsid w:val="73FBCE24"/>
    <w:rsid w:val="73FEF15B"/>
    <w:rsid w:val="74048670"/>
    <w:rsid w:val="740A7D9D"/>
    <w:rsid w:val="740FB762"/>
    <w:rsid w:val="7412E266"/>
    <w:rsid w:val="7422707E"/>
    <w:rsid w:val="742AB829"/>
    <w:rsid w:val="742CE5A5"/>
    <w:rsid w:val="742E7797"/>
    <w:rsid w:val="7432814A"/>
    <w:rsid w:val="74375CF8"/>
    <w:rsid w:val="743A9B31"/>
    <w:rsid w:val="743C1B1C"/>
    <w:rsid w:val="743D55C4"/>
    <w:rsid w:val="7444FDE2"/>
    <w:rsid w:val="744B58F7"/>
    <w:rsid w:val="744B8520"/>
    <w:rsid w:val="74596429"/>
    <w:rsid w:val="7459B2D5"/>
    <w:rsid w:val="745A15F2"/>
    <w:rsid w:val="745D81D3"/>
    <w:rsid w:val="745DB0EE"/>
    <w:rsid w:val="745ED8E1"/>
    <w:rsid w:val="746B79F3"/>
    <w:rsid w:val="746FA710"/>
    <w:rsid w:val="74754ACB"/>
    <w:rsid w:val="74831365"/>
    <w:rsid w:val="748C2AF8"/>
    <w:rsid w:val="7491411A"/>
    <w:rsid w:val="74A0AB41"/>
    <w:rsid w:val="74A235B3"/>
    <w:rsid w:val="74A29947"/>
    <w:rsid w:val="74A32163"/>
    <w:rsid w:val="74A52775"/>
    <w:rsid w:val="74A575CB"/>
    <w:rsid w:val="74A9E56A"/>
    <w:rsid w:val="74AEBF3C"/>
    <w:rsid w:val="74AF0EBC"/>
    <w:rsid w:val="74AFA4F8"/>
    <w:rsid w:val="74B24D0E"/>
    <w:rsid w:val="74B315CC"/>
    <w:rsid w:val="74BDA5D0"/>
    <w:rsid w:val="74BDE686"/>
    <w:rsid w:val="74C55BBD"/>
    <w:rsid w:val="74CFE610"/>
    <w:rsid w:val="74D6A7EA"/>
    <w:rsid w:val="74DD0FFB"/>
    <w:rsid w:val="74DF8DD3"/>
    <w:rsid w:val="74E012A9"/>
    <w:rsid w:val="74E2243B"/>
    <w:rsid w:val="74E7132C"/>
    <w:rsid w:val="74E8A8BC"/>
    <w:rsid w:val="74ED1B3A"/>
    <w:rsid w:val="75024A11"/>
    <w:rsid w:val="75075E5C"/>
    <w:rsid w:val="7508431F"/>
    <w:rsid w:val="75097BAA"/>
    <w:rsid w:val="7509D1BF"/>
    <w:rsid w:val="750B8A95"/>
    <w:rsid w:val="750D17F2"/>
    <w:rsid w:val="7511AA39"/>
    <w:rsid w:val="75241E51"/>
    <w:rsid w:val="752BDF38"/>
    <w:rsid w:val="752D36FE"/>
    <w:rsid w:val="752D4795"/>
    <w:rsid w:val="752DED14"/>
    <w:rsid w:val="75357F54"/>
    <w:rsid w:val="754907D5"/>
    <w:rsid w:val="754F81CD"/>
    <w:rsid w:val="75535631"/>
    <w:rsid w:val="755640A1"/>
    <w:rsid w:val="7557D97E"/>
    <w:rsid w:val="755CC0D8"/>
    <w:rsid w:val="755D0F33"/>
    <w:rsid w:val="755FA0AA"/>
    <w:rsid w:val="755FA771"/>
    <w:rsid w:val="75640BDB"/>
    <w:rsid w:val="756DF651"/>
    <w:rsid w:val="75776EF6"/>
    <w:rsid w:val="75797D74"/>
    <w:rsid w:val="757E03E9"/>
    <w:rsid w:val="75827EE6"/>
    <w:rsid w:val="7585720E"/>
    <w:rsid w:val="75883009"/>
    <w:rsid w:val="7588F50B"/>
    <w:rsid w:val="758D60BD"/>
    <w:rsid w:val="758F7E14"/>
    <w:rsid w:val="758F8E99"/>
    <w:rsid w:val="75912930"/>
    <w:rsid w:val="75A6C5E8"/>
    <w:rsid w:val="75A73922"/>
    <w:rsid w:val="75B2ACCD"/>
    <w:rsid w:val="75B64565"/>
    <w:rsid w:val="75BD0C99"/>
    <w:rsid w:val="75BE5FEB"/>
    <w:rsid w:val="75C363B4"/>
    <w:rsid w:val="75C743D4"/>
    <w:rsid w:val="75CAAB97"/>
    <w:rsid w:val="75D14337"/>
    <w:rsid w:val="75E2B8B7"/>
    <w:rsid w:val="75E573F0"/>
    <w:rsid w:val="75EBF541"/>
    <w:rsid w:val="75ED12A7"/>
    <w:rsid w:val="75F21122"/>
    <w:rsid w:val="75FA4117"/>
    <w:rsid w:val="75FD78AC"/>
    <w:rsid w:val="7607E340"/>
    <w:rsid w:val="760824DB"/>
    <w:rsid w:val="760CEEF5"/>
    <w:rsid w:val="7623F021"/>
    <w:rsid w:val="762E9693"/>
    <w:rsid w:val="763B502F"/>
    <w:rsid w:val="7644B748"/>
    <w:rsid w:val="76477A82"/>
    <w:rsid w:val="76491DAA"/>
    <w:rsid w:val="76499AA5"/>
    <w:rsid w:val="764A08B6"/>
    <w:rsid w:val="76645ADE"/>
    <w:rsid w:val="766CCD80"/>
    <w:rsid w:val="766DEB52"/>
    <w:rsid w:val="76772293"/>
    <w:rsid w:val="7685D7EC"/>
    <w:rsid w:val="768FC921"/>
    <w:rsid w:val="76963206"/>
    <w:rsid w:val="7696774C"/>
    <w:rsid w:val="76A8ADE4"/>
    <w:rsid w:val="76B0A551"/>
    <w:rsid w:val="76B56AA1"/>
    <w:rsid w:val="76C0BFDA"/>
    <w:rsid w:val="76C12AD4"/>
    <w:rsid w:val="76C2CED3"/>
    <w:rsid w:val="76C88553"/>
    <w:rsid w:val="76D00B9B"/>
    <w:rsid w:val="76D0B994"/>
    <w:rsid w:val="76D33F3C"/>
    <w:rsid w:val="76D49D80"/>
    <w:rsid w:val="76DE41CD"/>
    <w:rsid w:val="76E085EC"/>
    <w:rsid w:val="76E90E9F"/>
    <w:rsid w:val="76ED66BE"/>
    <w:rsid w:val="76EEC9E6"/>
    <w:rsid w:val="76F33BE2"/>
    <w:rsid w:val="76F404A1"/>
    <w:rsid w:val="76F4C4C6"/>
    <w:rsid w:val="76F5C2EE"/>
    <w:rsid w:val="76F7297F"/>
    <w:rsid w:val="76FD7863"/>
    <w:rsid w:val="76FE3E90"/>
    <w:rsid w:val="770C81D0"/>
    <w:rsid w:val="770F82AA"/>
    <w:rsid w:val="770FA955"/>
    <w:rsid w:val="771074AB"/>
    <w:rsid w:val="7714F588"/>
    <w:rsid w:val="77152406"/>
    <w:rsid w:val="77156020"/>
    <w:rsid w:val="771585E0"/>
    <w:rsid w:val="7724E317"/>
    <w:rsid w:val="7729CA0F"/>
    <w:rsid w:val="772DDCA0"/>
    <w:rsid w:val="772FCD4A"/>
    <w:rsid w:val="77340114"/>
    <w:rsid w:val="773649F0"/>
    <w:rsid w:val="7738027F"/>
    <w:rsid w:val="773A8064"/>
    <w:rsid w:val="773FAF61"/>
    <w:rsid w:val="773FD010"/>
    <w:rsid w:val="774B0CC6"/>
    <w:rsid w:val="774ECF0D"/>
    <w:rsid w:val="77554F71"/>
    <w:rsid w:val="775A23CC"/>
    <w:rsid w:val="775D3E8B"/>
    <w:rsid w:val="77619269"/>
    <w:rsid w:val="776EA50E"/>
    <w:rsid w:val="7772A1A7"/>
    <w:rsid w:val="7773F283"/>
    <w:rsid w:val="7778508D"/>
    <w:rsid w:val="777E86B6"/>
    <w:rsid w:val="777F919F"/>
    <w:rsid w:val="7787BBC7"/>
    <w:rsid w:val="7789C6E2"/>
    <w:rsid w:val="7793EAC5"/>
    <w:rsid w:val="7793F79B"/>
    <w:rsid w:val="7798574C"/>
    <w:rsid w:val="77A3A87A"/>
    <w:rsid w:val="77A3E6FC"/>
    <w:rsid w:val="77A861A5"/>
    <w:rsid w:val="77AA5161"/>
    <w:rsid w:val="77AE32F7"/>
    <w:rsid w:val="77B2BA86"/>
    <w:rsid w:val="77B9D488"/>
    <w:rsid w:val="77BC3E75"/>
    <w:rsid w:val="77BC4AE4"/>
    <w:rsid w:val="77BD73A2"/>
    <w:rsid w:val="77C4B3AA"/>
    <w:rsid w:val="77C7ACAC"/>
    <w:rsid w:val="77C7EFFD"/>
    <w:rsid w:val="77CDAF9C"/>
    <w:rsid w:val="77CFACD5"/>
    <w:rsid w:val="77D4DD10"/>
    <w:rsid w:val="77DA239F"/>
    <w:rsid w:val="77DC6D29"/>
    <w:rsid w:val="77DE1948"/>
    <w:rsid w:val="77E31136"/>
    <w:rsid w:val="77ED2D46"/>
    <w:rsid w:val="77EDB3CE"/>
    <w:rsid w:val="77EE5264"/>
    <w:rsid w:val="77FD94DD"/>
    <w:rsid w:val="78028DF9"/>
    <w:rsid w:val="78084A55"/>
    <w:rsid w:val="78121F10"/>
    <w:rsid w:val="781297BC"/>
    <w:rsid w:val="781579A0"/>
    <w:rsid w:val="78176198"/>
    <w:rsid w:val="781A5AC1"/>
    <w:rsid w:val="781E7282"/>
    <w:rsid w:val="7828D028"/>
    <w:rsid w:val="782BEF84"/>
    <w:rsid w:val="782DCEBB"/>
    <w:rsid w:val="7832E263"/>
    <w:rsid w:val="783681A6"/>
    <w:rsid w:val="78388CEB"/>
    <w:rsid w:val="783C85A2"/>
    <w:rsid w:val="78432158"/>
    <w:rsid w:val="784522B6"/>
    <w:rsid w:val="7847E779"/>
    <w:rsid w:val="78486274"/>
    <w:rsid w:val="78505844"/>
    <w:rsid w:val="78518F2C"/>
    <w:rsid w:val="78542E4D"/>
    <w:rsid w:val="7859AA04"/>
    <w:rsid w:val="785A1BC0"/>
    <w:rsid w:val="786014DC"/>
    <w:rsid w:val="786346A6"/>
    <w:rsid w:val="786DE266"/>
    <w:rsid w:val="7871BA07"/>
    <w:rsid w:val="787E93F4"/>
    <w:rsid w:val="788E4A0D"/>
    <w:rsid w:val="788EADA4"/>
    <w:rsid w:val="7894DD67"/>
    <w:rsid w:val="7899763B"/>
    <w:rsid w:val="789B8B4C"/>
    <w:rsid w:val="789EDAB7"/>
    <w:rsid w:val="78A1A3F5"/>
    <w:rsid w:val="78A9E5B3"/>
    <w:rsid w:val="78AAB219"/>
    <w:rsid w:val="78ACAE7C"/>
    <w:rsid w:val="78AED4CF"/>
    <w:rsid w:val="78AFC2FE"/>
    <w:rsid w:val="78B15816"/>
    <w:rsid w:val="78B2552B"/>
    <w:rsid w:val="78B3CE01"/>
    <w:rsid w:val="78BCF105"/>
    <w:rsid w:val="78C872D9"/>
    <w:rsid w:val="78CCD788"/>
    <w:rsid w:val="78CE412E"/>
    <w:rsid w:val="78D27991"/>
    <w:rsid w:val="78D6889D"/>
    <w:rsid w:val="78D9DA77"/>
    <w:rsid w:val="78E2952D"/>
    <w:rsid w:val="78E789B8"/>
    <w:rsid w:val="78E8494B"/>
    <w:rsid w:val="78ED885D"/>
    <w:rsid w:val="78FDC792"/>
    <w:rsid w:val="79001AA1"/>
    <w:rsid w:val="790280F0"/>
    <w:rsid w:val="7905F3B5"/>
    <w:rsid w:val="7908F6F9"/>
    <w:rsid w:val="79124527"/>
    <w:rsid w:val="7926B9F4"/>
    <w:rsid w:val="792D037D"/>
    <w:rsid w:val="794CF30A"/>
    <w:rsid w:val="794D9D36"/>
    <w:rsid w:val="794EEECF"/>
    <w:rsid w:val="7952F6FA"/>
    <w:rsid w:val="7955A082"/>
    <w:rsid w:val="7958C1CC"/>
    <w:rsid w:val="79694830"/>
    <w:rsid w:val="796B3820"/>
    <w:rsid w:val="796E2EC6"/>
    <w:rsid w:val="7970BF8C"/>
    <w:rsid w:val="797D68F9"/>
    <w:rsid w:val="7985DDFC"/>
    <w:rsid w:val="79877805"/>
    <w:rsid w:val="79939612"/>
    <w:rsid w:val="7995CF9A"/>
    <w:rsid w:val="79982D4E"/>
    <w:rsid w:val="799A1A5A"/>
    <w:rsid w:val="799EF912"/>
    <w:rsid w:val="799FC28D"/>
    <w:rsid w:val="79A345BA"/>
    <w:rsid w:val="79A826E1"/>
    <w:rsid w:val="79B5D520"/>
    <w:rsid w:val="79BB2228"/>
    <w:rsid w:val="79BBA54A"/>
    <w:rsid w:val="79CB9919"/>
    <w:rsid w:val="79D759E2"/>
    <w:rsid w:val="79DD8C4C"/>
    <w:rsid w:val="79DE0A36"/>
    <w:rsid w:val="79E4258B"/>
    <w:rsid w:val="79F62DB9"/>
    <w:rsid w:val="79F6D178"/>
    <w:rsid w:val="79F84D9E"/>
    <w:rsid w:val="79FFE43E"/>
    <w:rsid w:val="7A065952"/>
    <w:rsid w:val="7A0F1349"/>
    <w:rsid w:val="7A10BBEC"/>
    <w:rsid w:val="7A10EBA3"/>
    <w:rsid w:val="7A1376AF"/>
    <w:rsid w:val="7A20B49C"/>
    <w:rsid w:val="7A217869"/>
    <w:rsid w:val="7A233468"/>
    <w:rsid w:val="7A23A248"/>
    <w:rsid w:val="7A2EFC02"/>
    <w:rsid w:val="7A317BEE"/>
    <w:rsid w:val="7A403FE4"/>
    <w:rsid w:val="7A4657E9"/>
    <w:rsid w:val="7A479F3A"/>
    <w:rsid w:val="7A48F6AE"/>
    <w:rsid w:val="7A5C158A"/>
    <w:rsid w:val="7A63F01A"/>
    <w:rsid w:val="7A780BE0"/>
    <w:rsid w:val="7A7A5470"/>
    <w:rsid w:val="7A860C90"/>
    <w:rsid w:val="7A87BFE3"/>
    <w:rsid w:val="7A885657"/>
    <w:rsid w:val="7A88BBAB"/>
    <w:rsid w:val="7A907EF6"/>
    <w:rsid w:val="7A956140"/>
    <w:rsid w:val="7A979575"/>
    <w:rsid w:val="7A989717"/>
    <w:rsid w:val="7A98E3B2"/>
    <w:rsid w:val="7A9B0E1F"/>
    <w:rsid w:val="7A9B9A58"/>
    <w:rsid w:val="7A9F2CA0"/>
    <w:rsid w:val="7AA532E5"/>
    <w:rsid w:val="7AAECBEE"/>
    <w:rsid w:val="7AB0607F"/>
    <w:rsid w:val="7AB64579"/>
    <w:rsid w:val="7AB7A50D"/>
    <w:rsid w:val="7AB96272"/>
    <w:rsid w:val="7AC84E5B"/>
    <w:rsid w:val="7AD44240"/>
    <w:rsid w:val="7ADC3AF0"/>
    <w:rsid w:val="7ADC3EB6"/>
    <w:rsid w:val="7ADE074E"/>
    <w:rsid w:val="7ADF565D"/>
    <w:rsid w:val="7ADF771F"/>
    <w:rsid w:val="7AE04853"/>
    <w:rsid w:val="7AE1E04B"/>
    <w:rsid w:val="7AE82DB8"/>
    <w:rsid w:val="7AEA7694"/>
    <w:rsid w:val="7AECD6E9"/>
    <w:rsid w:val="7AEDA409"/>
    <w:rsid w:val="7AF24626"/>
    <w:rsid w:val="7AF5DAD4"/>
    <w:rsid w:val="7AFF06A5"/>
    <w:rsid w:val="7B0B06BC"/>
    <w:rsid w:val="7B15D0E5"/>
    <w:rsid w:val="7B1BBDDF"/>
    <w:rsid w:val="7B1BE328"/>
    <w:rsid w:val="7B1CE570"/>
    <w:rsid w:val="7B1DF07E"/>
    <w:rsid w:val="7B20946B"/>
    <w:rsid w:val="7B23B1DF"/>
    <w:rsid w:val="7B2754BF"/>
    <w:rsid w:val="7B28DBFA"/>
    <w:rsid w:val="7B30EDB2"/>
    <w:rsid w:val="7B316F68"/>
    <w:rsid w:val="7B31DD2C"/>
    <w:rsid w:val="7B3CE22F"/>
    <w:rsid w:val="7B42AD5C"/>
    <w:rsid w:val="7B511C46"/>
    <w:rsid w:val="7B5559FB"/>
    <w:rsid w:val="7B631926"/>
    <w:rsid w:val="7B64F83F"/>
    <w:rsid w:val="7B6644C3"/>
    <w:rsid w:val="7B672DF9"/>
    <w:rsid w:val="7B6BDBCB"/>
    <w:rsid w:val="7B79097E"/>
    <w:rsid w:val="7B795E9E"/>
    <w:rsid w:val="7B7E98D7"/>
    <w:rsid w:val="7B7EFFF2"/>
    <w:rsid w:val="7B86259B"/>
    <w:rsid w:val="7B8DA001"/>
    <w:rsid w:val="7B8DD132"/>
    <w:rsid w:val="7B943C48"/>
    <w:rsid w:val="7B98259E"/>
    <w:rsid w:val="7B98D00D"/>
    <w:rsid w:val="7B9A0994"/>
    <w:rsid w:val="7BB78AA1"/>
    <w:rsid w:val="7BBA94D4"/>
    <w:rsid w:val="7BBB340C"/>
    <w:rsid w:val="7BC41EB3"/>
    <w:rsid w:val="7BC6A53C"/>
    <w:rsid w:val="7BD07B5B"/>
    <w:rsid w:val="7BD4DD11"/>
    <w:rsid w:val="7BD794CB"/>
    <w:rsid w:val="7BD9794B"/>
    <w:rsid w:val="7BE4FE87"/>
    <w:rsid w:val="7BE9852A"/>
    <w:rsid w:val="7BFE2872"/>
    <w:rsid w:val="7C0319FF"/>
    <w:rsid w:val="7C0936C0"/>
    <w:rsid w:val="7C0BBC9B"/>
    <w:rsid w:val="7C0F3CF7"/>
    <w:rsid w:val="7C11F2F0"/>
    <w:rsid w:val="7C157507"/>
    <w:rsid w:val="7C15F2B1"/>
    <w:rsid w:val="7C238185"/>
    <w:rsid w:val="7C27BC13"/>
    <w:rsid w:val="7C2B4BD4"/>
    <w:rsid w:val="7C36193F"/>
    <w:rsid w:val="7C3C65C4"/>
    <w:rsid w:val="7C419DEF"/>
    <w:rsid w:val="7C48BF49"/>
    <w:rsid w:val="7C4B9B6B"/>
    <w:rsid w:val="7C4F296D"/>
    <w:rsid w:val="7C52C27C"/>
    <w:rsid w:val="7C52C8EF"/>
    <w:rsid w:val="7C59982C"/>
    <w:rsid w:val="7C5A79CA"/>
    <w:rsid w:val="7C5AC5D8"/>
    <w:rsid w:val="7C64EE92"/>
    <w:rsid w:val="7C66EFAA"/>
    <w:rsid w:val="7C72EECC"/>
    <w:rsid w:val="7C76097E"/>
    <w:rsid w:val="7C7BB5D0"/>
    <w:rsid w:val="7C7BC07D"/>
    <w:rsid w:val="7C7C472C"/>
    <w:rsid w:val="7C82EE95"/>
    <w:rsid w:val="7C85E1FE"/>
    <w:rsid w:val="7C95296E"/>
    <w:rsid w:val="7C9597E3"/>
    <w:rsid w:val="7CA51DA4"/>
    <w:rsid w:val="7CAAB33A"/>
    <w:rsid w:val="7CB047DE"/>
    <w:rsid w:val="7CB394F4"/>
    <w:rsid w:val="7CB78937"/>
    <w:rsid w:val="7CC07B5D"/>
    <w:rsid w:val="7CC14273"/>
    <w:rsid w:val="7CC1DC3A"/>
    <w:rsid w:val="7CC2234D"/>
    <w:rsid w:val="7CC50C14"/>
    <w:rsid w:val="7CCA07BC"/>
    <w:rsid w:val="7CCCB2B9"/>
    <w:rsid w:val="7CCE368A"/>
    <w:rsid w:val="7CD9529C"/>
    <w:rsid w:val="7CDF910A"/>
    <w:rsid w:val="7CE2536B"/>
    <w:rsid w:val="7CE5DEE9"/>
    <w:rsid w:val="7CE6A164"/>
    <w:rsid w:val="7CE6A8EF"/>
    <w:rsid w:val="7CE74CCF"/>
    <w:rsid w:val="7CEB9762"/>
    <w:rsid w:val="7CEB9A81"/>
    <w:rsid w:val="7CECD37B"/>
    <w:rsid w:val="7CED34A7"/>
    <w:rsid w:val="7CF32268"/>
    <w:rsid w:val="7CF651ED"/>
    <w:rsid w:val="7CFA09D4"/>
    <w:rsid w:val="7CFBA23C"/>
    <w:rsid w:val="7CFC7879"/>
    <w:rsid w:val="7D0594E8"/>
    <w:rsid w:val="7D17118B"/>
    <w:rsid w:val="7D1A7174"/>
    <w:rsid w:val="7D1E0633"/>
    <w:rsid w:val="7D1EE5CB"/>
    <w:rsid w:val="7D1F0E7A"/>
    <w:rsid w:val="7D2C0124"/>
    <w:rsid w:val="7D305F1E"/>
    <w:rsid w:val="7D30D01A"/>
    <w:rsid w:val="7D322EDC"/>
    <w:rsid w:val="7D33A370"/>
    <w:rsid w:val="7D3777C3"/>
    <w:rsid w:val="7D38B48B"/>
    <w:rsid w:val="7D3987FA"/>
    <w:rsid w:val="7D48CAEC"/>
    <w:rsid w:val="7D499ECD"/>
    <w:rsid w:val="7D4A7A57"/>
    <w:rsid w:val="7D505777"/>
    <w:rsid w:val="7D530840"/>
    <w:rsid w:val="7D53DF61"/>
    <w:rsid w:val="7D552D3C"/>
    <w:rsid w:val="7D5B1AAE"/>
    <w:rsid w:val="7D5B3761"/>
    <w:rsid w:val="7D61FCFB"/>
    <w:rsid w:val="7D646BBA"/>
    <w:rsid w:val="7D6E613C"/>
    <w:rsid w:val="7D6F7BE5"/>
    <w:rsid w:val="7D72BBCA"/>
    <w:rsid w:val="7D770D7B"/>
    <w:rsid w:val="7D7853CA"/>
    <w:rsid w:val="7D7B3CF4"/>
    <w:rsid w:val="7D7BDF32"/>
    <w:rsid w:val="7D802536"/>
    <w:rsid w:val="7D80DCC7"/>
    <w:rsid w:val="7D810A7C"/>
    <w:rsid w:val="7D86506E"/>
    <w:rsid w:val="7D878B1F"/>
    <w:rsid w:val="7D87F67D"/>
    <w:rsid w:val="7D8AC49B"/>
    <w:rsid w:val="7D8CD1EA"/>
    <w:rsid w:val="7D8D9731"/>
    <w:rsid w:val="7D96FAE1"/>
    <w:rsid w:val="7D983F5F"/>
    <w:rsid w:val="7DA8B6C3"/>
    <w:rsid w:val="7DB09F2D"/>
    <w:rsid w:val="7DB59DF7"/>
    <w:rsid w:val="7DC7BD6B"/>
    <w:rsid w:val="7DC8B8EB"/>
    <w:rsid w:val="7DD287F5"/>
    <w:rsid w:val="7DD83C1B"/>
    <w:rsid w:val="7DDACEE9"/>
    <w:rsid w:val="7DE157B8"/>
    <w:rsid w:val="7DE6FE15"/>
    <w:rsid w:val="7DEF38D3"/>
    <w:rsid w:val="7DF4BD5E"/>
    <w:rsid w:val="7DFBB2B2"/>
    <w:rsid w:val="7DFBD2AB"/>
    <w:rsid w:val="7E00747E"/>
    <w:rsid w:val="7E01E39F"/>
    <w:rsid w:val="7E07E8EC"/>
    <w:rsid w:val="7E0AD283"/>
    <w:rsid w:val="7E0AD29D"/>
    <w:rsid w:val="7E0FD995"/>
    <w:rsid w:val="7E14C635"/>
    <w:rsid w:val="7E1AEA4E"/>
    <w:rsid w:val="7E23097D"/>
    <w:rsid w:val="7E2605EE"/>
    <w:rsid w:val="7E2D6A2F"/>
    <w:rsid w:val="7E3C84A8"/>
    <w:rsid w:val="7E3CCCA1"/>
    <w:rsid w:val="7E43688C"/>
    <w:rsid w:val="7E44888D"/>
    <w:rsid w:val="7E45AC88"/>
    <w:rsid w:val="7E49812C"/>
    <w:rsid w:val="7E4CAEF7"/>
    <w:rsid w:val="7E55F9E5"/>
    <w:rsid w:val="7E5680CB"/>
    <w:rsid w:val="7E5E013B"/>
    <w:rsid w:val="7E6224C7"/>
    <w:rsid w:val="7E6318F2"/>
    <w:rsid w:val="7E64F3F9"/>
    <w:rsid w:val="7E6F36A2"/>
    <w:rsid w:val="7E729D24"/>
    <w:rsid w:val="7E79B305"/>
    <w:rsid w:val="7E854D7E"/>
    <w:rsid w:val="7E86DC54"/>
    <w:rsid w:val="7E8C6CAC"/>
    <w:rsid w:val="7E8FFEA6"/>
    <w:rsid w:val="7E927904"/>
    <w:rsid w:val="7E92AFD7"/>
    <w:rsid w:val="7E994233"/>
    <w:rsid w:val="7EA18AC9"/>
    <w:rsid w:val="7EA260BC"/>
    <w:rsid w:val="7EA348C2"/>
    <w:rsid w:val="7EA38981"/>
    <w:rsid w:val="7EABCC48"/>
    <w:rsid w:val="7EAF5735"/>
    <w:rsid w:val="7EB0405E"/>
    <w:rsid w:val="7EC5AB3A"/>
    <w:rsid w:val="7ECA794A"/>
    <w:rsid w:val="7ECCC3A6"/>
    <w:rsid w:val="7ECF1273"/>
    <w:rsid w:val="7ECFA6C5"/>
    <w:rsid w:val="7ED93E43"/>
    <w:rsid w:val="7EDAFBB4"/>
    <w:rsid w:val="7EDCF474"/>
    <w:rsid w:val="7EE6ED1E"/>
    <w:rsid w:val="7EF37C33"/>
    <w:rsid w:val="7EF4C821"/>
    <w:rsid w:val="7F02C39B"/>
    <w:rsid w:val="7F0511CB"/>
    <w:rsid w:val="7F065C92"/>
    <w:rsid w:val="7F1111CA"/>
    <w:rsid w:val="7F11B617"/>
    <w:rsid w:val="7F1227F2"/>
    <w:rsid w:val="7F159CCA"/>
    <w:rsid w:val="7F1AD402"/>
    <w:rsid w:val="7F1CD685"/>
    <w:rsid w:val="7F314D90"/>
    <w:rsid w:val="7F3B90A2"/>
    <w:rsid w:val="7F3E59CA"/>
    <w:rsid w:val="7F3EEE00"/>
    <w:rsid w:val="7F45EB6E"/>
    <w:rsid w:val="7F4FCBBD"/>
    <w:rsid w:val="7F54ED87"/>
    <w:rsid w:val="7F5CA9A7"/>
    <w:rsid w:val="7F603601"/>
    <w:rsid w:val="7F656C3C"/>
    <w:rsid w:val="7F6738CE"/>
    <w:rsid w:val="7F73C2F0"/>
    <w:rsid w:val="7F7D00C6"/>
    <w:rsid w:val="7F8874D1"/>
    <w:rsid w:val="7F8D00D8"/>
    <w:rsid w:val="7F8F2C88"/>
    <w:rsid w:val="7F94A29F"/>
    <w:rsid w:val="7F9C78FD"/>
    <w:rsid w:val="7FA403F0"/>
    <w:rsid w:val="7FA47CD5"/>
    <w:rsid w:val="7FAEE66A"/>
    <w:rsid w:val="7FB431D1"/>
    <w:rsid w:val="7FBB83E9"/>
    <w:rsid w:val="7FC013BF"/>
    <w:rsid w:val="7FCBB841"/>
    <w:rsid w:val="7FCFBEF3"/>
    <w:rsid w:val="7FD71A42"/>
    <w:rsid w:val="7FD9A81D"/>
    <w:rsid w:val="7FDF2FA1"/>
    <w:rsid w:val="7FF0D0FA"/>
    <w:rsid w:val="7FF5253F"/>
    <w:rsid w:val="7FFD6D16"/>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723AC"/>
  <w15:docId w15:val="{3C8E18B5-55CB-44B6-A2BC-8C8A34CD3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0" w:defSemiHidden="0" w:defUnhideWhenUsed="0" w:defQFormat="0" w:count="376">
    <w:lsdException w:name="Normal" w:qFormat="1"/>
    <w:lsdException w:name="heading 1" w:uiPriority="10" w:qFormat="1"/>
    <w:lsdException w:name="heading 2" w:semiHidden="1" w:uiPriority="5" w:unhideWhenUsed="1" w:qFormat="1"/>
    <w:lsdException w:name="heading 3" w:semiHidden="1" w:uiPriority="5" w:unhideWhenUsed="1" w:qFormat="1"/>
    <w:lsdException w:name="heading 4" w:semiHidden="1" w:uiPriority="5" w:unhideWhenUsed="1" w:qFormat="1"/>
    <w:lsdException w:name="heading 5" w:semiHidden="1" w:uiPriority="10" w:unhideWhenUsed="1" w:qFormat="1"/>
    <w:lsdException w:name="heading 6" w:semiHidden="1" w:uiPriority="1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iPriority="34" w:unhideWhenUsed="1"/>
    <w:lsdException w:name="index 2" w:semiHidden="1" w:uiPriority="34" w:unhideWhenUsed="1"/>
    <w:lsdException w:name="index 3" w:semiHidden="1" w:uiPriority="34" w:unhideWhenUsed="1"/>
    <w:lsdException w:name="index 4" w:semiHidden="1" w:uiPriority="34" w:unhideWhenUsed="1"/>
    <w:lsdException w:name="index 5" w:semiHidden="1" w:uiPriority="34" w:unhideWhenUsed="1"/>
    <w:lsdException w:name="index 6" w:semiHidden="1" w:uiPriority="34" w:unhideWhenUsed="1"/>
    <w:lsdException w:name="index 7" w:semiHidden="1" w:uiPriority="34" w:unhideWhenUsed="1"/>
    <w:lsdException w:name="index 8" w:semiHidden="1" w:uiPriority="34" w:unhideWhenUsed="1"/>
    <w:lsdException w:name="index 9" w:semiHidden="1" w:uiPriority="34"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iPriority="8"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58" w:unhideWhenUsed="1"/>
    <w:lsdException w:name="index heading" w:semiHidden="1" w:uiPriority="34" w:unhideWhenUsed="1"/>
    <w:lsdException w:name="caption" w:semiHidden="1" w:uiPriority="8" w:unhideWhenUsed="1" w:qFormat="1"/>
    <w:lsdException w:name="table of figures" w:semiHidden="1" w:uiPriority="34"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34" w:unhideWhenUsed="1" w:qFormat="1"/>
    <w:lsdException w:name="endnote text" w:semiHidden="1" w:uiPriority="34" w:unhideWhenUsed="1"/>
    <w:lsdException w:name="table of authorities" w:semiHidden="1" w:uiPriority="34" w:unhideWhenUsed="1"/>
    <w:lsdException w:name="macro" w:semiHidden="1" w:uiPriority="34" w:unhideWhenUsed="1"/>
    <w:lsdException w:name="toa heading" w:semiHidden="1" w:uiPriority="34" w:unhideWhenUsed="1"/>
    <w:lsdException w:name="List" w:semiHidden="1" w:uiPriority="99" w:unhideWhenUsed="1"/>
    <w:lsdException w:name="List Bullet" w:semiHidden="1" w:uiPriority="4" w:unhideWhenUsed="1" w:qFormat="1"/>
    <w:lsdException w:name="List Number" w:semiHidden="1" w:uiPriority="4" w:unhideWhenUsed="1" w:qFormat="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2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21" w:qFormat="1"/>
    <w:lsdException w:name="Salutation" w:semiHidden="1" w:uiPriority="99" w:unhideWhenUsed="1"/>
    <w:lsdException w:name="Date" w:semiHidden="1" w:uiPriority="2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1" w:unhideWhenUsed="1" w:qFormat="1"/>
    <w:lsdException w:name="Body Text 3" w:semiHidden="1" w:uiPriority="1" w:unhideWhenUsed="1"/>
    <w:lsdException w:name="Body Text Indent 2" w:semiHidden="1" w:uiPriority="1" w:unhideWhenUsed="1" w:qFormat="1"/>
    <w:lsdException w:name="Body Text Indent 3" w:semiHidden="1" w:uiPriority="2" w:unhideWhenUsed="1"/>
    <w:lsdException w:name="Block Text" w:semiHidden="1" w:uiPriority="99" w:unhideWhenUsed="1"/>
    <w:lsdException w:name="Hyperlink" w:semiHidden="1" w:uiPriority="99" w:unhideWhenUsed="1"/>
    <w:lsdException w:name="FollowedHyperlink" w:semiHidden="1" w:uiPriority="59" w:unhideWhenUsed="1"/>
    <w:lsdException w:name="Strong" w:uiPriority="5" w:qFormat="1"/>
    <w:lsdException w:name="Emphasis" w:uiPriority="5" w:qFormat="1"/>
    <w:lsdException w:name="Document Map" w:semiHidden="1" w:uiPriority="34"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34"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34"/>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4" w:qFormat="1"/>
    <w:lsdException w:name="Subtle Reference" w:uiPriority="31" w:qFormat="1"/>
    <w:lsdException w:name="Intense Reference" w:uiPriority="34" w:qFormat="1"/>
    <w:lsdException w:name="Book Title" w:uiPriority="29" w:qFormat="1"/>
    <w:lsdException w:name="Bibliography" w:semiHidden="1" w:uiPriority="34"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DD4"/>
    <w:pPr>
      <w:widowControl/>
      <w:spacing w:before="80" w:after="80" w:line="360" w:lineRule="auto"/>
    </w:pPr>
    <w:rPr>
      <w:rFonts w:ascii="Metropolis Light" w:eastAsiaTheme="minorHAnsi" w:hAnsi="Metropolis Light"/>
      <w:sz w:val="20"/>
      <w:lang w:val="en-NZ"/>
    </w:rPr>
  </w:style>
  <w:style w:type="paragraph" w:styleId="Heading1">
    <w:name w:val="heading 1"/>
    <w:link w:val="Heading1Char"/>
    <w:uiPriority w:val="10"/>
    <w:qFormat/>
    <w:rsid w:val="008A4DD4"/>
    <w:pPr>
      <w:keepNext/>
      <w:widowControl/>
      <w:spacing w:before="600" w:after="240" w:line="360" w:lineRule="auto"/>
      <w:outlineLvl w:val="0"/>
    </w:pPr>
    <w:rPr>
      <w:rFonts w:ascii="Metropolis Black" w:eastAsia="Times New Roman" w:hAnsi="Metropolis Black" w:cs="Times New Roman"/>
      <w:b/>
      <w:color w:val="73AB6E"/>
      <w:sz w:val="66"/>
      <w:szCs w:val="24"/>
      <w:lang w:val="en-NZ"/>
    </w:rPr>
  </w:style>
  <w:style w:type="paragraph" w:styleId="Heading2">
    <w:name w:val="heading 2"/>
    <w:next w:val="BodyText"/>
    <w:link w:val="Heading2Char"/>
    <w:uiPriority w:val="5"/>
    <w:qFormat/>
    <w:rsid w:val="008A4DD4"/>
    <w:pPr>
      <w:keepNext/>
      <w:widowControl/>
      <w:spacing w:before="360" w:line="360" w:lineRule="auto"/>
      <w:outlineLvl w:val="1"/>
    </w:pPr>
    <w:rPr>
      <w:rFonts w:ascii="Metropolis" w:eastAsia="Times New Roman" w:hAnsi="Metropolis" w:cs="Times New Roman"/>
      <w:b/>
      <w:caps/>
      <w:color w:val="73AB6E"/>
      <w:szCs w:val="24"/>
      <w:lang w:val="en-NZ" w:eastAsia="en-AU"/>
    </w:rPr>
  </w:style>
  <w:style w:type="paragraph" w:styleId="Heading3">
    <w:name w:val="heading 3"/>
    <w:next w:val="BodyText"/>
    <w:link w:val="Heading3Char"/>
    <w:uiPriority w:val="5"/>
    <w:qFormat/>
    <w:rsid w:val="008A4DD4"/>
    <w:pPr>
      <w:keepNext/>
      <w:widowControl/>
      <w:spacing w:before="200" w:line="360" w:lineRule="auto"/>
      <w:outlineLvl w:val="2"/>
    </w:pPr>
    <w:rPr>
      <w:rFonts w:ascii="Metropolis" w:eastAsia="Times New Roman" w:hAnsi="Metropolis" w:cs="Times New Roman"/>
      <w:b/>
      <w:color w:val="73AB6E"/>
      <w:szCs w:val="24"/>
      <w:lang w:val="en-NZ" w:eastAsia="en-AU"/>
    </w:rPr>
  </w:style>
  <w:style w:type="paragraph" w:styleId="Heading4">
    <w:name w:val="heading 4"/>
    <w:next w:val="BodyText"/>
    <w:link w:val="Heading4Char"/>
    <w:uiPriority w:val="5"/>
    <w:qFormat/>
    <w:rsid w:val="008A4DD4"/>
    <w:pPr>
      <w:keepNext/>
      <w:widowControl/>
      <w:spacing w:before="200" w:line="360" w:lineRule="auto"/>
      <w:outlineLvl w:val="3"/>
    </w:pPr>
    <w:rPr>
      <w:rFonts w:ascii="Metropolis" w:eastAsia="Times New Roman" w:hAnsi="Metropolis" w:cs="Times New Roman"/>
      <w:b/>
      <w:i/>
      <w:color w:val="73AB6E"/>
      <w:sz w:val="20"/>
      <w:szCs w:val="24"/>
      <w:lang w:val="en-NZ" w:eastAsia="en-AU"/>
    </w:rPr>
  </w:style>
  <w:style w:type="paragraph" w:styleId="Heading5">
    <w:name w:val="heading 5"/>
    <w:basedOn w:val="Normal"/>
    <w:next w:val="Normal"/>
    <w:link w:val="Heading5Char"/>
    <w:uiPriority w:val="10"/>
    <w:qFormat/>
    <w:rsid w:val="008A4DD4"/>
    <w:pPr>
      <w:keepNext/>
      <w:spacing w:before="200"/>
      <w:outlineLvl w:val="4"/>
    </w:pPr>
    <w:rPr>
      <w:rFonts w:ascii="Metropolis" w:hAnsi="Metropolis"/>
      <w:color w:val="6BA539"/>
    </w:rPr>
  </w:style>
  <w:style w:type="paragraph" w:styleId="Heading6">
    <w:name w:val="heading 6"/>
    <w:link w:val="Heading6Char"/>
    <w:uiPriority w:val="10"/>
    <w:qFormat/>
    <w:rsid w:val="008A4DD4"/>
    <w:pPr>
      <w:keepNext/>
      <w:widowControl/>
      <w:shd w:val="clear" w:color="auto" w:fill="404040" w:themeFill="text1" w:themeFillTint="BF"/>
      <w:spacing w:before="200" w:line="360" w:lineRule="auto"/>
      <w:jc w:val="both"/>
      <w:outlineLvl w:val="5"/>
    </w:pPr>
    <w:rPr>
      <w:rFonts w:ascii="Metropolis" w:eastAsia="Times New Roman" w:hAnsi="Metropolis" w:cs="Times New Roman"/>
      <w:caps/>
      <w:color w:val="FFFFFF" w:themeColor="background1"/>
      <w:spacing w:val="24"/>
      <w:sz w:val="20"/>
      <w:lang w:val="en-NZ" w:eastAsia="en-AU"/>
    </w:rPr>
  </w:style>
  <w:style w:type="paragraph" w:styleId="Heading7">
    <w:name w:val="heading 7"/>
    <w:basedOn w:val="Normal"/>
    <w:next w:val="Normal"/>
    <w:link w:val="Heading7Char"/>
    <w:uiPriority w:val="10"/>
    <w:semiHidden/>
    <w:rsid w:val="008A4DD4"/>
    <w:pPr>
      <w:spacing w:before="240" w:after="60"/>
      <w:outlineLvl w:val="6"/>
    </w:pPr>
  </w:style>
  <w:style w:type="paragraph" w:styleId="Heading8">
    <w:name w:val="heading 8"/>
    <w:basedOn w:val="Normal"/>
    <w:next w:val="Normal"/>
    <w:link w:val="Heading8Char"/>
    <w:uiPriority w:val="10"/>
    <w:semiHidden/>
    <w:rsid w:val="008A4DD4"/>
    <w:pPr>
      <w:spacing w:before="240" w:after="60"/>
      <w:outlineLvl w:val="7"/>
    </w:pPr>
    <w:rPr>
      <w:i/>
      <w:iCs/>
    </w:rPr>
  </w:style>
  <w:style w:type="paragraph" w:styleId="Heading9">
    <w:name w:val="heading 9"/>
    <w:basedOn w:val="Normal"/>
    <w:next w:val="Normal"/>
    <w:link w:val="Heading9Char"/>
    <w:uiPriority w:val="10"/>
    <w:semiHidden/>
    <w:rsid w:val="008A4DD4"/>
    <w:pPr>
      <w:spacing w:before="240" w:after="60"/>
      <w:outlineLvl w:val="8"/>
    </w:pPr>
    <w:rPr>
      <w:rFonts w:ascii="Arial" w:hAnsi="Arial" w:cs="Arial"/>
    </w:rPr>
  </w:style>
  <w:style w:type="character" w:default="1" w:styleId="DefaultParagraphFont">
    <w:name w:val="Default Paragraph Font"/>
    <w:uiPriority w:val="1"/>
    <w:semiHidden/>
    <w:unhideWhenUsed/>
    <w:rsid w:val="008A4DD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A4DD4"/>
  </w:style>
  <w:style w:type="character" w:customStyle="1" w:styleId="Heading1Char">
    <w:name w:val="Heading 1 Char"/>
    <w:basedOn w:val="DefaultParagraphFont"/>
    <w:link w:val="Heading1"/>
    <w:uiPriority w:val="10"/>
    <w:rsid w:val="008A4DD4"/>
    <w:rPr>
      <w:rFonts w:ascii="Metropolis Black" w:eastAsia="Times New Roman" w:hAnsi="Metropolis Black" w:cs="Times New Roman"/>
      <w:b/>
      <w:color w:val="73AB6E"/>
      <w:sz w:val="66"/>
      <w:szCs w:val="24"/>
      <w:lang w:val="en-NZ"/>
    </w:rPr>
  </w:style>
  <w:style w:type="character" w:customStyle="1" w:styleId="Heading2Char">
    <w:name w:val="Heading 2 Char"/>
    <w:basedOn w:val="DefaultParagraphFont"/>
    <w:link w:val="Heading2"/>
    <w:uiPriority w:val="5"/>
    <w:rsid w:val="008A4DD4"/>
    <w:rPr>
      <w:rFonts w:ascii="Metropolis" w:eastAsia="Times New Roman" w:hAnsi="Metropolis" w:cs="Times New Roman"/>
      <w:b/>
      <w:caps/>
      <w:color w:val="73AB6E"/>
      <w:szCs w:val="24"/>
      <w:lang w:val="en-NZ" w:eastAsia="en-AU"/>
    </w:rPr>
  </w:style>
  <w:style w:type="character" w:customStyle="1" w:styleId="Heading3Char">
    <w:name w:val="Heading 3 Char"/>
    <w:basedOn w:val="DefaultParagraphFont"/>
    <w:link w:val="Heading3"/>
    <w:uiPriority w:val="5"/>
    <w:rsid w:val="008A4DD4"/>
    <w:rPr>
      <w:rFonts w:ascii="Metropolis" w:eastAsia="Times New Roman" w:hAnsi="Metropolis" w:cs="Times New Roman"/>
      <w:b/>
      <w:color w:val="73AB6E"/>
      <w:szCs w:val="24"/>
      <w:lang w:val="en-NZ" w:eastAsia="en-AU"/>
    </w:rPr>
  </w:style>
  <w:style w:type="character" w:customStyle="1" w:styleId="Heading4Char">
    <w:name w:val="Heading 4 Char"/>
    <w:basedOn w:val="DefaultParagraphFont"/>
    <w:link w:val="Heading4"/>
    <w:uiPriority w:val="5"/>
    <w:rsid w:val="008A4DD4"/>
    <w:rPr>
      <w:rFonts w:ascii="Metropolis" w:eastAsia="Times New Roman" w:hAnsi="Metropolis" w:cs="Times New Roman"/>
      <w:b/>
      <w:i/>
      <w:color w:val="73AB6E"/>
      <w:sz w:val="20"/>
      <w:szCs w:val="24"/>
      <w:lang w:val="en-NZ" w:eastAsia="en-AU"/>
    </w:rPr>
  </w:style>
  <w:style w:type="character" w:customStyle="1" w:styleId="Heading5Char">
    <w:name w:val="Heading 5 Char"/>
    <w:basedOn w:val="DefaultParagraphFont"/>
    <w:link w:val="Heading5"/>
    <w:uiPriority w:val="10"/>
    <w:rsid w:val="008A4DD4"/>
    <w:rPr>
      <w:rFonts w:ascii="Metropolis" w:eastAsiaTheme="minorHAnsi" w:hAnsi="Metropolis"/>
      <w:color w:val="6BA539"/>
      <w:sz w:val="20"/>
      <w:lang w:val="en-NZ"/>
    </w:rPr>
  </w:style>
  <w:style w:type="character" w:customStyle="1" w:styleId="Heading6Char">
    <w:name w:val="Heading 6 Char"/>
    <w:basedOn w:val="DefaultParagraphFont"/>
    <w:link w:val="Heading6"/>
    <w:uiPriority w:val="10"/>
    <w:rsid w:val="008A4DD4"/>
    <w:rPr>
      <w:rFonts w:ascii="Metropolis" w:eastAsia="Times New Roman" w:hAnsi="Metropolis" w:cs="Times New Roman"/>
      <w:caps/>
      <w:color w:val="FFFFFF" w:themeColor="background1"/>
      <w:spacing w:val="24"/>
      <w:sz w:val="20"/>
      <w:shd w:val="clear" w:color="auto" w:fill="404040" w:themeFill="text1" w:themeFillTint="BF"/>
      <w:lang w:val="en-NZ" w:eastAsia="en-AU"/>
    </w:rPr>
  </w:style>
  <w:style w:type="character" w:customStyle="1" w:styleId="Heading7Char">
    <w:name w:val="Heading 7 Char"/>
    <w:basedOn w:val="DefaultParagraphFont"/>
    <w:link w:val="Heading7"/>
    <w:uiPriority w:val="10"/>
    <w:semiHidden/>
    <w:rsid w:val="008A4DD4"/>
    <w:rPr>
      <w:rFonts w:ascii="Metropolis Light" w:eastAsiaTheme="minorHAnsi" w:hAnsi="Metropolis Light"/>
      <w:sz w:val="20"/>
      <w:lang w:val="en-NZ"/>
    </w:rPr>
  </w:style>
  <w:style w:type="character" w:customStyle="1" w:styleId="Heading8Char">
    <w:name w:val="Heading 8 Char"/>
    <w:basedOn w:val="DefaultParagraphFont"/>
    <w:link w:val="Heading8"/>
    <w:uiPriority w:val="10"/>
    <w:semiHidden/>
    <w:rsid w:val="008A4DD4"/>
    <w:rPr>
      <w:rFonts w:ascii="Metropolis Light" w:eastAsiaTheme="minorHAnsi" w:hAnsi="Metropolis Light"/>
      <w:i/>
      <w:iCs/>
      <w:sz w:val="20"/>
      <w:lang w:val="en-NZ"/>
    </w:rPr>
  </w:style>
  <w:style w:type="character" w:customStyle="1" w:styleId="Heading9Char">
    <w:name w:val="Heading 9 Char"/>
    <w:basedOn w:val="DefaultParagraphFont"/>
    <w:link w:val="Heading9"/>
    <w:uiPriority w:val="10"/>
    <w:semiHidden/>
    <w:rsid w:val="008A4DD4"/>
    <w:rPr>
      <w:rFonts w:ascii="Arial" w:eastAsiaTheme="minorHAnsi" w:hAnsi="Arial" w:cs="Arial"/>
      <w:sz w:val="20"/>
      <w:lang w:val="en-NZ"/>
    </w:rPr>
  </w:style>
  <w:style w:type="paragraph" w:styleId="BalloonText">
    <w:name w:val="Balloon Text"/>
    <w:basedOn w:val="Normal"/>
    <w:link w:val="BalloonTextChar1"/>
    <w:uiPriority w:val="99"/>
    <w:semiHidden/>
    <w:rsid w:val="008A4DD4"/>
    <w:rPr>
      <w:rFonts w:ascii="Tahoma" w:hAnsi="Tahoma" w:cs="Tahoma"/>
      <w:sz w:val="16"/>
      <w:szCs w:val="16"/>
    </w:rPr>
  </w:style>
  <w:style w:type="character" w:customStyle="1" w:styleId="BalloonTextChar">
    <w:name w:val="Balloon Text Char"/>
    <w:basedOn w:val="DefaultParagraphFont"/>
    <w:uiPriority w:val="99"/>
    <w:semiHidden/>
    <w:rsid w:val="008A4DD4"/>
    <w:rPr>
      <w:rFonts w:ascii="Lucida Grande" w:hAnsi="Lucida Grande"/>
      <w:sz w:val="18"/>
      <w:szCs w:val="18"/>
    </w:rPr>
  </w:style>
  <w:style w:type="character" w:customStyle="1" w:styleId="BalloonTextChar1">
    <w:name w:val="Balloon Text Char1"/>
    <w:basedOn w:val="DefaultParagraphFont"/>
    <w:link w:val="BalloonText"/>
    <w:uiPriority w:val="99"/>
    <w:semiHidden/>
    <w:rsid w:val="008A4DD4"/>
    <w:rPr>
      <w:rFonts w:ascii="Tahoma" w:eastAsiaTheme="minorHAnsi" w:hAnsi="Tahoma" w:cs="Tahoma"/>
      <w:sz w:val="16"/>
      <w:szCs w:val="16"/>
      <w:lang w:val="en-NZ"/>
    </w:rPr>
  </w:style>
  <w:style w:type="paragraph" w:styleId="Quote">
    <w:name w:val="Quote"/>
    <w:aliases w:val="Heading Four"/>
    <w:link w:val="QuoteChar"/>
    <w:uiPriority w:val="6"/>
    <w:qFormat/>
    <w:rsid w:val="008A4DD4"/>
    <w:pPr>
      <w:widowControl/>
      <w:numPr>
        <w:numId w:val="12"/>
      </w:numPr>
      <w:spacing w:before="80" w:after="80" w:line="360" w:lineRule="auto"/>
      <w:ind w:left="1134" w:firstLine="0"/>
      <w:jc w:val="both"/>
    </w:pPr>
    <w:rPr>
      <w:rFonts w:ascii="Metropolis Light" w:eastAsia="Times New Roman" w:hAnsi="Metropolis Light" w:cs="Times New Roman"/>
      <w:color w:val="0D0D0D" w:themeColor="text1" w:themeTint="F2"/>
      <w:sz w:val="18"/>
      <w:szCs w:val="24"/>
      <w:lang w:val="en-NZ" w:eastAsia="en-AU"/>
    </w:rPr>
  </w:style>
  <w:style w:type="character" w:customStyle="1" w:styleId="QuoteChar">
    <w:name w:val="Quote Char"/>
    <w:aliases w:val="Heading Four Char"/>
    <w:basedOn w:val="DefaultParagraphFont"/>
    <w:link w:val="Quote"/>
    <w:uiPriority w:val="6"/>
    <w:rsid w:val="008A4DD4"/>
    <w:rPr>
      <w:rFonts w:ascii="Metropolis Light" w:eastAsia="Times New Roman" w:hAnsi="Metropolis Light" w:cs="Times New Roman"/>
      <w:color w:val="0D0D0D" w:themeColor="text1" w:themeTint="F2"/>
      <w:sz w:val="18"/>
      <w:szCs w:val="24"/>
      <w:lang w:val="en-NZ" w:eastAsia="en-AU"/>
    </w:rPr>
  </w:style>
  <w:style w:type="paragraph" w:styleId="List3">
    <w:name w:val="List 3"/>
    <w:basedOn w:val="Normal"/>
    <w:uiPriority w:val="99"/>
    <w:semiHidden/>
    <w:rsid w:val="008A4DD4"/>
    <w:pPr>
      <w:ind w:left="849" w:hanging="283"/>
    </w:pPr>
  </w:style>
  <w:style w:type="paragraph" w:customStyle="1" w:styleId="InsideCoverTextspacebefore">
    <w:name w:val="Inside Cover Text space before"/>
    <w:basedOn w:val="InsideCoverText"/>
    <w:next w:val="InsideCoverText"/>
    <w:uiPriority w:val="22"/>
    <w:qFormat/>
    <w:rsid w:val="008A4DD4"/>
    <w:pPr>
      <w:spacing w:before="280"/>
    </w:pPr>
  </w:style>
  <w:style w:type="character" w:styleId="CommentReference">
    <w:name w:val="annotation reference"/>
    <w:basedOn w:val="DefaultParagraphFont"/>
    <w:uiPriority w:val="99"/>
    <w:rsid w:val="008A4DD4"/>
    <w:rPr>
      <w:sz w:val="16"/>
      <w:szCs w:val="16"/>
    </w:rPr>
  </w:style>
  <w:style w:type="paragraph" w:styleId="CommentText">
    <w:name w:val="annotation text"/>
    <w:basedOn w:val="Normal"/>
    <w:link w:val="CommentTextChar"/>
    <w:uiPriority w:val="99"/>
    <w:rsid w:val="008A4DD4"/>
    <w:rPr>
      <w:szCs w:val="20"/>
    </w:rPr>
  </w:style>
  <w:style w:type="character" w:customStyle="1" w:styleId="CommentTextChar">
    <w:name w:val="Comment Text Char"/>
    <w:basedOn w:val="DefaultParagraphFont"/>
    <w:link w:val="CommentText"/>
    <w:uiPriority w:val="99"/>
    <w:rsid w:val="008A4DD4"/>
    <w:rPr>
      <w:rFonts w:ascii="Metropolis Light" w:eastAsiaTheme="minorHAnsi" w:hAnsi="Metropolis Light"/>
      <w:sz w:val="20"/>
      <w:szCs w:val="20"/>
      <w:lang w:val="en-NZ"/>
    </w:rPr>
  </w:style>
  <w:style w:type="paragraph" w:customStyle="1" w:styleId="RecommendationText">
    <w:name w:val="Recommendation Text"/>
    <w:link w:val="RecommendationTextChar"/>
    <w:uiPriority w:val="11"/>
    <w:qFormat/>
    <w:rsid w:val="008A4DD4"/>
    <w:pPr>
      <w:widowControl/>
      <w:numPr>
        <w:numId w:val="1"/>
      </w:numPr>
      <w:shd w:val="clear" w:color="auto" w:fill="DFEFD1"/>
      <w:suppressAutoHyphens/>
      <w:autoSpaceDE w:val="0"/>
      <w:autoSpaceDN w:val="0"/>
      <w:adjustRightInd w:val="0"/>
      <w:spacing w:before="80" w:after="80" w:line="360" w:lineRule="auto"/>
      <w:jc w:val="both"/>
      <w:textAlignment w:val="center"/>
    </w:pPr>
    <w:rPr>
      <w:rFonts w:ascii="Metropolis Light" w:eastAsia="Times New Roman" w:hAnsi="Metropolis Light" w:cs="Times New Roman"/>
      <w:color w:val="262626" w:themeColor="text1" w:themeTint="D9"/>
      <w:sz w:val="20"/>
      <w:szCs w:val="20"/>
      <w:lang w:val="en-NZ"/>
    </w:rPr>
  </w:style>
  <w:style w:type="paragraph" w:customStyle="1" w:styleId="RecommendationText3">
    <w:name w:val="Recommendation Text 3"/>
    <w:basedOn w:val="RecommendationText"/>
    <w:uiPriority w:val="12"/>
    <w:qFormat/>
    <w:rsid w:val="008A4DD4"/>
    <w:pPr>
      <w:numPr>
        <w:ilvl w:val="2"/>
      </w:numPr>
    </w:pPr>
  </w:style>
  <w:style w:type="paragraph" w:styleId="Footer">
    <w:name w:val="footer"/>
    <w:basedOn w:val="Normal"/>
    <w:link w:val="FooterChar"/>
    <w:uiPriority w:val="58"/>
    <w:unhideWhenUsed/>
    <w:rsid w:val="008A4DD4"/>
    <w:pPr>
      <w:tabs>
        <w:tab w:val="center" w:pos="4536"/>
        <w:tab w:val="right" w:pos="9072"/>
      </w:tabs>
    </w:pPr>
  </w:style>
  <w:style w:type="character" w:customStyle="1" w:styleId="FooterChar">
    <w:name w:val="Footer Char"/>
    <w:basedOn w:val="DefaultParagraphFont"/>
    <w:link w:val="Footer"/>
    <w:uiPriority w:val="58"/>
    <w:rsid w:val="008A4DD4"/>
    <w:rPr>
      <w:rFonts w:ascii="Metropolis Light" w:eastAsiaTheme="minorHAnsi" w:hAnsi="Metropolis Light"/>
      <w:sz w:val="20"/>
      <w:lang w:val="en-NZ"/>
    </w:rPr>
  </w:style>
  <w:style w:type="character" w:styleId="FootnoteReference">
    <w:name w:val="footnote reference"/>
    <w:aliases w:val="4_G,(NECG) Footnote Reference,(NECG) Footnote Reference1,(NECG) Footnote Reference2,o,Footnote Reference 1,Footnote Refernece,Footnote number,Footnotes refss,16 Point,Superscript 6 Point"/>
    <w:basedOn w:val="DefaultParagraphFont"/>
    <w:rsid w:val="008A4DD4"/>
    <w:rPr>
      <w:rFonts w:ascii="Metropolis Light" w:hAnsi="Metropolis Light"/>
      <w:color w:val="262626" w:themeColor="text1" w:themeTint="D9"/>
      <w:sz w:val="18"/>
      <w:vertAlign w:val="superscript"/>
    </w:rPr>
  </w:style>
  <w:style w:type="paragraph" w:styleId="FootnoteText">
    <w:name w:val="footnote text"/>
    <w:aliases w:val="FN,Footnote Text Char1 Char,Footnote Text Char Char1,Footnote Text Char1 Char Char Char,Footnote Text Char1 Char Char1,Footnote Text Char Char Char,Footnote Text Char1 Char1 Char,5_G,Char,FA Fu,Note de bas de page2,Текст сноски Знак"/>
    <w:link w:val="FootnoteTextChar"/>
    <w:qFormat/>
    <w:rsid w:val="008A4DD4"/>
    <w:pPr>
      <w:widowControl/>
      <w:spacing w:before="57" w:after="57" w:line="360" w:lineRule="auto"/>
      <w:ind w:left="709" w:hanging="454"/>
      <w:jc w:val="both"/>
    </w:pPr>
    <w:rPr>
      <w:rFonts w:ascii="Metropolis Light" w:eastAsia="Times New Roman" w:hAnsi="Metropolis Light" w:cs="Times New Roman"/>
      <w:color w:val="0D0D0D" w:themeColor="text1" w:themeTint="F2"/>
      <w:sz w:val="15"/>
      <w:szCs w:val="20"/>
      <w:lang w:val="en-NZ"/>
    </w:rPr>
  </w:style>
  <w:style w:type="character" w:customStyle="1" w:styleId="FootnoteTextChar">
    <w:name w:val="Footnote Text Char"/>
    <w:aliases w:val="FN Char,Footnote Text Char1 Char Char,Footnote Text Char Char1 Char,Footnote Text Char1 Char Char Char Char,Footnote Text Char1 Char Char1 Char,Footnote Text Char Char Char Char,Footnote Text Char1 Char1 Char Char,5_G Char,Char Char"/>
    <w:basedOn w:val="DefaultParagraphFont"/>
    <w:link w:val="FootnoteText"/>
    <w:rsid w:val="008A4DD4"/>
    <w:rPr>
      <w:rFonts w:ascii="Metropolis Light" w:eastAsia="Times New Roman" w:hAnsi="Metropolis Light" w:cs="Times New Roman"/>
      <w:color w:val="0D0D0D" w:themeColor="text1" w:themeTint="F2"/>
      <w:sz w:val="15"/>
      <w:szCs w:val="20"/>
      <w:lang w:val="en-NZ"/>
    </w:rPr>
  </w:style>
  <w:style w:type="paragraph" w:styleId="Header">
    <w:name w:val="header"/>
    <w:basedOn w:val="Normal"/>
    <w:link w:val="HeaderChar"/>
    <w:uiPriority w:val="99"/>
    <w:unhideWhenUsed/>
    <w:rsid w:val="008A4DD4"/>
    <w:pPr>
      <w:tabs>
        <w:tab w:val="center" w:pos="4536"/>
        <w:tab w:val="right" w:pos="9072"/>
      </w:tabs>
    </w:pPr>
    <w:rPr>
      <w:color w:val="262626" w:themeColor="text1" w:themeTint="D9"/>
      <w:sz w:val="13"/>
    </w:rPr>
  </w:style>
  <w:style w:type="character" w:customStyle="1" w:styleId="HeaderChar">
    <w:name w:val="Header Char"/>
    <w:basedOn w:val="DefaultParagraphFont"/>
    <w:link w:val="Header"/>
    <w:uiPriority w:val="99"/>
    <w:rsid w:val="008A4DD4"/>
    <w:rPr>
      <w:rFonts w:ascii="Metropolis Light" w:eastAsiaTheme="minorHAnsi" w:hAnsi="Metropolis Light"/>
      <w:color w:val="262626" w:themeColor="text1" w:themeTint="D9"/>
      <w:sz w:val="13"/>
      <w:lang w:val="en-NZ"/>
    </w:rPr>
  </w:style>
  <w:style w:type="paragraph" w:customStyle="1" w:styleId="ListRomanNumeral">
    <w:name w:val="List Roman Numeral"/>
    <w:uiPriority w:val="4"/>
    <w:qFormat/>
    <w:rsid w:val="008A4DD4"/>
    <w:pPr>
      <w:widowControl/>
      <w:numPr>
        <w:numId w:val="11"/>
      </w:numPr>
      <w:spacing w:before="80" w:after="80" w:line="360" w:lineRule="auto"/>
    </w:pPr>
    <w:rPr>
      <w:rFonts w:ascii="Metropolis Light" w:eastAsia="Times New Roman" w:hAnsi="Metropolis Light" w:cs="Times New Roman"/>
      <w:color w:val="0D0D0D" w:themeColor="text1" w:themeTint="F2"/>
      <w:sz w:val="20"/>
      <w:szCs w:val="24"/>
      <w:lang w:val="en-NZ" w:eastAsia="en-AU"/>
    </w:rPr>
  </w:style>
  <w:style w:type="character" w:customStyle="1" w:styleId="QuoteBulletChar">
    <w:name w:val="Quote Bullet Char"/>
    <w:basedOn w:val="QuoteChar"/>
    <w:link w:val="QuoteBullet"/>
    <w:uiPriority w:val="7"/>
    <w:rsid w:val="008A4DD4"/>
    <w:rPr>
      <w:rFonts w:ascii="Metropolis Light" w:eastAsia="Times New Roman" w:hAnsi="Metropolis Light" w:cs="Times New Roman"/>
      <w:color w:val="0D0D0D" w:themeColor="text1" w:themeTint="F2"/>
      <w:sz w:val="18"/>
      <w:szCs w:val="24"/>
      <w:lang w:val="en-NZ" w:eastAsia="en-AU"/>
    </w:rPr>
  </w:style>
  <w:style w:type="paragraph" w:customStyle="1" w:styleId="InsideCoverTextGreen">
    <w:name w:val="Inside Cover Text Green"/>
    <w:basedOn w:val="InsideCoverText"/>
    <w:uiPriority w:val="23"/>
    <w:qFormat/>
    <w:rsid w:val="008A4DD4"/>
    <w:pPr>
      <w:spacing w:before="280"/>
    </w:pPr>
    <w:rPr>
      <w:color w:val="6BA539"/>
    </w:rPr>
  </w:style>
  <w:style w:type="paragraph" w:styleId="List4">
    <w:name w:val="List 4"/>
    <w:basedOn w:val="Normal"/>
    <w:uiPriority w:val="99"/>
    <w:semiHidden/>
    <w:rsid w:val="008A4DD4"/>
    <w:pPr>
      <w:ind w:left="1132" w:hanging="283"/>
    </w:pPr>
  </w:style>
  <w:style w:type="paragraph" w:styleId="ListBullet">
    <w:name w:val="List Bullet"/>
    <w:uiPriority w:val="4"/>
    <w:qFormat/>
    <w:rsid w:val="008A4DD4"/>
    <w:pPr>
      <w:widowControl/>
      <w:numPr>
        <w:numId w:val="3"/>
      </w:numPr>
      <w:spacing w:before="80" w:after="80" w:line="360" w:lineRule="auto"/>
      <w:ind w:right="284"/>
      <w:jc w:val="both"/>
    </w:pPr>
    <w:rPr>
      <w:rFonts w:ascii="Metropolis Light" w:eastAsia="Times New Roman" w:hAnsi="Metropolis Light" w:cs="Times New Roman"/>
      <w:color w:val="0D0D0D" w:themeColor="text1" w:themeTint="F2"/>
      <w:sz w:val="20"/>
      <w:szCs w:val="24"/>
      <w:lang w:val="en-NZ" w:eastAsia="en-AU"/>
    </w:rPr>
  </w:style>
  <w:style w:type="paragraph" w:styleId="ListBullet2">
    <w:name w:val="List Bullet 2"/>
    <w:basedOn w:val="ListBullet"/>
    <w:uiPriority w:val="4"/>
    <w:rsid w:val="008A4DD4"/>
    <w:pPr>
      <w:numPr>
        <w:ilvl w:val="1"/>
      </w:numPr>
    </w:pPr>
  </w:style>
  <w:style w:type="paragraph" w:styleId="ListBullet3">
    <w:name w:val="List Bullet 3"/>
    <w:basedOn w:val="ListBullet2"/>
    <w:uiPriority w:val="4"/>
    <w:rsid w:val="008A4DD4"/>
    <w:pPr>
      <w:numPr>
        <w:ilvl w:val="2"/>
      </w:numPr>
    </w:pPr>
  </w:style>
  <w:style w:type="paragraph" w:styleId="ListBullet4">
    <w:name w:val="List Bullet 4"/>
    <w:basedOn w:val="ListBullet3"/>
    <w:uiPriority w:val="4"/>
    <w:semiHidden/>
    <w:rsid w:val="008A4DD4"/>
    <w:pPr>
      <w:numPr>
        <w:ilvl w:val="3"/>
      </w:numPr>
    </w:pPr>
  </w:style>
  <w:style w:type="paragraph" w:styleId="ListContinue">
    <w:name w:val="List Continue"/>
    <w:basedOn w:val="Normal"/>
    <w:uiPriority w:val="99"/>
    <w:semiHidden/>
    <w:rsid w:val="008A4DD4"/>
    <w:pPr>
      <w:numPr>
        <w:ilvl w:val="1"/>
        <w:numId w:val="2"/>
      </w:numPr>
    </w:pPr>
  </w:style>
  <w:style w:type="paragraph" w:styleId="ListContinue2">
    <w:name w:val="List Continue 2"/>
    <w:basedOn w:val="Normal"/>
    <w:uiPriority w:val="99"/>
    <w:semiHidden/>
    <w:rsid w:val="008A4DD4"/>
    <w:pPr>
      <w:ind w:left="566"/>
    </w:pPr>
  </w:style>
  <w:style w:type="paragraph" w:styleId="ListContinue3">
    <w:name w:val="List Continue 3"/>
    <w:basedOn w:val="Normal"/>
    <w:uiPriority w:val="99"/>
    <w:rsid w:val="008A4DD4"/>
    <w:pPr>
      <w:ind w:left="849"/>
    </w:pPr>
  </w:style>
  <w:style w:type="paragraph" w:styleId="ListContinue4">
    <w:name w:val="List Continue 4"/>
    <w:basedOn w:val="Normal"/>
    <w:uiPriority w:val="99"/>
    <w:semiHidden/>
    <w:rsid w:val="008A4DD4"/>
    <w:pPr>
      <w:ind w:left="1132"/>
    </w:pPr>
  </w:style>
  <w:style w:type="paragraph" w:styleId="ListContinue5">
    <w:name w:val="List Continue 5"/>
    <w:basedOn w:val="Normal"/>
    <w:uiPriority w:val="99"/>
    <w:semiHidden/>
    <w:rsid w:val="008A4DD4"/>
    <w:pPr>
      <w:ind w:left="1415"/>
    </w:pPr>
  </w:style>
  <w:style w:type="paragraph" w:styleId="ListNumber2">
    <w:name w:val="List Number 2"/>
    <w:basedOn w:val="ListNumber"/>
    <w:uiPriority w:val="4"/>
    <w:semiHidden/>
    <w:rsid w:val="008A4DD4"/>
    <w:pPr>
      <w:numPr>
        <w:ilvl w:val="1"/>
      </w:numPr>
    </w:pPr>
  </w:style>
  <w:style w:type="paragraph" w:styleId="ListNumber3">
    <w:name w:val="List Number 3"/>
    <w:basedOn w:val="ListNumber"/>
    <w:uiPriority w:val="4"/>
    <w:semiHidden/>
    <w:rsid w:val="008A4DD4"/>
    <w:pPr>
      <w:numPr>
        <w:ilvl w:val="2"/>
      </w:numPr>
    </w:pPr>
  </w:style>
  <w:style w:type="paragraph" w:styleId="ListNumber4">
    <w:name w:val="List Number 4"/>
    <w:basedOn w:val="ListNumber3"/>
    <w:uiPriority w:val="4"/>
    <w:semiHidden/>
    <w:rsid w:val="008A4DD4"/>
    <w:pPr>
      <w:numPr>
        <w:ilvl w:val="3"/>
      </w:numPr>
    </w:pPr>
  </w:style>
  <w:style w:type="paragraph" w:styleId="ListNumber5">
    <w:name w:val="List Number 5"/>
    <w:basedOn w:val="ListNumber3"/>
    <w:uiPriority w:val="4"/>
    <w:semiHidden/>
    <w:rsid w:val="008A4DD4"/>
    <w:pPr>
      <w:numPr>
        <w:ilvl w:val="4"/>
      </w:numPr>
    </w:pPr>
  </w:style>
  <w:style w:type="paragraph" w:customStyle="1" w:styleId="RecommendationQuote">
    <w:name w:val="Recommendation Quote"/>
    <w:basedOn w:val="RecommendationText2"/>
    <w:uiPriority w:val="14"/>
    <w:qFormat/>
    <w:rsid w:val="008A4DD4"/>
    <w:pPr>
      <w:spacing w:before="100" w:after="100"/>
    </w:pPr>
    <w:rPr>
      <w:i/>
    </w:rPr>
  </w:style>
  <w:style w:type="paragraph" w:customStyle="1" w:styleId="PartAppendicesHeading">
    <w:name w:val="Part/Appendices Heading"/>
    <w:next w:val="Heading1"/>
    <w:uiPriority w:val="10"/>
    <w:qFormat/>
    <w:rsid w:val="008A4DD4"/>
    <w:pPr>
      <w:keepNext/>
      <w:widowControl/>
      <w:spacing w:after="500" w:line="760" w:lineRule="atLeast"/>
    </w:pPr>
    <w:rPr>
      <w:rFonts w:ascii="Metropolis" w:eastAsia="Times New Roman" w:hAnsi="Metropolis" w:cs="Times New Roman"/>
      <w:b/>
      <w:caps/>
      <w:color w:val="003300"/>
      <w:spacing w:val="2"/>
      <w:sz w:val="50"/>
      <w:szCs w:val="24"/>
      <w:lang w:val="en-NZ" w:eastAsia="en-AU"/>
    </w:rPr>
  </w:style>
  <w:style w:type="paragraph" w:customStyle="1" w:styleId="RecommendationText2">
    <w:name w:val="Recommendation Text 2"/>
    <w:basedOn w:val="RecommendationText"/>
    <w:uiPriority w:val="12"/>
    <w:qFormat/>
    <w:rsid w:val="008A4DD4"/>
    <w:pPr>
      <w:numPr>
        <w:ilvl w:val="1"/>
      </w:numPr>
    </w:pPr>
  </w:style>
  <w:style w:type="paragraph" w:customStyle="1" w:styleId="RecommendationBullet">
    <w:name w:val="Recommendation Bullet"/>
    <w:basedOn w:val="RecommendationText2"/>
    <w:uiPriority w:val="15"/>
    <w:qFormat/>
    <w:rsid w:val="008A4DD4"/>
    <w:pPr>
      <w:numPr>
        <w:ilvl w:val="0"/>
        <w:numId w:val="0"/>
      </w:numPr>
    </w:pPr>
  </w:style>
  <w:style w:type="paragraph" w:customStyle="1" w:styleId="QuoteBullet">
    <w:name w:val="Quote Bullet"/>
    <w:basedOn w:val="Quote"/>
    <w:link w:val="QuoteBulletChar"/>
    <w:uiPriority w:val="7"/>
    <w:qFormat/>
    <w:rsid w:val="008A4DD4"/>
    <w:pPr>
      <w:numPr>
        <w:numId w:val="4"/>
      </w:numPr>
    </w:pPr>
  </w:style>
  <w:style w:type="paragraph" w:customStyle="1" w:styleId="QuoteBullet2">
    <w:name w:val="Quote Bullet 2"/>
    <w:basedOn w:val="QuoteBullet"/>
    <w:uiPriority w:val="7"/>
    <w:rsid w:val="008A4DD4"/>
    <w:pPr>
      <w:numPr>
        <w:ilvl w:val="1"/>
      </w:numPr>
    </w:pPr>
  </w:style>
  <w:style w:type="paragraph" w:customStyle="1" w:styleId="QuoteBullet3">
    <w:name w:val="Quote Bullet 3"/>
    <w:basedOn w:val="QuoteBullet"/>
    <w:uiPriority w:val="7"/>
    <w:rsid w:val="008A4DD4"/>
    <w:pPr>
      <w:numPr>
        <w:ilvl w:val="2"/>
      </w:numPr>
    </w:pPr>
  </w:style>
  <w:style w:type="paragraph" w:customStyle="1" w:styleId="RecommendationBullet2">
    <w:name w:val="Recommendation Bullet 2"/>
    <w:basedOn w:val="RecommendationBullet"/>
    <w:uiPriority w:val="15"/>
    <w:qFormat/>
    <w:rsid w:val="008A4DD4"/>
    <w:pPr>
      <w:numPr>
        <w:ilvl w:val="1"/>
      </w:numPr>
    </w:pPr>
  </w:style>
  <w:style w:type="paragraph" w:styleId="TOC1">
    <w:name w:val="toc 1"/>
    <w:basedOn w:val="Normal"/>
    <w:next w:val="Normal"/>
    <w:uiPriority w:val="39"/>
    <w:unhideWhenUsed/>
    <w:qFormat/>
    <w:rsid w:val="008A4DD4"/>
    <w:pPr>
      <w:tabs>
        <w:tab w:val="right" w:leader="dot" w:pos="9061"/>
      </w:tabs>
      <w:spacing w:before="200"/>
      <w:ind w:right="340"/>
    </w:pPr>
    <w:rPr>
      <w:b/>
      <w:color w:val="6BA539"/>
    </w:rPr>
  </w:style>
  <w:style w:type="paragraph" w:styleId="TOC2">
    <w:name w:val="toc 2"/>
    <w:basedOn w:val="TOC3"/>
    <w:next w:val="Normal"/>
    <w:uiPriority w:val="39"/>
    <w:unhideWhenUsed/>
    <w:qFormat/>
    <w:rsid w:val="008A4DD4"/>
    <w:pPr>
      <w:spacing w:after="0"/>
      <w:ind w:left="567"/>
    </w:pPr>
  </w:style>
  <w:style w:type="paragraph" w:styleId="TOC3">
    <w:name w:val="toc 3"/>
    <w:basedOn w:val="Normal"/>
    <w:next w:val="Normal"/>
    <w:uiPriority w:val="39"/>
    <w:unhideWhenUsed/>
    <w:qFormat/>
    <w:rsid w:val="008A4DD4"/>
    <w:pPr>
      <w:tabs>
        <w:tab w:val="right" w:leader="dot" w:pos="9072"/>
      </w:tabs>
      <w:ind w:right="340"/>
    </w:pPr>
  </w:style>
  <w:style w:type="paragraph" w:styleId="NoSpacing">
    <w:name w:val="No Spacing"/>
    <w:uiPriority w:val="99"/>
    <w:rsid w:val="008A4DD4"/>
    <w:pPr>
      <w:widowControl/>
      <w:spacing w:after="0" w:line="240" w:lineRule="auto"/>
    </w:pPr>
    <w:rPr>
      <w:rFonts w:eastAsia="Times New Roman" w:cs="Times New Roman"/>
      <w:sz w:val="24"/>
      <w:szCs w:val="24"/>
      <w:lang w:val="en-NZ" w:eastAsia="en-AU"/>
    </w:rPr>
  </w:style>
  <w:style w:type="paragraph" w:customStyle="1" w:styleId="RecommendationBullet3">
    <w:name w:val="Recommendation Bullet 3"/>
    <w:basedOn w:val="RecommendationBullet"/>
    <w:uiPriority w:val="15"/>
    <w:qFormat/>
    <w:rsid w:val="008A4DD4"/>
    <w:pPr>
      <w:numPr>
        <w:ilvl w:val="2"/>
      </w:numPr>
    </w:pPr>
  </w:style>
  <w:style w:type="paragraph" w:customStyle="1" w:styleId="RecommendationText4">
    <w:name w:val="Recommendation Text 4"/>
    <w:basedOn w:val="RecommendationText3"/>
    <w:uiPriority w:val="13"/>
    <w:qFormat/>
    <w:rsid w:val="008A4DD4"/>
    <w:pPr>
      <w:numPr>
        <w:ilvl w:val="3"/>
      </w:numPr>
    </w:pPr>
  </w:style>
  <w:style w:type="paragraph" w:customStyle="1" w:styleId="RecommendationText5">
    <w:name w:val="Recommendation Text 5"/>
    <w:basedOn w:val="RecommendationText4"/>
    <w:uiPriority w:val="13"/>
    <w:qFormat/>
    <w:rsid w:val="008A4DD4"/>
    <w:pPr>
      <w:numPr>
        <w:ilvl w:val="4"/>
      </w:numPr>
    </w:pPr>
  </w:style>
  <w:style w:type="paragraph" w:customStyle="1" w:styleId="QuestionText">
    <w:name w:val="Question Text"/>
    <w:basedOn w:val="RecommendationText"/>
    <w:link w:val="QuestionTextChar"/>
    <w:uiPriority w:val="16"/>
    <w:qFormat/>
    <w:rsid w:val="008A4DD4"/>
    <w:pPr>
      <w:numPr>
        <w:numId w:val="5"/>
      </w:numPr>
    </w:pPr>
    <w:rPr>
      <w:lang w:val="en-US" w:eastAsia="en-AU"/>
    </w:rPr>
  </w:style>
  <w:style w:type="paragraph" w:customStyle="1" w:styleId="CommentsText">
    <w:name w:val="Comments Text"/>
    <w:basedOn w:val="RecommendationText"/>
    <w:uiPriority w:val="17"/>
    <w:qFormat/>
    <w:rsid w:val="008A4DD4"/>
    <w:pPr>
      <w:numPr>
        <w:numId w:val="6"/>
      </w:numPr>
    </w:pPr>
    <w:rPr>
      <w:lang w:eastAsia="en-AU"/>
    </w:rPr>
  </w:style>
  <w:style w:type="paragraph" w:customStyle="1" w:styleId="ReferenceText">
    <w:name w:val="Reference Text"/>
    <w:uiPriority w:val="8"/>
    <w:qFormat/>
    <w:rsid w:val="008A4DD4"/>
    <w:pPr>
      <w:widowControl/>
      <w:spacing w:before="60" w:after="60" w:line="260" w:lineRule="atLeast"/>
      <w:ind w:left="113"/>
    </w:pPr>
    <w:rPr>
      <w:rFonts w:ascii="Calibri" w:eastAsia="Times New Roman" w:hAnsi="Calibri" w:cstheme="majorHAnsi"/>
      <w:color w:val="6BA539"/>
      <w:sz w:val="16"/>
      <w:szCs w:val="16"/>
      <w:lang w:val="en-NZ" w:eastAsia="en-AU"/>
    </w:rPr>
  </w:style>
  <w:style w:type="table" w:customStyle="1" w:styleId="LCTable">
    <w:name w:val="LC Table"/>
    <w:basedOn w:val="TableNormal"/>
    <w:uiPriority w:val="99"/>
    <w:rsid w:val="008A4DD4"/>
    <w:pPr>
      <w:widowControl/>
      <w:spacing w:before="60" w:after="60" w:line="260" w:lineRule="atLeast"/>
    </w:pPr>
    <w:rPr>
      <w:rFonts w:ascii="Calibri" w:eastAsia="Times New Roman" w:hAnsi="Calibri" w:cs="Times New Roman"/>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1F497D" w:themeColor="text2"/>
      </w:rPr>
      <w:tblPr/>
      <w:tcPr>
        <w:tcBorders>
          <w:top w:val="nil"/>
          <w:left w:val="nil"/>
          <w:bottom w:val="nil"/>
          <w:right w:val="nil"/>
          <w:insideH w:val="nil"/>
          <w:insideV w:val="nil"/>
          <w:tl2br w:val="nil"/>
          <w:tr2bl w:val="nil"/>
        </w:tcBorders>
      </w:tcPr>
    </w:tblStylePr>
    <w:tblStylePr w:type="lastCol">
      <w:rPr>
        <w:b w:val="0"/>
      </w:rPr>
    </w:tblStylePr>
  </w:style>
  <w:style w:type="paragraph" w:customStyle="1" w:styleId="Summaryboxtitle">
    <w:name w:val="Summary box title"/>
    <w:next w:val="Summaryboxtext"/>
    <w:uiPriority w:val="8"/>
    <w:qFormat/>
    <w:rsid w:val="008A4DD4"/>
    <w:pPr>
      <w:keepNext/>
      <w:widowControl/>
      <w:pBdr>
        <w:top w:val="single" w:sz="18" w:space="7" w:color="6BA539"/>
      </w:pBdr>
      <w:suppressAutoHyphens/>
      <w:kinsoku w:val="0"/>
      <w:adjustRightInd w:val="0"/>
      <w:spacing w:before="240" w:after="170" w:line="280" w:lineRule="atLeast"/>
      <w:jc w:val="both"/>
    </w:pPr>
    <w:rPr>
      <w:rFonts w:ascii="Calibri" w:eastAsia="Times New Roman" w:hAnsi="Calibri" w:cs="Times New Roman"/>
      <w:b/>
      <w:caps/>
      <w:color w:val="6BA539"/>
      <w:spacing w:val="14"/>
      <w:sz w:val="20"/>
      <w:szCs w:val="20"/>
      <w:lang w:val="en-NZ" w:eastAsia="en-AU"/>
    </w:rPr>
  </w:style>
  <w:style w:type="paragraph" w:customStyle="1" w:styleId="Summaryboxtext">
    <w:name w:val="Summary box text"/>
    <w:uiPriority w:val="9"/>
    <w:qFormat/>
    <w:rsid w:val="008A4DD4"/>
    <w:pPr>
      <w:widowControl/>
      <w:pBdr>
        <w:bottom w:val="single" w:sz="18" w:space="11" w:color="6BA539"/>
      </w:pBdr>
      <w:suppressAutoHyphens/>
      <w:kinsoku w:val="0"/>
      <w:adjustRightInd w:val="0"/>
      <w:spacing w:before="170" w:after="400" w:line="280" w:lineRule="atLeast"/>
      <w:jc w:val="both"/>
    </w:pPr>
    <w:rPr>
      <w:rFonts w:ascii="Calibri" w:eastAsia="Times New Roman" w:hAnsi="Calibri" w:cs="Times New Roman"/>
      <w:color w:val="6BA539"/>
      <w:sz w:val="20"/>
      <w:szCs w:val="20"/>
      <w:lang w:val="en-NZ" w:eastAsia="en-AU"/>
    </w:rPr>
  </w:style>
  <w:style w:type="paragraph" w:styleId="Caption">
    <w:name w:val="caption"/>
    <w:basedOn w:val="Normal"/>
    <w:next w:val="Normal"/>
    <w:uiPriority w:val="8"/>
    <w:unhideWhenUsed/>
    <w:rsid w:val="008A4DD4"/>
    <w:pPr>
      <w:spacing w:before="120"/>
      <w:jc w:val="both"/>
    </w:pPr>
    <w:rPr>
      <w:rFonts w:ascii="Metropolis" w:hAnsi="Metropolis"/>
      <w:b/>
      <w:bCs/>
      <w:color w:val="262626" w:themeColor="text1" w:themeTint="D9"/>
      <w:sz w:val="18"/>
      <w:szCs w:val="18"/>
    </w:rPr>
  </w:style>
  <w:style w:type="character" w:customStyle="1" w:styleId="TableSubheadingWhite">
    <w:name w:val="Table Subheading White"/>
    <w:basedOn w:val="DefaultParagraphFont"/>
    <w:uiPriority w:val="1"/>
    <w:qFormat/>
    <w:rsid w:val="008A4DD4"/>
    <w:rPr>
      <w:rFonts w:ascii="Metropolis" w:hAnsi="Metropolis"/>
      <w:caps/>
      <w:color w:val="0D0D0D" w:themeColor="text1" w:themeTint="F2"/>
      <w:sz w:val="18"/>
    </w:rPr>
  </w:style>
  <w:style w:type="paragraph" w:customStyle="1" w:styleId="TableSubheadingGreen">
    <w:name w:val="Table Subheading Green"/>
    <w:basedOn w:val="Normal"/>
    <w:uiPriority w:val="8"/>
    <w:qFormat/>
    <w:rsid w:val="008A4DD4"/>
    <w:rPr>
      <w:b/>
      <w:color w:val="6BA539"/>
    </w:rPr>
  </w:style>
  <w:style w:type="character" w:styleId="Hyperlink">
    <w:name w:val="Hyperlink"/>
    <w:basedOn w:val="DefaultParagraphFont"/>
    <w:uiPriority w:val="99"/>
    <w:unhideWhenUsed/>
    <w:rsid w:val="008A4DD4"/>
    <w:rPr>
      <w:color w:val="74B230"/>
      <w:u w:val="single"/>
    </w:rPr>
  </w:style>
  <w:style w:type="paragraph" w:styleId="BodyTextIndent3">
    <w:name w:val="Body Text Indent 3"/>
    <w:basedOn w:val="Normal"/>
    <w:link w:val="BodyTextIndent3Char"/>
    <w:uiPriority w:val="2"/>
    <w:semiHidden/>
    <w:rsid w:val="008A4DD4"/>
    <w:pPr>
      <w:ind w:left="283"/>
    </w:pPr>
    <w:rPr>
      <w:sz w:val="16"/>
      <w:szCs w:val="16"/>
    </w:rPr>
  </w:style>
  <w:style w:type="character" w:customStyle="1" w:styleId="BodyTextIndent3Char">
    <w:name w:val="Body Text Indent 3 Char"/>
    <w:basedOn w:val="DefaultParagraphFont"/>
    <w:link w:val="BodyTextIndent3"/>
    <w:uiPriority w:val="2"/>
    <w:semiHidden/>
    <w:rsid w:val="008A4DD4"/>
    <w:rPr>
      <w:rFonts w:ascii="Metropolis Light" w:eastAsiaTheme="minorHAnsi" w:hAnsi="Metropolis Light"/>
      <w:sz w:val="16"/>
      <w:szCs w:val="16"/>
      <w:lang w:val="en-NZ"/>
    </w:rPr>
  </w:style>
  <w:style w:type="paragraph" w:styleId="BodyTextIndent2">
    <w:name w:val="Body Text Indent 2"/>
    <w:basedOn w:val="BodyText2"/>
    <w:link w:val="BodyTextIndent2Char"/>
    <w:uiPriority w:val="1"/>
    <w:qFormat/>
    <w:rsid w:val="008A4DD4"/>
    <w:pPr>
      <w:numPr>
        <w:ilvl w:val="4"/>
      </w:numPr>
    </w:pPr>
  </w:style>
  <w:style w:type="character" w:customStyle="1" w:styleId="BodyTextIndent2Char">
    <w:name w:val="Body Text Indent 2 Char"/>
    <w:basedOn w:val="DefaultParagraphFont"/>
    <w:link w:val="BodyTextIndent2"/>
    <w:uiPriority w:val="1"/>
    <w:rsid w:val="008A4DD4"/>
    <w:rPr>
      <w:rFonts w:ascii="Metropolis Light" w:eastAsia="Times New Roman" w:hAnsi="Metropolis Light" w:cs="Times New Roman"/>
      <w:color w:val="0D0D0D" w:themeColor="text1" w:themeTint="F2"/>
      <w:sz w:val="20"/>
      <w:szCs w:val="24"/>
      <w:lang w:val="en-NZ" w:eastAsia="en-AU"/>
    </w:rPr>
  </w:style>
  <w:style w:type="numbering" w:styleId="111111">
    <w:name w:val="Outline List 2"/>
    <w:basedOn w:val="NoList"/>
    <w:semiHidden/>
    <w:rsid w:val="008A4DD4"/>
    <w:pPr>
      <w:numPr>
        <w:numId w:val="16"/>
      </w:numPr>
    </w:pPr>
  </w:style>
  <w:style w:type="numbering" w:styleId="1ai">
    <w:name w:val="Outline List 1"/>
    <w:basedOn w:val="NoList"/>
    <w:semiHidden/>
    <w:rsid w:val="008A4DD4"/>
    <w:pPr>
      <w:numPr>
        <w:numId w:val="18"/>
      </w:numPr>
    </w:pPr>
  </w:style>
  <w:style w:type="numbering" w:styleId="ArticleSection">
    <w:name w:val="Outline List 3"/>
    <w:basedOn w:val="NoList"/>
    <w:semiHidden/>
    <w:rsid w:val="008A4DD4"/>
    <w:pPr>
      <w:numPr>
        <w:numId w:val="15"/>
      </w:numPr>
    </w:pPr>
  </w:style>
  <w:style w:type="paragraph" w:styleId="BlockText">
    <w:name w:val="Block Text"/>
    <w:basedOn w:val="Normal"/>
    <w:uiPriority w:val="99"/>
    <w:rsid w:val="008A4DD4"/>
    <w:pPr>
      <w:ind w:left="1440" w:right="1440"/>
    </w:pPr>
  </w:style>
  <w:style w:type="paragraph" w:styleId="BodyText">
    <w:name w:val="Body Text"/>
    <w:link w:val="BodyTextChar"/>
    <w:qFormat/>
    <w:rsid w:val="008A4DD4"/>
    <w:pPr>
      <w:widowControl/>
      <w:numPr>
        <w:ilvl w:val="1"/>
        <w:numId w:val="23"/>
      </w:numPr>
      <w:tabs>
        <w:tab w:val="left" w:pos="709"/>
      </w:tabs>
      <w:spacing w:before="80" w:after="120" w:line="360" w:lineRule="auto"/>
      <w:ind w:hanging="709"/>
      <w:jc w:val="both"/>
    </w:pPr>
    <w:rPr>
      <w:rFonts w:ascii="Metropolis Light" w:eastAsia="Times New Roman" w:hAnsi="Metropolis Light" w:cs="Times New Roman"/>
      <w:color w:val="000000" w:themeColor="text1"/>
      <w:sz w:val="20"/>
      <w:szCs w:val="24"/>
      <w:lang w:val="en-NZ" w:eastAsia="en-AU"/>
    </w:rPr>
  </w:style>
  <w:style w:type="character" w:customStyle="1" w:styleId="BodyTextChar">
    <w:name w:val="Body Text Char"/>
    <w:basedOn w:val="DefaultParagraphFont"/>
    <w:link w:val="BodyText"/>
    <w:rsid w:val="008A4DD4"/>
    <w:rPr>
      <w:rFonts w:ascii="Metropolis Light" w:eastAsia="Times New Roman" w:hAnsi="Metropolis Light" w:cs="Times New Roman"/>
      <w:color w:val="000000" w:themeColor="text1"/>
      <w:sz w:val="20"/>
      <w:szCs w:val="24"/>
      <w:lang w:val="en-NZ" w:eastAsia="en-AU"/>
    </w:rPr>
  </w:style>
  <w:style w:type="paragraph" w:styleId="BodyText2">
    <w:name w:val="Body Text 2"/>
    <w:link w:val="BodyText2Char"/>
    <w:uiPriority w:val="1"/>
    <w:qFormat/>
    <w:rsid w:val="008A4DD4"/>
    <w:pPr>
      <w:widowControl/>
      <w:numPr>
        <w:ilvl w:val="3"/>
        <w:numId w:val="21"/>
      </w:numPr>
      <w:spacing w:before="80" w:after="80" w:line="360" w:lineRule="auto"/>
      <w:jc w:val="both"/>
    </w:pPr>
    <w:rPr>
      <w:rFonts w:ascii="Metropolis Light" w:eastAsia="Times New Roman" w:hAnsi="Metropolis Light" w:cs="Times New Roman"/>
      <w:color w:val="0D0D0D" w:themeColor="text1" w:themeTint="F2"/>
      <w:sz w:val="20"/>
      <w:szCs w:val="24"/>
      <w:lang w:val="en-NZ" w:eastAsia="en-AU"/>
    </w:rPr>
  </w:style>
  <w:style w:type="character" w:customStyle="1" w:styleId="BodyText2Char">
    <w:name w:val="Body Text 2 Char"/>
    <w:basedOn w:val="DefaultParagraphFont"/>
    <w:link w:val="BodyText2"/>
    <w:uiPriority w:val="1"/>
    <w:rsid w:val="008A4DD4"/>
    <w:rPr>
      <w:rFonts w:ascii="Metropolis Light" w:eastAsia="Times New Roman" w:hAnsi="Metropolis Light" w:cs="Times New Roman"/>
      <w:color w:val="0D0D0D" w:themeColor="text1" w:themeTint="F2"/>
      <w:sz w:val="20"/>
      <w:szCs w:val="24"/>
      <w:lang w:val="en-NZ" w:eastAsia="en-AU"/>
    </w:rPr>
  </w:style>
  <w:style w:type="paragraph" w:styleId="BodyText3">
    <w:name w:val="Body Text 3"/>
    <w:link w:val="BodyText3Char"/>
    <w:uiPriority w:val="1"/>
    <w:semiHidden/>
    <w:rsid w:val="008A4DD4"/>
    <w:pPr>
      <w:widowControl/>
      <w:spacing w:before="80" w:after="80" w:line="360" w:lineRule="auto"/>
    </w:pPr>
    <w:rPr>
      <w:rFonts w:eastAsia="Times New Roman" w:cs="Times New Roman"/>
      <w:sz w:val="24"/>
      <w:szCs w:val="24"/>
      <w:lang w:val="en-NZ" w:eastAsia="en-AU"/>
    </w:rPr>
  </w:style>
  <w:style w:type="character" w:customStyle="1" w:styleId="BodyText3Char">
    <w:name w:val="Body Text 3 Char"/>
    <w:basedOn w:val="DefaultParagraphFont"/>
    <w:link w:val="BodyText3"/>
    <w:uiPriority w:val="1"/>
    <w:semiHidden/>
    <w:rsid w:val="008A4DD4"/>
    <w:rPr>
      <w:rFonts w:eastAsia="Times New Roman" w:cs="Times New Roman"/>
      <w:sz w:val="24"/>
      <w:szCs w:val="24"/>
      <w:lang w:val="en-NZ" w:eastAsia="en-AU"/>
    </w:rPr>
  </w:style>
  <w:style w:type="paragraph" w:styleId="BodyTextFirstIndent">
    <w:name w:val="Body Text First Indent"/>
    <w:basedOn w:val="BodyText"/>
    <w:link w:val="BodyTextFirstIndentChar"/>
    <w:uiPriority w:val="99"/>
    <w:semiHidden/>
    <w:rsid w:val="008A4DD4"/>
    <w:pPr>
      <w:ind w:firstLine="210"/>
    </w:pPr>
  </w:style>
  <w:style w:type="character" w:customStyle="1" w:styleId="BodyTextFirstIndentChar">
    <w:name w:val="Body Text First Indent Char"/>
    <w:basedOn w:val="BodyTextChar"/>
    <w:link w:val="BodyTextFirstIndent"/>
    <w:uiPriority w:val="99"/>
    <w:semiHidden/>
    <w:rsid w:val="008A4DD4"/>
    <w:rPr>
      <w:rFonts w:ascii="Metropolis Light" w:eastAsia="Times New Roman" w:hAnsi="Metropolis Light" w:cs="Times New Roman"/>
      <w:color w:val="000000" w:themeColor="text1"/>
      <w:sz w:val="20"/>
      <w:szCs w:val="24"/>
      <w:lang w:val="en-NZ" w:eastAsia="en-AU"/>
    </w:rPr>
  </w:style>
  <w:style w:type="paragraph" w:styleId="BodyTextIndent">
    <w:name w:val="Body Text Indent"/>
    <w:link w:val="BodyTextIndentChar"/>
    <w:rsid w:val="008A4DD4"/>
    <w:pPr>
      <w:widowControl/>
      <w:numPr>
        <w:ilvl w:val="2"/>
        <w:numId w:val="21"/>
      </w:numPr>
      <w:spacing w:before="80" w:after="80" w:line="360" w:lineRule="auto"/>
      <w:jc w:val="both"/>
    </w:pPr>
    <w:rPr>
      <w:rFonts w:ascii="Metropolis Light" w:eastAsia="Times New Roman" w:hAnsi="Metropolis Light" w:cs="Times New Roman"/>
      <w:color w:val="262626" w:themeColor="text1" w:themeTint="D9"/>
      <w:sz w:val="20"/>
      <w:szCs w:val="24"/>
      <w:lang w:val="en-NZ" w:eastAsia="en-AU"/>
    </w:rPr>
  </w:style>
  <w:style w:type="character" w:customStyle="1" w:styleId="BodyTextIndentChar">
    <w:name w:val="Body Text Indent Char"/>
    <w:basedOn w:val="DefaultParagraphFont"/>
    <w:link w:val="BodyTextIndent"/>
    <w:rsid w:val="008A4DD4"/>
    <w:rPr>
      <w:rFonts w:ascii="Metropolis Light" w:eastAsia="Times New Roman" w:hAnsi="Metropolis Light" w:cs="Times New Roman"/>
      <w:color w:val="262626" w:themeColor="text1" w:themeTint="D9"/>
      <w:sz w:val="20"/>
      <w:szCs w:val="24"/>
      <w:lang w:val="en-NZ" w:eastAsia="en-AU"/>
    </w:rPr>
  </w:style>
  <w:style w:type="paragraph" w:styleId="BodyTextFirstIndent2">
    <w:name w:val="Body Text First Indent 2"/>
    <w:basedOn w:val="BodyTextIndent"/>
    <w:link w:val="BodyTextFirstIndent2Char"/>
    <w:uiPriority w:val="99"/>
    <w:semiHidden/>
    <w:rsid w:val="008A4DD4"/>
    <w:pPr>
      <w:ind w:firstLine="210"/>
    </w:pPr>
  </w:style>
  <w:style w:type="character" w:customStyle="1" w:styleId="BodyTextFirstIndent2Char">
    <w:name w:val="Body Text First Indent 2 Char"/>
    <w:basedOn w:val="BodyTextIndentChar"/>
    <w:link w:val="BodyTextFirstIndent2"/>
    <w:uiPriority w:val="99"/>
    <w:semiHidden/>
    <w:rsid w:val="008A4DD4"/>
    <w:rPr>
      <w:rFonts w:ascii="Metropolis Light" w:eastAsia="Times New Roman" w:hAnsi="Metropolis Light" w:cs="Times New Roman"/>
      <w:color w:val="262626" w:themeColor="text1" w:themeTint="D9"/>
      <w:sz w:val="20"/>
      <w:szCs w:val="24"/>
      <w:lang w:val="en-NZ" w:eastAsia="en-AU"/>
    </w:rPr>
  </w:style>
  <w:style w:type="paragraph" w:styleId="Closing">
    <w:name w:val="Closing"/>
    <w:basedOn w:val="Normal"/>
    <w:link w:val="ClosingChar"/>
    <w:uiPriority w:val="99"/>
    <w:semiHidden/>
    <w:rsid w:val="008A4DD4"/>
    <w:pPr>
      <w:ind w:left="4252"/>
    </w:pPr>
  </w:style>
  <w:style w:type="character" w:customStyle="1" w:styleId="ClosingChar">
    <w:name w:val="Closing Char"/>
    <w:basedOn w:val="DefaultParagraphFont"/>
    <w:link w:val="Closing"/>
    <w:uiPriority w:val="99"/>
    <w:semiHidden/>
    <w:rsid w:val="008A4DD4"/>
    <w:rPr>
      <w:rFonts w:ascii="Metropolis Light" w:eastAsiaTheme="minorHAnsi" w:hAnsi="Metropolis Light"/>
      <w:sz w:val="20"/>
      <w:lang w:val="en-NZ"/>
    </w:rPr>
  </w:style>
  <w:style w:type="numbering" w:customStyle="1" w:styleId="Chapter1">
    <w:name w:val="Chapter1"/>
    <w:uiPriority w:val="99"/>
    <w:rsid w:val="008A4DD4"/>
    <w:pPr>
      <w:numPr>
        <w:numId w:val="19"/>
      </w:numPr>
    </w:pPr>
  </w:style>
  <w:style w:type="paragraph" w:styleId="E-mailSignature">
    <w:name w:val="E-mail Signature"/>
    <w:basedOn w:val="Normal"/>
    <w:link w:val="E-mailSignatureChar"/>
    <w:uiPriority w:val="99"/>
    <w:semiHidden/>
    <w:rsid w:val="008A4DD4"/>
  </w:style>
  <w:style w:type="character" w:customStyle="1" w:styleId="E-mailSignatureChar">
    <w:name w:val="E-mail Signature Char"/>
    <w:basedOn w:val="DefaultParagraphFont"/>
    <w:link w:val="E-mailSignature"/>
    <w:uiPriority w:val="99"/>
    <w:semiHidden/>
    <w:rsid w:val="008A4DD4"/>
    <w:rPr>
      <w:rFonts w:ascii="Metropolis Light" w:eastAsiaTheme="minorHAnsi" w:hAnsi="Metropolis Light"/>
      <w:sz w:val="20"/>
      <w:lang w:val="en-NZ"/>
    </w:rPr>
  </w:style>
  <w:style w:type="character" w:styleId="Emphasis">
    <w:name w:val="Emphasis"/>
    <w:basedOn w:val="DefaultParagraphFont"/>
    <w:uiPriority w:val="5"/>
    <w:qFormat/>
    <w:rsid w:val="008A4DD4"/>
    <w:rPr>
      <w:rFonts w:ascii="Calibri" w:hAnsi="Calibri"/>
      <w:i/>
      <w:iCs/>
      <w:color w:val="0D0D0D" w:themeColor="text1" w:themeTint="F2"/>
      <w:sz w:val="20"/>
    </w:rPr>
  </w:style>
  <w:style w:type="paragraph" w:styleId="EnvelopeAddress">
    <w:name w:val="envelope address"/>
    <w:basedOn w:val="Normal"/>
    <w:uiPriority w:val="99"/>
    <w:semiHidden/>
    <w:rsid w:val="008A4DD4"/>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8A4DD4"/>
    <w:rPr>
      <w:rFonts w:ascii="Arial" w:hAnsi="Arial" w:cs="Arial"/>
      <w:szCs w:val="20"/>
    </w:rPr>
  </w:style>
  <w:style w:type="character" w:styleId="FollowedHyperlink">
    <w:name w:val="FollowedHyperlink"/>
    <w:basedOn w:val="DefaultParagraphFont"/>
    <w:uiPriority w:val="59"/>
    <w:unhideWhenUsed/>
    <w:rsid w:val="008A4DD4"/>
    <w:rPr>
      <w:color w:val="74B230"/>
      <w:u w:val="single"/>
    </w:rPr>
  </w:style>
  <w:style w:type="character" w:styleId="HTMLAcronym">
    <w:name w:val="HTML Acronym"/>
    <w:basedOn w:val="DefaultParagraphFont"/>
    <w:uiPriority w:val="99"/>
    <w:semiHidden/>
    <w:rsid w:val="008A4DD4"/>
  </w:style>
  <w:style w:type="paragraph" w:styleId="HTMLAddress">
    <w:name w:val="HTML Address"/>
    <w:basedOn w:val="Normal"/>
    <w:link w:val="HTMLAddressChar"/>
    <w:uiPriority w:val="99"/>
    <w:semiHidden/>
    <w:rsid w:val="008A4DD4"/>
    <w:rPr>
      <w:i/>
      <w:iCs/>
    </w:rPr>
  </w:style>
  <w:style w:type="character" w:customStyle="1" w:styleId="HTMLAddressChar">
    <w:name w:val="HTML Address Char"/>
    <w:basedOn w:val="DefaultParagraphFont"/>
    <w:link w:val="HTMLAddress"/>
    <w:uiPriority w:val="99"/>
    <w:semiHidden/>
    <w:rsid w:val="008A4DD4"/>
    <w:rPr>
      <w:rFonts w:ascii="Metropolis Light" w:eastAsiaTheme="minorHAnsi" w:hAnsi="Metropolis Light"/>
      <w:i/>
      <w:iCs/>
      <w:sz w:val="20"/>
      <w:lang w:val="en-NZ"/>
    </w:rPr>
  </w:style>
  <w:style w:type="character" w:styleId="HTMLCite">
    <w:name w:val="HTML Cite"/>
    <w:basedOn w:val="DefaultParagraphFont"/>
    <w:uiPriority w:val="99"/>
    <w:semiHidden/>
    <w:rsid w:val="008A4DD4"/>
    <w:rPr>
      <w:i/>
      <w:iCs/>
    </w:rPr>
  </w:style>
  <w:style w:type="character" w:styleId="HTMLCode">
    <w:name w:val="HTML Code"/>
    <w:basedOn w:val="DefaultParagraphFont"/>
    <w:uiPriority w:val="99"/>
    <w:semiHidden/>
    <w:rsid w:val="008A4DD4"/>
    <w:rPr>
      <w:rFonts w:ascii="Courier New" w:hAnsi="Courier New" w:cs="Courier New"/>
      <w:sz w:val="20"/>
      <w:szCs w:val="20"/>
    </w:rPr>
  </w:style>
  <w:style w:type="character" w:styleId="HTMLDefinition">
    <w:name w:val="HTML Definition"/>
    <w:basedOn w:val="DefaultParagraphFont"/>
    <w:uiPriority w:val="99"/>
    <w:semiHidden/>
    <w:rsid w:val="008A4DD4"/>
    <w:rPr>
      <w:i/>
      <w:iCs/>
    </w:rPr>
  </w:style>
  <w:style w:type="character" w:styleId="HTMLKeyboard">
    <w:name w:val="HTML Keyboard"/>
    <w:basedOn w:val="DefaultParagraphFont"/>
    <w:uiPriority w:val="99"/>
    <w:semiHidden/>
    <w:rsid w:val="008A4DD4"/>
    <w:rPr>
      <w:rFonts w:ascii="Courier New" w:hAnsi="Courier New" w:cs="Courier New"/>
      <w:sz w:val="20"/>
      <w:szCs w:val="20"/>
    </w:rPr>
  </w:style>
  <w:style w:type="paragraph" w:styleId="HTMLPreformatted">
    <w:name w:val="HTML Preformatted"/>
    <w:basedOn w:val="Normal"/>
    <w:link w:val="HTMLPreformattedChar"/>
    <w:uiPriority w:val="99"/>
    <w:semiHidden/>
    <w:rsid w:val="008A4DD4"/>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8A4DD4"/>
    <w:rPr>
      <w:rFonts w:ascii="Courier New" w:eastAsiaTheme="minorHAnsi" w:hAnsi="Courier New" w:cs="Courier New"/>
      <w:sz w:val="20"/>
      <w:szCs w:val="20"/>
      <w:lang w:val="en-NZ"/>
    </w:rPr>
  </w:style>
  <w:style w:type="character" w:styleId="HTMLSample">
    <w:name w:val="HTML Sample"/>
    <w:basedOn w:val="DefaultParagraphFont"/>
    <w:uiPriority w:val="99"/>
    <w:semiHidden/>
    <w:rsid w:val="008A4DD4"/>
    <w:rPr>
      <w:rFonts w:ascii="Courier New" w:hAnsi="Courier New" w:cs="Courier New"/>
    </w:rPr>
  </w:style>
  <w:style w:type="character" w:styleId="HTMLTypewriter">
    <w:name w:val="HTML Typewriter"/>
    <w:basedOn w:val="DefaultParagraphFont"/>
    <w:uiPriority w:val="99"/>
    <w:semiHidden/>
    <w:rsid w:val="008A4DD4"/>
    <w:rPr>
      <w:rFonts w:ascii="Courier New" w:hAnsi="Courier New" w:cs="Courier New"/>
      <w:sz w:val="20"/>
      <w:szCs w:val="20"/>
    </w:rPr>
  </w:style>
  <w:style w:type="character" w:styleId="HTMLVariable">
    <w:name w:val="HTML Variable"/>
    <w:basedOn w:val="DefaultParagraphFont"/>
    <w:uiPriority w:val="99"/>
    <w:semiHidden/>
    <w:rsid w:val="008A4DD4"/>
    <w:rPr>
      <w:i/>
      <w:iCs/>
    </w:rPr>
  </w:style>
  <w:style w:type="character" w:styleId="LineNumber">
    <w:name w:val="line number"/>
    <w:basedOn w:val="DefaultParagraphFont"/>
    <w:uiPriority w:val="99"/>
    <w:semiHidden/>
    <w:rsid w:val="008A4DD4"/>
  </w:style>
  <w:style w:type="paragraph" w:styleId="List">
    <w:name w:val="List"/>
    <w:basedOn w:val="Normal"/>
    <w:uiPriority w:val="99"/>
    <w:semiHidden/>
    <w:rsid w:val="008A4DD4"/>
    <w:pPr>
      <w:ind w:left="283" w:hanging="283"/>
    </w:pPr>
  </w:style>
  <w:style w:type="paragraph" w:styleId="List2">
    <w:name w:val="List 2"/>
    <w:basedOn w:val="Normal"/>
    <w:uiPriority w:val="99"/>
    <w:semiHidden/>
    <w:rsid w:val="008A4DD4"/>
    <w:pPr>
      <w:ind w:left="566" w:hanging="283"/>
    </w:pPr>
  </w:style>
  <w:style w:type="paragraph" w:styleId="List5">
    <w:name w:val="List 5"/>
    <w:basedOn w:val="Normal"/>
    <w:uiPriority w:val="99"/>
    <w:semiHidden/>
    <w:rsid w:val="008A4DD4"/>
    <w:pPr>
      <w:ind w:left="1415" w:hanging="283"/>
    </w:pPr>
  </w:style>
  <w:style w:type="paragraph" w:styleId="ListBullet5">
    <w:name w:val="List Bullet 5"/>
    <w:basedOn w:val="ListBullet3"/>
    <w:uiPriority w:val="4"/>
    <w:semiHidden/>
    <w:rsid w:val="008A4DD4"/>
    <w:pPr>
      <w:numPr>
        <w:ilvl w:val="4"/>
      </w:numPr>
    </w:pPr>
  </w:style>
  <w:style w:type="paragraph" w:styleId="ListNumber">
    <w:name w:val="List Number"/>
    <w:uiPriority w:val="4"/>
    <w:qFormat/>
    <w:rsid w:val="008A4DD4"/>
    <w:pPr>
      <w:widowControl/>
      <w:numPr>
        <w:numId w:val="17"/>
      </w:numPr>
      <w:spacing w:before="80" w:after="120" w:line="360" w:lineRule="auto"/>
      <w:ind w:left="567" w:hanging="567"/>
      <w:jc w:val="both"/>
    </w:pPr>
    <w:rPr>
      <w:rFonts w:ascii="Metropolis Light" w:eastAsia="Times New Roman" w:hAnsi="Metropolis Light" w:cs="Times New Roman"/>
      <w:color w:val="0D0D0D" w:themeColor="text1" w:themeTint="F2"/>
      <w:sz w:val="20"/>
      <w:szCs w:val="24"/>
      <w:lang w:val="en-NZ" w:eastAsia="en-AU"/>
    </w:rPr>
  </w:style>
  <w:style w:type="paragraph" w:styleId="MessageHeader">
    <w:name w:val="Message Header"/>
    <w:basedOn w:val="Normal"/>
    <w:link w:val="MessageHeaderChar"/>
    <w:uiPriority w:val="99"/>
    <w:semiHidden/>
    <w:rsid w:val="008A4DD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uiPriority w:val="99"/>
    <w:semiHidden/>
    <w:rsid w:val="008A4DD4"/>
    <w:rPr>
      <w:rFonts w:ascii="Arial" w:eastAsiaTheme="minorHAnsi" w:hAnsi="Arial" w:cs="Arial"/>
      <w:sz w:val="20"/>
      <w:shd w:val="pct20" w:color="auto" w:fill="auto"/>
      <w:lang w:val="en-NZ"/>
    </w:rPr>
  </w:style>
  <w:style w:type="paragraph" w:styleId="NormalWeb">
    <w:name w:val="Normal (Web)"/>
    <w:basedOn w:val="Normal"/>
    <w:uiPriority w:val="99"/>
    <w:rsid w:val="008A4DD4"/>
  </w:style>
  <w:style w:type="paragraph" w:styleId="NormalIndent">
    <w:name w:val="Normal Indent"/>
    <w:basedOn w:val="Normal"/>
    <w:uiPriority w:val="8"/>
    <w:semiHidden/>
    <w:rsid w:val="008A4DD4"/>
    <w:pPr>
      <w:ind w:left="720"/>
    </w:pPr>
  </w:style>
  <w:style w:type="paragraph" w:styleId="NoteHeading">
    <w:name w:val="Note Heading"/>
    <w:basedOn w:val="Normal"/>
    <w:next w:val="Normal"/>
    <w:link w:val="NoteHeadingChar"/>
    <w:uiPriority w:val="99"/>
    <w:semiHidden/>
    <w:rsid w:val="008A4DD4"/>
  </w:style>
  <w:style w:type="character" w:customStyle="1" w:styleId="NoteHeadingChar">
    <w:name w:val="Note Heading Char"/>
    <w:basedOn w:val="DefaultParagraphFont"/>
    <w:link w:val="NoteHeading"/>
    <w:uiPriority w:val="99"/>
    <w:semiHidden/>
    <w:rsid w:val="008A4DD4"/>
    <w:rPr>
      <w:rFonts w:ascii="Metropolis Light" w:eastAsiaTheme="minorHAnsi" w:hAnsi="Metropolis Light"/>
      <w:sz w:val="20"/>
      <w:lang w:val="en-NZ"/>
    </w:rPr>
  </w:style>
  <w:style w:type="character" w:styleId="PageNumber">
    <w:name w:val="page number"/>
    <w:uiPriority w:val="99"/>
    <w:rsid w:val="008A4DD4"/>
    <w:rPr>
      <w:rFonts w:ascii="Metropolis Light" w:hAnsi="Metropolis Light"/>
      <w:color w:val="262626" w:themeColor="text1" w:themeTint="D9"/>
      <w:sz w:val="13"/>
    </w:rPr>
  </w:style>
  <w:style w:type="paragraph" w:styleId="PlainText">
    <w:name w:val="Plain Text"/>
    <w:basedOn w:val="Normal"/>
    <w:link w:val="PlainTextChar"/>
    <w:uiPriority w:val="99"/>
    <w:semiHidden/>
    <w:rsid w:val="008A4DD4"/>
    <w:rPr>
      <w:rFonts w:ascii="Courier New" w:hAnsi="Courier New" w:cs="Courier New"/>
      <w:szCs w:val="20"/>
    </w:rPr>
  </w:style>
  <w:style w:type="character" w:customStyle="1" w:styleId="PlainTextChar">
    <w:name w:val="Plain Text Char"/>
    <w:basedOn w:val="DefaultParagraphFont"/>
    <w:link w:val="PlainText"/>
    <w:uiPriority w:val="99"/>
    <w:semiHidden/>
    <w:rsid w:val="008A4DD4"/>
    <w:rPr>
      <w:rFonts w:ascii="Courier New" w:eastAsiaTheme="minorHAnsi" w:hAnsi="Courier New" w:cs="Courier New"/>
      <w:sz w:val="20"/>
      <w:szCs w:val="20"/>
      <w:lang w:val="en-NZ"/>
    </w:rPr>
  </w:style>
  <w:style w:type="paragraph" w:styleId="Salutation">
    <w:name w:val="Salutation"/>
    <w:basedOn w:val="Normal"/>
    <w:next w:val="Normal"/>
    <w:link w:val="SalutationChar"/>
    <w:uiPriority w:val="99"/>
    <w:semiHidden/>
    <w:rsid w:val="008A4DD4"/>
  </w:style>
  <w:style w:type="character" w:customStyle="1" w:styleId="SalutationChar">
    <w:name w:val="Salutation Char"/>
    <w:basedOn w:val="DefaultParagraphFont"/>
    <w:link w:val="Salutation"/>
    <w:uiPriority w:val="99"/>
    <w:semiHidden/>
    <w:rsid w:val="008A4DD4"/>
    <w:rPr>
      <w:rFonts w:ascii="Metropolis Light" w:eastAsiaTheme="minorHAnsi" w:hAnsi="Metropolis Light"/>
      <w:sz w:val="20"/>
      <w:lang w:val="en-NZ"/>
    </w:rPr>
  </w:style>
  <w:style w:type="paragraph" w:styleId="Signature">
    <w:name w:val="Signature"/>
    <w:basedOn w:val="Normal"/>
    <w:link w:val="SignatureChar"/>
    <w:uiPriority w:val="99"/>
    <w:semiHidden/>
    <w:rsid w:val="008A4DD4"/>
    <w:pPr>
      <w:ind w:left="4252"/>
    </w:pPr>
  </w:style>
  <w:style w:type="character" w:customStyle="1" w:styleId="SignatureChar">
    <w:name w:val="Signature Char"/>
    <w:basedOn w:val="DefaultParagraphFont"/>
    <w:link w:val="Signature"/>
    <w:uiPriority w:val="99"/>
    <w:semiHidden/>
    <w:rsid w:val="008A4DD4"/>
    <w:rPr>
      <w:rFonts w:ascii="Metropolis Light" w:eastAsiaTheme="minorHAnsi" w:hAnsi="Metropolis Light"/>
      <w:sz w:val="20"/>
      <w:lang w:val="en-NZ"/>
    </w:rPr>
  </w:style>
  <w:style w:type="character" w:styleId="Strong">
    <w:name w:val="Strong"/>
    <w:basedOn w:val="DefaultParagraphFont"/>
    <w:uiPriority w:val="5"/>
    <w:qFormat/>
    <w:rsid w:val="008A4DD4"/>
    <w:rPr>
      <w:rFonts w:ascii="Metropolis Light" w:hAnsi="Metropolis Light"/>
      <w:b/>
      <w:bCs/>
      <w:color w:val="0D0D0D" w:themeColor="text1" w:themeTint="F2"/>
      <w:sz w:val="20"/>
    </w:rPr>
  </w:style>
  <w:style w:type="paragraph" w:styleId="Subtitle">
    <w:name w:val="Subtitle"/>
    <w:basedOn w:val="Title"/>
    <w:link w:val="SubtitleChar"/>
    <w:uiPriority w:val="21"/>
    <w:qFormat/>
    <w:rsid w:val="008A4DD4"/>
    <w:pPr>
      <w:pBdr>
        <w:top w:val="single" w:sz="4" w:space="12" w:color="1F497D" w:themeColor="text2"/>
      </w:pBdr>
    </w:pPr>
    <w:rPr>
      <w:sz w:val="48"/>
    </w:rPr>
  </w:style>
  <w:style w:type="character" w:customStyle="1" w:styleId="SubtitleChar">
    <w:name w:val="Subtitle Char"/>
    <w:basedOn w:val="DefaultParagraphFont"/>
    <w:link w:val="Subtitle"/>
    <w:uiPriority w:val="21"/>
    <w:rsid w:val="008A4DD4"/>
    <w:rPr>
      <w:rFonts w:ascii="Calibri" w:eastAsia="Times New Roman" w:hAnsi="Calibri" w:cs="Arial"/>
      <w:b/>
      <w:bCs/>
      <w:caps/>
      <w:color w:val="6BA539"/>
      <w:sz w:val="48"/>
      <w:szCs w:val="32"/>
      <w:lang w:val="en-NZ" w:eastAsia="en-AU"/>
    </w:rPr>
  </w:style>
  <w:style w:type="table" w:styleId="Table3Deffects1">
    <w:name w:val="Table 3D effects 1"/>
    <w:basedOn w:val="TableNormal"/>
    <w:semiHidden/>
    <w:rsid w:val="008A4DD4"/>
    <w:pPr>
      <w:widowControl/>
      <w:spacing w:after="0" w:line="240" w:lineRule="auto"/>
    </w:pPr>
    <w:rPr>
      <w:rFonts w:eastAsia="Times New Roman" w:cs="Times New Roman"/>
      <w:sz w:val="24"/>
      <w:szCs w:val="24"/>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4DD4"/>
    <w:pPr>
      <w:widowControl/>
      <w:spacing w:after="0" w:line="240" w:lineRule="auto"/>
    </w:pPr>
    <w:rPr>
      <w:rFonts w:eastAsia="Times New Roman" w:cs="Times New Roman"/>
      <w:sz w:val="24"/>
      <w:szCs w:val="24"/>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4DD4"/>
    <w:pPr>
      <w:widowControl/>
      <w:spacing w:after="0" w:line="240" w:lineRule="auto"/>
    </w:pPr>
    <w:rPr>
      <w:rFonts w:eastAsia="Times New Roman" w:cs="Times New Roman"/>
      <w:sz w:val="24"/>
      <w:szCs w:val="24"/>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4DD4"/>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4DD4"/>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4DD4"/>
    <w:pPr>
      <w:widowControl/>
      <w:spacing w:after="0" w:line="240" w:lineRule="auto"/>
    </w:pPr>
    <w:rPr>
      <w:rFonts w:eastAsia="Times New Roman" w:cs="Times New Roman"/>
      <w:color w:val="000080"/>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4DD4"/>
    <w:pPr>
      <w:widowControl/>
      <w:spacing w:after="0" w:line="240" w:lineRule="auto"/>
    </w:pPr>
    <w:rPr>
      <w:rFonts w:eastAsia="Times New Roman" w:cs="Times New Roman"/>
      <w:sz w:val="24"/>
      <w:szCs w:val="24"/>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4DD4"/>
    <w:pPr>
      <w:widowControl/>
      <w:spacing w:after="0" w:line="240" w:lineRule="auto"/>
    </w:pPr>
    <w:rPr>
      <w:rFonts w:eastAsia="Times New Roman" w:cs="Times New Roman"/>
      <w:color w:val="FFFFFF"/>
      <w:sz w:val="24"/>
      <w:szCs w:val="24"/>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4DD4"/>
    <w:pPr>
      <w:widowControl/>
      <w:spacing w:after="0" w:line="240" w:lineRule="auto"/>
    </w:pPr>
    <w:rPr>
      <w:rFonts w:eastAsia="Times New Roman" w:cs="Times New Roman"/>
      <w:sz w:val="24"/>
      <w:szCs w:val="24"/>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4DD4"/>
    <w:pPr>
      <w:widowControl/>
      <w:spacing w:after="0" w:line="240" w:lineRule="auto"/>
    </w:pPr>
    <w:rPr>
      <w:rFonts w:eastAsia="Times New Roman" w:cs="Times New Roman"/>
      <w:sz w:val="24"/>
      <w:szCs w:val="24"/>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4DD4"/>
    <w:pPr>
      <w:widowControl/>
      <w:spacing w:after="0" w:line="240" w:lineRule="auto"/>
    </w:pPr>
    <w:rPr>
      <w:rFonts w:eastAsia="Times New Roman" w:cs="Times New Roman"/>
      <w:b/>
      <w:bCs/>
      <w:sz w:val="24"/>
      <w:szCs w:val="24"/>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4DD4"/>
    <w:pPr>
      <w:widowControl/>
      <w:spacing w:after="0" w:line="240" w:lineRule="auto"/>
    </w:pPr>
    <w:rPr>
      <w:rFonts w:eastAsia="Times New Roman" w:cs="Times New Roman"/>
      <w:b/>
      <w:bCs/>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4DD4"/>
    <w:pPr>
      <w:widowControl/>
      <w:spacing w:after="0" w:line="240" w:lineRule="auto"/>
    </w:pPr>
    <w:rPr>
      <w:rFonts w:eastAsia="Times New Roman" w:cs="Times New Roman"/>
      <w:b/>
      <w:bCs/>
      <w:sz w:val="24"/>
      <w:szCs w:val="24"/>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4DD4"/>
    <w:pPr>
      <w:widowControl/>
      <w:spacing w:after="0" w:line="240" w:lineRule="auto"/>
    </w:pPr>
    <w:rPr>
      <w:rFonts w:eastAsia="Times New Roman" w:cs="Times New Roman"/>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4DD4"/>
    <w:pPr>
      <w:widowControl/>
      <w:spacing w:after="0" w:line="240" w:lineRule="auto"/>
    </w:pPr>
    <w:rPr>
      <w:rFonts w:eastAsia="Times New Roman" w:cs="Times New Roman"/>
      <w:sz w:val="24"/>
      <w:szCs w:val="24"/>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4DD4"/>
    <w:pPr>
      <w:widowControl/>
      <w:spacing w:after="0" w:line="240" w:lineRule="auto"/>
    </w:pPr>
    <w:rPr>
      <w:rFonts w:eastAsia="Times New Roman" w:cs="Times New Roman"/>
      <w:sz w:val="24"/>
      <w:szCs w:val="24"/>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4DD4"/>
    <w:pPr>
      <w:widowControl/>
      <w:spacing w:after="0" w:line="240" w:lineRule="auto"/>
    </w:pPr>
    <w:rPr>
      <w:rFonts w:eastAsia="Times New Roman" w:cs="Times New Roman"/>
      <w:sz w:val="24"/>
      <w:szCs w:val="24"/>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A4DD4"/>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A4DD4"/>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4DD4"/>
    <w:pPr>
      <w:widowControl/>
      <w:spacing w:after="0" w:line="240" w:lineRule="auto"/>
    </w:pPr>
    <w:rPr>
      <w:rFonts w:eastAsia="Times New Roman" w:cs="Times New Roman"/>
      <w:sz w:val="24"/>
      <w:szCs w:val="24"/>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4DD4"/>
    <w:pPr>
      <w:widowControl/>
      <w:spacing w:after="0" w:line="240" w:lineRule="auto"/>
    </w:pPr>
    <w:rPr>
      <w:rFonts w:eastAsia="Times New Roman" w:cs="Times New Roman"/>
      <w:sz w:val="24"/>
      <w:szCs w:val="24"/>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4DD4"/>
    <w:pPr>
      <w:widowControl/>
      <w:spacing w:after="0" w:line="240" w:lineRule="auto"/>
    </w:pPr>
    <w:rPr>
      <w:rFonts w:eastAsia="Times New Roman" w:cs="Times New Roman"/>
      <w:sz w:val="24"/>
      <w:szCs w:val="24"/>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4DD4"/>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4DD4"/>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4DD4"/>
    <w:pPr>
      <w:widowControl/>
      <w:spacing w:after="0" w:line="240" w:lineRule="auto"/>
    </w:pPr>
    <w:rPr>
      <w:rFonts w:eastAsia="Times New Roman" w:cs="Times New Roman"/>
      <w:b/>
      <w:bCs/>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4DD4"/>
    <w:pPr>
      <w:widowControl/>
      <w:spacing w:after="0" w:line="240" w:lineRule="auto"/>
    </w:pPr>
    <w:rPr>
      <w:rFonts w:eastAsia="Times New Roman" w:cs="Times New Roman"/>
      <w:sz w:val="24"/>
      <w:szCs w:val="24"/>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4DD4"/>
    <w:pPr>
      <w:widowControl/>
      <w:spacing w:after="0" w:line="240" w:lineRule="auto"/>
    </w:pPr>
    <w:rPr>
      <w:rFonts w:eastAsia="Times New Roman" w:cs="Times New Roman"/>
      <w:sz w:val="24"/>
      <w:szCs w:val="24"/>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4DD4"/>
    <w:pPr>
      <w:widowControl/>
      <w:spacing w:after="0" w:line="240" w:lineRule="auto"/>
    </w:pPr>
    <w:rPr>
      <w:rFonts w:eastAsia="Times New Roman" w:cs="Times New Roman"/>
      <w:sz w:val="24"/>
      <w:szCs w:val="24"/>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4DD4"/>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4DD4"/>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4DD4"/>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4DD4"/>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4DD4"/>
    <w:pPr>
      <w:widowControl/>
      <w:spacing w:after="0" w:line="240" w:lineRule="auto"/>
    </w:pPr>
    <w:rPr>
      <w:rFonts w:eastAsia="Times New Roman" w:cs="Times New Roman"/>
      <w:sz w:val="24"/>
      <w:szCs w:val="24"/>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4DD4"/>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4DD4"/>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4DD4"/>
    <w:pPr>
      <w:widowControl/>
      <w:spacing w:after="0" w:line="240" w:lineRule="auto"/>
    </w:pPr>
    <w:rPr>
      <w:rFonts w:eastAsia="Times New Roman" w:cs="Times New Roman"/>
      <w:sz w:val="24"/>
      <w:szCs w:val="24"/>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4DD4"/>
    <w:pPr>
      <w:widowControl/>
      <w:spacing w:after="0" w:line="240" w:lineRule="auto"/>
    </w:pPr>
    <w:rPr>
      <w:rFonts w:eastAsia="Times New Roman" w:cs="Times New Roman"/>
      <w:sz w:val="24"/>
      <w:szCs w:val="24"/>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4DD4"/>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4DD4"/>
    <w:pPr>
      <w:widowControl/>
      <w:spacing w:after="0" w:line="240" w:lineRule="auto"/>
    </w:pPr>
    <w:rPr>
      <w:rFonts w:eastAsia="Times New Roman" w:cs="Times New Roman"/>
      <w:sz w:val="24"/>
      <w:szCs w:val="24"/>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4DD4"/>
    <w:pPr>
      <w:widowControl/>
      <w:spacing w:after="0" w:line="240" w:lineRule="auto"/>
    </w:pPr>
    <w:rPr>
      <w:rFonts w:eastAsia="Times New Roman" w:cs="Times New Roman"/>
      <w:sz w:val="24"/>
      <w:szCs w:val="24"/>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4DD4"/>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4DD4"/>
    <w:pPr>
      <w:widowControl/>
      <w:spacing w:after="0" w:line="240" w:lineRule="auto"/>
    </w:pPr>
    <w:rPr>
      <w:rFonts w:eastAsia="Times New Roman" w:cs="Times New Roman"/>
      <w:sz w:val="24"/>
      <w:szCs w:val="24"/>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4DD4"/>
    <w:pPr>
      <w:widowControl/>
      <w:spacing w:after="0" w:line="240" w:lineRule="auto"/>
    </w:pPr>
    <w:rPr>
      <w:rFonts w:eastAsia="Times New Roman" w:cs="Times New Roman"/>
      <w:sz w:val="24"/>
      <w:szCs w:val="24"/>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4DD4"/>
    <w:pPr>
      <w:widowControl/>
      <w:spacing w:after="0" w:line="240" w:lineRule="auto"/>
    </w:pPr>
    <w:rPr>
      <w:rFonts w:eastAsia="Times New Roman" w:cs="Times New Roman"/>
      <w:sz w:val="24"/>
      <w:szCs w:val="24"/>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next w:val="Subtitle"/>
    <w:link w:val="TitleChar"/>
    <w:uiPriority w:val="20"/>
    <w:qFormat/>
    <w:rsid w:val="008A4DD4"/>
    <w:pPr>
      <w:spacing w:after="0" w:line="288" w:lineRule="auto"/>
      <w:jc w:val="right"/>
      <w:outlineLvl w:val="0"/>
    </w:pPr>
    <w:rPr>
      <w:rFonts w:ascii="Calibri" w:eastAsia="Times New Roman" w:hAnsi="Calibri" w:cs="Arial"/>
      <w:b/>
      <w:bCs/>
      <w:caps/>
      <w:color w:val="6BA539"/>
      <w:sz w:val="72"/>
      <w:szCs w:val="32"/>
      <w:lang w:val="en-NZ" w:eastAsia="en-AU"/>
    </w:rPr>
  </w:style>
  <w:style w:type="character" w:customStyle="1" w:styleId="TitleChar">
    <w:name w:val="Title Char"/>
    <w:basedOn w:val="DefaultParagraphFont"/>
    <w:link w:val="Title"/>
    <w:uiPriority w:val="20"/>
    <w:rsid w:val="008A4DD4"/>
    <w:rPr>
      <w:rFonts w:ascii="Calibri" w:eastAsia="Times New Roman" w:hAnsi="Calibri" w:cs="Arial"/>
      <w:b/>
      <w:bCs/>
      <w:caps/>
      <w:color w:val="6BA539"/>
      <w:sz w:val="72"/>
      <w:szCs w:val="32"/>
      <w:lang w:val="en-NZ" w:eastAsia="en-AU"/>
    </w:rPr>
  </w:style>
  <w:style w:type="paragraph" w:customStyle="1" w:styleId="InsideCoverText">
    <w:name w:val="Inside Cover Text"/>
    <w:uiPriority w:val="22"/>
    <w:qFormat/>
    <w:rsid w:val="008A4DD4"/>
    <w:pPr>
      <w:widowControl/>
      <w:spacing w:before="60" w:after="20" w:line="280" w:lineRule="atLeast"/>
      <w:jc w:val="both"/>
    </w:pPr>
    <w:rPr>
      <w:rFonts w:ascii="Metropolis Light" w:eastAsia="Times New Roman" w:hAnsi="Metropolis Light" w:cs="Times New Roman"/>
      <w:color w:val="0D0D0D" w:themeColor="text1" w:themeTint="F2"/>
      <w:sz w:val="20"/>
      <w:szCs w:val="24"/>
      <w:lang w:val="en-NZ" w:eastAsia="en-AU"/>
    </w:rPr>
  </w:style>
  <w:style w:type="paragraph" w:styleId="TOCHeading">
    <w:name w:val="TOC Heading"/>
    <w:basedOn w:val="Heading1"/>
    <w:next w:val="Normal"/>
    <w:uiPriority w:val="39"/>
    <w:unhideWhenUsed/>
    <w:qFormat/>
    <w:rsid w:val="008A4DD4"/>
    <w:pPr>
      <w:keepLines/>
      <w:spacing w:before="480" w:after="360" w:line="240" w:lineRule="auto"/>
      <w:outlineLvl w:val="9"/>
    </w:pPr>
    <w:rPr>
      <w:rFonts w:ascii="Times New Roman" w:eastAsiaTheme="majorEastAsia" w:hAnsi="Times New Roman" w:cstheme="majorBidi"/>
      <w:bCs/>
      <w:caps/>
      <w:sz w:val="22"/>
      <w:szCs w:val="28"/>
      <w:lang w:eastAsia="ja-JP"/>
    </w:rPr>
  </w:style>
  <w:style w:type="paragraph" w:customStyle="1" w:styleId="Heading1anotinTOC">
    <w:name w:val="Heading 1a (not in TOC)"/>
    <w:uiPriority w:val="5"/>
    <w:qFormat/>
    <w:rsid w:val="008A4DD4"/>
    <w:pPr>
      <w:keepNext/>
      <w:widowControl/>
      <w:spacing w:after="400" w:line="360" w:lineRule="auto"/>
    </w:pPr>
    <w:rPr>
      <w:rFonts w:ascii="Metropolis Black" w:eastAsia="Times New Roman" w:hAnsi="Metropolis Black" w:cs="Times New Roman"/>
      <w:b/>
      <w:color w:val="73AB6E"/>
      <w:sz w:val="56"/>
      <w:szCs w:val="24"/>
      <w:lang w:val="en-NZ" w:eastAsia="en-AU"/>
    </w:rPr>
  </w:style>
  <w:style w:type="paragraph" w:customStyle="1" w:styleId="QuoteIndent1">
    <w:name w:val="Quote Indent 1"/>
    <w:basedOn w:val="Quote"/>
    <w:uiPriority w:val="6"/>
    <w:qFormat/>
    <w:rsid w:val="008A4DD4"/>
    <w:pPr>
      <w:numPr>
        <w:ilvl w:val="1"/>
      </w:numPr>
    </w:pPr>
  </w:style>
  <w:style w:type="paragraph" w:customStyle="1" w:styleId="QuoteIndent2">
    <w:name w:val="Quote Indent 2"/>
    <w:basedOn w:val="QuoteIndent1"/>
    <w:uiPriority w:val="6"/>
    <w:qFormat/>
    <w:rsid w:val="008A4DD4"/>
    <w:pPr>
      <w:numPr>
        <w:ilvl w:val="2"/>
      </w:numPr>
    </w:pPr>
  </w:style>
  <w:style w:type="paragraph" w:customStyle="1" w:styleId="FootnoteBullet">
    <w:name w:val="Footnote Bullet"/>
    <w:basedOn w:val="FootnoteText"/>
    <w:uiPriority w:val="34"/>
    <w:qFormat/>
    <w:rsid w:val="008A4DD4"/>
    <w:pPr>
      <w:numPr>
        <w:numId w:val="7"/>
      </w:numPr>
    </w:pPr>
    <w:rPr>
      <w:szCs w:val="17"/>
    </w:rPr>
  </w:style>
  <w:style w:type="paragraph" w:customStyle="1" w:styleId="FootnoteQuote">
    <w:name w:val="Footnote Quote"/>
    <w:basedOn w:val="FootnoteText"/>
    <w:uiPriority w:val="34"/>
    <w:qFormat/>
    <w:rsid w:val="008A4DD4"/>
    <w:pPr>
      <w:ind w:left="851" w:firstLine="0"/>
    </w:pPr>
    <w:rPr>
      <w:sz w:val="13"/>
    </w:rPr>
  </w:style>
  <w:style w:type="paragraph" w:customStyle="1" w:styleId="FootnoteNumbered">
    <w:name w:val="Footnote Numbered"/>
    <w:basedOn w:val="FootnoteText"/>
    <w:uiPriority w:val="34"/>
    <w:qFormat/>
    <w:rsid w:val="008A4DD4"/>
    <w:pPr>
      <w:numPr>
        <w:numId w:val="8"/>
      </w:numPr>
    </w:pPr>
  </w:style>
  <w:style w:type="paragraph" w:customStyle="1" w:styleId="FootnoteNumbered2">
    <w:name w:val="Footnote Numbered 2"/>
    <w:basedOn w:val="FootnoteNumbered"/>
    <w:uiPriority w:val="34"/>
    <w:qFormat/>
    <w:rsid w:val="008A4DD4"/>
    <w:pPr>
      <w:numPr>
        <w:ilvl w:val="1"/>
      </w:numPr>
    </w:pPr>
  </w:style>
  <w:style w:type="paragraph" w:customStyle="1" w:styleId="FootnoteNumbered3">
    <w:name w:val="Footnote Numbered 3"/>
    <w:basedOn w:val="FootnoteNumbered"/>
    <w:uiPriority w:val="34"/>
    <w:qFormat/>
    <w:rsid w:val="008A4DD4"/>
    <w:pPr>
      <w:numPr>
        <w:ilvl w:val="2"/>
      </w:numPr>
    </w:pPr>
  </w:style>
  <w:style w:type="paragraph" w:customStyle="1" w:styleId="Summarybodytext">
    <w:name w:val="Summary bodytext"/>
    <w:basedOn w:val="BodyText"/>
    <w:uiPriority w:val="8"/>
    <w:qFormat/>
    <w:rsid w:val="008A4DD4"/>
    <w:pPr>
      <w:numPr>
        <w:numId w:val="9"/>
      </w:numPr>
      <w:tabs>
        <w:tab w:val="num" w:pos="709"/>
      </w:tabs>
    </w:pPr>
  </w:style>
  <w:style w:type="paragraph" w:customStyle="1" w:styleId="Recommendationheading">
    <w:name w:val="Recommendation heading"/>
    <w:next w:val="RecommendationText"/>
    <w:uiPriority w:val="8"/>
    <w:qFormat/>
    <w:rsid w:val="008A4DD4"/>
    <w:pPr>
      <w:widowControl/>
      <w:shd w:val="clear" w:color="auto" w:fill="6BA539"/>
      <w:spacing w:before="120" w:after="60" w:line="240" w:lineRule="auto"/>
    </w:pPr>
    <w:rPr>
      <w:rFonts w:ascii="Calibri" w:eastAsia="Times New Roman" w:hAnsi="Calibri" w:cs="Times New Roman"/>
      <w:b/>
      <w:caps/>
      <w:color w:val="FFFFFF" w:themeColor="background1"/>
      <w:spacing w:val="24"/>
      <w:sz w:val="20"/>
      <w:lang w:val="en-NZ" w:eastAsia="en-AU"/>
    </w:rPr>
  </w:style>
  <w:style w:type="character" w:customStyle="1" w:styleId="CoverPublicationTypeandNumber">
    <w:name w:val="Cover Publication Type and Number"/>
    <w:basedOn w:val="DefaultParagraphFont"/>
    <w:uiPriority w:val="9"/>
    <w:qFormat/>
    <w:rsid w:val="008A4DD4"/>
    <w:rPr>
      <w:rFonts w:ascii="Calibri" w:hAnsi="Calibri"/>
      <w:color w:val="262626" w:themeColor="text1" w:themeTint="D9"/>
      <w:spacing w:val="54"/>
    </w:rPr>
  </w:style>
  <w:style w:type="paragraph" w:customStyle="1" w:styleId="CoverTitle">
    <w:name w:val="Cover Title"/>
    <w:basedOn w:val="Title"/>
    <w:uiPriority w:val="8"/>
    <w:qFormat/>
    <w:rsid w:val="008A4DD4"/>
    <w:rPr>
      <w:rFonts w:ascii="Metropolis" w:hAnsi="Metropolis"/>
    </w:rPr>
  </w:style>
  <w:style w:type="paragraph" w:customStyle="1" w:styleId="CoverSubtitle">
    <w:name w:val="Cover Subtitle"/>
    <w:basedOn w:val="Subtitle"/>
    <w:uiPriority w:val="8"/>
    <w:qFormat/>
    <w:rsid w:val="008A4DD4"/>
    <w:rPr>
      <w:rFonts w:ascii="Metropolis" w:hAnsi="Metropolis"/>
    </w:rPr>
  </w:style>
  <w:style w:type="paragraph" w:customStyle="1" w:styleId="CoverDate">
    <w:name w:val="Cover Date"/>
    <w:basedOn w:val="Normal"/>
    <w:uiPriority w:val="8"/>
    <w:qFormat/>
    <w:rsid w:val="008A4DD4"/>
    <w:pPr>
      <w:spacing w:before="57" w:after="57"/>
      <w:jc w:val="right"/>
    </w:pPr>
    <w:rPr>
      <w:color w:val="6BA539"/>
    </w:rPr>
  </w:style>
  <w:style w:type="table" w:customStyle="1" w:styleId="LCTableFinancial">
    <w:name w:val="LC Table Financial"/>
    <w:basedOn w:val="TableNormal"/>
    <w:uiPriority w:val="99"/>
    <w:rsid w:val="008A4DD4"/>
    <w:pPr>
      <w:widowControl/>
      <w:spacing w:before="60" w:after="60" w:line="260" w:lineRule="atLeast"/>
      <w:jc w:val="center"/>
    </w:pPr>
    <w:rPr>
      <w:rFonts w:ascii="Calibri" w:eastAsia="Times New Roman" w:hAnsi="Calibri" w:cs="Times New Roman"/>
      <w:color w:val="000000" w:themeColor="text1"/>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paragraph" w:customStyle="1" w:styleId="Heading1nonum">
    <w:name w:val="Heading 1 (no num)"/>
    <w:link w:val="Heading1nonumChar"/>
    <w:uiPriority w:val="5"/>
    <w:qFormat/>
    <w:rsid w:val="008A4DD4"/>
    <w:pPr>
      <w:keepNext/>
      <w:widowControl/>
      <w:spacing w:after="120" w:line="360" w:lineRule="auto"/>
      <w:ind w:left="17"/>
      <w:outlineLvl w:val="0"/>
    </w:pPr>
    <w:rPr>
      <w:rFonts w:ascii="Metropolis Black" w:eastAsia="Times New Roman" w:hAnsi="Metropolis Black" w:cs="Times New Roman"/>
      <w:b/>
      <w:color w:val="73AB6E"/>
      <w:sz w:val="66"/>
      <w:szCs w:val="24"/>
      <w:lang w:val="en-NZ" w:eastAsia="en-AU"/>
    </w:rPr>
  </w:style>
  <w:style w:type="paragraph" w:customStyle="1" w:styleId="BodyTextnonum">
    <w:name w:val="Body Text (no num)"/>
    <w:basedOn w:val="BodyText"/>
    <w:uiPriority w:val="1"/>
    <w:qFormat/>
    <w:rsid w:val="008A4DD4"/>
    <w:pPr>
      <w:numPr>
        <w:ilvl w:val="2"/>
      </w:numPr>
    </w:pPr>
  </w:style>
  <w:style w:type="paragraph" w:customStyle="1" w:styleId="BodyTextalphalist">
    <w:name w:val="Body Text (alpha list)"/>
    <w:basedOn w:val="BodyText"/>
    <w:uiPriority w:val="1"/>
    <w:qFormat/>
    <w:rsid w:val="008A4DD4"/>
    <w:pPr>
      <w:numPr>
        <w:ilvl w:val="0"/>
        <w:numId w:val="0"/>
      </w:numPr>
      <w:tabs>
        <w:tab w:val="num" w:pos="1134"/>
      </w:tabs>
      <w:ind w:left="1134" w:hanging="425"/>
    </w:pPr>
  </w:style>
  <w:style w:type="paragraph" w:customStyle="1" w:styleId="QuoteIndent0">
    <w:name w:val="Quote Indent 0"/>
    <w:basedOn w:val="Quote"/>
    <w:uiPriority w:val="6"/>
    <w:qFormat/>
    <w:rsid w:val="008A4DD4"/>
  </w:style>
  <w:style w:type="paragraph" w:customStyle="1" w:styleId="TableHeading">
    <w:name w:val="Table Heading"/>
    <w:basedOn w:val="Normal"/>
    <w:uiPriority w:val="8"/>
    <w:qFormat/>
    <w:rsid w:val="008A4DD4"/>
    <w:pPr>
      <w:spacing w:before="60"/>
    </w:pPr>
    <w:rPr>
      <w:caps/>
      <w:color w:val="FFFFFF"/>
      <w:sz w:val="18"/>
    </w:rPr>
  </w:style>
  <w:style w:type="paragraph" w:customStyle="1" w:styleId="LegislationIndent0">
    <w:name w:val="Legislation Indent 0"/>
    <w:basedOn w:val="LegislationBodytext"/>
    <w:uiPriority w:val="8"/>
    <w:qFormat/>
    <w:rsid w:val="008A4DD4"/>
    <w:pPr>
      <w:ind w:left="1276" w:hanging="709"/>
    </w:pPr>
  </w:style>
  <w:style w:type="paragraph" w:customStyle="1" w:styleId="LegislationSubheading1">
    <w:name w:val="Legislation Subheading 1"/>
    <w:basedOn w:val="BodyText"/>
    <w:uiPriority w:val="8"/>
    <w:qFormat/>
    <w:rsid w:val="008A4DD4"/>
    <w:pPr>
      <w:ind w:left="0" w:firstLine="0"/>
    </w:pPr>
    <w:rPr>
      <w:b/>
    </w:rPr>
  </w:style>
  <w:style w:type="paragraph" w:customStyle="1" w:styleId="LegislationNumberedSubheading">
    <w:name w:val="Legislation Numbered Subheading"/>
    <w:basedOn w:val="LegislationSubheading1"/>
    <w:uiPriority w:val="8"/>
    <w:qFormat/>
    <w:rsid w:val="008A4DD4"/>
    <w:pPr>
      <w:ind w:left="709" w:hanging="709"/>
    </w:pPr>
  </w:style>
  <w:style w:type="paragraph" w:customStyle="1" w:styleId="LegislationBodytext">
    <w:name w:val="Legislation Bodytext"/>
    <w:basedOn w:val="Normal"/>
    <w:uiPriority w:val="8"/>
    <w:qFormat/>
    <w:rsid w:val="008A4DD4"/>
    <w:pPr>
      <w:ind w:left="567"/>
    </w:pPr>
  </w:style>
  <w:style w:type="paragraph" w:customStyle="1" w:styleId="LegislationIndent1">
    <w:name w:val="Legislation Indent 1"/>
    <w:basedOn w:val="LegislationIndent0"/>
    <w:uiPriority w:val="8"/>
    <w:qFormat/>
    <w:rsid w:val="008A4DD4"/>
    <w:pPr>
      <w:ind w:left="1843" w:hanging="567"/>
    </w:pPr>
  </w:style>
  <w:style w:type="paragraph" w:customStyle="1" w:styleId="LegislationSubheading2">
    <w:name w:val="Legislation Subheading 2"/>
    <w:basedOn w:val="LegislationSubheading1"/>
    <w:uiPriority w:val="8"/>
    <w:qFormat/>
    <w:rsid w:val="008A4DD4"/>
    <w:pPr>
      <w:jc w:val="center"/>
    </w:pPr>
    <w:rPr>
      <w:b w:val="0"/>
      <w:i/>
    </w:rPr>
  </w:style>
  <w:style w:type="paragraph" w:customStyle="1" w:styleId="LegislationIndent2">
    <w:name w:val="Legislation Indent 2"/>
    <w:basedOn w:val="LegislationIndent1"/>
    <w:uiPriority w:val="8"/>
    <w:qFormat/>
    <w:rsid w:val="008A4DD4"/>
    <w:pPr>
      <w:ind w:left="2268" w:hanging="425"/>
    </w:pPr>
  </w:style>
  <w:style w:type="paragraph" w:customStyle="1" w:styleId="G1GuidelinesText">
    <w:name w:val="G1 Guidelines Text"/>
    <w:basedOn w:val="RecommendationText"/>
    <w:uiPriority w:val="8"/>
    <w:qFormat/>
    <w:rsid w:val="008A4DD4"/>
    <w:pPr>
      <w:framePr w:wrap="around" w:vAnchor="text" w:hAnchor="text" w:y="1"/>
      <w:numPr>
        <w:numId w:val="10"/>
      </w:numPr>
    </w:pPr>
  </w:style>
  <w:style w:type="paragraph" w:customStyle="1" w:styleId="RecommendationText1">
    <w:name w:val="Recommendation Text 1"/>
    <w:basedOn w:val="RecommendationText"/>
    <w:link w:val="RecommendationText1Char"/>
    <w:uiPriority w:val="8"/>
    <w:qFormat/>
    <w:rsid w:val="008A4DD4"/>
    <w:pPr>
      <w:numPr>
        <w:numId w:val="0"/>
      </w:numPr>
      <w:ind w:left="709"/>
    </w:pPr>
  </w:style>
  <w:style w:type="paragraph" w:customStyle="1" w:styleId="Introindent">
    <w:name w:val="Intro indent"/>
    <w:basedOn w:val="Normal"/>
    <w:next w:val="Normal"/>
    <w:qFormat/>
    <w:rsid w:val="008A4DD4"/>
    <w:pPr>
      <w:widowControl w:val="0"/>
      <w:ind w:left="680"/>
      <w:jc w:val="both"/>
    </w:pPr>
    <w:rPr>
      <w:lang w:val="en-US"/>
    </w:rPr>
  </w:style>
  <w:style w:type="paragraph" w:styleId="CommentSubject">
    <w:name w:val="annotation subject"/>
    <w:basedOn w:val="CommentText"/>
    <w:next w:val="CommentText"/>
    <w:link w:val="CommentSubjectChar"/>
    <w:uiPriority w:val="34"/>
    <w:rsid w:val="008A4DD4"/>
    <w:pPr>
      <w:spacing w:line="240" w:lineRule="auto"/>
    </w:pPr>
    <w:rPr>
      <w:b/>
      <w:bCs/>
      <w:color w:val="262626" w:themeColor="text1" w:themeTint="D9"/>
    </w:rPr>
  </w:style>
  <w:style w:type="character" w:customStyle="1" w:styleId="CommentSubjectChar">
    <w:name w:val="Comment Subject Char"/>
    <w:basedOn w:val="CommentTextChar"/>
    <w:link w:val="CommentSubject"/>
    <w:uiPriority w:val="34"/>
    <w:rsid w:val="008A4DD4"/>
    <w:rPr>
      <w:rFonts w:ascii="Metropolis Light" w:eastAsiaTheme="minorHAnsi" w:hAnsi="Metropolis Light"/>
      <w:b/>
      <w:bCs/>
      <w:color w:val="262626" w:themeColor="text1" w:themeTint="D9"/>
      <w:sz w:val="20"/>
      <w:szCs w:val="20"/>
      <w:lang w:val="en-NZ"/>
    </w:rPr>
  </w:style>
  <w:style w:type="paragraph" w:styleId="Revision">
    <w:name w:val="Revision"/>
    <w:hidden/>
    <w:rsid w:val="008A4DD4"/>
    <w:pPr>
      <w:widowControl/>
      <w:spacing w:after="0" w:line="240" w:lineRule="auto"/>
    </w:pPr>
    <w:rPr>
      <w:rFonts w:eastAsia="Times New Roman" w:cs="Times New Roman"/>
      <w:sz w:val="24"/>
      <w:szCs w:val="24"/>
      <w:lang w:val="en-NZ" w:eastAsia="en-AU"/>
    </w:rPr>
  </w:style>
  <w:style w:type="paragraph" w:customStyle="1" w:styleId="paragraph">
    <w:name w:val="paragraph"/>
    <w:basedOn w:val="Normal"/>
    <w:rsid w:val="008A4DD4"/>
    <w:pPr>
      <w:spacing w:before="100" w:beforeAutospacing="1" w:after="100" w:afterAutospacing="1" w:line="240" w:lineRule="auto"/>
    </w:pPr>
    <w:rPr>
      <w:color w:val="262626" w:themeColor="text1" w:themeTint="D9"/>
      <w:lang w:eastAsia="en-NZ"/>
    </w:rPr>
  </w:style>
  <w:style w:type="character" w:customStyle="1" w:styleId="normaltextrun">
    <w:name w:val="normaltextrun"/>
    <w:basedOn w:val="DefaultParagraphFont"/>
    <w:rsid w:val="008A4DD4"/>
    <w:rPr>
      <w:rFonts w:ascii="Metropolis Light" w:hAnsi="Metropolis Light"/>
      <w:color w:val="262626" w:themeColor="text1" w:themeTint="D9"/>
    </w:rPr>
  </w:style>
  <w:style w:type="character" w:customStyle="1" w:styleId="eop">
    <w:name w:val="eop"/>
    <w:basedOn w:val="DefaultParagraphFont"/>
    <w:rsid w:val="008A4DD4"/>
    <w:rPr>
      <w:rFonts w:ascii="Metropolis Light" w:hAnsi="Metropolis Light"/>
      <w:color w:val="262626" w:themeColor="text1" w:themeTint="D9"/>
    </w:rPr>
  </w:style>
  <w:style w:type="paragraph" w:styleId="ListParagraph">
    <w:name w:val="List Paragraph"/>
    <w:basedOn w:val="Normal"/>
    <w:link w:val="ListParagraphChar"/>
    <w:uiPriority w:val="34"/>
    <w:qFormat/>
    <w:rsid w:val="008A4DD4"/>
    <w:pPr>
      <w:ind w:left="720"/>
      <w:contextualSpacing/>
    </w:pPr>
    <w:rPr>
      <w:sz w:val="24"/>
    </w:rPr>
  </w:style>
  <w:style w:type="character" w:styleId="PlaceholderText">
    <w:name w:val="Placeholder Text"/>
    <w:basedOn w:val="DefaultParagraphFont"/>
    <w:uiPriority w:val="34"/>
    <w:rsid w:val="008A4DD4"/>
    <w:rPr>
      <w:color w:val="808080"/>
    </w:rPr>
  </w:style>
  <w:style w:type="paragraph" w:customStyle="1" w:styleId="HEADING2topchapter-notinTOC">
    <w:name w:val="HEADING 2 ( top chapter - not in TOC)"/>
    <w:basedOn w:val="Normal"/>
    <w:link w:val="HEADING2topchapter-notinTOCChar"/>
    <w:uiPriority w:val="8"/>
    <w:qFormat/>
    <w:rsid w:val="008A4DD4"/>
    <w:pPr>
      <w:pageBreakBefore/>
      <w:spacing w:after="240" w:line="240" w:lineRule="auto"/>
    </w:pPr>
    <w:rPr>
      <w:rFonts w:ascii="Metropolis" w:eastAsia="Metropolis" w:hAnsi="Metropolis" w:cs="Metropolis"/>
      <w:b/>
      <w:bCs/>
      <w:color w:val="73AB6E"/>
    </w:rPr>
  </w:style>
  <w:style w:type="character" w:customStyle="1" w:styleId="HEADING2topchapter-notinTOCChar">
    <w:name w:val="HEADING 2 ( top chapter - not in TOC) Char"/>
    <w:basedOn w:val="DefaultParagraphFont"/>
    <w:link w:val="HEADING2topchapter-notinTOC"/>
    <w:uiPriority w:val="8"/>
    <w:rsid w:val="008A4DD4"/>
    <w:rPr>
      <w:rFonts w:ascii="Metropolis" w:eastAsia="Metropolis" w:hAnsi="Metropolis" w:cs="Metropolis"/>
      <w:b/>
      <w:bCs/>
      <w:color w:val="73AB6E"/>
      <w:sz w:val="20"/>
      <w:lang w:val="en-NZ"/>
    </w:rPr>
  </w:style>
  <w:style w:type="character" w:styleId="BookTitle">
    <w:name w:val="Book Title"/>
    <w:basedOn w:val="DefaultParagraphFont"/>
    <w:uiPriority w:val="29"/>
    <w:rsid w:val="008A4DD4"/>
    <w:rPr>
      <w:rFonts w:ascii="Metropolis Light" w:hAnsi="Metropolis Light"/>
      <w:b/>
      <w:bCs/>
      <w:smallCaps/>
      <w:color w:val="262626" w:themeColor="text1" w:themeTint="D9"/>
      <w:spacing w:val="5"/>
    </w:rPr>
  </w:style>
  <w:style w:type="paragraph" w:styleId="Date">
    <w:name w:val="Date"/>
    <w:basedOn w:val="Normal"/>
    <w:next w:val="Normal"/>
    <w:link w:val="DateChar"/>
    <w:uiPriority w:val="29"/>
    <w:rsid w:val="008A4DD4"/>
    <w:rPr>
      <w:color w:val="262626" w:themeColor="text1" w:themeTint="D9"/>
    </w:rPr>
  </w:style>
  <w:style w:type="character" w:customStyle="1" w:styleId="DateChar">
    <w:name w:val="Date Char"/>
    <w:basedOn w:val="DefaultParagraphFont"/>
    <w:link w:val="Date"/>
    <w:uiPriority w:val="29"/>
    <w:rsid w:val="008A4DD4"/>
    <w:rPr>
      <w:rFonts w:ascii="Metropolis Light" w:eastAsiaTheme="minorHAnsi" w:hAnsi="Metropolis Light"/>
      <w:color w:val="262626" w:themeColor="text1" w:themeTint="D9"/>
      <w:sz w:val="20"/>
      <w:lang w:val="en-NZ"/>
    </w:rPr>
  </w:style>
  <w:style w:type="paragraph" w:styleId="Bibliography">
    <w:name w:val="Bibliography"/>
    <w:basedOn w:val="Normal"/>
    <w:next w:val="Normal"/>
    <w:uiPriority w:val="34"/>
    <w:rsid w:val="008A4DD4"/>
    <w:rPr>
      <w:color w:val="262626" w:themeColor="text1" w:themeTint="D9"/>
    </w:rPr>
  </w:style>
  <w:style w:type="character" w:styleId="EndnoteReference">
    <w:name w:val="endnote reference"/>
    <w:basedOn w:val="DefaultParagraphFont"/>
    <w:uiPriority w:val="34"/>
    <w:qFormat/>
    <w:rsid w:val="008A4DD4"/>
    <w:rPr>
      <w:rFonts w:ascii="Metropolis Light" w:hAnsi="Metropolis Light"/>
      <w:color w:val="262626" w:themeColor="text1" w:themeTint="D9"/>
      <w:vertAlign w:val="superscript"/>
    </w:rPr>
  </w:style>
  <w:style w:type="paragraph" w:styleId="Index1">
    <w:name w:val="index 1"/>
    <w:basedOn w:val="Normal"/>
    <w:next w:val="Normal"/>
    <w:uiPriority w:val="34"/>
    <w:rsid w:val="008A4DD4"/>
    <w:pPr>
      <w:spacing w:after="0" w:line="240" w:lineRule="auto"/>
      <w:ind w:left="200" w:hanging="200"/>
    </w:pPr>
    <w:rPr>
      <w:color w:val="262626" w:themeColor="text1" w:themeTint="D9"/>
    </w:rPr>
  </w:style>
  <w:style w:type="paragraph" w:styleId="IndexHeading">
    <w:name w:val="index heading"/>
    <w:basedOn w:val="Normal"/>
    <w:next w:val="Index1"/>
    <w:uiPriority w:val="34"/>
    <w:rsid w:val="008A4DD4"/>
    <w:rPr>
      <w:rFonts w:ascii="Metropolis" w:eastAsiaTheme="majorEastAsia" w:hAnsi="Metropolis" w:cstheme="majorBidi"/>
      <w:b/>
      <w:bCs/>
    </w:rPr>
  </w:style>
  <w:style w:type="character" w:styleId="IntenseEmphasis">
    <w:name w:val="Intense Emphasis"/>
    <w:basedOn w:val="DefaultParagraphFont"/>
    <w:uiPriority w:val="34"/>
    <w:rsid w:val="008A4DD4"/>
    <w:rPr>
      <w:rFonts w:ascii="Metropolis Light" w:hAnsi="Metropolis Light"/>
      <w:b/>
      <w:bCs/>
      <w:i/>
      <w:iCs/>
      <w:color w:val="4F81BD" w:themeColor="accent1"/>
    </w:rPr>
  </w:style>
  <w:style w:type="character" w:styleId="IntenseReference">
    <w:name w:val="Intense Reference"/>
    <w:basedOn w:val="DefaultParagraphFont"/>
    <w:uiPriority w:val="34"/>
    <w:rsid w:val="008A4DD4"/>
    <w:rPr>
      <w:rFonts w:ascii="Metropolis Light" w:hAnsi="Metropolis Light"/>
      <w:b/>
      <w:bCs/>
      <w:smallCaps/>
      <w:color w:val="C0504D" w:themeColor="accent2"/>
      <w:spacing w:val="5"/>
      <w:u w:val="single"/>
    </w:rPr>
  </w:style>
  <w:style w:type="paragraph" w:styleId="TOAHeading">
    <w:name w:val="toa heading"/>
    <w:basedOn w:val="Normal"/>
    <w:next w:val="Normal"/>
    <w:uiPriority w:val="34"/>
    <w:rsid w:val="008A4DD4"/>
    <w:pPr>
      <w:spacing w:before="120"/>
    </w:pPr>
    <w:rPr>
      <w:rFonts w:ascii="Metropolis" w:eastAsiaTheme="majorEastAsia" w:hAnsi="Metropolis" w:cstheme="majorBidi"/>
      <w:b/>
      <w:bCs/>
      <w:sz w:val="24"/>
    </w:rPr>
  </w:style>
  <w:style w:type="paragraph" w:styleId="TOC4">
    <w:name w:val="toc 4"/>
    <w:basedOn w:val="Normal"/>
    <w:next w:val="Normal"/>
    <w:uiPriority w:val="34"/>
    <w:rsid w:val="008A4DD4"/>
    <w:pPr>
      <w:spacing w:after="100"/>
      <w:ind w:left="600"/>
    </w:pPr>
    <w:rPr>
      <w:color w:val="262626" w:themeColor="text1" w:themeTint="D9"/>
    </w:rPr>
  </w:style>
  <w:style w:type="paragraph" w:styleId="TOC5">
    <w:name w:val="toc 5"/>
    <w:basedOn w:val="Normal"/>
    <w:next w:val="Normal"/>
    <w:uiPriority w:val="34"/>
    <w:rsid w:val="008A4DD4"/>
    <w:pPr>
      <w:spacing w:after="100"/>
      <w:ind w:left="800"/>
    </w:pPr>
    <w:rPr>
      <w:color w:val="262626" w:themeColor="text1" w:themeTint="D9"/>
    </w:rPr>
  </w:style>
  <w:style w:type="paragraph" w:styleId="TOC6">
    <w:name w:val="toc 6"/>
    <w:basedOn w:val="Normal"/>
    <w:next w:val="Normal"/>
    <w:uiPriority w:val="34"/>
    <w:rsid w:val="008A4DD4"/>
    <w:pPr>
      <w:spacing w:after="100"/>
      <w:ind w:left="1000"/>
    </w:pPr>
    <w:rPr>
      <w:color w:val="262626" w:themeColor="text1" w:themeTint="D9"/>
    </w:rPr>
  </w:style>
  <w:style w:type="paragraph" w:styleId="TOC8">
    <w:name w:val="toc 8"/>
    <w:basedOn w:val="Normal"/>
    <w:next w:val="Normal"/>
    <w:uiPriority w:val="34"/>
    <w:rsid w:val="008A4DD4"/>
    <w:pPr>
      <w:spacing w:after="100"/>
      <w:ind w:left="1400"/>
    </w:pPr>
    <w:rPr>
      <w:color w:val="262626" w:themeColor="text1" w:themeTint="D9"/>
    </w:rPr>
  </w:style>
  <w:style w:type="paragraph" w:styleId="TOC9">
    <w:name w:val="toc 9"/>
    <w:basedOn w:val="Normal"/>
    <w:next w:val="Normal"/>
    <w:uiPriority w:val="34"/>
    <w:rsid w:val="008A4DD4"/>
    <w:pPr>
      <w:spacing w:after="100"/>
      <w:ind w:left="1600"/>
    </w:pPr>
    <w:rPr>
      <w:color w:val="262626" w:themeColor="text1" w:themeTint="D9"/>
    </w:rPr>
  </w:style>
  <w:style w:type="paragraph" w:styleId="TOC7">
    <w:name w:val="toc 7"/>
    <w:basedOn w:val="Normal"/>
    <w:next w:val="Normal"/>
    <w:uiPriority w:val="34"/>
    <w:rsid w:val="008A4DD4"/>
    <w:pPr>
      <w:spacing w:after="100"/>
      <w:ind w:left="1200"/>
    </w:pPr>
    <w:rPr>
      <w:color w:val="262626" w:themeColor="text1" w:themeTint="D9"/>
    </w:rPr>
  </w:style>
  <w:style w:type="paragraph" w:styleId="DocumentMap">
    <w:name w:val="Document Map"/>
    <w:basedOn w:val="Normal"/>
    <w:link w:val="DocumentMapChar"/>
    <w:uiPriority w:val="34"/>
    <w:rsid w:val="008A4DD4"/>
    <w:pPr>
      <w:spacing w:after="0" w:line="240" w:lineRule="auto"/>
    </w:pPr>
    <w:rPr>
      <w:rFonts w:ascii="Tahoma" w:hAnsi="Tahoma" w:cs="Tahoma"/>
      <w:color w:val="262626" w:themeColor="text1" w:themeTint="D9"/>
      <w:sz w:val="16"/>
      <w:szCs w:val="16"/>
    </w:rPr>
  </w:style>
  <w:style w:type="character" w:customStyle="1" w:styleId="DocumentMapChar">
    <w:name w:val="Document Map Char"/>
    <w:basedOn w:val="DefaultParagraphFont"/>
    <w:link w:val="DocumentMap"/>
    <w:uiPriority w:val="34"/>
    <w:rsid w:val="008A4DD4"/>
    <w:rPr>
      <w:rFonts w:ascii="Tahoma" w:eastAsiaTheme="minorHAnsi" w:hAnsi="Tahoma" w:cs="Tahoma"/>
      <w:color w:val="262626" w:themeColor="text1" w:themeTint="D9"/>
      <w:sz w:val="16"/>
      <w:szCs w:val="16"/>
      <w:lang w:val="en-NZ"/>
    </w:rPr>
  </w:style>
  <w:style w:type="paragraph" w:styleId="EndnoteText">
    <w:name w:val="endnote text"/>
    <w:basedOn w:val="Normal"/>
    <w:link w:val="EndnoteTextChar"/>
    <w:uiPriority w:val="34"/>
    <w:rsid w:val="008A4DD4"/>
    <w:pPr>
      <w:spacing w:after="0" w:line="240" w:lineRule="auto"/>
    </w:pPr>
    <w:rPr>
      <w:color w:val="262626" w:themeColor="text1" w:themeTint="D9"/>
      <w:szCs w:val="20"/>
    </w:rPr>
  </w:style>
  <w:style w:type="character" w:customStyle="1" w:styleId="EndnoteTextChar">
    <w:name w:val="Endnote Text Char"/>
    <w:basedOn w:val="DefaultParagraphFont"/>
    <w:link w:val="EndnoteText"/>
    <w:uiPriority w:val="34"/>
    <w:rsid w:val="008A4DD4"/>
    <w:rPr>
      <w:rFonts w:ascii="Metropolis Light" w:eastAsiaTheme="minorHAnsi" w:hAnsi="Metropolis Light"/>
      <w:color w:val="262626" w:themeColor="text1" w:themeTint="D9"/>
      <w:sz w:val="20"/>
      <w:szCs w:val="20"/>
      <w:lang w:val="en-NZ"/>
    </w:rPr>
  </w:style>
  <w:style w:type="paragraph" w:styleId="Index2">
    <w:name w:val="index 2"/>
    <w:basedOn w:val="Normal"/>
    <w:next w:val="Normal"/>
    <w:uiPriority w:val="34"/>
    <w:rsid w:val="008A4DD4"/>
    <w:pPr>
      <w:spacing w:after="0" w:line="240" w:lineRule="auto"/>
      <w:ind w:left="400" w:hanging="200"/>
    </w:pPr>
  </w:style>
  <w:style w:type="paragraph" w:styleId="Index3">
    <w:name w:val="index 3"/>
    <w:basedOn w:val="Normal"/>
    <w:next w:val="Normal"/>
    <w:uiPriority w:val="34"/>
    <w:rsid w:val="008A4DD4"/>
    <w:pPr>
      <w:spacing w:after="0" w:line="240" w:lineRule="auto"/>
      <w:ind w:left="600" w:hanging="200"/>
    </w:pPr>
  </w:style>
  <w:style w:type="paragraph" w:styleId="Index4">
    <w:name w:val="index 4"/>
    <w:basedOn w:val="Normal"/>
    <w:next w:val="Normal"/>
    <w:uiPriority w:val="34"/>
    <w:rsid w:val="008A4DD4"/>
    <w:pPr>
      <w:spacing w:after="0" w:line="240" w:lineRule="auto"/>
      <w:ind w:left="800" w:hanging="200"/>
    </w:pPr>
  </w:style>
  <w:style w:type="paragraph" w:styleId="Index5">
    <w:name w:val="index 5"/>
    <w:basedOn w:val="Normal"/>
    <w:next w:val="Normal"/>
    <w:uiPriority w:val="34"/>
    <w:rsid w:val="008A4DD4"/>
    <w:pPr>
      <w:spacing w:after="0" w:line="240" w:lineRule="auto"/>
      <w:ind w:left="1000" w:hanging="200"/>
    </w:pPr>
  </w:style>
  <w:style w:type="paragraph" w:styleId="Index6">
    <w:name w:val="index 6"/>
    <w:basedOn w:val="Normal"/>
    <w:next w:val="Normal"/>
    <w:uiPriority w:val="34"/>
    <w:rsid w:val="008A4DD4"/>
    <w:pPr>
      <w:spacing w:after="0" w:line="240" w:lineRule="auto"/>
      <w:ind w:left="1200" w:hanging="200"/>
    </w:pPr>
  </w:style>
  <w:style w:type="paragraph" w:styleId="Index7">
    <w:name w:val="index 7"/>
    <w:basedOn w:val="Normal"/>
    <w:next w:val="Normal"/>
    <w:uiPriority w:val="34"/>
    <w:rsid w:val="008A4DD4"/>
    <w:pPr>
      <w:spacing w:after="0" w:line="240" w:lineRule="auto"/>
      <w:ind w:left="1400" w:hanging="200"/>
    </w:pPr>
  </w:style>
  <w:style w:type="paragraph" w:styleId="Index8">
    <w:name w:val="index 8"/>
    <w:basedOn w:val="Normal"/>
    <w:next w:val="Normal"/>
    <w:uiPriority w:val="34"/>
    <w:rsid w:val="008A4DD4"/>
    <w:pPr>
      <w:spacing w:after="0" w:line="240" w:lineRule="auto"/>
      <w:ind w:left="1600" w:hanging="200"/>
    </w:pPr>
  </w:style>
  <w:style w:type="paragraph" w:styleId="Index9">
    <w:name w:val="index 9"/>
    <w:basedOn w:val="Normal"/>
    <w:next w:val="Normal"/>
    <w:uiPriority w:val="34"/>
    <w:rsid w:val="008A4DD4"/>
    <w:pPr>
      <w:spacing w:after="0" w:line="240" w:lineRule="auto"/>
      <w:ind w:left="1800" w:hanging="200"/>
    </w:pPr>
  </w:style>
  <w:style w:type="paragraph" w:styleId="IntenseQuote">
    <w:name w:val="Intense Quote"/>
    <w:basedOn w:val="Normal"/>
    <w:next w:val="Normal"/>
    <w:link w:val="IntenseQuoteChar"/>
    <w:uiPriority w:val="34"/>
    <w:rsid w:val="008A4DD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4"/>
    <w:rsid w:val="008A4DD4"/>
    <w:rPr>
      <w:rFonts w:ascii="Metropolis Light" w:eastAsiaTheme="minorHAnsi" w:hAnsi="Metropolis Light"/>
      <w:b/>
      <w:bCs/>
      <w:i/>
      <w:iCs/>
      <w:color w:val="4F81BD" w:themeColor="accent1"/>
      <w:sz w:val="20"/>
      <w:lang w:val="en-NZ"/>
    </w:rPr>
  </w:style>
  <w:style w:type="paragraph" w:styleId="MacroText">
    <w:name w:val="macro"/>
    <w:link w:val="MacroTextChar"/>
    <w:uiPriority w:val="34"/>
    <w:rsid w:val="008A4DD4"/>
    <w:pPr>
      <w:widowControl/>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nsolas" w:eastAsia="Times New Roman" w:hAnsi="Consolas" w:cs="Times New Roman"/>
      <w:color w:val="404040" w:themeColor="text1" w:themeTint="BF"/>
      <w:sz w:val="20"/>
      <w:szCs w:val="20"/>
      <w:lang w:val="en-NZ" w:eastAsia="en-AU"/>
    </w:rPr>
  </w:style>
  <w:style w:type="character" w:customStyle="1" w:styleId="MacroTextChar">
    <w:name w:val="Macro Text Char"/>
    <w:basedOn w:val="DefaultParagraphFont"/>
    <w:link w:val="MacroText"/>
    <w:uiPriority w:val="34"/>
    <w:rsid w:val="008A4DD4"/>
    <w:rPr>
      <w:rFonts w:ascii="Consolas" w:eastAsia="Times New Roman" w:hAnsi="Consolas" w:cs="Times New Roman"/>
      <w:color w:val="404040" w:themeColor="text1" w:themeTint="BF"/>
      <w:sz w:val="20"/>
      <w:szCs w:val="20"/>
      <w:lang w:val="en-NZ" w:eastAsia="en-AU"/>
    </w:rPr>
  </w:style>
  <w:style w:type="paragraph" w:styleId="TableofAuthorities">
    <w:name w:val="table of authorities"/>
    <w:basedOn w:val="Normal"/>
    <w:next w:val="Normal"/>
    <w:uiPriority w:val="34"/>
    <w:rsid w:val="008A4DD4"/>
    <w:pPr>
      <w:spacing w:after="0"/>
      <w:ind w:left="200" w:hanging="200"/>
    </w:pPr>
    <w:rPr>
      <w:color w:val="262626" w:themeColor="text1" w:themeTint="D9"/>
    </w:rPr>
  </w:style>
  <w:style w:type="paragraph" w:styleId="TableofFigures">
    <w:name w:val="table of figures"/>
    <w:basedOn w:val="Normal"/>
    <w:next w:val="Normal"/>
    <w:uiPriority w:val="34"/>
    <w:rsid w:val="008A4DD4"/>
    <w:pPr>
      <w:spacing w:after="0"/>
    </w:pPr>
  </w:style>
  <w:style w:type="character" w:customStyle="1" w:styleId="UnresolvedMention1">
    <w:name w:val="Unresolved Mention1"/>
    <w:basedOn w:val="DefaultParagraphFont"/>
    <w:uiPriority w:val="99"/>
    <w:semiHidden/>
    <w:unhideWhenUsed/>
    <w:rsid w:val="008A4DD4"/>
    <w:rPr>
      <w:color w:val="808080"/>
      <w:shd w:val="clear" w:color="auto" w:fill="E6E6E6"/>
    </w:rPr>
  </w:style>
  <w:style w:type="paragraph" w:customStyle="1" w:styleId="subsection2">
    <w:name w:val="subsection2"/>
    <w:basedOn w:val="Normal"/>
    <w:rsid w:val="008A4DD4"/>
    <w:pPr>
      <w:spacing w:before="100" w:beforeAutospacing="1" w:after="100" w:afterAutospacing="1" w:line="240" w:lineRule="auto"/>
    </w:pPr>
    <w:rPr>
      <w:rFonts w:ascii="Times New Roman" w:hAnsi="Times New Roman"/>
      <w:sz w:val="24"/>
      <w:lang w:eastAsia="en-NZ"/>
    </w:rPr>
  </w:style>
  <w:style w:type="character" w:styleId="SubtleEmphasis">
    <w:name w:val="Subtle Emphasis"/>
    <w:basedOn w:val="DefaultParagraphFont"/>
    <w:uiPriority w:val="34"/>
    <w:rsid w:val="008A4DD4"/>
    <w:rPr>
      <w:i/>
      <w:iCs/>
      <w:color w:val="808080" w:themeColor="text1" w:themeTint="7F"/>
    </w:rPr>
  </w:style>
  <w:style w:type="paragraph" w:customStyle="1" w:styleId="text">
    <w:name w:val="text"/>
    <w:basedOn w:val="Normal"/>
    <w:rsid w:val="008A4DD4"/>
    <w:pPr>
      <w:spacing w:before="100" w:beforeAutospacing="1" w:after="100" w:afterAutospacing="1" w:line="240" w:lineRule="auto"/>
    </w:pPr>
    <w:rPr>
      <w:rFonts w:ascii="Times" w:hAnsi="Times"/>
      <w:szCs w:val="20"/>
    </w:rPr>
  </w:style>
  <w:style w:type="character" w:customStyle="1" w:styleId="insertwords">
    <w:name w:val="insertwords"/>
    <w:basedOn w:val="DefaultParagraphFont"/>
    <w:rsid w:val="008A4DD4"/>
  </w:style>
  <w:style w:type="character" w:customStyle="1" w:styleId="label">
    <w:name w:val="label"/>
    <w:basedOn w:val="DefaultParagraphFont"/>
    <w:rsid w:val="008A4DD4"/>
  </w:style>
  <w:style w:type="numbering" w:customStyle="1" w:styleId="1111111">
    <w:name w:val="1 / 1.1 / 1.1.11"/>
    <w:basedOn w:val="NoList"/>
    <w:next w:val="111111"/>
    <w:semiHidden/>
    <w:rsid w:val="00305778"/>
  </w:style>
  <w:style w:type="numbering" w:customStyle="1" w:styleId="1ai1">
    <w:name w:val="1 / a / i1"/>
    <w:basedOn w:val="NoList"/>
    <w:next w:val="1ai"/>
    <w:semiHidden/>
    <w:rsid w:val="00305778"/>
  </w:style>
  <w:style w:type="numbering" w:customStyle="1" w:styleId="ArticleSection1">
    <w:name w:val="Article / Section1"/>
    <w:basedOn w:val="NoList"/>
    <w:next w:val="ArticleSection"/>
    <w:semiHidden/>
    <w:rsid w:val="00305778"/>
  </w:style>
  <w:style w:type="numbering" w:customStyle="1" w:styleId="Chapter11">
    <w:name w:val="Chapter11"/>
    <w:uiPriority w:val="99"/>
    <w:rsid w:val="00305778"/>
  </w:style>
  <w:style w:type="paragraph" w:customStyle="1" w:styleId="Proposal">
    <w:name w:val="Proposal"/>
    <w:basedOn w:val="Normal"/>
    <w:link w:val="ProposalChar"/>
    <w:qFormat/>
    <w:rsid w:val="008A4DD4"/>
    <w:pPr>
      <w:tabs>
        <w:tab w:val="left" w:pos="960"/>
      </w:tabs>
      <w:spacing w:before="59" w:after="0" w:line="290" w:lineRule="atLeast"/>
      <w:ind w:left="964" w:right="284" w:hanging="6"/>
      <w:jc w:val="both"/>
    </w:pPr>
    <w:rPr>
      <w:rFonts w:eastAsia="Metropolis Light" w:cs="Metropolis Light"/>
      <w:szCs w:val="19"/>
    </w:rPr>
  </w:style>
  <w:style w:type="character" w:customStyle="1" w:styleId="ProposalChar">
    <w:name w:val="Proposal Char"/>
    <w:basedOn w:val="DefaultParagraphFont"/>
    <w:link w:val="Proposal"/>
    <w:rsid w:val="008A4DD4"/>
    <w:rPr>
      <w:rFonts w:ascii="Metropolis Light" w:eastAsia="Metropolis Light" w:hAnsi="Metropolis Light" w:cs="Metropolis Light"/>
      <w:sz w:val="20"/>
      <w:szCs w:val="19"/>
      <w:lang w:val="en-NZ"/>
    </w:rPr>
  </w:style>
  <w:style w:type="paragraph" w:customStyle="1" w:styleId="QuestionBox">
    <w:name w:val="Question Box"/>
    <w:basedOn w:val="BodyText"/>
    <w:link w:val="QuestionBoxChar"/>
    <w:uiPriority w:val="8"/>
    <w:qFormat/>
    <w:rsid w:val="008A4DD4"/>
    <w:pPr>
      <w:numPr>
        <w:ilvl w:val="0"/>
        <w:numId w:val="0"/>
      </w:numPr>
      <w:ind w:left="1004" w:right="284"/>
    </w:pPr>
    <w:rPr>
      <w:rFonts w:eastAsia="Metropolis Light"/>
    </w:rPr>
  </w:style>
  <w:style w:type="character" w:customStyle="1" w:styleId="QuestionBoxChar">
    <w:name w:val="Question Box Char"/>
    <w:basedOn w:val="BodyTextChar"/>
    <w:link w:val="QuestionBox"/>
    <w:uiPriority w:val="8"/>
    <w:rsid w:val="008A4DD4"/>
    <w:rPr>
      <w:rFonts w:ascii="Metropolis Light" w:eastAsia="Metropolis Light" w:hAnsi="Metropolis Light" w:cs="Times New Roman"/>
      <w:color w:val="000000" w:themeColor="text1"/>
      <w:sz w:val="20"/>
      <w:szCs w:val="24"/>
      <w:lang w:val="en-NZ" w:eastAsia="en-AU"/>
    </w:rPr>
  </w:style>
  <w:style w:type="character" w:customStyle="1" w:styleId="apple-converted-space">
    <w:name w:val="apple-converted-space"/>
    <w:basedOn w:val="DefaultParagraphFont"/>
    <w:rsid w:val="008A4DD4"/>
  </w:style>
  <w:style w:type="paragraph" w:customStyle="1" w:styleId="BodyText1">
    <w:name w:val="Body Text1"/>
    <w:next w:val="BodyText"/>
    <w:link w:val="BodyText1Char"/>
    <w:uiPriority w:val="8"/>
    <w:qFormat/>
    <w:rsid w:val="008A4DD4"/>
    <w:pPr>
      <w:widowControl/>
      <w:tabs>
        <w:tab w:val="num" w:pos="360"/>
      </w:tabs>
      <w:spacing w:before="80" w:after="80" w:line="360" w:lineRule="auto"/>
      <w:jc w:val="both"/>
    </w:pPr>
    <w:rPr>
      <w:rFonts w:ascii="Metropolis Light" w:eastAsia="Times New Roman" w:hAnsi="Metropolis Light" w:cs="Times New Roman"/>
      <w:color w:val="0D0D0D" w:themeColor="text1" w:themeTint="F2"/>
      <w:sz w:val="20"/>
      <w:szCs w:val="24"/>
      <w:lang w:val="en-NZ" w:eastAsia="en-AU"/>
    </w:rPr>
  </w:style>
  <w:style w:type="character" w:customStyle="1" w:styleId="sslistitemcontent">
    <w:name w:val="ss_listitemcontent"/>
    <w:basedOn w:val="DefaultParagraphFont"/>
    <w:rsid w:val="008A4DD4"/>
  </w:style>
  <w:style w:type="character" w:customStyle="1" w:styleId="BodyText1Char">
    <w:name w:val="Body Text1 Char"/>
    <w:basedOn w:val="BodyTextChar"/>
    <w:link w:val="BodyText1"/>
    <w:uiPriority w:val="8"/>
    <w:rsid w:val="008A4DD4"/>
    <w:rPr>
      <w:rFonts w:ascii="Metropolis Light" w:eastAsia="Times New Roman" w:hAnsi="Metropolis Light" w:cs="Times New Roman"/>
      <w:color w:val="0D0D0D" w:themeColor="text1" w:themeTint="F2"/>
      <w:sz w:val="20"/>
      <w:szCs w:val="24"/>
      <w:lang w:val="en-NZ" w:eastAsia="en-AU"/>
    </w:rPr>
  </w:style>
  <w:style w:type="paragraph" w:customStyle="1" w:styleId="B2Recommendation">
    <w:name w:val="B2 Recommendation"/>
    <w:basedOn w:val="Normal"/>
    <w:rsid w:val="008A4DD4"/>
    <w:pPr>
      <w:numPr>
        <w:numId w:val="13"/>
      </w:numPr>
      <w:tabs>
        <w:tab w:val="left" w:pos="2268"/>
      </w:tabs>
      <w:spacing w:after="0" w:line="240" w:lineRule="auto"/>
    </w:pPr>
    <w:rPr>
      <w:rFonts w:ascii="Times New Roman Mäori" w:hAnsi="Times New Roman Mäori"/>
      <w:b/>
      <w:bCs/>
      <w:color w:val="339966"/>
      <w:sz w:val="24"/>
      <w:szCs w:val="20"/>
      <w:lang w:val="en-GB"/>
    </w:rPr>
  </w:style>
  <w:style w:type="paragraph" w:customStyle="1" w:styleId="Default">
    <w:name w:val="Default"/>
    <w:rsid w:val="008A4DD4"/>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NZ" w:eastAsia="en-AU"/>
    </w:rPr>
  </w:style>
  <w:style w:type="table" w:customStyle="1" w:styleId="GridTable1Light-Accent11">
    <w:name w:val="Grid Table 1 Light - Accent 11"/>
    <w:basedOn w:val="TableNormal"/>
    <w:uiPriority w:val="46"/>
    <w:rsid w:val="008A4DD4"/>
    <w:pPr>
      <w:widowControl/>
      <w:spacing w:after="0" w:line="240" w:lineRule="auto"/>
    </w:pPr>
    <w:rPr>
      <w:rFonts w:eastAsia="Times New Roman" w:cs="Times New Roman"/>
      <w:sz w:val="24"/>
      <w:szCs w:val="24"/>
      <w:lang w:val="en-AU" w:eastAsia="en-AU"/>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Chapter12">
    <w:name w:val="Chapter12"/>
    <w:uiPriority w:val="99"/>
    <w:rsid w:val="00305778"/>
  </w:style>
  <w:style w:type="character" w:customStyle="1" w:styleId="UnresolvedMention10">
    <w:name w:val="Unresolved Mention10"/>
    <w:basedOn w:val="DefaultParagraphFont"/>
    <w:uiPriority w:val="99"/>
    <w:semiHidden/>
    <w:unhideWhenUsed/>
    <w:rsid w:val="008A4DD4"/>
    <w:rPr>
      <w:color w:val="605E5C"/>
      <w:shd w:val="clear" w:color="auto" w:fill="E1DFDD"/>
    </w:rPr>
  </w:style>
  <w:style w:type="paragraph" w:customStyle="1" w:styleId="Questionabc">
    <w:name w:val="Question abc"/>
    <w:basedOn w:val="QuestionBox"/>
    <w:next w:val="QuestionBox"/>
    <w:link w:val="QuestionabcChar"/>
    <w:uiPriority w:val="8"/>
    <w:qFormat/>
    <w:rsid w:val="008A4DD4"/>
    <w:pPr>
      <w:numPr>
        <w:numId w:val="22"/>
      </w:numPr>
      <w:ind w:left="1417" w:hanging="425"/>
    </w:pPr>
    <w:rPr>
      <w:rFonts w:cs="Metropolis Light"/>
      <w:szCs w:val="19"/>
      <w:lang w:eastAsia="en-US"/>
    </w:rPr>
  </w:style>
  <w:style w:type="character" w:customStyle="1" w:styleId="QuestionabcChar">
    <w:name w:val="Question abc Char"/>
    <w:basedOn w:val="ProposalChar"/>
    <w:link w:val="Questionabc"/>
    <w:uiPriority w:val="8"/>
    <w:rsid w:val="008A4DD4"/>
    <w:rPr>
      <w:rFonts w:ascii="Metropolis Light" w:eastAsia="Metropolis Light" w:hAnsi="Metropolis Light" w:cs="Metropolis Light"/>
      <w:color w:val="000000" w:themeColor="text1"/>
      <w:sz w:val="20"/>
      <w:szCs w:val="19"/>
      <w:lang w:val="en-NZ"/>
    </w:rPr>
  </w:style>
  <w:style w:type="character" w:customStyle="1" w:styleId="UnresolvedMention2">
    <w:name w:val="Unresolved Mention2"/>
    <w:basedOn w:val="DefaultParagraphFont"/>
    <w:uiPriority w:val="99"/>
    <w:semiHidden/>
    <w:unhideWhenUsed/>
    <w:rsid w:val="008A4DD4"/>
    <w:rPr>
      <w:color w:val="605E5C"/>
      <w:shd w:val="clear" w:color="auto" w:fill="E1DFDD"/>
    </w:rPr>
  </w:style>
  <w:style w:type="character" w:customStyle="1" w:styleId="UnresolvedMention3">
    <w:name w:val="Unresolved Mention3"/>
    <w:basedOn w:val="DefaultParagraphFont"/>
    <w:uiPriority w:val="99"/>
    <w:semiHidden/>
    <w:unhideWhenUsed/>
    <w:rsid w:val="008A4DD4"/>
    <w:rPr>
      <w:color w:val="605E5C"/>
      <w:shd w:val="clear" w:color="auto" w:fill="E1DFDD"/>
    </w:rPr>
  </w:style>
  <w:style w:type="paragraph" w:customStyle="1" w:styleId="Foreword">
    <w:name w:val="Foreword"/>
    <w:basedOn w:val="BodyTextIndent"/>
    <w:link w:val="ForewordChar"/>
    <w:uiPriority w:val="8"/>
    <w:qFormat/>
    <w:rsid w:val="008A4DD4"/>
    <w:pPr>
      <w:spacing w:after="120"/>
      <w:ind w:left="0"/>
    </w:pPr>
    <w:rPr>
      <w:rFonts w:eastAsia="Metropolis Light"/>
      <w:color w:val="0D0D0D" w:themeColor="text1" w:themeTint="F2"/>
    </w:rPr>
  </w:style>
  <w:style w:type="character" w:customStyle="1" w:styleId="ForewordChar">
    <w:name w:val="Foreword Char"/>
    <w:basedOn w:val="BodyTextIndentChar"/>
    <w:link w:val="Foreword"/>
    <w:uiPriority w:val="8"/>
    <w:rsid w:val="008A4DD4"/>
    <w:rPr>
      <w:rFonts w:ascii="Metropolis Light" w:eastAsia="Metropolis Light" w:hAnsi="Metropolis Light" w:cs="Times New Roman"/>
      <w:color w:val="0D0D0D" w:themeColor="text1" w:themeTint="F2"/>
      <w:sz w:val="20"/>
      <w:szCs w:val="24"/>
      <w:lang w:val="en-NZ" w:eastAsia="en-AU"/>
    </w:rPr>
  </w:style>
  <w:style w:type="paragraph" w:customStyle="1" w:styleId="TableHeader">
    <w:name w:val="Table Header"/>
    <w:basedOn w:val="BodyText"/>
    <w:link w:val="TableHeaderChar"/>
    <w:uiPriority w:val="8"/>
    <w:qFormat/>
    <w:rsid w:val="008A4DD4"/>
    <w:pPr>
      <w:numPr>
        <w:numId w:val="0"/>
      </w:numPr>
      <w:tabs>
        <w:tab w:val="left" w:pos="709"/>
      </w:tabs>
      <w:spacing w:line="240" w:lineRule="auto"/>
      <w:jc w:val="left"/>
    </w:pPr>
    <w:rPr>
      <w:b/>
      <w:bCs/>
      <w:color w:val="FFFFFF" w:themeColor="background1"/>
    </w:rPr>
  </w:style>
  <w:style w:type="paragraph" w:customStyle="1" w:styleId="TableText">
    <w:name w:val="Table Text"/>
    <w:basedOn w:val="BodyText"/>
    <w:link w:val="TableTextChar"/>
    <w:uiPriority w:val="8"/>
    <w:qFormat/>
    <w:rsid w:val="008A4DD4"/>
    <w:pPr>
      <w:numPr>
        <w:numId w:val="0"/>
      </w:numPr>
      <w:tabs>
        <w:tab w:val="left" w:pos="709"/>
      </w:tabs>
      <w:spacing w:line="288" w:lineRule="auto"/>
      <w:jc w:val="left"/>
    </w:pPr>
    <w:rPr>
      <w:sz w:val="18"/>
    </w:rPr>
  </w:style>
  <w:style w:type="character" w:customStyle="1" w:styleId="TableHeaderChar">
    <w:name w:val="Table Header Char"/>
    <w:basedOn w:val="BodyTextChar"/>
    <w:link w:val="TableHeader"/>
    <w:uiPriority w:val="8"/>
    <w:rsid w:val="008A4DD4"/>
    <w:rPr>
      <w:rFonts w:ascii="Metropolis Light" w:eastAsia="Times New Roman" w:hAnsi="Metropolis Light" w:cs="Times New Roman"/>
      <w:b/>
      <w:bCs/>
      <w:color w:val="FFFFFF" w:themeColor="background1"/>
      <w:sz w:val="20"/>
      <w:szCs w:val="24"/>
      <w:lang w:val="en-NZ" w:eastAsia="en-AU"/>
    </w:rPr>
  </w:style>
  <w:style w:type="table" w:customStyle="1" w:styleId="LCReportTable">
    <w:name w:val="LC Report Table"/>
    <w:basedOn w:val="LCTableFinancial"/>
    <w:uiPriority w:val="99"/>
    <w:rsid w:val="008A4DD4"/>
    <w:pPr>
      <w:spacing w:after="0" w:line="240" w:lineRule="auto"/>
    </w:pPr>
    <w:rPr>
      <w:rFonts w:ascii="Metropolis Light" w:hAnsi="Metropolis Light"/>
      <w:sz w:val="20"/>
    </w:rPr>
    <w:tblPr>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Pr>
    <w:tblStylePr w:type="firstRow">
      <w:pPr>
        <w:wordWrap/>
        <w:spacing w:beforeLines="0" w:beforeAutospacing="0" w:afterLines="0" w:afterAutospacing="0" w:line="240" w:lineRule="auto"/>
      </w:pPr>
      <w:rPr>
        <w:rFonts w:ascii="@Yu Gothic UI Semibold" w:hAnsi="@Yu Gothic UI Semibold"/>
        <w:b/>
        <w:caps/>
        <w:smallCaps w:val="0"/>
        <w:color w:val="FFFFFF"/>
        <w:sz w:val="20"/>
      </w:rPr>
      <w:tblPr/>
      <w:tcPr>
        <w:shd w:val="clear" w:color="auto" w:fill="6BA539"/>
      </w:tcPr>
    </w:tblStylePr>
    <w:tblStylePr w:type="lastRow">
      <w:rPr>
        <w:b/>
      </w:rPr>
    </w:tblStylePr>
    <w:tblStylePr w:type="firstCol">
      <w:pPr>
        <w:wordWrap/>
        <w:jc w:val="left"/>
      </w:pPr>
    </w:tblStylePr>
  </w:style>
  <w:style w:type="character" w:customStyle="1" w:styleId="TableTextChar">
    <w:name w:val="Table Text Char"/>
    <w:basedOn w:val="BodyTextChar"/>
    <w:link w:val="TableText"/>
    <w:uiPriority w:val="8"/>
    <w:rsid w:val="008A4DD4"/>
    <w:rPr>
      <w:rFonts w:ascii="Metropolis Light" w:eastAsia="Times New Roman" w:hAnsi="Metropolis Light" w:cs="Times New Roman"/>
      <w:color w:val="000000" w:themeColor="text1"/>
      <w:sz w:val="18"/>
      <w:szCs w:val="24"/>
      <w:lang w:val="en-NZ" w:eastAsia="en-AU"/>
    </w:rPr>
  </w:style>
  <w:style w:type="paragraph" w:customStyle="1" w:styleId="Prelimheadings">
    <w:name w:val="Prelim headings"/>
    <w:basedOn w:val="Heading1nonum"/>
    <w:link w:val="PrelimheadingsChar"/>
    <w:uiPriority w:val="8"/>
    <w:rsid w:val="008A4DD4"/>
    <w:pPr>
      <w:pageBreakBefore/>
      <w:spacing w:before="480"/>
    </w:pPr>
    <w:rPr>
      <w:color w:val="5CA0B9"/>
    </w:rPr>
  </w:style>
  <w:style w:type="character" w:customStyle="1" w:styleId="PrelimheadingsChar">
    <w:name w:val="Prelim headings Char"/>
    <w:basedOn w:val="DefaultParagraphFont"/>
    <w:link w:val="Prelimheadings"/>
    <w:uiPriority w:val="8"/>
    <w:rsid w:val="008A4DD4"/>
    <w:rPr>
      <w:rFonts w:ascii="Metropolis Black" w:eastAsia="Times New Roman" w:hAnsi="Metropolis Black" w:cs="Times New Roman"/>
      <w:b/>
      <w:color w:val="5CA0B9"/>
      <w:sz w:val="66"/>
      <w:szCs w:val="24"/>
      <w:lang w:val="en-NZ" w:eastAsia="en-AU"/>
    </w:rPr>
  </w:style>
  <w:style w:type="character" w:styleId="UnresolvedMention">
    <w:name w:val="Unresolved Mention"/>
    <w:basedOn w:val="DefaultParagraphFont"/>
    <w:uiPriority w:val="99"/>
    <w:unhideWhenUsed/>
    <w:rsid w:val="005B10E9"/>
    <w:rPr>
      <w:color w:val="605E5C"/>
      <w:shd w:val="clear" w:color="auto" w:fill="E1DFDD"/>
    </w:rPr>
  </w:style>
  <w:style w:type="character" w:customStyle="1" w:styleId="listlabel">
    <w:name w:val="listlabel"/>
    <w:basedOn w:val="DefaultParagraphFont"/>
    <w:rsid w:val="005B10E9"/>
  </w:style>
  <w:style w:type="character" w:customStyle="1" w:styleId="listbody">
    <w:name w:val="listbody"/>
    <w:basedOn w:val="DefaultParagraphFont"/>
    <w:rsid w:val="005B10E9"/>
  </w:style>
  <w:style w:type="character" w:customStyle="1" w:styleId="textrun">
    <w:name w:val="textrun"/>
    <w:basedOn w:val="DefaultParagraphFont"/>
    <w:rsid w:val="005B10E9"/>
  </w:style>
  <w:style w:type="paragraph" w:customStyle="1" w:styleId="B1Recommendation">
    <w:name w:val="B1 Recommendation"/>
    <w:basedOn w:val="Normal"/>
    <w:rsid w:val="00BF13DC"/>
    <w:pPr>
      <w:numPr>
        <w:numId w:val="14"/>
      </w:numPr>
      <w:tabs>
        <w:tab w:val="left" w:pos="1701"/>
        <w:tab w:val="left" w:pos="2268"/>
      </w:tabs>
    </w:pPr>
    <w:rPr>
      <w:rFonts w:ascii="Times New Roman Mäori" w:hAnsi="Times New Roman Mäori"/>
      <w:b/>
      <w:bCs/>
      <w:color w:val="339966"/>
      <w:szCs w:val="20"/>
      <w:lang w:val="en-GB"/>
    </w:rPr>
  </w:style>
  <w:style w:type="character" w:customStyle="1" w:styleId="superscript">
    <w:name w:val="superscript"/>
    <w:basedOn w:val="DefaultParagraphFont"/>
    <w:rsid w:val="005B10E9"/>
  </w:style>
  <w:style w:type="character" w:customStyle="1" w:styleId="E-mailSignatureChar3">
    <w:name w:val="E-mail Signature Char3"/>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1">
    <w:name w:val="Email Signature Char1"/>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2">
    <w:name w:val="Email Signature Char2"/>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1">
    <w:name w:val="E-mail Signature Char1"/>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styleId="Mention">
    <w:name w:val="Mention"/>
    <w:basedOn w:val="DefaultParagraphFont"/>
    <w:uiPriority w:val="99"/>
    <w:unhideWhenUsed/>
    <w:rsid w:val="005B10E9"/>
    <w:rPr>
      <w:color w:val="2B579A"/>
      <w:shd w:val="clear" w:color="auto" w:fill="E1DFDD"/>
    </w:rPr>
  </w:style>
  <w:style w:type="character" w:customStyle="1" w:styleId="EmailSignatureChar3">
    <w:name w:val="Email Signature Char3"/>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2">
    <w:name w:val="E-mail Signature Char2"/>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4">
    <w:name w:val="E-mail Signature Char4"/>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5">
    <w:name w:val="E-mail Signature Char5"/>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6">
    <w:name w:val="E-mail Signature Char6"/>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7">
    <w:name w:val="E-mail Signature Char7"/>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9">
    <w:name w:val="E-mail Signature Char9"/>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8">
    <w:name w:val="E-mail Signature Char8"/>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0">
    <w:name w:val="E-mail Signature Char10"/>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6">
    <w:name w:val="E-mail Signature Char26"/>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1">
    <w:name w:val="E-mail Signature Char11"/>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2">
    <w:name w:val="E-mail Signature Char12"/>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3">
    <w:name w:val="E-mail Signature Char13"/>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4">
    <w:name w:val="E-mail Signature Char14"/>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5">
    <w:name w:val="E-mail Signature Char25"/>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5">
    <w:name w:val="E-mail Signature Char15"/>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6">
    <w:name w:val="E-mail Signature Char16"/>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7">
    <w:name w:val="E-mail Signature Char17"/>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8">
    <w:name w:val="E-mail Signature Char18"/>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9">
    <w:name w:val="E-mail Signature Char19"/>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0">
    <w:name w:val="E-mail Signature Char20"/>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1">
    <w:name w:val="E-mail Signature Char21"/>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2">
    <w:name w:val="E-mail Signature Char22"/>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3">
    <w:name w:val="E-mail Signature Char23"/>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4">
    <w:name w:val="E-mail Signature Char24"/>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7">
    <w:name w:val="E-mail Signature Char27"/>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8">
    <w:name w:val="E-mail Signature Char28"/>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9">
    <w:name w:val="E-mail Signature Char29"/>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30">
    <w:name w:val="E-mail Signature Char30"/>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paragraph" w:customStyle="1" w:styleId="Numberedpara">
    <w:name w:val="Numbered para"/>
    <w:basedOn w:val="Normal"/>
    <w:qFormat/>
    <w:rsid w:val="005B10E9"/>
    <w:pPr>
      <w:ind w:left="567"/>
      <w:jc w:val="both"/>
    </w:pPr>
    <w:rPr>
      <w:color w:val="000000" w:themeColor="text1"/>
    </w:rPr>
  </w:style>
  <w:style w:type="character" w:customStyle="1" w:styleId="E-mailSignatureChar34">
    <w:name w:val="E-mail Signature Char3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1">
    <w:name w:val="E-mail Signature Char31"/>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2">
    <w:name w:val="E-mail Signature Char32"/>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3">
    <w:name w:val="E-mail Signature Char33"/>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5">
    <w:name w:val="E-mail Signature Char35"/>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6">
    <w:name w:val="E-mail Signature Char36"/>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7">
    <w:name w:val="E-mail Signature Char37"/>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8">
    <w:name w:val="E-mail Signature Char38"/>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9">
    <w:name w:val="E-mail Signature Char39"/>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0">
    <w:name w:val="E-mail Signature Char40"/>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4">
    <w:name w:val="E-mail Signature Char4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1">
    <w:name w:val="E-mail Signature Char41"/>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2">
    <w:name w:val="E-mail Signature Char42"/>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3">
    <w:name w:val="E-mail Signature Char43"/>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0">
    <w:name w:val="E-mail Signature Char50"/>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5">
    <w:name w:val="E-mail Signature Char45"/>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6">
    <w:name w:val="E-mail Signature Char46"/>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7">
    <w:name w:val="E-mail Signature Char47"/>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8">
    <w:name w:val="E-mail Signature Char48"/>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9">
    <w:name w:val="E-mail Signature Char49"/>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1">
    <w:name w:val="E-mail Signature Char51"/>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2">
    <w:name w:val="E-mail Signature Char52"/>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3">
    <w:name w:val="E-mail Signature Char53"/>
    <w:basedOn w:val="DefaultParagraphFont"/>
    <w:uiPriority w:val="99"/>
    <w:semiHidden/>
    <w:rsid w:val="005B10E9"/>
    <w:rPr>
      <w:rFonts w:ascii="Tahoma" w:eastAsia="SimSun" w:hAnsi="Tahoma" w:cs="SimSun"/>
      <w:color w:val="0D0D0D" w:themeColor="text1" w:themeTint="F2"/>
      <w:sz w:val="20"/>
      <w:szCs w:val="24"/>
      <w:lang w:val="en-NZ" w:eastAsia="en-AU"/>
    </w:rPr>
  </w:style>
  <w:style w:type="paragraph" w:customStyle="1" w:styleId="BodyTextIndent1">
    <w:name w:val="Body Text Indent1"/>
    <w:basedOn w:val="Normal"/>
    <w:rsid w:val="005B10E9"/>
  </w:style>
  <w:style w:type="paragraph" w:customStyle="1" w:styleId="BodyText21">
    <w:name w:val="Body Text 21"/>
    <w:basedOn w:val="Normal"/>
    <w:uiPriority w:val="1"/>
    <w:qFormat/>
    <w:rsid w:val="005B10E9"/>
  </w:style>
  <w:style w:type="paragraph" w:customStyle="1" w:styleId="BodyTextIndent21">
    <w:name w:val="Body Text Indent 21"/>
    <w:basedOn w:val="Normal"/>
    <w:rsid w:val="005B10E9"/>
  </w:style>
  <w:style w:type="character" w:customStyle="1" w:styleId="E-mailSignatureChar54">
    <w:name w:val="E-mail Signature Char5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
    <w:name w:val="Email Signature Char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5">
    <w:name w:val="E-mail Signature Char55"/>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6">
    <w:name w:val="E-mail Signature Char56"/>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7">
    <w:name w:val="E-mail Signature Char57"/>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8">
    <w:name w:val="E-mail Signature Char58"/>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0">
    <w:name w:val="E-mail Signature Char60"/>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9">
    <w:name w:val="E-mail Signature Char59"/>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spellingerror">
    <w:name w:val="spellingerror"/>
    <w:basedOn w:val="DefaultParagraphFont"/>
    <w:rsid w:val="005B10E9"/>
  </w:style>
  <w:style w:type="character" w:customStyle="1" w:styleId="E-mailSignatureChar61">
    <w:name w:val="E-mail Signature Char61"/>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2">
    <w:name w:val="E-mail Signature Char62"/>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3">
    <w:name w:val="E-mail Signature Char63"/>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4">
    <w:name w:val="E-mail Signature Char6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5">
    <w:name w:val="E-mail Signature Char65"/>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6">
    <w:name w:val="E-mail Signature Char66"/>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7">
    <w:name w:val="E-mail Signature Char67"/>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8">
    <w:name w:val="E-mail Signature Char68"/>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9">
    <w:name w:val="E-mail Signature Char69"/>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70">
    <w:name w:val="E-mail Signature Char70"/>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
    <w:name w:val="Email Signature Char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1">
    <w:name w:val="E-mail Signature Char7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2">
    <w:name w:val="E-mail Signature Char7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3">
    <w:name w:val="E-mail Signature Char7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4">
    <w:name w:val="E-mail Signature Char7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5">
    <w:name w:val="E-mail Signature Char7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6">
    <w:name w:val="E-mail Signature Char7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7">
    <w:name w:val="E-mail Signature Char7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8">
    <w:name w:val="E-mail Signature Char7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9">
    <w:name w:val="E-mail Signature Char7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1">
    <w:name w:val="E-mail Signature Char8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0">
    <w:name w:val="E-mail Signature Char8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2">
    <w:name w:val="E-mail Signature Char8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3">
    <w:name w:val="E-mail Signature Char8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4">
    <w:name w:val="E-mail Signature Char8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6">
    <w:name w:val="E-mail Signature Char8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5">
    <w:name w:val="E-mail Signature Char8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7">
    <w:name w:val="E-mail Signature Char8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8">
    <w:name w:val="E-mail Signature Char8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9">
    <w:name w:val="E-mail Signature Char8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0">
    <w:name w:val="E-mail Signature Char9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3">
    <w:name w:val="E-mail Signature Char9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2">
    <w:name w:val="E-mail Signature Char9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1">
    <w:name w:val="E-mail Signature Char9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5">
    <w:name w:val="E-mail Signature Char9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4">
    <w:name w:val="E-mail Signature Char9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6">
    <w:name w:val="E-mail Signature Char9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7">
    <w:name w:val="E-mail Signature Char9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8">
    <w:name w:val="E-mail Signature Char9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9">
    <w:name w:val="E-mail Signature Char9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9">
    <w:name w:val="E-mail Signature Char10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8">
    <w:name w:val="E-mail Signature Char10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7">
    <w:name w:val="E-mail Signature Char10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0">
    <w:name w:val="E-mail Signature Char10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1">
    <w:name w:val="E-mail Signature Char10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2">
    <w:name w:val="E-mail Signature Char10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3">
    <w:name w:val="E-mail Signature Char10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4">
    <w:name w:val="E-mail Signature Char10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5">
    <w:name w:val="E-mail Signature Char10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6">
    <w:name w:val="E-mail Signature Char10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pf0">
    <w:name w:val="pf0"/>
    <w:basedOn w:val="Normal"/>
    <w:rsid w:val="008D2F77"/>
    <w:pPr>
      <w:spacing w:before="100" w:beforeAutospacing="1" w:after="100" w:afterAutospacing="1" w:line="240" w:lineRule="auto"/>
    </w:pPr>
    <w:rPr>
      <w:rFonts w:ascii="Times New Roman" w:eastAsia="Times New Roman" w:hAnsi="Times New Roman" w:cs="Times New Roman"/>
      <w:szCs w:val="24"/>
    </w:rPr>
  </w:style>
  <w:style w:type="table" w:customStyle="1" w:styleId="LCTable1">
    <w:name w:val="LC Table1"/>
    <w:basedOn w:val="TableNormal"/>
    <w:uiPriority w:val="99"/>
    <w:rsid w:val="005B10E9"/>
    <w:pPr>
      <w:widowControl/>
      <w:spacing w:before="60" w:after="60" w:line="260" w:lineRule="atLeast"/>
    </w:pPr>
    <w:rPr>
      <w:rFonts w:ascii="Calibri" w:eastAsia="Times New Roman" w:hAnsi="Calibri" w:cs="Times New Roman"/>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1F497D" w:themeColor="text2"/>
      </w:rPr>
      <w:tblPr/>
      <w:tcPr>
        <w:tcBorders>
          <w:top w:val="nil"/>
          <w:left w:val="nil"/>
          <w:bottom w:val="nil"/>
          <w:right w:val="nil"/>
          <w:insideH w:val="nil"/>
          <w:insideV w:val="nil"/>
          <w:tl2br w:val="nil"/>
          <w:tr2bl w:val="nil"/>
        </w:tcBorders>
      </w:tcPr>
    </w:tblStylePr>
    <w:tblStylePr w:type="lastCol">
      <w:rPr>
        <w:b w:val="0"/>
      </w:rPr>
    </w:tblStylePr>
  </w:style>
  <w:style w:type="table" w:customStyle="1" w:styleId="Table3Deffects11">
    <w:name w:val="Table 3D effects 11"/>
    <w:basedOn w:val="TableNormal"/>
    <w:next w:val="Table3Deffects1"/>
    <w:semiHidden/>
    <w:rsid w:val="005B10E9"/>
    <w:pPr>
      <w:widowControl/>
      <w:spacing w:after="0" w:line="240" w:lineRule="auto"/>
    </w:pPr>
    <w:rPr>
      <w:rFonts w:eastAsia="Times New Roman" w:cs="Times New Roman"/>
      <w:sz w:val="24"/>
      <w:szCs w:val="24"/>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5B10E9"/>
    <w:pPr>
      <w:widowControl/>
      <w:spacing w:after="0" w:line="240" w:lineRule="auto"/>
    </w:pPr>
    <w:rPr>
      <w:rFonts w:eastAsia="Times New Roman" w:cs="Times New Roman"/>
      <w:sz w:val="24"/>
      <w:szCs w:val="24"/>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5B10E9"/>
    <w:pPr>
      <w:widowControl/>
      <w:spacing w:after="0" w:line="240" w:lineRule="auto"/>
    </w:pPr>
    <w:rPr>
      <w:rFonts w:eastAsia="Times New Roman" w:cs="Times New Roman"/>
      <w:sz w:val="24"/>
      <w:szCs w:val="24"/>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5B10E9"/>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5B10E9"/>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5B10E9"/>
    <w:pPr>
      <w:widowControl/>
      <w:spacing w:after="0" w:line="240" w:lineRule="auto"/>
    </w:pPr>
    <w:rPr>
      <w:rFonts w:eastAsia="Times New Roman" w:cs="Times New Roman"/>
      <w:color w:val="000080"/>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5B10E9"/>
    <w:pPr>
      <w:widowControl/>
      <w:spacing w:after="0" w:line="240" w:lineRule="auto"/>
    </w:pPr>
    <w:rPr>
      <w:rFonts w:eastAsia="Times New Roman" w:cs="Times New Roman"/>
      <w:color w:val="FFFFFF"/>
      <w:sz w:val="24"/>
      <w:szCs w:val="24"/>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5B10E9"/>
    <w:pPr>
      <w:widowControl/>
      <w:spacing w:after="0" w:line="240" w:lineRule="auto"/>
    </w:pPr>
    <w:rPr>
      <w:rFonts w:eastAsia="Times New Roman" w:cs="Times New Roman"/>
      <w:sz w:val="24"/>
      <w:szCs w:val="24"/>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5B10E9"/>
    <w:pPr>
      <w:widowControl/>
      <w:spacing w:after="0" w:line="240" w:lineRule="auto"/>
    </w:pPr>
    <w:rPr>
      <w:rFonts w:eastAsia="Times New Roman" w:cs="Times New Roman"/>
      <w:sz w:val="24"/>
      <w:szCs w:val="24"/>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5B10E9"/>
    <w:pPr>
      <w:widowControl/>
      <w:spacing w:after="0" w:line="240" w:lineRule="auto"/>
    </w:pPr>
    <w:rPr>
      <w:rFonts w:eastAsia="Times New Roman" w:cs="Times New Roman"/>
      <w:b/>
      <w:bCs/>
      <w:sz w:val="24"/>
      <w:szCs w:val="24"/>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5B10E9"/>
    <w:pPr>
      <w:widowControl/>
      <w:spacing w:after="0" w:line="240" w:lineRule="auto"/>
    </w:pPr>
    <w:rPr>
      <w:rFonts w:eastAsia="Times New Roman" w:cs="Times New Roman"/>
      <w:b/>
      <w:bCs/>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5B10E9"/>
    <w:pPr>
      <w:widowControl/>
      <w:spacing w:after="0" w:line="240" w:lineRule="auto"/>
    </w:pPr>
    <w:rPr>
      <w:rFonts w:eastAsia="Times New Roman" w:cs="Times New Roman"/>
      <w:b/>
      <w:bCs/>
      <w:sz w:val="24"/>
      <w:szCs w:val="24"/>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5B10E9"/>
    <w:pPr>
      <w:widowControl/>
      <w:spacing w:after="0" w:line="240" w:lineRule="auto"/>
    </w:pPr>
    <w:rPr>
      <w:rFonts w:eastAsia="Times New Roman" w:cs="Times New Roman"/>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5B10E9"/>
    <w:pPr>
      <w:widowControl/>
      <w:spacing w:after="0" w:line="240" w:lineRule="auto"/>
    </w:pPr>
    <w:rPr>
      <w:rFonts w:eastAsia="Times New Roman" w:cs="Times New Roman"/>
      <w:sz w:val="24"/>
      <w:szCs w:val="24"/>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5B10E9"/>
    <w:pPr>
      <w:widowControl/>
      <w:spacing w:after="0" w:line="240" w:lineRule="auto"/>
    </w:pPr>
    <w:rPr>
      <w:rFonts w:eastAsia="Times New Roman" w:cs="Times New Roman"/>
      <w:sz w:val="24"/>
      <w:szCs w:val="24"/>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5B10E9"/>
    <w:pPr>
      <w:widowControl/>
      <w:spacing w:after="0" w:line="240" w:lineRule="auto"/>
    </w:pPr>
    <w:rPr>
      <w:rFonts w:eastAsia="Times New Roman" w:cs="Times New Roman"/>
      <w:sz w:val="24"/>
      <w:szCs w:val="24"/>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
    <w:basedOn w:val="TableNormal"/>
    <w:next w:val="TableGrid"/>
    <w:rsid w:val="005B10E9"/>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TableNormal"/>
    <w:next w:val="TableGrid1"/>
    <w:semiHidden/>
    <w:rsid w:val="005B10E9"/>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5B10E9"/>
    <w:pPr>
      <w:widowControl/>
      <w:spacing w:after="0" w:line="240" w:lineRule="auto"/>
    </w:pPr>
    <w:rPr>
      <w:rFonts w:eastAsia="Times New Roman" w:cs="Times New Roman"/>
      <w:sz w:val="24"/>
      <w:szCs w:val="24"/>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5B10E9"/>
    <w:pPr>
      <w:widowControl/>
      <w:spacing w:after="0" w:line="240" w:lineRule="auto"/>
    </w:pPr>
    <w:rPr>
      <w:rFonts w:eastAsia="Times New Roman" w:cs="Times New Roman"/>
      <w:sz w:val="24"/>
      <w:szCs w:val="24"/>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5B10E9"/>
    <w:pPr>
      <w:widowControl/>
      <w:spacing w:after="0" w:line="240" w:lineRule="auto"/>
    </w:pPr>
    <w:rPr>
      <w:rFonts w:eastAsia="Times New Roman" w:cs="Times New Roman"/>
      <w:sz w:val="24"/>
      <w:szCs w:val="24"/>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5B10E9"/>
    <w:pPr>
      <w:widowControl/>
      <w:spacing w:after="0" w:line="240" w:lineRule="auto"/>
    </w:pPr>
    <w:rPr>
      <w:rFonts w:eastAsia="Times New Roman" w:cs="Times New Roman"/>
      <w:b/>
      <w:bCs/>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5B10E9"/>
    <w:pPr>
      <w:widowControl/>
      <w:spacing w:after="0" w:line="240" w:lineRule="auto"/>
    </w:pPr>
    <w:rPr>
      <w:rFonts w:eastAsia="Times New Roman" w:cs="Times New Roman"/>
      <w:sz w:val="24"/>
      <w:szCs w:val="24"/>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5B10E9"/>
    <w:pPr>
      <w:widowControl/>
      <w:spacing w:after="0" w:line="240" w:lineRule="auto"/>
    </w:pPr>
    <w:rPr>
      <w:rFonts w:eastAsia="Times New Roman" w:cs="Times New Roman"/>
      <w:sz w:val="24"/>
      <w:szCs w:val="24"/>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5B10E9"/>
    <w:pPr>
      <w:widowControl/>
      <w:spacing w:after="0" w:line="240" w:lineRule="auto"/>
    </w:pPr>
    <w:rPr>
      <w:rFonts w:eastAsia="Times New Roman" w:cs="Times New Roman"/>
      <w:sz w:val="24"/>
      <w:szCs w:val="24"/>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5B10E9"/>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5B10E9"/>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5B10E9"/>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5B10E9"/>
    <w:pPr>
      <w:widowControl/>
      <w:spacing w:after="0" w:line="240" w:lineRule="auto"/>
    </w:pPr>
    <w:rPr>
      <w:rFonts w:eastAsia="Times New Roman" w:cs="Times New Roman"/>
      <w:sz w:val="24"/>
      <w:szCs w:val="24"/>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5B10E9"/>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5B10E9"/>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5B10E9"/>
    <w:pPr>
      <w:widowControl/>
      <w:spacing w:after="0" w:line="240" w:lineRule="auto"/>
    </w:pPr>
    <w:rPr>
      <w:rFonts w:eastAsia="Times New Roman" w:cs="Times New Roman"/>
      <w:sz w:val="24"/>
      <w:szCs w:val="24"/>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5B10E9"/>
    <w:pPr>
      <w:widowControl/>
      <w:spacing w:after="0" w:line="240" w:lineRule="auto"/>
    </w:pPr>
    <w:rPr>
      <w:rFonts w:eastAsia="Times New Roman" w:cs="Times New Roman"/>
      <w:sz w:val="24"/>
      <w:szCs w:val="24"/>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5B10E9"/>
    <w:pPr>
      <w:widowControl/>
      <w:spacing w:after="0" w:line="240" w:lineRule="auto"/>
    </w:pPr>
    <w:rPr>
      <w:rFonts w:eastAsia="Times New Roman" w:cs="Times New Roman"/>
      <w:sz w:val="24"/>
      <w:szCs w:val="24"/>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5B10E9"/>
    <w:pPr>
      <w:widowControl/>
      <w:spacing w:after="0" w:line="240" w:lineRule="auto"/>
    </w:pPr>
    <w:rPr>
      <w:rFonts w:eastAsia="Times New Roman" w:cs="Times New Roman"/>
      <w:sz w:val="24"/>
      <w:szCs w:val="24"/>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5B10E9"/>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5B10E9"/>
    <w:pPr>
      <w:widowControl/>
      <w:spacing w:after="0" w:line="240" w:lineRule="auto"/>
    </w:pPr>
    <w:rPr>
      <w:rFonts w:eastAsia="Times New Roman" w:cs="Times New Roman"/>
      <w:sz w:val="24"/>
      <w:szCs w:val="24"/>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5B10E9"/>
    <w:pPr>
      <w:widowControl/>
      <w:spacing w:after="0" w:line="240" w:lineRule="auto"/>
    </w:pPr>
    <w:rPr>
      <w:rFonts w:eastAsia="Times New Roman" w:cs="Times New Roman"/>
      <w:sz w:val="24"/>
      <w:szCs w:val="24"/>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5B10E9"/>
    <w:pPr>
      <w:widowControl/>
      <w:spacing w:after="0" w:line="240" w:lineRule="auto"/>
    </w:pPr>
    <w:rPr>
      <w:rFonts w:eastAsia="Times New Roman" w:cs="Times New Roman"/>
      <w:sz w:val="24"/>
      <w:szCs w:val="24"/>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CTableFinancial1">
    <w:name w:val="LC Table Financial1"/>
    <w:basedOn w:val="TableNormal"/>
    <w:uiPriority w:val="99"/>
    <w:rsid w:val="005B10E9"/>
    <w:pPr>
      <w:widowControl/>
      <w:spacing w:before="60" w:after="60" w:line="260" w:lineRule="atLeast"/>
      <w:jc w:val="center"/>
    </w:pPr>
    <w:rPr>
      <w:rFonts w:ascii="Calibri" w:eastAsia="Times New Roman" w:hAnsi="Calibri" w:cs="Times New Roman"/>
      <w:color w:val="000000" w:themeColor="text1"/>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table" w:customStyle="1" w:styleId="GridTable1Light-Accent111">
    <w:name w:val="Grid Table 1 Light - Accent 111"/>
    <w:basedOn w:val="TableNormal"/>
    <w:uiPriority w:val="46"/>
    <w:rsid w:val="005B10E9"/>
    <w:pPr>
      <w:widowControl/>
      <w:spacing w:after="0" w:line="240" w:lineRule="auto"/>
    </w:pPr>
    <w:rPr>
      <w:rFonts w:eastAsia="Times New Roman" w:cs="Times New Roman"/>
      <w:sz w:val="24"/>
      <w:szCs w:val="24"/>
      <w:lang w:val="en-AU" w:eastAsia="en-AU"/>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CReportTable1">
    <w:name w:val="LC Report Table1"/>
    <w:basedOn w:val="LCTableFinancial"/>
    <w:uiPriority w:val="99"/>
    <w:rsid w:val="00C536D1"/>
    <w:pPr>
      <w:spacing w:after="0" w:line="240" w:lineRule="auto"/>
    </w:pPr>
    <w:rPr>
      <w:rFonts w:ascii="Metropolis Light" w:hAnsi="Metropolis Light"/>
      <w:sz w:val="20"/>
    </w:rPr>
    <w:tblPr>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Pr>
    <w:tblStylePr w:type="firstRow">
      <w:pPr>
        <w:wordWrap/>
        <w:spacing w:beforeLines="0" w:beforeAutospacing="0" w:afterLines="0" w:afterAutospacing="0" w:line="240" w:lineRule="auto"/>
      </w:pPr>
      <w:rPr>
        <w:rFonts w:ascii="VNI-Auchon" w:hAnsi="VNI-Auchon"/>
        <w:b/>
        <w:caps/>
        <w:smallCaps w:val="0"/>
        <w:color w:val="FFFFFF"/>
        <w:sz w:val="20"/>
      </w:rPr>
      <w:tblPr/>
      <w:tcPr>
        <w:shd w:val="clear" w:color="auto" w:fill="6BA539"/>
      </w:tcPr>
    </w:tblStylePr>
    <w:tblStylePr w:type="lastRow">
      <w:rPr>
        <w:b/>
      </w:rPr>
    </w:tblStylePr>
    <w:tblStylePr w:type="firstCol">
      <w:pPr>
        <w:wordWrap/>
        <w:jc w:val="left"/>
      </w:pPr>
    </w:tblStylePr>
  </w:style>
  <w:style w:type="character" w:customStyle="1" w:styleId="UnresolvedMention4">
    <w:name w:val="Unresolved Mention4"/>
    <w:basedOn w:val="DefaultParagraphFont"/>
    <w:uiPriority w:val="99"/>
    <w:unhideWhenUsed/>
    <w:rsid w:val="005B10E9"/>
    <w:rPr>
      <w:color w:val="605E5C"/>
      <w:shd w:val="clear" w:color="auto" w:fill="E1DFDD"/>
    </w:rPr>
  </w:style>
  <w:style w:type="character" w:customStyle="1" w:styleId="Mention1">
    <w:name w:val="Mention1"/>
    <w:basedOn w:val="DefaultParagraphFont"/>
    <w:uiPriority w:val="99"/>
    <w:unhideWhenUsed/>
    <w:rsid w:val="005B10E9"/>
    <w:rPr>
      <w:color w:val="2B579A"/>
      <w:shd w:val="clear" w:color="auto" w:fill="E1DFDD"/>
    </w:rPr>
  </w:style>
  <w:style w:type="character" w:customStyle="1" w:styleId="E-mailSignatureChar110">
    <w:name w:val="E-mail Signature Char11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1">
    <w:name w:val="E-mail Signature Char11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2">
    <w:name w:val="E-mail Signature Char11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3">
    <w:name w:val="E-mail Signature Char11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4">
    <w:name w:val="E-mail Signature Char11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5">
    <w:name w:val="E-mail Signature Char11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7">
    <w:name w:val="E-mail Signature Char11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6">
    <w:name w:val="E-mail Signature Char11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8">
    <w:name w:val="E-mail Signature Char11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9">
    <w:name w:val="E-mail Signature Char11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0">
    <w:name w:val="E-mail Signature Char12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1">
    <w:name w:val="E-mail Signature Char12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2">
    <w:name w:val="E-mail Signature Char12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3">
    <w:name w:val="E-mail Signature Char12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4">
    <w:name w:val="E-mail Signature Char12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5">
    <w:name w:val="E-mail Signature Char12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6">
    <w:name w:val="E-mail Signature Char12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7">
    <w:name w:val="E-mail Signature Char12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8">
    <w:name w:val="E-mail Signature Char12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9">
    <w:name w:val="E-mail Signature Char12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0">
    <w:name w:val="E-mail Signature Char13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1">
    <w:name w:val="E-mail Signature Char13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5">
    <w:name w:val="E-mail Signature Char13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FootnoteReference1">
    <w:name w:val="Footnote Reference1"/>
    <w:basedOn w:val="DefaultParagraphFont"/>
    <w:rsid w:val="005B10E9"/>
    <w:rPr>
      <w:rFonts w:ascii="Metropolis Light" w:hAnsi="Metropolis Light"/>
      <w:color w:val="262626"/>
      <w:vertAlign w:val="superscript"/>
    </w:rPr>
  </w:style>
  <w:style w:type="character" w:customStyle="1" w:styleId="E-mailSignatureChar133">
    <w:name w:val="E-mail Signature Char13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2">
    <w:name w:val="E-mail Signature Char13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6">
    <w:name w:val="E-mail Signature Char13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4">
    <w:name w:val="E-mail Signature Char13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7">
    <w:name w:val="E-mail Signature Char13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8">
    <w:name w:val="E-mail Signature Char13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9">
    <w:name w:val="E-mail Signature Char13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0">
    <w:name w:val="E-mail Signature Char14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3">
    <w:name w:val="E-mail Signature Char14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1">
    <w:name w:val="E-mail Signature Char14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2">
    <w:name w:val="E-mail Signature Char14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table" w:customStyle="1" w:styleId="TableGrid0">
    <w:name w:val="TableGrid"/>
    <w:rsid w:val="005B10E9"/>
    <w:pPr>
      <w:widowControl/>
      <w:spacing w:after="0" w:line="240" w:lineRule="auto"/>
    </w:pPr>
    <w:tblPr>
      <w:tblCellMar>
        <w:top w:w="0" w:type="dxa"/>
        <w:left w:w="0" w:type="dxa"/>
        <w:bottom w:w="0" w:type="dxa"/>
        <w:right w:w="0" w:type="dxa"/>
      </w:tblCellMar>
    </w:tblPr>
  </w:style>
  <w:style w:type="character" w:customStyle="1" w:styleId="E-mailSignatureChar144">
    <w:name w:val="E-mail Signature Char14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5">
    <w:name w:val="E-mail Signature Char14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7">
    <w:name w:val="E-mail Signature Char14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6">
    <w:name w:val="E-mail Signature Char14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6">
    <w:name w:val="Email Signature Char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
    <w:name w:val="Email Signature Char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8">
    <w:name w:val="E-mail Signature Char14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1">
    <w:name w:val="E-mail Signature Char15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9">
    <w:name w:val="E-mail Signature Char14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0">
    <w:name w:val="E-mail Signature Char15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
    <w:name w:val="Email Signature Char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2">
    <w:name w:val="E-mail Signature Char15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4">
    <w:name w:val="E-mail Signature Char15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3">
    <w:name w:val="E-mail Signature Char15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9">
    <w:name w:val="E-mail Signature Char15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5">
    <w:name w:val="E-mail Signature Char15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6">
    <w:name w:val="E-mail Signature Char15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7">
    <w:name w:val="E-mail Signature Char15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8">
    <w:name w:val="E-mail Signature Char15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
    <w:name w:val="Email Signature Char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3">
    <w:name w:val="E-mail Signature Char16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1">
    <w:name w:val="E-mail Signature Char16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0">
    <w:name w:val="E-mail Signature Char16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2">
    <w:name w:val="E-mail Signature Char16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5">
    <w:name w:val="E-mail Signature Char16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4">
    <w:name w:val="E-mail Signature Char16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0">
    <w:name w:val="E-mail Signature Char17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subsection">
    <w:name w:val="subsection"/>
    <w:basedOn w:val="Normal"/>
    <w:rsid w:val="005B10E9"/>
    <w:pPr>
      <w:spacing w:before="100" w:beforeAutospacing="1" w:after="100" w:afterAutospacing="1"/>
    </w:pPr>
    <w:rPr>
      <w:rFonts w:ascii="Times New Roman" w:hAnsi="Times New Roman"/>
    </w:rPr>
  </w:style>
  <w:style w:type="character" w:customStyle="1" w:styleId="E-mailSignatureChar167">
    <w:name w:val="E-mail Signature Char16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6">
    <w:name w:val="E-mail Signature Char16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8">
    <w:name w:val="E-mail Signature Char16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9">
    <w:name w:val="E-mail Signature Char16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1">
    <w:name w:val="E-mail Signature Char17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2">
    <w:name w:val="E-mail Signature Char17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3">
    <w:name w:val="E-mail Signature Char17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4">
    <w:name w:val="E-mail Signature Char17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4">
    <w:name w:val="E-mail Signature Char19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acthead5">
    <w:name w:val="acthead5"/>
    <w:basedOn w:val="Normal"/>
    <w:rsid w:val="005B10E9"/>
    <w:pPr>
      <w:spacing w:before="100" w:beforeAutospacing="1" w:after="100" w:afterAutospacing="1"/>
    </w:pPr>
    <w:rPr>
      <w:rFonts w:ascii="Times New Roman" w:hAnsi="Times New Roman"/>
    </w:rPr>
  </w:style>
  <w:style w:type="character" w:customStyle="1" w:styleId="charsectno">
    <w:name w:val="charsectno"/>
    <w:basedOn w:val="DefaultParagraphFont"/>
    <w:rsid w:val="005B10E9"/>
  </w:style>
  <w:style w:type="character" w:customStyle="1" w:styleId="E-mailSignatureChar188">
    <w:name w:val="E-mail Signature Char18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5">
    <w:name w:val="E-mail Signature Char17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6">
    <w:name w:val="E-mail Signature Char17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7">
    <w:name w:val="E-mail Signature Char17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8">
    <w:name w:val="E-mail Signature Char17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9">
    <w:name w:val="E-mail Signature Char17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0">
    <w:name w:val="E-mail Signature Char18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1">
    <w:name w:val="E-mail Signature Char18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2">
    <w:name w:val="E-mail Signature Char18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3">
    <w:name w:val="E-mail Signature Char18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4">
    <w:name w:val="E-mail Signature Char18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5">
    <w:name w:val="E-mail Signature Char18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7">
    <w:name w:val="E-mail Signature Char18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6">
    <w:name w:val="E-mail Signature Char18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0">
    <w:name w:val="E-mail Signature Char19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9">
    <w:name w:val="E-mail Signature Char18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findhit">
    <w:name w:val="findhit"/>
    <w:basedOn w:val="DefaultParagraphFont"/>
    <w:rsid w:val="005B10E9"/>
  </w:style>
  <w:style w:type="character" w:customStyle="1" w:styleId="E-mailSignatureChar191">
    <w:name w:val="E-mail Signature Char19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2">
    <w:name w:val="E-mail Signature Char19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3">
    <w:name w:val="E-mail Signature Char19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5">
    <w:name w:val="E-mail Signature Char19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6">
    <w:name w:val="E-mail Signature Char19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7">
    <w:name w:val="E-mail Signature Char19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8">
    <w:name w:val="E-mail Signature Char19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9">
    <w:name w:val="E-mail Signature Char19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0">
    <w:name w:val="E-mail Signature Char20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1">
    <w:name w:val="E-mail Signature Char20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3">
    <w:name w:val="E-mail Signature Char20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2">
    <w:name w:val="E-mail Signature Char20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4">
    <w:name w:val="E-mail Signature Char20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6">
    <w:name w:val="E-mail Signature Char20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5">
    <w:name w:val="E-mail Signature Char20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7">
    <w:name w:val="E-mail Signature Char20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8">
    <w:name w:val="E-mail Signature Char20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9">
    <w:name w:val="E-mail Signature Char20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4">
    <w:name w:val="E-mail Signature Char21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0">
    <w:name w:val="E-mail Signature Char21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2">
    <w:name w:val="E-mail Signature Char21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1">
    <w:name w:val="E-mail Signature Char21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3">
    <w:name w:val="E-mail Signature Char21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7">
    <w:name w:val="E-mail Signature Char21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5">
    <w:name w:val="E-mail Signature Char21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6">
    <w:name w:val="E-mail Signature Char21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8">
    <w:name w:val="E-mail Signature Char21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9">
    <w:name w:val="E-mail Signature Char21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0">
    <w:name w:val="E-mail Signature Char22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1">
    <w:name w:val="E-mail Signature Char22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2">
    <w:name w:val="E-mail Signature Char22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8">
    <w:name w:val="E-mail Signature Char22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3">
    <w:name w:val="E-mail Signature Char22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4">
    <w:name w:val="E-mail Signature Char22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5">
    <w:name w:val="E-mail Signature Char22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6">
    <w:name w:val="E-mail Signature Char22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7">
    <w:name w:val="E-mail Signature Char22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3">
    <w:name w:val="E-mail Signature Char23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9">
    <w:name w:val="E-mail Signature Char22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g">
    <w:name w:val="g"/>
    <w:basedOn w:val="DefaultParagraphFont"/>
    <w:rsid w:val="005B10E9"/>
  </w:style>
  <w:style w:type="character" w:customStyle="1" w:styleId="E-mailSignatureChar230">
    <w:name w:val="E-mail Signature Char23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1">
    <w:name w:val="E-mail Signature Char23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2">
    <w:name w:val="E-mail Signature Char23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5">
    <w:name w:val="E-mail Signature Char23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4">
    <w:name w:val="E-mail Signature Char23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6">
    <w:name w:val="E-mail Signature Char23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7">
    <w:name w:val="E-mail Signature Char23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0">
    <w:name w:val="E-mail Signature Char24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8">
    <w:name w:val="E-mail Signature Char23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9">
    <w:name w:val="E-mail Signature Char23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1">
    <w:name w:val="E-mail Signature Char24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3">
    <w:name w:val="E-mail Signature Char24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2">
    <w:name w:val="E-mail Signature Char24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9">
    <w:name w:val="E-mail Signature Char24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4">
    <w:name w:val="E-mail Signature Char24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6">
    <w:name w:val="E-mail Signature Char24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5">
    <w:name w:val="E-mail Signature Char24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7">
    <w:name w:val="E-mail Signature Char24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8">
    <w:name w:val="E-mail Signature Char24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0">
    <w:name w:val="E-mail Signature Char25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1">
    <w:name w:val="E-mail Signature Char25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3">
    <w:name w:val="E-mail Signature Char25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2">
    <w:name w:val="E-mail Signature Char25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4">
    <w:name w:val="E-mail Signature Char25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5">
    <w:name w:val="E-mail Signature Char25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6">
    <w:name w:val="E-mail Signature Char25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7">
    <w:name w:val="E-mail Signature Char257"/>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58">
    <w:name w:val="E-mail Signature Char258"/>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59">
    <w:name w:val="E-mail Signature Char259"/>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0">
    <w:name w:val="E-mail Signature Char260"/>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1">
    <w:name w:val="E-mail Signature Char261"/>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2">
    <w:name w:val="E-mail Signature Char262"/>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3">
    <w:name w:val="E-mail Signature Char263"/>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4">
    <w:name w:val="E-mail Signature Char264"/>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6">
    <w:name w:val="E-mail Signature Char26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mainparagraph">
    <w:name w:val="mainparagraph"/>
    <w:basedOn w:val="Normal"/>
    <w:rsid w:val="005B10E9"/>
    <w:pPr>
      <w:spacing w:before="100" w:beforeAutospacing="1" w:after="100" w:afterAutospacing="1"/>
    </w:pPr>
    <w:rPr>
      <w:rFonts w:ascii="Times New Roman" w:hAnsi="Times New Roman"/>
    </w:rPr>
  </w:style>
  <w:style w:type="character" w:customStyle="1" w:styleId="E-mailSignatureChar265">
    <w:name w:val="E-mail Signature Char26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67">
    <w:name w:val="E-mail Signature Char26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69">
    <w:name w:val="E-mail Signature Char26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68">
    <w:name w:val="E-mail Signature Char26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0">
    <w:name w:val="E-mail Signature Char27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1">
    <w:name w:val="E-mail Signature Char27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2">
    <w:name w:val="E-mail Signature Char27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3">
    <w:name w:val="E-mail Signature Char27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4">
    <w:name w:val="E-mail Signature Char27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5">
    <w:name w:val="E-mail Signature Char27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6">
    <w:name w:val="E-mail Signature Char27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8">
    <w:name w:val="E-mail Signature Char27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7">
    <w:name w:val="E-mail Signature Char27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9">
    <w:name w:val="E-mail Signature Char27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
    <w:name w:val="Email Signature Char"/>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Proposal2">
    <w:name w:val="Proposal 2"/>
    <w:basedOn w:val="BodyText"/>
    <w:link w:val="Proposal2Char"/>
    <w:uiPriority w:val="8"/>
    <w:qFormat/>
    <w:rsid w:val="005B10E9"/>
    <w:pPr>
      <w:numPr>
        <w:ilvl w:val="0"/>
        <w:numId w:val="0"/>
      </w:numPr>
      <w:ind w:left="1004" w:right="284"/>
    </w:pPr>
    <w:rPr>
      <w:rFonts w:eastAsia="Metropolis Light"/>
    </w:rPr>
  </w:style>
  <w:style w:type="character" w:customStyle="1" w:styleId="Proposal2Char">
    <w:name w:val="Proposal 2 Char"/>
    <w:basedOn w:val="BodyTextChar"/>
    <w:link w:val="Proposal2"/>
    <w:uiPriority w:val="8"/>
    <w:rsid w:val="005B10E9"/>
    <w:rPr>
      <w:rFonts w:ascii="Metropolis Light" w:eastAsia="Metropolis Light" w:hAnsi="Metropolis Light" w:cs="Times New Roman"/>
      <w:color w:val="000000" w:themeColor="text1"/>
      <w:sz w:val="20"/>
      <w:szCs w:val="24"/>
      <w:lang w:val="en-NZ" w:eastAsia="en-AU"/>
    </w:rPr>
  </w:style>
  <w:style w:type="paragraph" w:customStyle="1" w:styleId="Proposal20">
    <w:name w:val="Proposal2"/>
    <w:basedOn w:val="Proposal"/>
    <w:link w:val="Proposal2Char0"/>
    <w:uiPriority w:val="8"/>
    <w:qFormat/>
    <w:rsid w:val="005B10E9"/>
    <w:pPr>
      <w:spacing w:before="0" w:line="260" w:lineRule="atLeast"/>
    </w:pPr>
  </w:style>
  <w:style w:type="character" w:customStyle="1" w:styleId="Proposal2Char0">
    <w:name w:val="Proposal2 Char"/>
    <w:basedOn w:val="ProposalChar"/>
    <w:link w:val="Proposal20"/>
    <w:uiPriority w:val="8"/>
    <w:rsid w:val="005B10E9"/>
    <w:rPr>
      <w:rFonts w:ascii="Metropolis Light" w:eastAsia="Metropolis Light" w:hAnsi="Metropolis Light" w:cs="Metropolis Light"/>
      <w:color w:val="0D0D0D" w:themeColor="text1" w:themeTint="F2"/>
      <w:sz w:val="20"/>
      <w:szCs w:val="19"/>
      <w:lang w:val="en-NZ" w:eastAsia="en-AU"/>
    </w:rPr>
  </w:style>
  <w:style w:type="character" w:customStyle="1" w:styleId="publication-italic">
    <w:name w:val="publication-italic"/>
    <w:basedOn w:val="DefaultParagraphFont"/>
    <w:rsid w:val="005B10E9"/>
  </w:style>
  <w:style w:type="character" w:customStyle="1" w:styleId="cf01">
    <w:name w:val="cf01"/>
    <w:basedOn w:val="DefaultParagraphFont"/>
    <w:rsid w:val="005B10E9"/>
    <w:rPr>
      <w:rFonts w:ascii="Segoe UI" w:hAnsi="Segoe UI" w:cs="Segoe UI" w:hint="default"/>
      <w:sz w:val="18"/>
      <w:szCs w:val="18"/>
    </w:rPr>
  </w:style>
  <w:style w:type="character" w:customStyle="1" w:styleId="ssit">
    <w:name w:val="ss_it"/>
    <w:basedOn w:val="DefaultParagraphFont"/>
    <w:rsid w:val="005B10E9"/>
  </w:style>
  <w:style w:type="character" w:customStyle="1" w:styleId="given-names">
    <w:name w:val="given-names"/>
    <w:basedOn w:val="DefaultParagraphFont"/>
    <w:rsid w:val="005B10E9"/>
  </w:style>
  <w:style w:type="character" w:customStyle="1" w:styleId="surname">
    <w:name w:val="surname"/>
    <w:basedOn w:val="DefaultParagraphFont"/>
    <w:rsid w:val="005B10E9"/>
  </w:style>
  <w:style w:type="character" w:customStyle="1" w:styleId="E-mailSignatureChar280">
    <w:name w:val="E-mail Signature Char28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81">
    <w:name w:val="E-mail Signature Char28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82">
    <w:name w:val="E-mail Signature Char28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
    <w:name w:val="Email Signature Char1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83">
    <w:name w:val="E-mail Signature Char28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BoxTitle">
    <w:name w:val="Box Title"/>
    <w:basedOn w:val="Normal"/>
    <w:link w:val="BoxTitleChar"/>
    <w:uiPriority w:val="8"/>
    <w:qFormat/>
    <w:rsid w:val="008A4DD4"/>
    <w:pPr>
      <w:spacing w:before="100" w:beforeAutospacing="1"/>
    </w:pPr>
    <w:rPr>
      <w:rFonts w:ascii="Metropolis" w:eastAsia="Metropolis" w:hAnsi="Metropolis" w:cs="Metropolis"/>
      <w:b/>
      <w:color w:val="FFFFFF"/>
      <w:sz w:val="19"/>
      <w:szCs w:val="19"/>
    </w:rPr>
  </w:style>
  <w:style w:type="paragraph" w:customStyle="1" w:styleId="QuestionTitle">
    <w:name w:val="Question Title"/>
    <w:basedOn w:val="BoxTitle"/>
    <w:link w:val="QuestionTitleChar"/>
    <w:uiPriority w:val="8"/>
    <w:qFormat/>
    <w:rsid w:val="005B10E9"/>
  </w:style>
  <w:style w:type="character" w:customStyle="1" w:styleId="BoxTitleChar">
    <w:name w:val="Box Title Char"/>
    <w:basedOn w:val="DefaultParagraphFont"/>
    <w:link w:val="BoxTitle"/>
    <w:uiPriority w:val="8"/>
    <w:rsid w:val="008A4DD4"/>
    <w:rPr>
      <w:rFonts w:ascii="Metropolis" w:eastAsia="Metropolis" w:hAnsi="Metropolis" w:cs="Metropolis"/>
      <w:b/>
      <w:color w:val="FFFFFF"/>
      <w:sz w:val="19"/>
      <w:szCs w:val="19"/>
      <w:lang w:val="en-NZ"/>
    </w:rPr>
  </w:style>
  <w:style w:type="character" w:customStyle="1" w:styleId="QuestionTitleChar">
    <w:name w:val="Question Title Char"/>
    <w:basedOn w:val="BoxTitleChar"/>
    <w:link w:val="QuestionTitle"/>
    <w:uiPriority w:val="8"/>
    <w:rsid w:val="005B10E9"/>
    <w:rPr>
      <w:rFonts w:ascii="Metropolis" w:eastAsia="Metropolis" w:hAnsi="Metropolis" w:cs="Metropolis"/>
      <w:b/>
      <w:color w:val="FFFFFF"/>
      <w:sz w:val="19"/>
      <w:szCs w:val="19"/>
      <w:lang w:val="en-NZ" w:eastAsia="en-AU"/>
    </w:rPr>
  </w:style>
  <w:style w:type="paragraph" w:customStyle="1" w:styleId="up1tab">
    <w:name w:val="up1tab"/>
    <w:basedOn w:val="Normal"/>
    <w:rsid w:val="003D6A25"/>
    <w:pPr>
      <w:spacing w:before="100" w:beforeAutospacing="1" w:after="100" w:afterAutospacing="1"/>
    </w:pPr>
    <w:rPr>
      <w:rFonts w:ascii="Times New Roman" w:hAnsi="Times New Roman"/>
    </w:rPr>
  </w:style>
  <w:style w:type="paragraph" w:customStyle="1" w:styleId="ind1c">
    <w:name w:val="ind1c"/>
    <w:basedOn w:val="Normal"/>
    <w:rsid w:val="003D6A25"/>
    <w:pPr>
      <w:spacing w:before="100" w:beforeAutospacing="1" w:after="100" w:afterAutospacing="1"/>
    </w:pPr>
    <w:rPr>
      <w:rFonts w:ascii="Times New Roman" w:hAnsi="Times New Roman"/>
    </w:rPr>
  </w:style>
  <w:style w:type="character" w:customStyle="1" w:styleId="EmailSignatureChar13">
    <w:name w:val="Email Signature Char13"/>
    <w:basedOn w:val="DefaultParagraphFont"/>
    <w:uiPriority w:val="99"/>
    <w:semiHidden/>
    <w:rsid w:val="00253C06"/>
    <w:rPr>
      <w:rFonts w:ascii="Metropolis Light" w:hAnsi="Metropolis Light"/>
      <w:color w:val="0D0D0D" w:themeColor="text1" w:themeTint="F2"/>
      <w:sz w:val="20"/>
      <w:lang w:val="en-NZ"/>
    </w:rPr>
  </w:style>
  <w:style w:type="character" w:customStyle="1" w:styleId="EmailSignatureChar12">
    <w:name w:val="Email Signature Char12"/>
    <w:basedOn w:val="DefaultParagraphFont"/>
    <w:uiPriority w:val="99"/>
    <w:semiHidden/>
    <w:rsid w:val="00253C06"/>
    <w:rPr>
      <w:rFonts w:ascii="Metropolis Light" w:hAnsi="Metropolis Light"/>
      <w:color w:val="0D0D0D" w:themeColor="text1" w:themeTint="F2"/>
      <w:sz w:val="20"/>
      <w:lang w:val="en-NZ"/>
    </w:rPr>
  </w:style>
  <w:style w:type="character" w:customStyle="1" w:styleId="E-mailSignatureChar284">
    <w:name w:val="E-mail Signature Char284"/>
    <w:basedOn w:val="DefaultParagraphFont"/>
    <w:uiPriority w:val="99"/>
    <w:semiHidden/>
    <w:rsid w:val="00253C06"/>
    <w:rPr>
      <w:rFonts w:ascii="Metropolis Light" w:hAnsi="Metropolis Light"/>
      <w:color w:val="0D0D0D" w:themeColor="text1" w:themeTint="F2"/>
      <w:sz w:val="20"/>
      <w:lang w:val="en-NZ"/>
    </w:rPr>
  </w:style>
  <w:style w:type="character" w:customStyle="1" w:styleId="EmailSignatureChar11">
    <w:name w:val="Email Signature Char11"/>
    <w:basedOn w:val="DefaultParagraphFont"/>
    <w:uiPriority w:val="99"/>
    <w:semiHidden/>
    <w:rsid w:val="00D36A28"/>
    <w:rPr>
      <w:rFonts w:ascii="Metropolis Light" w:hAnsi="Metropolis Light"/>
      <w:color w:val="0D0D0D" w:themeColor="text1" w:themeTint="F2"/>
      <w:sz w:val="20"/>
      <w:lang w:val="en-NZ"/>
    </w:rPr>
  </w:style>
  <w:style w:type="paragraph" w:customStyle="1" w:styleId="QuestionsBox">
    <w:name w:val="Questions Box"/>
    <w:basedOn w:val="Normal"/>
    <w:link w:val="QuestionsBoxChar"/>
    <w:uiPriority w:val="8"/>
    <w:rsid w:val="00953281"/>
    <w:pPr>
      <w:pBdr>
        <w:top w:val="single" w:sz="4" w:space="8" w:color="4F6228" w:themeColor="accent3" w:themeShade="80"/>
        <w:left w:val="single" w:sz="4" w:space="5" w:color="4F6228" w:themeColor="accent3" w:themeShade="80"/>
        <w:bottom w:val="single" w:sz="4" w:space="5" w:color="4F6228" w:themeColor="accent3" w:themeShade="80"/>
        <w:right w:val="single" w:sz="4" w:space="5" w:color="4F6228" w:themeColor="accent3" w:themeShade="80"/>
      </w:pBdr>
      <w:shd w:val="clear" w:color="auto" w:fill="DFEFD1"/>
      <w:suppressAutoHyphens/>
      <w:autoSpaceDE w:val="0"/>
      <w:autoSpaceDN w:val="0"/>
      <w:adjustRightInd w:val="0"/>
      <w:ind w:left="709" w:hanging="709"/>
      <w:jc w:val="both"/>
      <w:textAlignment w:val="center"/>
    </w:pPr>
    <w:rPr>
      <w:rFonts w:eastAsia="Times New Roman" w:cs="Times New Roman"/>
      <w:color w:val="262626" w:themeColor="text1" w:themeTint="D9"/>
      <w:szCs w:val="20"/>
      <w:lang w:eastAsia="en-AU"/>
    </w:rPr>
  </w:style>
  <w:style w:type="character" w:customStyle="1" w:styleId="QuestionsBoxChar">
    <w:name w:val="Questions Box Char"/>
    <w:basedOn w:val="DefaultParagraphFont"/>
    <w:link w:val="QuestionsBox"/>
    <w:uiPriority w:val="8"/>
    <w:rsid w:val="00953281"/>
    <w:rPr>
      <w:rFonts w:ascii="Metropolis Light" w:eastAsia="Times New Roman" w:hAnsi="Metropolis Light" w:cs="Times New Roman"/>
      <w:color w:val="262626" w:themeColor="text1" w:themeTint="D9"/>
      <w:sz w:val="20"/>
      <w:szCs w:val="20"/>
      <w:shd w:val="clear" w:color="auto" w:fill="DFEFD1"/>
      <w:lang w:val="en-NZ" w:eastAsia="en-AU"/>
    </w:rPr>
  </w:style>
  <w:style w:type="character" w:customStyle="1" w:styleId="cf11">
    <w:name w:val="cf11"/>
    <w:basedOn w:val="DefaultParagraphFont"/>
    <w:rsid w:val="00C24813"/>
    <w:rPr>
      <w:rFonts w:ascii="Segoe UI" w:hAnsi="Segoe UI" w:cs="Segoe UI" w:hint="default"/>
      <w:i/>
      <w:iCs/>
      <w:sz w:val="18"/>
      <w:szCs w:val="18"/>
    </w:rPr>
  </w:style>
  <w:style w:type="paragraph" w:customStyle="1" w:styleId="R1RecommendationText">
    <w:name w:val="R1 Recommendation Text"/>
    <w:basedOn w:val="Normal"/>
    <w:link w:val="R1RecommendationTextChar"/>
    <w:qFormat/>
    <w:rsid w:val="00CB2992"/>
    <w:pPr>
      <w:numPr>
        <w:numId w:val="20"/>
      </w:numPr>
      <w:pBdr>
        <w:top w:val="single" w:sz="4" w:space="6" w:color="BFBFBF" w:themeColor="background1" w:themeShade="BF"/>
        <w:left w:val="single" w:sz="4" w:space="6" w:color="BFBFBF" w:themeColor="background1" w:themeShade="BF"/>
        <w:bottom w:val="single" w:sz="4" w:space="6" w:color="BFBFBF" w:themeColor="background1" w:themeShade="BF"/>
        <w:right w:val="single" w:sz="4" w:space="6" w:color="BFBFBF" w:themeColor="background1" w:themeShade="BF"/>
      </w:pBdr>
      <w:shd w:val="clear" w:color="auto" w:fill="F2F2F2" w:themeFill="background1" w:themeFillShade="F2"/>
      <w:suppressAutoHyphens/>
      <w:autoSpaceDE w:val="0"/>
      <w:autoSpaceDN w:val="0"/>
      <w:adjustRightInd w:val="0"/>
      <w:jc w:val="both"/>
      <w:textAlignment w:val="center"/>
    </w:pPr>
    <w:rPr>
      <w:rFonts w:eastAsia="Calibri" w:cs="Times New Roman"/>
      <w:color w:val="000000" w:themeColor="text1"/>
      <w:szCs w:val="20"/>
      <w:lang w:eastAsia="en-AU"/>
      <w14:shadow w14:blurRad="50800" w14:dist="50800" w14:dir="5400000" w14:sx="0" w14:sy="0" w14:kx="0" w14:ky="0" w14:algn="ctr">
        <w14:schemeClr w14:val="bg1"/>
      </w14:shadow>
    </w:rPr>
  </w:style>
  <w:style w:type="character" w:customStyle="1" w:styleId="R1RecommendationTextChar">
    <w:name w:val="R1 Recommendation Text Char"/>
    <w:basedOn w:val="DefaultParagraphFont"/>
    <w:link w:val="R1RecommendationText"/>
    <w:rsid w:val="00CB2992"/>
    <w:rPr>
      <w:rFonts w:ascii="Metropolis Light" w:eastAsia="Calibri" w:hAnsi="Metropolis Light" w:cs="Times New Roman"/>
      <w:color w:val="000000" w:themeColor="text1"/>
      <w:sz w:val="20"/>
      <w:szCs w:val="20"/>
      <w:shd w:val="clear" w:color="auto" w:fill="F2F2F2" w:themeFill="background1" w:themeFillShade="F2"/>
      <w:lang w:val="en-NZ" w:eastAsia="en-AU"/>
      <w14:shadow w14:blurRad="50800" w14:dist="50800" w14:dir="5400000" w14:sx="0" w14:sy="0" w14:kx="0" w14:ky="0" w14:algn="ctr">
        <w14:schemeClr w14:val="bg1"/>
      </w14:shadow>
    </w:rPr>
  </w:style>
  <w:style w:type="character" w:customStyle="1" w:styleId="QuestionTextChar">
    <w:name w:val="Question Text Char"/>
    <w:basedOn w:val="DefaultParagraphFont"/>
    <w:link w:val="QuestionText"/>
    <w:uiPriority w:val="16"/>
    <w:rsid w:val="00254D4D"/>
    <w:rPr>
      <w:rFonts w:ascii="Metropolis Light" w:eastAsia="Times New Roman" w:hAnsi="Metropolis Light" w:cs="Times New Roman"/>
      <w:color w:val="262626" w:themeColor="text1" w:themeTint="D9"/>
      <w:sz w:val="20"/>
      <w:szCs w:val="20"/>
      <w:shd w:val="clear" w:color="auto" w:fill="DFEFD1"/>
      <w:lang w:eastAsia="en-AU"/>
    </w:rPr>
  </w:style>
  <w:style w:type="character" w:customStyle="1" w:styleId="ssbf">
    <w:name w:val="ss_bf"/>
    <w:basedOn w:val="DefaultParagraphFont"/>
    <w:rsid w:val="00254D4D"/>
  </w:style>
  <w:style w:type="numbering" w:customStyle="1" w:styleId="NoList1">
    <w:name w:val="No List1"/>
    <w:next w:val="NoList"/>
    <w:uiPriority w:val="99"/>
    <w:semiHidden/>
    <w:unhideWhenUsed/>
    <w:rsid w:val="00254D4D"/>
  </w:style>
  <w:style w:type="numbering" w:customStyle="1" w:styleId="11111111">
    <w:name w:val="1 / 1.1 / 1.1.111"/>
    <w:basedOn w:val="NoList"/>
    <w:next w:val="111111"/>
    <w:semiHidden/>
    <w:rsid w:val="00254D4D"/>
  </w:style>
  <w:style w:type="numbering" w:customStyle="1" w:styleId="1ai11">
    <w:name w:val="1 / a / i11"/>
    <w:basedOn w:val="NoList"/>
    <w:next w:val="1ai"/>
    <w:semiHidden/>
    <w:rsid w:val="00254D4D"/>
  </w:style>
  <w:style w:type="numbering" w:customStyle="1" w:styleId="ArticleSection11">
    <w:name w:val="Article / Section11"/>
    <w:basedOn w:val="NoList"/>
    <w:next w:val="ArticleSection"/>
    <w:semiHidden/>
    <w:rsid w:val="00254D4D"/>
  </w:style>
  <w:style w:type="numbering" w:customStyle="1" w:styleId="Chapter111">
    <w:name w:val="Chapter111"/>
    <w:uiPriority w:val="99"/>
    <w:rsid w:val="00254D4D"/>
  </w:style>
  <w:style w:type="numbering" w:customStyle="1" w:styleId="Chapter121">
    <w:name w:val="Chapter121"/>
    <w:uiPriority w:val="99"/>
    <w:rsid w:val="00254D4D"/>
  </w:style>
  <w:style w:type="paragraph" w:customStyle="1" w:styleId="QuestionsFrame">
    <w:name w:val="Questions Frame"/>
    <w:basedOn w:val="QuestionText"/>
    <w:uiPriority w:val="8"/>
    <w:qFormat/>
    <w:rsid w:val="00254D4D"/>
    <w:pPr>
      <w:spacing w:after="240"/>
      <w:ind w:left="709" w:hanging="709"/>
    </w:pPr>
    <w:rPr>
      <w:lang w:val="en-NZ"/>
    </w:rPr>
  </w:style>
  <w:style w:type="character" w:customStyle="1" w:styleId="RecommendationTextChar">
    <w:name w:val="Recommendation Text Char"/>
    <w:basedOn w:val="DefaultParagraphFont"/>
    <w:link w:val="RecommendationText"/>
    <w:uiPriority w:val="11"/>
    <w:rsid w:val="00254D4D"/>
    <w:rPr>
      <w:rFonts w:ascii="Metropolis Light" w:eastAsia="Times New Roman" w:hAnsi="Metropolis Light" w:cs="Times New Roman"/>
      <w:color w:val="262626" w:themeColor="text1" w:themeTint="D9"/>
      <w:sz w:val="20"/>
      <w:szCs w:val="20"/>
      <w:shd w:val="clear" w:color="auto" w:fill="DFEFD1"/>
      <w:lang w:val="en-NZ"/>
    </w:rPr>
  </w:style>
  <w:style w:type="paragraph" w:customStyle="1" w:styleId="SummaryFrame">
    <w:name w:val="Summary Frame"/>
    <w:basedOn w:val="QuestionsFrame"/>
    <w:uiPriority w:val="8"/>
    <w:qFormat/>
    <w:rsid w:val="00254D4D"/>
    <w:pPr>
      <w:ind w:left="0" w:firstLine="0"/>
    </w:pPr>
  </w:style>
  <w:style w:type="paragraph" w:customStyle="1" w:styleId="EAGRecommendation">
    <w:name w:val="EAG Recommendation"/>
    <w:basedOn w:val="RecommendationText"/>
    <w:autoRedefine/>
    <w:uiPriority w:val="8"/>
    <w:qFormat/>
    <w:rsid w:val="00254D4D"/>
    <w:pPr>
      <w:ind w:left="567" w:hanging="567"/>
    </w:pPr>
  </w:style>
  <w:style w:type="paragraph" w:customStyle="1" w:styleId="aEAGRecommendation">
    <w:name w:val="a. EAG Recommendation"/>
    <w:basedOn w:val="RecommendationText1"/>
    <w:link w:val="aEAGRecommendationChar"/>
    <w:uiPriority w:val="8"/>
    <w:qFormat/>
    <w:rsid w:val="00254D4D"/>
    <w:pPr>
      <w:ind w:left="1418" w:hanging="567"/>
    </w:pPr>
  </w:style>
  <w:style w:type="character" w:customStyle="1" w:styleId="RecommendationText1Char">
    <w:name w:val="Recommendation Text 1 Char"/>
    <w:basedOn w:val="RecommendationTextChar"/>
    <w:link w:val="RecommendationText1"/>
    <w:uiPriority w:val="8"/>
    <w:rsid w:val="00254D4D"/>
    <w:rPr>
      <w:rFonts w:ascii="Metropolis Light" w:eastAsia="Times New Roman" w:hAnsi="Metropolis Light" w:cs="Times New Roman"/>
      <w:color w:val="262626" w:themeColor="text1" w:themeTint="D9"/>
      <w:sz w:val="20"/>
      <w:szCs w:val="20"/>
      <w:shd w:val="clear" w:color="auto" w:fill="DFEFD1"/>
      <w:lang w:val="en-NZ"/>
    </w:rPr>
  </w:style>
  <w:style w:type="character" w:customStyle="1" w:styleId="aEAGRecommendationChar">
    <w:name w:val="a. EAG Recommendation Char"/>
    <w:basedOn w:val="RecommendationText1Char"/>
    <w:link w:val="aEAGRecommendation"/>
    <w:uiPriority w:val="8"/>
    <w:rsid w:val="00254D4D"/>
    <w:rPr>
      <w:rFonts w:ascii="Metropolis Light" w:eastAsia="Times New Roman" w:hAnsi="Metropolis Light" w:cs="Times New Roman"/>
      <w:color w:val="262626" w:themeColor="text1" w:themeTint="D9"/>
      <w:sz w:val="20"/>
      <w:szCs w:val="20"/>
      <w:shd w:val="clear" w:color="auto" w:fill="DFEFD1"/>
      <w:lang w:val="en-NZ"/>
    </w:rPr>
  </w:style>
  <w:style w:type="paragraph" w:customStyle="1" w:styleId="Style1">
    <w:name w:val="Style1"/>
    <w:basedOn w:val="EAGRecommendation"/>
    <w:autoRedefine/>
    <w:uiPriority w:val="8"/>
    <w:qFormat/>
    <w:rsid w:val="00254D4D"/>
  </w:style>
  <w:style w:type="paragraph" w:customStyle="1" w:styleId="Style2">
    <w:name w:val="Style2"/>
    <w:basedOn w:val="Style1"/>
    <w:uiPriority w:val="8"/>
    <w:qFormat/>
    <w:rsid w:val="00254D4D"/>
  </w:style>
  <w:style w:type="paragraph" w:customStyle="1" w:styleId="Style3">
    <w:name w:val="Style3"/>
    <w:basedOn w:val="RecommendationText"/>
    <w:autoRedefine/>
    <w:uiPriority w:val="8"/>
    <w:qFormat/>
    <w:rsid w:val="00254D4D"/>
    <w:pPr>
      <w:ind w:left="567" w:hanging="567"/>
    </w:pPr>
  </w:style>
  <w:style w:type="paragraph" w:customStyle="1" w:styleId="Heading1-Mainpart">
    <w:name w:val="Heading 1 - Main part"/>
    <w:basedOn w:val="Normal"/>
    <w:link w:val="Heading1-MainpartChar"/>
    <w:uiPriority w:val="1"/>
    <w:qFormat/>
    <w:rsid w:val="00254D4D"/>
    <w:pPr>
      <w:spacing w:before="120" w:after="240" w:line="276" w:lineRule="auto"/>
    </w:pPr>
    <w:rPr>
      <w:rFonts w:ascii="Metropolis" w:eastAsia="Metropolis Black" w:hAnsi="Metropolis"/>
      <w:b/>
      <w:spacing w:val="-7"/>
      <w:sz w:val="32"/>
    </w:rPr>
  </w:style>
  <w:style w:type="character" w:customStyle="1" w:styleId="Heading1-MainpartChar">
    <w:name w:val="Heading 1 - Main part Char"/>
    <w:basedOn w:val="DefaultParagraphFont"/>
    <w:link w:val="Heading1-Mainpart"/>
    <w:uiPriority w:val="1"/>
    <w:rsid w:val="00254D4D"/>
    <w:rPr>
      <w:rFonts w:ascii="Metropolis" w:eastAsia="Metropolis Black" w:hAnsi="Metropolis"/>
      <w:b/>
      <w:spacing w:val="-7"/>
      <w:sz w:val="32"/>
      <w:lang w:val="en-NZ"/>
    </w:rPr>
  </w:style>
  <w:style w:type="character" w:customStyle="1" w:styleId="sssh">
    <w:name w:val="ss_sh"/>
    <w:basedOn w:val="DefaultParagraphFont"/>
    <w:rsid w:val="00254D4D"/>
  </w:style>
  <w:style w:type="paragraph" w:customStyle="1" w:styleId="subprov">
    <w:name w:val="subprov"/>
    <w:basedOn w:val="Normal"/>
    <w:rsid w:val="00F67CAB"/>
    <w:pPr>
      <w:spacing w:before="100" w:beforeAutospacing="1" w:after="100" w:afterAutospacing="1" w:line="240" w:lineRule="auto"/>
    </w:pPr>
    <w:rPr>
      <w:rFonts w:ascii="Times New Roman" w:eastAsia="Times New Roman" w:hAnsi="Times New Roman" w:cs="Times New Roman"/>
      <w:szCs w:val="24"/>
      <w:lang w:eastAsia="ko-KR"/>
    </w:rPr>
  </w:style>
  <w:style w:type="character" w:customStyle="1" w:styleId="tabchar">
    <w:name w:val="tabchar"/>
    <w:basedOn w:val="DefaultParagraphFont"/>
    <w:rsid w:val="00360B54"/>
  </w:style>
  <w:style w:type="paragraph" w:customStyle="1" w:styleId="P1PolicyText">
    <w:name w:val="P1. Policy Text"/>
    <w:basedOn w:val="Normal"/>
    <w:link w:val="P1PolicyTextChar"/>
    <w:qFormat/>
    <w:rsid w:val="00EB70BA"/>
    <w:pPr>
      <w:numPr>
        <w:numId w:val="25"/>
      </w:numPr>
      <w:pBdr>
        <w:top w:val="single" w:sz="4" w:space="12" w:color="BFBFBF" w:themeColor="background1" w:themeShade="BF"/>
        <w:left w:val="single" w:sz="4" w:space="6" w:color="BFBFBF" w:themeColor="background1" w:themeShade="BF"/>
        <w:bottom w:val="single" w:sz="4" w:space="6" w:color="BFBFBF" w:themeColor="background1" w:themeShade="BF"/>
        <w:right w:val="single" w:sz="4" w:space="6" w:color="BFBFBF" w:themeColor="background1" w:themeShade="BF"/>
      </w:pBdr>
      <w:shd w:val="clear" w:color="auto" w:fill="F2F2F2" w:themeFill="background1" w:themeFillShade="F2"/>
      <w:suppressAutoHyphens/>
      <w:autoSpaceDE w:val="0"/>
      <w:autoSpaceDN w:val="0"/>
      <w:adjustRightInd w:val="0"/>
      <w:ind w:left="425" w:hanging="425"/>
      <w:jc w:val="both"/>
      <w:textAlignment w:val="center"/>
    </w:pPr>
    <w:rPr>
      <w:rFonts w:eastAsia="Calibri" w:cs="Times New Roman"/>
      <w:color w:val="000000" w:themeColor="text1"/>
      <w:szCs w:val="20"/>
      <w:lang w:val="en-US" w:eastAsia="en-AU"/>
      <w14:shadow w14:blurRad="50800" w14:dist="50800" w14:dir="5400000" w14:sx="0" w14:sy="0" w14:kx="0" w14:ky="0" w14:algn="ctr">
        <w14:schemeClr w14:val="bg1"/>
      </w14:shadow>
    </w:rPr>
  </w:style>
  <w:style w:type="character" w:customStyle="1" w:styleId="P1PolicyTextChar">
    <w:name w:val="P1. Policy Text Char"/>
    <w:basedOn w:val="DefaultParagraphFont"/>
    <w:link w:val="P1PolicyText"/>
    <w:rsid w:val="00EB70BA"/>
    <w:rPr>
      <w:rFonts w:ascii="Metropolis Light" w:eastAsia="Calibri" w:hAnsi="Metropolis Light" w:cs="Times New Roman"/>
      <w:color w:val="000000" w:themeColor="text1"/>
      <w:sz w:val="20"/>
      <w:szCs w:val="20"/>
      <w:shd w:val="clear" w:color="auto" w:fill="F2F2F2" w:themeFill="background1" w:themeFillShade="F2"/>
      <w:lang w:eastAsia="en-AU"/>
      <w14:shadow w14:blurRad="50800" w14:dist="50800" w14:dir="5400000" w14:sx="0" w14:sy="0" w14:kx="0" w14:ky="0" w14:algn="ctr">
        <w14:schemeClr w14:val="bg1"/>
      </w14:shadow>
    </w:rPr>
  </w:style>
  <w:style w:type="character" w:customStyle="1" w:styleId="ListParagraphChar">
    <w:name w:val="List Paragraph Char"/>
    <w:basedOn w:val="DefaultParagraphFont"/>
    <w:link w:val="ListParagraph"/>
    <w:uiPriority w:val="34"/>
    <w:rsid w:val="00EB70BA"/>
    <w:rPr>
      <w:rFonts w:ascii="Metropolis Light" w:eastAsiaTheme="minorHAnsi" w:hAnsi="Metropolis Light"/>
      <w:sz w:val="24"/>
      <w:lang w:val="en-NZ"/>
    </w:rPr>
  </w:style>
  <w:style w:type="paragraph" w:customStyle="1" w:styleId="Text0">
    <w:name w:val="Text"/>
    <w:link w:val="TextChar"/>
    <w:qFormat/>
    <w:rsid w:val="002E1F2F"/>
    <w:pPr>
      <w:widowControl/>
      <w:spacing w:after="240"/>
      <w:jc w:val="both"/>
    </w:pPr>
    <w:rPr>
      <w:rFonts w:eastAsiaTheme="minorHAnsi"/>
      <w:szCs w:val="20"/>
    </w:rPr>
  </w:style>
  <w:style w:type="character" w:customStyle="1" w:styleId="TextChar">
    <w:name w:val="Text Char"/>
    <w:basedOn w:val="DefaultParagraphFont"/>
    <w:link w:val="Text0"/>
    <w:rsid w:val="002E1F2F"/>
    <w:rPr>
      <w:rFonts w:eastAsiaTheme="minorHAnsi"/>
      <w:szCs w:val="20"/>
    </w:rPr>
  </w:style>
  <w:style w:type="paragraph" w:customStyle="1" w:styleId="Bullet1">
    <w:name w:val="Bullet 1"/>
    <w:basedOn w:val="Text0"/>
    <w:link w:val="Bullet1Char"/>
    <w:uiPriority w:val="99"/>
    <w:qFormat/>
    <w:rsid w:val="002E1F2F"/>
    <w:pPr>
      <w:numPr>
        <w:numId w:val="27"/>
      </w:numPr>
      <w:spacing w:before="120" w:after="120"/>
      <w:ind w:left="850" w:hanging="425"/>
    </w:pPr>
  </w:style>
  <w:style w:type="paragraph" w:customStyle="1" w:styleId="Bullet3">
    <w:name w:val="Bullet 3"/>
    <w:basedOn w:val="Bullet1"/>
    <w:uiPriority w:val="1"/>
    <w:rsid w:val="002E1F2F"/>
    <w:pPr>
      <w:numPr>
        <w:ilvl w:val="3"/>
      </w:numPr>
      <w:ind w:left="998" w:hanging="431"/>
    </w:pPr>
  </w:style>
  <w:style w:type="paragraph" w:customStyle="1" w:styleId="Bullet4">
    <w:name w:val="Bullet 4"/>
    <w:basedOn w:val="Bullet1"/>
    <w:uiPriority w:val="2"/>
    <w:rsid w:val="002E1F2F"/>
    <w:pPr>
      <w:numPr>
        <w:ilvl w:val="4"/>
      </w:numPr>
      <w:tabs>
        <w:tab w:val="num" w:pos="360"/>
      </w:tabs>
      <w:ind w:left="1282" w:hanging="431"/>
    </w:pPr>
  </w:style>
  <w:style w:type="character" w:customStyle="1" w:styleId="Bullet1Char">
    <w:name w:val="Bullet 1 Char"/>
    <w:basedOn w:val="DefaultParagraphFont"/>
    <w:link w:val="Bullet1"/>
    <w:uiPriority w:val="99"/>
    <w:rsid w:val="002E1F2F"/>
    <w:rPr>
      <w:rFonts w:eastAsiaTheme="minorHAnsi"/>
      <w:szCs w:val="20"/>
    </w:rPr>
  </w:style>
  <w:style w:type="paragraph" w:customStyle="1" w:styleId="Style10">
    <w:name w:val="Style 1"/>
    <w:rsid w:val="002E1F2F"/>
    <w:pPr>
      <w:autoSpaceDE w:val="0"/>
      <w:autoSpaceDN w:val="0"/>
      <w:adjustRightInd w:val="0"/>
      <w:spacing w:after="0" w:line="240" w:lineRule="auto"/>
    </w:pPr>
    <w:rPr>
      <w:rFonts w:ascii="Times New Roman" w:eastAsia="Times New Roman" w:hAnsi="Times New Roman" w:cs="Times New Roman"/>
      <w:sz w:val="20"/>
      <w:szCs w:val="20"/>
    </w:rPr>
  </w:style>
  <w:style w:type="character" w:styleId="SmartLink">
    <w:name w:val="Smart Link"/>
    <w:basedOn w:val="DefaultParagraphFont"/>
    <w:uiPriority w:val="99"/>
    <w:semiHidden/>
    <w:unhideWhenUsed/>
    <w:rsid w:val="00A27A62"/>
    <w:rPr>
      <w:color w:val="0000FF"/>
      <w:u w:val="single"/>
      <w:shd w:val="clear" w:color="auto" w:fill="F3F2F1"/>
    </w:rPr>
  </w:style>
  <w:style w:type="numbering" w:customStyle="1" w:styleId="CurrentList1">
    <w:name w:val="Current List1"/>
    <w:uiPriority w:val="99"/>
    <w:rsid w:val="00A27A62"/>
  </w:style>
  <w:style w:type="paragraph" w:customStyle="1" w:styleId="legclearfix">
    <w:name w:val="legclearfix"/>
    <w:basedOn w:val="Normal"/>
    <w:rsid w:val="00B4420B"/>
    <w:pPr>
      <w:spacing w:before="100" w:beforeAutospacing="1" w:after="100" w:afterAutospacing="1" w:line="240" w:lineRule="auto"/>
    </w:pPr>
    <w:rPr>
      <w:rFonts w:ascii="Times New Roman" w:eastAsia="Times New Roman" w:hAnsi="Times New Roman" w:cs="Times New Roman"/>
      <w:szCs w:val="24"/>
    </w:rPr>
  </w:style>
  <w:style w:type="character" w:customStyle="1" w:styleId="legds">
    <w:name w:val="legds"/>
    <w:basedOn w:val="DefaultParagraphFont"/>
    <w:rsid w:val="00B4420B"/>
  </w:style>
  <w:style w:type="paragraph" w:customStyle="1" w:styleId="legrhs">
    <w:name w:val="legrhs"/>
    <w:basedOn w:val="Normal"/>
    <w:rsid w:val="00B4420B"/>
    <w:pPr>
      <w:spacing w:before="100" w:beforeAutospacing="1" w:after="100" w:afterAutospacing="1" w:line="240" w:lineRule="auto"/>
    </w:pPr>
    <w:rPr>
      <w:rFonts w:ascii="Times New Roman" w:eastAsia="Times New Roman" w:hAnsi="Times New Roman" w:cs="Times New Roman"/>
      <w:szCs w:val="24"/>
    </w:rPr>
  </w:style>
  <w:style w:type="character" w:customStyle="1" w:styleId="text-normal">
    <w:name w:val="text-normal"/>
    <w:basedOn w:val="DefaultParagraphFont"/>
    <w:rsid w:val="00B4420B"/>
  </w:style>
  <w:style w:type="paragraph" w:customStyle="1" w:styleId="TableBullet1">
    <w:name w:val="Table Bullet 1"/>
    <w:basedOn w:val="TableText"/>
    <w:link w:val="TableBullet1Char"/>
    <w:uiPriority w:val="2"/>
    <w:qFormat/>
    <w:rsid w:val="00945BEE"/>
    <w:pPr>
      <w:numPr>
        <w:ilvl w:val="0"/>
      </w:numPr>
      <w:tabs>
        <w:tab w:val="clear" w:pos="709"/>
      </w:tabs>
      <w:spacing w:before="0" w:after="60" w:line="240" w:lineRule="auto"/>
      <w:ind w:left="216" w:hanging="216"/>
    </w:pPr>
    <w:rPr>
      <w:rFonts w:eastAsiaTheme="minorHAnsi"/>
      <w:sz w:val="21"/>
      <w:szCs w:val="20"/>
    </w:rPr>
  </w:style>
  <w:style w:type="paragraph" w:customStyle="1" w:styleId="TableBullet2">
    <w:name w:val="Table Bullet 2"/>
    <w:basedOn w:val="TableText"/>
    <w:uiPriority w:val="4"/>
    <w:rsid w:val="00945BEE"/>
    <w:pPr>
      <w:numPr>
        <w:ilvl w:val="0"/>
      </w:numPr>
      <w:tabs>
        <w:tab w:val="clear" w:pos="709"/>
        <w:tab w:val="num" w:pos="360"/>
      </w:tabs>
      <w:spacing w:before="0" w:after="60" w:line="240" w:lineRule="auto"/>
    </w:pPr>
    <w:rPr>
      <w:rFonts w:asciiTheme="minorHAnsi" w:eastAsiaTheme="minorHAnsi" w:hAnsiTheme="minorHAnsi" w:cstheme="minorBidi"/>
      <w:color w:val="auto"/>
      <w:sz w:val="21"/>
      <w:szCs w:val="20"/>
      <w:lang w:val="en-US" w:eastAsia="en-US"/>
    </w:rPr>
  </w:style>
  <w:style w:type="numbering" w:customStyle="1" w:styleId="TableBullets">
    <w:name w:val="Table Bullets"/>
    <w:uiPriority w:val="99"/>
    <w:rsid w:val="00945BEE"/>
  </w:style>
  <w:style w:type="character" w:customStyle="1" w:styleId="TableBullet1Char">
    <w:name w:val="Table Bullet 1 Char"/>
    <w:basedOn w:val="TableTextChar"/>
    <w:link w:val="TableBullet1"/>
    <w:uiPriority w:val="2"/>
    <w:rsid w:val="00945BEE"/>
    <w:rPr>
      <w:rFonts w:ascii="Metropolis Light" w:eastAsiaTheme="minorHAnsi" w:hAnsi="Metropolis Light" w:cs="Times New Roman"/>
      <w:color w:val="000000" w:themeColor="text1"/>
      <w:sz w:val="21"/>
      <w:szCs w:val="20"/>
      <w:lang w:val="en-NZ" w:eastAsia="en-AU"/>
    </w:rPr>
  </w:style>
  <w:style w:type="paragraph" w:customStyle="1" w:styleId="NumberedHeading1">
    <w:name w:val="Numbered Heading 1"/>
    <w:basedOn w:val="ListParagraph"/>
    <w:next w:val="BodyText"/>
    <w:uiPriority w:val="2"/>
    <w:qFormat/>
    <w:rsid w:val="00945BEE"/>
    <w:pPr>
      <w:keepNext/>
      <w:numPr>
        <w:numId w:val="28"/>
      </w:numPr>
      <w:spacing w:before="360" w:after="240"/>
      <w:contextualSpacing w:val="0"/>
      <w:jc w:val="both"/>
      <w:outlineLvl w:val="0"/>
    </w:pPr>
    <w:rPr>
      <w:rFonts w:asciiTheme="majorHAnsi" w:hAnsiTheme="majorHAnsi"/>
      <w:b/>
      <w:caps/>
      <w:color w:val="1F497D" w:themeColor="text2"/>
      <w:kern w:val="28"/>
      <w:sz w:val="28"/>
      <w:lang w:val="en-AU"/>
    </w:rPr>
  </w:style>
  <w:style w:type="paragraph" w:customStyle="1" w:styleId="NumberedHeading2">
    <w:name w:val="Numbered Heading 2"/>
    <w:basedOn w:val="ListParagraph"/>
    <w:next w:val="BodyText"/>
    <w:uiPriority w:val="2"/>
    <w:qFormat/>
    <w:rsid w:val="00945BEE"/>
    <w:pPr>
      <w:keepNext/>
      <w:numPr>
        <w:ilvl w:val="1"/>
        <w:numId w:val="28"/>
      </w:numPr>
      <w:spacing w:before="360" w:after="120"/>
      <w:contextualSpacing w:val="0"/>
      <w:jc w:val="both"/>
      <w:outlineLvl w:val="1"/>
    </w:pPr>
    <w:rPr>
      <w:rFonts w:asciiTheme="majorHAnsi" w:hAnsiTheme="majorHAnsi"/>
      <w:b/>
      <w:color w:val="1F497D" w:themeColor="text2"/>
      <w:sz w:val="28"/>
      <w:lang w:val="en-AU"/>
    </w:rPr>
  </w:style>
  <w:style w:type="paragraph" w:customStyle="1" w:styleId="NumberedHeading3">
    <w:name w:val="Numbered Heading 3"/>
    <w:basedOn w:val="ListParagraph"/>
    <w:uiPriority w:val="2"/>
    <w:qFormat/>
    <w:rsid w:val="00945BEE"/>
    <w:pPr>
      <w:keepNext/>
      <w:numPr>
        <w:ilvl w:val="2"/>
        <w:numId w:val="28"/>
      </w:numPr>
      <w:spacing w:before="240" w:after="120"/>
      <w:contextualSpacing w:val="0"/>
      <w:jc w:val="both"/>
      <w:outlineLvl w:val="2"/>
    </w:pPr>
    <w:rPr>
      <w:rFonts w:asciiTheme="majorHAnsi" w:hAnsiTheme="majorHAnsi"/>
      <w:b/>
      <w:color w:val="1F497D" w:themeColor="text2"/>
      <w:lang w:val="en-AU"/>
    </w:rPr>
  </w:style>
  <w:style w:type="paragraph" w:customStyle="1" w:styleId="NumberedHeading4">
    <w:name w:val="Numbered Heading 4"/>
    <w:basedOn w:val="ListParagraph"/>
    <w:next w:val="BodyText"/>
    <w:uiPriority w:val="2"/>
    <w:unhideWhenUsed/>
    <w:rsid w:val="00945BEE"/>
    <w:pPr>
      <w:keepNext/>
      <w:numPr>
        <w:ilvl w:val="3"/>
        <w:numId w:val="28"/>
      </w:numPr>
      <w:spacing w:before="120" w:after="120"/>
      <w:contextualSpacing w:val="0"/>
      <w:jc w:val="both"/>
      <w:outlineLvl w:val="3"/>
    </w:pPr>
    <w:rPr>
      <w:rFonts w:asciiTheme="majorHAnsi" w:hAnsiTheme="majorHAnsi"/>
      <w:b/>
      <w:i/>
      <w:color w:val="1F497D" w:themeColor="text2"/>
      <w:lang w:val="en-AU"/>
    </w:rPr>
  </w:style>
  <w:style w:type="character" w:customStyle="1" w:styleId="colabel">
    <w:name w:val="co_label"/>
    <w:basedOn w:val="DefaultParagraphFont"/>
    <w:rsid w:val="001E682F"/>
  </w:style>
  <w:style w:type="character" w:customStyle="1" w:styleId="hit">
    <w:name w:val="hit"/>
    <w:basedOn w:val="DefaultParagraphFont"/>
    <w:rsid w:val="001E682F"/>
  </w:style>
  <w:style w:type="paragraph" w:customStyle="1" w:styleId="1">
    <w:name w:val="1"/>
    <w:basedOn w:val="Normal"/>
    <w:rsid w:val="001E682F"/>
    <w:pPr>
      <w:spacing w:before="100" w:beforeAutospacing="1" w:after="100" w:afterAutospacing="1" w:line="240" w:lineRule="auto"/>
    </w:pPr>
    <w:rPr>
      <w:rFonts w:ascii="Times New Roman" w:eastAsia="Times New Roman" w:hAnsi="Times New Roman" w:cs="Times New Roman"/>
      <w:szCs w:val="24"/>
    </w:rPr>
  </w:style>
  <w:style w:type="character" w:customStyle="1" w:styleId="t">
    <w:name w:val="t"/>
    <w:basedOn w:val="DefaultParagraphFont"/>
    <w:rsid w:val="001E682F"/>
  </w:style>
  <w:style w:type="character" w:customStyle="1" w:styleId="cf21">
    <w:name w:val="cf21"/>
    <w:basedOn w:val="DefaultParagraphFont"/>
    <w:rsid w:val="00AE2699"/>
    <w:rPr>
      <w:rFonts w:ascii="Segoe UI" w:hAnsi="Segoe UI" w:cs="Segoe UI" w:hint="default"/>
      <w:i/>
      <w:iCs/>
      <w:sz w:val="18"/>
      <w:szCs w:val="18"/>
    </w:rPr>
  </w:style>
  <w:style w:type="character" w:customStyle="1" w:styleId="ui-provider">
    <w:name w:val="ui-provider"/>
    <w:basedOn w:val="DefaultParagraphFont"/>
    <w:rsid w:val="00AE2699"/>
  </w:style>
  <w:style w:type="table" w:customStyle="1" w:styleId="LCTable3">
    <w:name w:val="LC Table3"/>
    <w:basedOn w:val="TableNormal"/>
    <w:uiPriority w:val="99"/>
    <w:rsid w:val="00174F89"/>
    <w:pPr>
      <w:widowControl/>
      <w:spacing w:before="60" w:after="60" w:line="260" w:lineRule="atLeast"/>
    </w:pPr>
    <w:rPr>
      <w:rFonts w:ascii="Calibri" w:eastAsia="Times New Roman" w:hAnsi="Calibri" w:cs="Times New Roman"/>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005745"/>
      </w:rPr>
      <w:tblPr/>
      <w:tcPr>
        <w:tcBorders>
          <w:top w:val="nil"/>
          <w:left w:val="nil"/>
          <w:bottom w:val="nil"/>
          <w:right w:val="nil"/>
          <w:insideH w:val="nil"/>
          <w:insideV w:val="nil"/>
          <w:tl2br w:val="nil"/>
          <w:tr2bl w:val="nil"/>
        </w:tcBorders>
      </w:tcPr>
    </w:tblStylePr>
    <w:tblStylePr w:type="lastCol">
      <w:rPr>
        <w:b w:val="0"/>
      </w:rPr>
    </w:tblStylePr>
  </w:style>
  <w:style w:type="character" w:customStyle="1" w:styleId="Heading1nonumChar">
    <w:name w:val="Heading 1 (no num) Char"/>
    <w:link w:val="Heading1nonum"/>
    <w:uiPriority w:val="5"/>
    <w:rsid w:val="00EC204C"/>
    <w:rPr>
      <w:rFonts w:ascii="Metropolis Black" w:eastAsia="Times New Roman" w:hAnsi="Metropolis Black" w:cs="Times New Roman"/>
      <w:b/>
      <w:color w:val="73AB6E"/>
      <w:sz w:val="66"/>
      <w:szCs w:val="24"/>
      <w:lang w:val="en-NZ" w:eastAsia="en-AU"/>
    </w:rPr>
  </w:style>
  <w:style w:type="character" w:customStyle="1" w:styleId="TextedebullesCar">
    <w:name w:val="Texte de bulles Car"/>
    <w:basedOn w:val="DefaultParagraphFont"/>
    <w:uiPriority w:val="99"/>
    <w:semiHidden/>
    <w:rsid w:val="001E69E7"/>
    <w:rPr>
      <w:rFonts w:ascii="Tahoma" w:eastAsiaTheme="minorHAnsi" w:hAnsi="Tahoma" w:cs="Tahoma"/>
      <w:sz w:val="16"/>
      <w:szCs w:val="16"/>
      <w:lang w:val="en-NZ" w:eastAsia="en-US"/>
    </w:rPr>
  </w:style>
  <w:style w:type="character" w:customStyle="1" w:styleId="CitationCar">
    <w:name w:val="Citation Car"/>
    <w:basedOn w:val="DefaultParagraphFont"/>
    <w:uiPriority w:val="6"/>
    <w:rsid w:val="001E69E7"/>
    <w:rPr>
      <w:rFonts w:ascii="Metropolis Light" w:hAnsi="Metropolis Light"/>
      <w:color w:val="0D0D0D" w:themeColor="text1" w:themeTint="F2"/>
      <w:sz w:val="18"/>
      <w:lang w:val="en-NZ"/>
    </w:rPr>
  </w:style>
  <w:style w:type="character" w:customStyle="1" w:styleId="CommentaireCar">
    <w:name w:val="Commentaire Car"/>
    <w:basedOn w:val="DefaultParagraphFont"/>
    <w:uiPriority w:val="99"/>
    <w:rsid w:val="001E69E7"/>
    <w:rPr>
      <w:rFonts w:ascii="Metropolis Light" w:eastAsiaTheme="minorHAnsi" w:hAnsi="Metropolis Light" w:cstheme="minorBidi"/>
      <w:sz w:val="20"/>
      <w:szCs w:val="20"/>
      <w:lang w:val="en-NZ" w:eastAsia="en-US"/>
    </w:rPr>
  </w:style>
  <w:style w:type="character" w:customStyle="1" w:styleId="NotedebasdepageCar">
    <w:name w:val="Note de bas de page Car"/>
    <w:aliases w:val="FN Car,Footnote Text Char1 Char Car,Footnote Text Char Char1 Car,Footnote Text Char1 Char Char Char Car,Footnote Text Char1 Char Char1 Car,Footnote Text Char Char Char Car,Footnote Text Char1 Char1 Char Car,Char Car,5_G Car"/>
    <w:basedOn w:val="DefaultParagraphFont"/>
    <w:rsid w:val="001E69E7"/>
    <w:rPr>
      <w:rFonts w:ascii="Metropolis Light" w:hAnsi="Metropolis Light"/>
      <w:color w:val="0D0D0D" w:themeColor="text1" w:themeTint="F2"/>
      <w:sz w:val="15"/>
      <w:szCs w:val="20"/>
      <w:lang w:val="en-NZ" w:eastAsia="en-US"/>
    </w:rPr>
  </w:style>
  <w:style w:type="character" w:customStyle="1" w:styleId="Titre2Car">
    <w:name w:val="Titre 2 Car"/>
    <w:basedOn w:val="DefaultParagraphFont"/>
    <w:uiPriority w:val="5"/>
    <w:rsid w:val="001E69E7"/>
    <w:rPr>
      <w:rFonts w:ascii="Metropolis" w:hAnsi="Metropolis"/>
      <w:b/>
      <w:caps/>
      <w:color w:val="73AB6E"/>
      <w:sz w:val="22"/>
      <w:lang w:val="en-NZ"/>
    </w:rPr>
  </w:style>
  <w:style w:type="character" w:customStyle="1" w:styleId="Titre3Car">
    <w:name w:val="Titre 3 Car"/>
    <w:basedOn w:val="DefaultParagraphFont"/>
    <w:uiPriority w:val="5"/>
    <w:rsid w:val="001E69E7"/>
    <w:rPr>
      <w:rFonts w:ascii="Metropolis" w:hAnsi="Metropolis"/>
      <w:b/>
      <w:color w:val="73AB6E"/>
      <w:sz w:val="22"/>
      <w:lang w:val="en-NZ"/>
    </w:rPr>
  </w:style>
  <w:style w:type="character" w:customStyle="1" w:styleId="Titre4Car">
    <w:name w:val="Titre 4 Car"/>
    <w:basedOn w:val="DefaultParagraphFont"/>
    <w:uiPriority w:val="5"/>
    <w:rsid w:val="001E69E7"/>
    <w:rPr>
      <w:rFonts w:ascii="Metropolis" w:hAnsi="Metropolis"/>
      <w:b/>
      <w:i/>
      <w:color w:val="73AB6E"/>
      <w:sz w:val="20"/>
      <w:lang w:val="en-NZ"/>
    </w:rPr>
  </w:style>
  <w:style w:type="character" w:customStyle="1" w:styleId="ObjetducommentaireCar">
    <w:name w:val="Objet du commentaire Car"/>
    <w:basedOn w:val="CommentaireCar"/>
    <w:uiPriority w:val="34"/>
    <w:rsid w:val="001E69E7"/>
    <w:rPr>
      <w:rFonts w:ascii="Metropolis Light" w:eastAsiaTheme="minorHAnsi" w:hAnsi="Metropolis Light" w:cstheme="minorBidi"/>
      <w:b/>
      <w:bCs/>
      <w:color w:val="262626" w:themeColor="text1" w:themeTint="D9"/>
      <w:sz w:val="20"/>
      <w:szCs w:val="20"/>
      <w:lang w:val="en-NZ" w:eastAsia="en-US"/>
    </w:rPr>
  </w:style>
  <w:style w:type="character" w:customStyle="1" w:styleId="En-tteCar">
    <w:name w:val="En-tête Car"/>
    <w:basedOn w:val="DefaultParagraphFont"/>
    <w:uiPriority w:val="99"/>
    <w:rsid w:val="001E69E7"/>
    <w:rPr>
      <w:rFonts w:ascii="Metropolis Light" w:eastAsiaTheme="minorHAnsi" w:hAnsi="Metropolis Light" w:cstheme="minorBidi"/>
      <w:color w:val="262626" w:themeColor="text1" w:themeTint="D9"/>
      <w:sz w:val="13"/>
      <w:szCs w:val="22"/>
      <w:lang w:val="en-NZ" w:eastAsia="en-US"/>
    </w:rPr>
  </w:style>
  <w:style w:type="character" w:customStyle="1" w:styleId="DateCar">
    <w:name w:val="Date Car"/>
    <w:basedOn w:val="DefaultParagraphFont"/>
    <w:uiPriority w:val="29"/>
    <w:rsid w:val="001E69E7"/>
    <w:rPr>
      <w:rFonts w:ascii="Metropolis Light" w:eastAsiaTheme="minorHAnsi" w:hAnsi="Metropolis Light" w:cstheme="minorBidi"/>
      <w:color w:val="262626" w:themeColor="text1" w:themeTint="D9"/>
      <w:sz w:val="20"/>
      <w:szCs w:val="22"/>
      <w:lang w:val="en-NZ" w:eastAsia="en-US"/>
    </w:rPr>
  </w:style>
  <w:style w:type="character" w:customStyle="1" w:styleId="ExplorateurdedocumentsCar">
    <w:name w:val="Explorateur de documents Car"/>
    <w:basedOn w:val="DefaultParagraphFont"/>
    <w:uiPriority w:val="34"/>
    <w:rsid w:val="001E69E7"/>
    <w:rPr>
      <w:rFonts w:ascii="Tahoma" w:eastAsiaTheme="minorHAnsi" w:hAnsi="Tahoma" w:cs="Tahoma"/>
      <w:color w:val="262626" w:themeColor="text1" w:themeTint="D9"/>
      <w:sz w:val="16"/>
      <w:szCs w:val="16"/>
      <w:lang w:val="en-NZ" w:eastAsia="en-US"/>
    </w:rPr>
  </w:style>
  <w:style w:type="character" w:customStyle="1" w:styleId="NotedefinCar">
    <w:name w:val="Note de fin Car"/>
    <w:basedOn w:val="DefaultParagraphFont"/>
    <w:uiPriority w:val="34"/>
    <w:rsid w:val="001E69E7"/>
    <w:rPr>
      <w:rFonts w:ascii="Metropolis Light" w:eastAsiaTheme="minorHAnsi" w:hAnsi="Metropolis Light" w:cstheme="minorBidi"/>
      <w:color w:val="262626" w:themeColor="text1" w:themeTint="D9"/>
      <w:sz w:val="20"/>
      <w:szCs w:val="20"/>
      <w:lang w:val="en-NZ" w:eastAsia="en-US"/>
    </w:rPr>
  </w:style>
  <w:style w:type="character" w:customStyle="1" w:styleId="CitationintenseCar">
    <w:name w:val="Citation intense Car"/>
    <w:basedOn w:val="DefaultParagraphFont"/>
    <w:uiPriority w:val="34"/>
    <w:rsid w:val="001E69E7"/>
    <w:rPr>
      <w:rFonts w:ascii="Metropolis Light" w:eastAsiaTheme="minorHAnsi" w:hAnsi="Metropolis Light" w:cstheme="minorBidi"/>
      <w:b/>
      <w:bCs/>
      <w:i/>
      <w:iCs/>
      <w:color w:val="4F81BD" w:themeColor="accent1"/>
      <w:sz w:val="20"/>
      <w:szCs w:val="22"/>
      <w:lang w:val="en-NZ" w:eastAsia="en-US"/>
    </w:rPr>
  </w:style>
  <w:style w:type="character" w:customStyle="1" w:styleId="TextedemacroCar">
    <w:name w:val="Texte de macro Car"/>
    <w:basedOn w:val="DefaultParagraphFont"/>
    <w:uiPriority w:val="34"/>
    <w:rsid w:val="001E69E7"/>
    <w:rPr>
      <w:rFonts w:ascii="Consolas" w:hAnsi="Consolas"/>
      <w:color w:val="404040" w:themeColor="text1" w:themeTint="BF"/>
      <w:sz w:val="20"/>
      <w:szCs w:val="20"/>
      <w:lang w:val="en-NZ"/>
    </w:rPr>
  </w:style>
  <w:style w:type="character" w:customStyle="1" w:styleId="Titre1Car">
    <w:name w:val="Titre 1 Car"/>
    <w:basedOn w:val="DefaultParagraphFont"/>
    <w:uiPriority w:val="10"/>
    <w:rsid w:val="001E69E7"/>
    <w:rPr>
      <w:rFonts w:ascii="Metropolis Black" w:hAnsi="Metropolis Black"/>
      <w:b/>
      <w:color w:val="73AB6E"/>
      <w:sz w:val="66"/>
      <w:lang w:val="en-NZ" w:eastAsia="en-US"/>
    </w:rPr>
  </w:style>
  <w:style w:type="character" w:customStyle="1" w:styleId="Titre5Car">
    <w:name w:val="Titre 5 Car"/>
    <w:basedOn w:val="DefaultParagraphFont"/>
    <w:uiPriority w:val="10"/>
    <w:rsid w:val="001E69E7"/>
    <w:rPr>
      <w:rFonts w:ascii="Metropolis" w:eastAsiaTheme="minorHAnsi" w:hAnsi="Metropolis" w:cstheme="minorBidi"/>
      <w:color w:val="6BA539"/>
      <w:sz w:val="20"/>
      <w:szCs w:val="22"/>
      <w:lang w:val="en-NZ" w:eastAsia="en-US"/>
    </w:rPr>
  </w:style>
  <w:style w:type="character" w:customStyle="1" w:styleId="Titre6Car">
    <w:name w:val="Titre 6 Car"/>
    <w:basedOn w:val="DefaultParagraphFont"/>
    <w:uiPriority w:val="10"/>
    <w:rsid w:val="001E69E7"/>
    <w:rPr>
      <w:rFonts w:ascii="Metropolis" w:hAnsi="Metropolis"/>
      <w:caps/>
      <w:color w:val="FFFFFF" w:themeColor="background1"/>
      <w:spacing w:val="24"/>
      <w:sz w:val="20"/>
      <w:szCs w:val="22"/>
      <w:shd w:val="clear" w:color="auto" w:fill="404040" w:themeFill="text1" w:themeFillTint="BF"/>
      <w:lang w:val="en-NZ"/>
    </w:rPr>
  </w:style>
  <w:style w:type="character" w:customStyle="1" w:styleId="Titre7Car">
    <w:name w:val="Titre 7 Car"/>
    <w:basedOn w:val="DefaultParagraphFont"/>
    <w:uiPriority w:val="10"/>
    <w:semiHidden/>
    <w:rsid w:val="001E69E7"/>
    <w:rPr>
      <w:rFonts w:ascii="Metropolis Light" w:eastAsiaTheme="minorHAnsi" w:hAnsi="Metropolis Light" w:cstheme="minorBidi"/>
      <w:sz w:val="20"/>
      <w:szCs w:val="22"/>
      <w:lang w:val="en-NZ" w:eastAsia="en-US"/>
    </w:rPr>
  </w:style>
  <w:style w:type="character" w:customStyle="1" w:styleId="Titre8Car">
    <w:name w:val="Titre 8 Car"/>
    <w:basedOn w:val="DefaultParagraphFont"/>
    <w:uiPriority w:val="10"/>
    <w:semiHidden/>
    <w:rsid w:val="001E69E7"/>
    <w:rPr>
      <w:rFonts w:ascii="Metropolis Light" w:eastAsiaTheme="minorHAnsi" w:hAnsi="Metropolis Light" w:cstheme="minorBidi"/>
      <w:i/>
      <w:iCs/>
      <w:sz w:val="20"/>
      <w:szCs w:val="22"/>
      <w:lang w:val="en-NZ" w:eastAsia="en-US"/>
    </w:rPr>
  </w:style>
  <w:style w:type="character" w:customStyle="1" w:styleId="Titre9Car">
    <w:name w:val="Titre 9 Car"/>
    <w:basedOn w:val="DefaultParagraphFont"/>
    <w:uiPriority w:val="10"/>
    <w:semiHidden/>
    <w:rsid w:val="001E69E7"/>
    <w:rPr>
      <w:rFonts w:ascii="Arial" w:eastAsiaTheme="minorHAnsi" w:hAnsi="Arial" w:cs="Arial"/>
      <w:sz w:val="20"/>
      <w:szCs w:val="22"/>
      <w:lang w:val="en-NZ" w:eastAsia="en-US"/>
    </w:rPr>
  </w:style>
  <w:style w:type="character" w:customStyle="1" w:styleId="PieddepageCar">
    <w:name w:val="Pied de page Car"/>
    <w:basedOn w:val="DefaultParagraphFont"/>
    <w:uiPriority w:val="58"/>
    <w:rsid w:val="001E69E7"/>
    <w:rPr>
      <w:rFonts w:ascii="Metropolis Light" w:eastAsiaTheme="minorHAnsi" w:hAnsi="Metropolis Light" w:cstheme="minorBidi"/>
      <w:sz w:val="20"/>
      <w:szCs w:val="22"/>
      <w:lang w:val="en-NZ" w:eastAsia="en-US"/>
    </w:rPr>
  </w:style>
  <w:style w:type="character" w:customStyle="1" w:styleId="Retraitcorpsdetexte3Car">
    <w:name w:val="Retrait corps de texte 3 Car"/>
    <w:basedOn w:val="DefaultParagraphFont"/>
    <w:uiPriority w:val="2"/>
    <w:semiHidden/>
    <w:rsid w:val="001E69E7"/>
    <w:rPr>
      <w:rFonts w:ascii="Metropolis Light" w:eastAsiaTheme="minorHAnsi" w:hAnsi="Metropolis Light" w:cstheme="minorBidi"/>
      <w:sz w:val="16"/>
      <w:szCs w:val="16"/>
      <w:lang w:val="en-NZ" w:eastAsia="en-US"/>
    </w:rPr>
  </w:style>
  <w:style w:type="character" w:customStyle="1" w:styleId="Retraitcorpsdetexte2Car">
    <w:name w:val="Retrait corps de texte 2 Car"/>
    <w:basedOn w:val="DefaultParagraphFont"/>
    <w:uiPriority w:val="1"/>
    <w:rsid w:val="001E69E7"/>
    <w:rPr>
      <w:rFonts w:ascii="Metropolis Light" w:hAnsi="Metropolis Light"/>
      <w:color w:val="0D0D0D" w:themeColor="text1" w:themeTint="F2"/>
      <w:sz w:val="20"/>
      <w:lang w:val="en-NZ"/>
    </w:rPr>
  </w:style>
  <w:style w:type="character" w:customStyle="1" w:styleId="CorpsdetexteCar">
    <w:name w:val="Corps de texte Car"/>
    <w:basedOn w:val="DefaultParagraphFont"/>
    <w:rsid w:val="001E69E7"/>
    <w:rPr>
      <w:rFonts w:ascii="Metropolis Light" w:hAnsi="Metropolis Light"/>
      <w:color w:val="000000" w:themeColor="text1"/>
      <w:sz w:val="20"/>
      <w:lang w:val="en-NZ"/>
    </w:rPr>
  </w:style>
  <w:style w:type="character" w:customStyle="1" w:styleId="Corpsdetexte2Car">
    <w:name w:val="Corps de texte 2 Car"/>
    <w:basedOn w:val="DefaultParagraphFont"/>
    <w:uiPriority w:val="1"/>
    <w:rsid w:val="001E69E7"/>
    <w:rPr>
      <w:rFonts w:ascii="Metropolis Light" w:hAnsi="Metropolis Light"/>
      <w:color w:val="0D0D0D" w:themeColor="text1" w:themeTint="F2"/>
      <w:sz w:val="20"/>
      <w:lang w:val="en-NZ"/>
    </w:rPr>
  </w:style>
  <w:style w:type="character" w:customStyle="1" w:styleId="Corpsdetexte3Car">
    <w:name w:val="Corps de texte 3 Car"/>
    <w:basedOn w:val="DefaultParagraphFont"/>
    <w:uiPriority w:val="1"/>
    <w:semiHidden/>
    <w:rsid w:val="001E69E7"/>
    <w:rPr>
      <w:lang w:val="en-NZ"/>
    </w:rPr>
  </w:style>
  <w:style w:type="character" w:customStyle="1" w:styleId="Retrait1religneCar">
    <w:name w:val="Retrait 1re ligne Car"/>
    <w:basedOn w:val="CorpsdetexteCar"/>
    <w:uiPriority w:val="99"/>
    <w:semiHidden/>
    <w:rsid w:val="001E69E7"/>
    <w:rPr>
      <w:rFonts w:ascii="Metropolis Light" w:hAnsi="Metropolis Light"/>
      <w:color w:val="000000" w:themeColor="text1"/>
      <w:sz w:val="20"/>
      <w:lang w:val="en-NZ"/>
    </w:rPr>
  </w:style>
  <w:style w:type="character" w:customStyle="1" w:styleId="RetraitcorpsdetexteCar">
    <w:name w:val="Retrait corps de texte Car"/>
    <w:basedOn w:val="DefaultParagraphFont"/>
    <w:rsid w:val="001E69E7"/>
    <w:rPr>
      <w:rFonts w:ascii="Metropolis Light" w:hAnsi="Metropolis Light"/>
      <w:color w:val="262626" w:themeColor="text1" w:themeTint="D9"/>
      <w:sz w:val="20"/>
      <w:lang w:val="en-NZ"/>
    </w:rPr>
  </w:style>
  <w:style w:type="character" w:customStyle="1" w:styleId="Retraitcorpset1religCar">
    <w:name w:val="Retrait corps et 1re lig. Car"/>
    <w:basedOn w:val="RetraitcorpsdetexteCar"/>
    <w:uiPriority w:val="99"/>
    <w:semiHidden/>
    <w:rsid w:val="001E69E7"/>
    <w:rPr>
      <w:rFonts w:ascii="Metropolis Light" w:hAnsi="Metropolis Light"/>
      <w:color w:val="262626" w:themeColor="text1" w:themeTint="D9"/>
      <w:sz w:val="20"/>
      <w:lang w:val="en-NZ"/>
    </w:rPr>
  </w:style>
  <w:style w:type="character" w:customStyle="1" w:styleId="FormuledepolitesseCar">
    <w:name w:val="Formule de politesse Car"/>
    <w:basedOn w:val="DefaultParagraphFont"/>
    <w:uiPriority w:val="99"/>
    <w:semiHidden/>
    <w:rsid w:val="001E69E7"/>
    <w:rPr>
      <w:rFonts w:ascii="Metropolis Light" w:eastAsiaTheme="minorHAnsi" w:hAnsi="Metropolis Light" w:cstheme="minorBidi"/>
      <w:sz w:val="20"/>
      <w:szCs w:val="22"/>
      <w:lang w:val="en-NZ" w:eastAsia="en-US"/>
    </w:rPr>
  </w:style>
  <w:style w:type="character" w:customStyle="1" w:styleId="SignaturelectroniqueCar">
    <w:name w:val="Signature électronique Car"/>
    <w:basedOn w:val="DefaultParagraphFont"/>
    <w:uiPriority w:val="99"/>
    <w:semiHidden/>
    <w:rsid w:val="001E69E7"/>
    <w:rPr>
      <w:rFonts w:ascii="Metropolis Light" w:eastAsiaTheme="minorHAnsi" w:hAnsi="Metropolis Light" w:cstheme="minorBidi"/>
      <w:sz w:val="20"/>
      <w:szCs w:val="22"/>
      <w:lang w:val="en-NZ" w:eastAsia="en-US"/>
    </w:rPr>
  </w:style>
  <w:style w:type="character" w:customStyle="1" w:styleId="AdresseHTMLCar">
    <w:name w:val="Adresse HTML Car"/>
    <w:basedOn w:val="DefaultParagraphFont"/>
    <w:uiPriority w:val="99"/>
    <w:semiHidden/>
    <w:rsid w:val="001E69E7"/>
    <w:rPr>
      <w:rFonts w:ascii="Metropolis Light" w:eastAsiaTheme="minorHAnsi" w:hAnsi="Metropolis Light" w:cstheme="minorBidi"/>
      <w:i/>
      <w:iCs/>
      <w:sz w:val="20"/>
      <w:szCs w:val="22"/>
      <w:lang w:val="en-NZ" w:eastAsia="en-US"/>
    </w:rPr>
  </w:style>
  <w:style w:type="character" w:customStyle="1" w:styleId="PrformatHTMLCar">
    <w:name w:val="Préformaté HTML Car"/>
    <w:basedOn w:val="DefaultParagraphFont"/>
    <w:uiPriority w:val="99"/>
    <w:semiHidden/>
    <w:rsid w:val="001E69E7"/>
    <w:rPr>
      <w:rFonts w:ascii="Courier New" w:eastAsiaTheme="minorHAnsi" w:hAnsi="Courier New" w:cs="Courier New"/>
      <w:sz w:val="20"/>
      <w:szCs w:val="20"/>
      <w:lang w:val="en-NZ" w:eastAsia="en-US"/>
    </w:rPr>
  </w:style>
  <w:style w:type="character" w:customStyle="1" w:styleId="En-ttedemessageCar">
    <w:name w:val="En-tête de message Car"/>
    <w:basedOn w:val="DefaultParagraphFont"/>
    <w:uiPriority w:val="99"/>
    <w:semiHidden/>
    <w:rsid w:val="001E69E7"/>
    <w:rPr>
      <w:rFonts w:ascii="Arial" w:eastAsiaTheme="minorHAnsi" w:hAnsi="Arial" w:cs="Arial"/>
      <w:sz w:val="20"/>
      <w:szCs w:val="22"/>
      <w:shd w:val="pct20" w:color="auto" w:fill="auto"/>
      <w:lang w:val="en-NZ" w:eastAsia="en-US"/>
    </w:rPr>
  </w:style>
  <w:style w:type="character" w:customStyle="1" w:styleId="TitredenoteCar">
    <w:name w:val="Titre de note Car"/>
    <w:basedOn w:val="DefaultParagraphFont"/>
    <w:uiPriority w:val="99"/>
    <w:semiHidden/>
    <w:rsid w:val="001E69E7"/>
    <w:rPr>
      <w:rFonts w:ascii="Metropolis Light" w:eastAsiaTheme="minorHAnsi" w:hAnsi="Metropolis Light" w:cstheme="minorBidi"/>
      <w:sz w:val="20"/>
      <w:szCs w:val="22"/>
      <w:lang w:val="en-NZ" w:eastAsia="en-US"/>
    </w:rPr>
  </w:style>
  <w:style w:type="character" w:customStyle="1" w:styleId="TextebrutCar">
    <w:name w:val="Texte brut Car"/>
    <w:basedOn w:val="DefaultParagraphFont"/>
    <w:uiPriority w:val="99"/>
    <w:semiHidden/>
    <w:rsid w:val="001E69E7"/>
    <w:rPr>
      <w:rFonts w:ascii="Courier New" w:eastAsiaTheme="minorHAnsi" w:hAnsi="Courier New" w:cs="Courier New"/>
      <w:sz w:val="20"/>
      <w:szCs w:val="20"/>
      <w:lang w:val="en-NZ" w:eastAsia="en-US"/>
    </w:rPr>
  </w:style>
  <w:style w:type="character" w:customStyle="1" w:styleId="SalutationsCar">
    <w:name w:val="Salutations Car"/>
    <w:basedOn w:val="DefaultParagraphFont"/>
    <w:uiPriority w:val="99"/>
    <w:semiHidden/>
    <w:rsid w:val="001E69E7"/>
    <w:rPr>
      <w:rFonts w:ascii="Metropolis Light" w:eastAsiaTheme="minorHAnsi" w:hAnsi="Metropolis Light" w:cstheme="minorBidi"/>
      <w:sz w:val="20"/>
      <w:szCs w:val="22"/>
      <w:lang w:val="en-NZ" w:eastAsia="en-US"/>
    </w:rPr>
  </w:style>
  <w:style w:type="character" w:customStyle="1" w:styleId="SignatureCar">
    <w:name w:val="Signature Car"/>
    <w:basedOn w:val="DefaultParagraphFont"/>
    <w:uiPriority w:val="99"/>
    <w:semiHidden/>
    <w:rsid w:val="001E69E7"/>
    <w:rPr>
      <w:rFonts w:ascii="Metropolis Light" w:eastAsiaTheme="minorHAnsi" w:hAnsi="Metropolis Light" w:cstheme="minorBidi"/>
      <w:sz w:val="20"/>
      <w:szCs w:val="22"/>
      <w:lang w:val="en-NZ" w:eastAsia="en-US"/>
    </w:rPr>
  </w:style>
  <w:style w:type="character" w:customStyle="1" w:styleId="Sous-titreCar">
    <w:name w:val="Sous-titre Car"/>
    <w:basedOn w:val="DefaultParagraphFont"/>
    <w:uiPriority w:val="21"/>
    <w:rsid w:val="001E69E7"/>
    <w:rPr>
      <w:rFonts w:ascii="Calibri" w:hAnsi="Calibri" w:cs="Arial"/>
      <w:b/>
      <w:bCs/>
      <w:caps/>
      <w:color w:val="6BA539"/>
      <w:sz w:val="48"/>
      <w:szCs w:val="32"/>
      <w:lang w:val="en-NZ"/>
    </w:rPr>
  </w:style>
  <w:style w:type="character" w:customStyle="1" w:styleId="TitreCar">
    <w:name w:val="Titre Car"/>
    <w:basedOn w:val="DefaultParagraphFont"/>
    <w:uiPriority w:val="20"/>
    <w:rsid w:val="001E69E7"/>
    <w:rPr>
      <w:rFonts w:ascii="Calibri" w:hAnsi="Calibri" w:cs="Arial"/>
      <w:b/>
      <w:bCs/>
      <w:caps/>
      <w:color w:val="6BA539"/>
      <w:sz w:val="72"/>
      <w:szCs w:val="32"/>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3257">
      <w:bodyDiv w:val="1"/>
      <w:marLeft w:val="0"/>
      <w:marRight w:val="0"/>
      <w:marTop w:val="0"/>
      <w:marBottom w:val="0"/>
      <w:divBdr>
        <w:top w:val="none" w:sz="0" w:space="0" w:color="auto"/>
        <w:left w:val="none" w:sz="0" w:space="0" w:color="auto"/>
        <w:bottom w:val="none" w:sz="0" w:space="0" w:color="auto"/>
        <w:right w:val="none" w:sz="0" w:space="0" w:color="auto"/>
      </w:divBdr>
    </w:div>
    <w:div w:id="10618412">
      <w:bodyDiv w:val="1"/>
      <w:marLeft w:val="0"/>
      <w:marRight w:val="0"/>
      <w:marTop w:val="0"/>
      <w:marBottom w:val="0"/>
      <w:divBdr>
        <w:top w:val="none" w:sz="0" w:space="0" w:color="auto"/>
        <w:left w:val="none" w:sz="0" w:space="0" w:color="auto"/>
        <w:bottom w:val="none" w:sz="0" w:space="0" w:color="auto"/>
        <w:right w:val="none" w:sz="0" w:space="0" w:color="auto"/>
      </w:divBdr>
    </w:div>
    <w:div w:id="10886651">
      <w:bodyDiv w:val="1"/>
      <w:marLeft w:val="0"/>
      <w:marRight w:val="0"/>
      <w:marTop w:val="0"/>
      <w:marBottom w:val="0"/>
      <w:divBdr>
        <w:top w:val="none" w:sz="0" w:space="0" w:color="auto"/>
        <w:left w:val="none" w:sz="0" w:space="0" w:color="auto"/>
        <w:bottom w:val="none" w:sz="0" w:space="0" w:color="auto"/>
        <w:right w:val="none" w:sz="0" w:space="0" w:color="auto"/>
      </w:divBdr>
    </w:div>
    <w:div w:id="11150361">
      <w:bodyDiv w:val="1"/>
      <w:marLeft w:val="0"/>
      <w:marRight w:val="0"/>
      <w:marTop w:val="0"/>
      <w:marBottom w:val="0"/>
      <w:divBdr>
        <w:top w:val="none" w:sz="0" w:space="0" w:color="auto"/>
        <w:left w:val="none" w:sz="0" w:space="0" w:color="auto"/>
        <w:bottom w:val="none" w:sz="0" w:space="0" w:color="auto"/>
        <w:right w:val="none" w:sz="0" w:space="0" w:color="auto"/>
      </w:divBdr>
    </w:div>
    <w:div w:id="32847865">
      <w:bodyDiv w:val="1"/>
      <w:marLeft w:val="0"/>
      <w:marRight w:val="0"/>
      <w:marTop w:val="0"/>
      <w:marBottom w:val="0"/>
      <w:divBdr>
        <w:top w:val="none" w:sz="0" w:space="0" w:color="auto"/>
        <w:left w:val="none" w:sz="0" w:space="0" w:color="auto"/>
        <w:bottom w:val="none" w:sz="0" w:space="0" w:color="auto"/>
        <w:right w:val="none" w:sz="0" w:space="0" w:color="auto"/>
      </w:divBdr>
    </w:div>
    <w:div w:id="42406339">
      <w:bodyDiv w:val="1"/>
      <w:marLeft w:val="0"/>
      <w:marRight w:val="0"/>
      <w:marTop w:val="0"/>
      <w:marBottom w:val="0"/>
      <w:divBdr>
        <w:top w:val="none" w:sz="0" w:space="0" w:color="auto"/>
        <w:left w:val="none" w:sz="0" w:space="0" w:color="auto"/>
        <w:bottom w:val="none" w:sz="0" w:space="0" w:color="auto"/>
        <w:right w:val="none" w:sz="0" w:space="0" w:color="auto"/>
      </w:divBdr>
      <w:divsChild>
        <w:div w:id="1085616969">
          <w:marLeft w:val="0"/>
          <w:marRight w:val="0"/>
          <w:marTop w:val="83"/>
          <w:marBottom w:val="0"/>
          <w:divBdr>
            <w:top w:val="none" w:sz="0" w:space="0" w:color="auto"/>
            <w:left w:val="none" w:sz="0" w:space="0" w:color="auto"/>
            <w:bottom w:val="none" w:sz="0" w:space="0" w:color="auto"/>
            <w:right w:val="none" w:sz="0" w:space="0" w:color="auto"/>
          </w:divBdr>
          <w:divsChild>
            <w:div w:id="1392266764">
              <w:marLeft w:val="0"/>
              <w:marRight w:val="0"/>
              <w:marTop w:val="83"/>
              <w:marBottom w:val="0"/>
              <w:divBdr>
                <w:top w:val="none" w:sz="0" w:space="0" w:color="auto"/>
                <w:left w:val="none" w:sz="0" w:space="0" w:color="auto"/>
                <w:bottom w:val="none" w:sz="0" w:space="0" w:color="auto"/>
                <w:right w:val="none" w:sz="0" w:space="0" w:color="auto"/>
              </w:divBdr>
            </w:div>
            <w:div w:id="182107204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66003229">
      <w:bodyDiv w:val="1"/>
      <w:marLeft w:val="0"/>
      <w:marRight w:val="0"/>
      <w:marTop w:val="0"/>
      <w:marBottom w:val="0"/>
      <w:divBdr>
        <w:top w:val="none" w:sz="0" w:space="0" w:color="auto"/>
        <w:left w:val="none" w:sz="0" w:space="0" w:color="auto"/>
        <w:bottom w:val="none" w:sz="0" w:space="0" w:color="auto"/>
        <w:right w:val="none" w:sz="0" w:space="0" w:color="auto"/>
      </w:divBdr>
    </w:div>
    <w:div w:id="73472731">
      <w:bodyDiv w:val="1"/>
      <w:marLeft w:val="0"/>
      <w:marRight w:val="0"/>
      <w:marTop w:val="0"/>
      <w:marBottom w:val="0"/>
      <w:divBdr>
        <w:top w:val="none" w:sz="0" w:space="0" w:color="auto"/>
        <w:left w:val="none" w:sz="0" w:space="0" w:color="auto"/>
        <w:bottom w:val="none" w:sz="0" w:space="0" w:color="auto"/>
        <w:right w:val="none" w:sz="0" w:space="0" w:color="auto"/>
      </w:divBdr>
    </w:div>
    <w:div w:id="96483919">
      <w:bodyDiv w:val="1"/>
      <w:marLeft w:val="0"/>
      <w:marRight w:val="0"/>
      <w:marTop w:val="0"/>
      <w:marBottom w:val="0"/>
      <w:divBdr>
        <w:top w:val="none" w:sz="0" w:space="0" w:color="auto"/>
        <w:left w:val="none" w:sz="0" w:space="0" w:color="auto"/>
        <w:bottom w:val="none" w:sz="0" w:space="0" w:color="auto"/>
        <w:right w:val="none" w:sz="0" w:space="0" w:color="auto"/>
      </w:divBdr>
      <w:divsChild>
        <w:div w:id="1147476900">
          <w:marLeft w:val="0"/>
          <w:marRight w:val="0"/>
          <w:marTop w:val="0"/>
          <w:marBottom w:val="0"/>
          <w:divBdr>
            <w:top w:val="none" w:sz="0" w:space="0" w:color="auto"/>
            <w:left w:val="none" w:sz="0" w:space="0" w:color="auto"/>
            <w:bottom w:val="none" w:sz="0" w:space="0" w:color="auto"/>
            <w:right w:val="none" w:sz="0" w:space="0" w:color="auto"/>
          </w:divBdr>
          <w:divsChild>
            <w:div w:id="1063716439">
              <w:marLeft w:val="0"/>
              <w:marRight w:val="0"/>
              <w:marTop w:val="0"/>
              <w:marBottom w:val="0"/>
              <w:divBdr>
                <w:top w:val="none" w:sz="0" w:space="0" w:color="auto"/>
                <w:left w:val="none" w:sz="0" w:space="0" w:color="auto"/>
                <w:bottom w:val="none" w:sz="0" w:space="0" w:color="auto"/>
                <w:right w:val="none" w:sz="0" w:space="0" w:color="auto"/>
              </w:divBdr>
              <w:divsChild>
                <w:div w:id="3699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8233">
      <w:bodyDiv w:val="1"/>
      <w:marLeft w:val="0"/>
      <w:marRight w:val="0"/>
      <w:marTop w:val="0"/>
      <w:marBottom w:val="0"/>
      <w:divBdr>
        <w:top w:val="none" w:sz="0" w:space="0" w:color="auto"/>
        <w:left w:val="none" w:sz="0" w:space="0" w:color="auto"/>
        <w:bottom w:val="none" w:sz="0" w:space="0" w:color="auto"/>
        <w:right w:val="none" w:sz="0" w:space="0" w:color="auto"/>
      </w:divBdr>
    </w:div>
    <w:div w:id="105932311">
      <w:bodyDiv w:val="1"/>
      <w:marLeft w:val="0"/>
      <w:marRight w:val="0"/>
      <w:marTop w:val="0"/>
      <w:marBottom w:val="0"/>
      <w:divBdr>
        <w:top w:val="none" w:sz="0" w:space="0" w:color="auto"/>
        <w:left w:val="none" w:sz="0" w:space="0" w:color="auto"/>
        <w:bottom w:val="none" w:sz="0" w:space="0" w:color="auto"/>
        <w:right w:val="none" w:sz="0" w:space="0" w:color="auto"/>
      </w:divBdr>
    </w:div>
    <w:div w:id="125052739">
      <w:bodyDiv w:val="1"/>
      <w:marLeft w:val="0"/>
      <w:marRight w:val="0"/>
      <w:marTop w:val="0"/>
      <w:marBottom w:val="0"/>
      <w:divBdr>
        <w:top w:val="none" w:sz="0" w:space="0" w:color="auto"/>
        <w:left w:val="none" w:sz="0" w:space="0" w:color="auto"/>
        <w:bottom w:val="none" w:sz="0" w:space="0" w:color="auto"/>
        <w:right w:val="none" w:sz="0" w:space="0" w:color="auto"/>
      </w:divBdr>
    </w:div>
    <w:div w:id="133180384">
      <w:bodyDiv w:val="1"/>
      <w:marLeft w:val="0"/>
      <w:marRight w:val="0"/>
      <w:marTop w:val="0"/>
      <w:marBottom w:val="0"/>
      <w:divBdr>
        <w:top w:val="none" w:sz="0" w:space="0" w:color="auto"/>
        <w:left w:val="none" w:sz="0" w:space="0" w:color="auto"/>
        <w:bottom w:val="none" w:sz="0" w:space="0" w:color="auto"/>
        <w:right w:val="none" w:sz="0" w:space="0" w:color="auto"/>
      </w:divBdr>
    </w:div>
    <w:div w:id="143086192">
      <w:bodyDiv w:val="1"/>
      <w:marLeft w:val="0"/>
      <w:marRight w:val="0"/>
      <w:marTop w:val="0"/>
      <w:marBottom w:val="0"/>
      <w:divBdr>
        <w:top w:val="none" w:sz="0" w:space="0" w:color="auto"/>
        <w:left w:val="none" w:sz="0" w:space="0" w:color="auto"/>
        <w:bottom w:val="none" w:sz="0" w:space="0" w:color="auto"/>
        <w:right w:val="none" w:sz="0" w:space="0" w:color="auto"/>
      </w:divBdr>
    </w:div>
    <w:div w:id="158732794">
      <w:bodyDiv w:val="1"/>
      <w:marLeft w:val="0"/>
      <w:marRight w:val="0"/>
      <w:marTop w:val="0"/>
      <w:marBottom w:val="0"/>
      <w:divBdr>
        <w:top w:val="none" w:sz="0" w:space="0" w:color="auto"/>
        <w:left w:val="none" w:sz="0" w:space="0" w:color="auto"/>
        <w:bottom w:val="none" w:sz="0" w:space="0" w:color="auto"/>
        <w:right w:val="none" w:sz="0" w:space="0" w:color="auto"/>
      </w:divBdr>
    </w:div>
    <w:div w:id="164246888">
      <w:bodyDiv w:val="1"/>
      <w:marLeft w:val="0"/>
      <w:marRight w:val="0"/>
      <w:marTop w:val="0"/>
      <w:marBottom w:val="0"/>
      <w:divBdr>
        <w:top w:val="none" w:sz="0" w:space="0" w:color="auto"/>
        <w:left w:val="none" w:sz="0" w:space="0" w:color="auto"/>
        <w:bottom w:val="none" w:sz="0" w:space="0" w:color="auto"/>
        <w:right w:val="none" w:sz="0" w:space="0" w:color="auto"/>
      </w:divBdr>
    </w:div>
    <w:div w:id="181089160">
      <w:bodyDiv w:val="1"/>
      <w:marLeft w:val="0"/>
      <w:marRight w:val="0"/>
      <w:marTop w:val="0"/>
      <w:marBottom w:val="0"/>
      <w:divBdr>
        <w:top w:val="none" w:sz="0" w:space="0" w:color="auto"/>
        <w:left w:val="none" w:sz="0" w:space="0" w:color="auto"/>
        <w:bottom w:val="none" w:sz="0" w:space="0" w:color="auto"/>
        <w:right w:val="none" w:sz="0" w:space="0" w:color="auto"/>
      </w:divBdr>
    </w:div>
    <w:div w:id="187454080">
      <w:bodyDiv w:val="1"/>
      <w:marLeft w:val="0"/>
      <w:marRight w:val="0"/>
      <w:marTop w:val="0"/>
      <w:marBottom w:val="0"/>
      <w:divBdr>
        <w:top w:val="none" w:sz="0" w:space="0" w:color="auto"/>
        <w:left w:val="none" w:sz="0" w:space="0" w:color="auto"/>
        <w:bottom w:val="none" w:sz="0" w:space="0" w:color="auto"/>
        <w:right w:val="none" w:sz="0" w:space="0" w:color="auto"/>
      </w:divBdr>
      <w:divsChild>
        <w:div w:id="1711954020">
          <w:marLeft w:val="0"/>
          <w:marRight w:val="0"/>
          <w:marTop w:val="83"/>
          <w:marBottom w:val="0"/>
          <w:divBdr>
            <w:top w:val="none" w:sz="0" w:space="0" w:color="auto"/>
            <w:left w:val="none" w:sz="0" w:space="0" w:color="auto"/>
            <w:bottom w:val="none" w:sz="0" w:space="0" w:color="auto"/>
            <w:right w:val="none" w:sz="0" w:space="0" w:color="auto"/>
          </w:divBdr>
          <w:divsChild>
            <w:div w:id="240914330">
              <w:marLeft w:val="0"/>
              <w:marRight w:val="0"/>
              <w:marTop w:val="83"/>
              <w:marBottom w:val="0"/>
              <w:divBdr>
                <w:top w:val="none" w:sz="0" w:space="0" w:color="auto"/>
                <w:left w:val="none" w:sz="0" w:space="0" w:color="auto"/>
                <w:bottom w:val="none" w:sz="0" w:space="0" w:color="auto"/>
                <w:right w:val="none" w:sz="0" w:space="0" w:color="auto"/>
              </w:divBdr>
            </w:div>
            <w:div w:id="61448305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98318123">
      <w:bodyDiv w:val="1"/>
      <w:marLeft w:val="0"/>
      <w:marRight w:val="0"/>
      <w:marTop w:val="0"/>
      <w:marBottom w:val="0"/>
      <w:divBdr>
        <w:top w:val="none" w:sz="0" w:space="0" w:color="auto"/>
        <w:left w:val="none" w:sz="0" w:space="0" w:color="auto"/>
        <w:bottom w:val="none" w:sz="0" w:space="0" w:color="auto"/>
        <w:right w:val="none" w:sz="0" w:space="0" w:color="auto"/>
      </w:divBdr>
    </w:div>
    <w:div w:id="207570177">
      <w:bodyDiv w:val="1"/>
      <w:marLeft w:val="0"/>
      <w:marRight w:val="0"/>
      <w:marTop w:val="0"/>
      <w:marBottom w:val="0"/>
      <w:divBdr>
        <w:top w:val="none" w:sz="0" w:space="0" w:color="auto"/>
        <w:left w:val="none" w:sz="0" w:space="0" w:color="auto"/>
        <w:bottom w:val="none" w:sz="0" w:space="0" w:color="auto"/>
        <w:right w:val="none" w:sz="0" w:space="0" w:color="auto"/>
      </w:divBdr>
    </w:div>
    <w:div w:id="216400345">
      <w:bodyDiv w:val="1"/>
      <w:marLeft w:val="0"/>
      <w:marRight w:val="0"/>
      <w:marTop w:val="0"/>
      <w:marBottom w:val="0"/>
      <w:divBdr>
        <w:top w:val="none" w:sz="0" w:space="0" w:color="auto"/>
        <w:left w:val="none" w:sz="0" w:space="0" w:color="auto"/>
        <w:bottom w:val="none" w:sz="0" w:space="0" w:color="auto"/>
        <w:right w:val="none" w:sz="0" w:space="0" w:color="auto"/>
      </w:divBdr>
    </w:div>
    <w:div w:id="217084680">
      <w:bodyDiv w:val="1"/>
      <w:marLeft w:val="0"/>
      <w:marRight w:val="0"/>
      <w:marTop w:val="0"/>
      <w:marBottom w:val="0"/>
      <w:divBdr>
        <w:top w:val="none" w:sz="0" w:space="0" w:color="auto"/>
        <w:left w:val="none" w:sz="0" w:space="0" w:color="auto"/>
        <w:bottom w:val="none" w:sz="0" w:space="0" w:color="auto"/>
        <w:right w:val="none" w:sz="0" w:space="0" w:color="auto"/>
      </w:divBdr>
    </w:div>
    <w:div w:id="231085999">
      <w:bodyDiv w:val="1"/>
      <w:marLeft w:val="0"/>
      <w:marRight w:val="0"/>
      <w:marTop w:val="0"/>
      <w:marBottom w:val="0"/>
      <w:divBdr>
        <w:top w:val="none" w:sz="0" w:space="0" w:color="auto"/>
        <w:left w:val="none" w:sz="0" w:space="0" w:color="auto"/>
        <w:bottom w:val="none" w:sz="0" w:space="0" w:color="auto"/>
        <w:right w:val="none" w:sz="0" w:space="0" w:color="auto"/>
      </w:divBdr>
    </w:div>
    <w:div w:id="246614332">
      <w:bodyDiv w:val="1"/>
      <w:marLeft w:val="0"/>
      <w:marRight w:val="0"/>
      <w:marTop w:val="0"/>
      <w:marBottom w:val="0"/>
      <w:divBdr>
        <w:top w:val="none" w:sz="0" w:space="0" w:color="auto"/>
        <w:left w:val="none" w:sz="0" w:space="0" w:color="auto"/>
        <w:bottom w:val="none" w:sz="0" w:space="0" w:color="auto"/>
        <w:right w:val="none" w:sz="0" w:space="0" w:color="auto"/>
      </w:divBdr>
    </w:div>
    <w:div w:id="256720453">
      <w:bodyDiv w:val="1"/>
      <w:marLeft w:val="0"/>
      <w:marRight w:val="0"/>
      <w:marTop w:val="0"/>
      <w:marBottom w:val="0"/>
      <w:divBdr>
        <w:top w:val="none" w:sz="0" w:space="0" w:color="auto"/>
        <w:left w:val="none" w:sz="0" w:space="0" w:color="auto"/>
        <w:bottom w:val="none" w:sz="0" w:space="0" w:color="auto"/>
        <w:right w:val="none" w:sz="0" w:space="0" w:color="auto"/>
      </w:divBdr>
    </w:div>
    <w:div w:id="264920339">
      <w:bodyDiv w:val="1"/>
      <w:marLeft w:val="0"/>
      <w:marRight w:val="0"/>
      <w:marTop w:val="0"/>
      <w:marBottom w:val="0"/>
      <w:divBdr>
        <w:top w:val="none" w:sz="0" w:space="0" w:color="auto"/>
        <w:left w:val="none" w:sz="0" w:space="0" w:color="auto"/>
        <w:bottom w:val="none" w:sz="0" w:space="0" w:color="auto"/>
        <w:right w:val="none" w:sz="0" w:space="0" w:color="auto"/>
      </w:divBdr>
    </w:div>
    <w:div w:id="278530967">
      <w:bodyDiv w:val="1"/>
      <w:marLeft w:val="0"/>
      <w:marRight w:val="0"/>
      <w:marTop w:val="0"/>
      <w:marBottom w:val="0"/>
      <w:divBdr>
        <w:top w:val="none" w:sz="0" w:space="0" w:color="auto"/>
        <w:left w:val="none" w:sz="0" w:space="0" w:color="auto"/>
        <w:bottom w:val="none" w:sz="0" w:space="0" w:color="auto"/>
        <w:right w:val="none" w:sz="0" w:space="0" w:color="auto"/>
      </w:divBdr>
    </w:div>
    <w:div w:id="282808682">
      <w:bodyDiv w:val="1"/>
      <w:marLeft w:val="0"/>
      <w:marRight w:val="0"/>
      <w:marTop w:val="0"/>
      <w:marBottom w:val="0"/>
      <w:divBdr>
        <w:top w:val="none" w:sz="0" w:space="0" w:color="auto"/>
        <w:left w:val="none" w:sz="0" w:space="0" w:color="auto"/>
        <w:bottom w:val="none" w:sz="0" w:space="0" w:color="auto"/>
        <w:right w:val="none" w:sz="0" w:space="0" w:color="auto"/>
      </w:divBdr>
    </w:div>
    <w:div w:id="284577791">
      <w:bodyDiv w:val="1"/>
      <w:marLeft w:val="0"/>
      <w:marRight w:val="0"/>
      <w:marTop w:val="0"/>
      <w:marBottom w:val="0"/>
      <w:divBdr>
        <w:top w:val="none" w:sz="0" w:space="0" w:color="auto"/>
        <w:left w:val="none" w:sz="0" w:space="0" w:color="auto"/>
        <w:bottom w:val="none" w:sz="0" w:space="0" w:color="auto"/>
        <w:right w:val="none" w:sz="0" w:space="0" w:color="auto"/>
      </w:divBdr>
    </w:div>
    <w:div w:id="285620622">
      <w:bodyDiv w:val="1"/>
      <w:marLeft w:val="0"/>
      <w:marRight w:val="0"/>
      <w:marTop w:val="0"/>
      <w:marBottom w:val="0"/>
      <w:divBdr>
        <w:top w:val="none" w:sz="0" w:space="0" w:color="auto"/>
        <w:left w:val="none" w:sz="0" w:space="0" w:color="auto"/>
        <w:bottom w:val="none" w:sz="0" w:space="0" w:color="auto"/>
        <w:right w:val="none" w:sz="0" w:space="0" w:color="auto"/>
      </w:divBdr>
    </w:div>
    <w:div w:id="291715484">
      <w:bodyDiv w:val="1"/>
      <w:marLeft w:val="0"/>
      <w:marRight w:val="0"/>
      <w:marTop w:val="0"/>
      <w:marBottom w:val="0"/>
      <w:divBdr>
        <w:top w:val="none" w:sz="0" w:space="0" w:color="auto"/>
        <w:left w:val="none" w:sz="0" w:space="0" w:color="auto"/>
        <w:bottom w:val="none" w:sz="0" w:space="0" w:color="auto"/>
        <w:right w:val="none" w:sz="0" w:space="0" w:color="auto"/>
      </w:divBdr>
    </w:div>
    <w:div w:id="293485315">
      <w:bodyDiv w:val="1"/>
      <w:marLeft w:val="0"/>
      <w:marRight w:val="0"/>
      <w:marTop w:val="0"/>
      <w:marBottom w:val="0"/>
      <w:divBdr>
        <w:top w:val="none" w:sz="0" w:space="0" w:color="auto"/>
        <w:left w:val="none" w:sz="0" w:space="0" w:color="auto"/>
        <w:bottom w:val="none" w:sz="0" w:space="0" w:color="auto"/>
        <w:right w:val="none" w:sz="0" w:space="0" w:color="auto"/>
      </w:divBdr>
    </w:div>
    <w:div w:id="295109140">
      <w:bodyDiv w:val="1"/>
      <w:marLeft w:val="0"/>
      <w:marRight w:val="0"/>
      <w:marTop w:val="0"/>
      <w:marBottom w:val="0"/>
      <w:divBdr>
        <w:top w:val="none" w:sz="0" w:space="0" w:color="auto"/>
        <w:left w:val="none" w:sz="0" w:space="0" w:color="auto"/>
        <w:bottom w:val="none" w:sz="0" w:space="0" w:color="auto"/>
        <w:right w:val="none" w:sz="0" w:space="0" w:color="auto"/>
      </w:divBdr>
    </w:div>
    <w:div w:id="299848334">
      <w:bodyDiv w:val="1"/>
      <w:marLeft w:val="0"/>
      <w:marRight w:val="0"/>
      <w:marTop w:val="0"/>
      <w:marBottom w:val="0"/>
      <w:divBdr>
        <w:top w:val="none" w:sz="0" w:space="0" w:color="auto"/>
        <w:left w:val="none" w:sz="0" w:space="0" w:color="auto"/>
        <w:bottom w:val="none" w:sz="0" w:space="0" w:color="auto"/>
        <w:right w:val="none" w:sz="0" w:space="0" w:color="auto"/>
      </w:divBdr>
    </w:div>
    <w:div w:id="300577938">
      <w:bodyDiv w:val="1"/>
      <w:marLeft w:val="0"/>
      <w:marRight w:val="0"/>
      <w:marTop w:val="0"/>
      <w:marBottom w:val="0"/>
      <w:divBdr>
        <w:top w:val="none" w:sz="0" w:space="0" w:color="auto"/>
        <w:left w:val="none" w:sz="0" w:space="0" w:color="auto"/>
        <w:bottom w:val="none" w:sz="0" w:space="0" w:color="auto"/>
        <w:right w:val="none" w:sz="0" w:space="0" w:color="auto"/>
      </w:divBdr>
    </w:div>
    <w:div w:id="315306083">
      <w:bodyDiv w:val="1"/>
      <w:marLeft w:val="0"/>
      <w:marRight w:val="0"/>
      <w:marTop w:val="0"/>
      <w:marBottom w:val="0"/>
      <w:divBdr>
        <w:top w:val="none" w:sz="0" w:space="0" w:color="auto"/>
        <w:left w:val="none" w:sz="0" w:space="0" w:color="auto"/>
        <w:bottom w:val="none" w:sz="0" w:space="0" w:color="auto"/>
        <w:right w:val="none" w:sz="0" w:space="0" w:color="auto"/>
      </w:divBdr>
    </w:div>
    <w:div w:id="324286713">
      <w:bodyDiv w:val="1"/>
      <w:marLeft w:val="0"/>
      <w:marRight w:val="0"/>
      <w:marTop w:val="0"/>
      <w:marBottom w:val="0"/>
      <w:divBdr>
        <w:top w:val="none" w:sz="0" w:space="0" w:color="auto"/>
        <w:left w:val="none" w:sz="0" w:space="0" w:color="auto"/>
        <w:bottom w:val="none" w:sz="0" w:space="0" w:color="auto"/>
        <w:right w:val="none" w:sz="0" w:space="0" w:color="auto"/>
      </w:divBdr>
    </w:div>
    <w:div w:id="328021423">
      <w:bodyDiv w:val="1"/>
      <w:marLeft w:val="0"/>
      <w:marRight w:val="0"/>
      <w:marTop w:val="0"/>
      <w:marBottom w:val="0"/>
      <w:divBdr>
        <w:top w:val="none" w:sz="0" w:space="0" w:color="auto"/>
        <w:left w:val="none" w:sz="0" w:space="0" w:color="auto"/>
        <w:bottom w:val="none" w:sz="0" w:space="0" w:color="auto"/>
        <w:right w:val="none" w:sz="0" w:space="0" w:color="auto"/>
      </w:divBdr>
    </w:div>
    <w:div w:id="351960832">
      <w:bodyDiv w:val="1"/>
      <w:marLeft w:val="0"/>
      <w:marRight w:val="0"/>
      <w:marTop w:val="0"/>
      <w:marBottom w:val="0"/>
      <w:divBdr>
        <w:top w:val="none" w:sz="0" w:space="0" w:color="auto"/>
        <w:left w:val="none" w:sz="0" w:space="0" w:color="auto"/>
        <w:bottom w:val="none" w:sz="0" w:space="0" w:color="auto"/>
        <w:right w:val="none" w:sz="0" w:space="0" w:color="auto"/>
      </w:divBdr>
    </w:div>
    <w:div w:id="370693919">
      <w:bodyDiv w:val="1"/>
      <w:marLeft w:val="0"/>
      <w:marRight w:val="0"/>
      <w:marTop w:val="0"/>
      <w:marBottom w:val="0"/>
      <w:divBdr>
        <w:top w:val="none" w:sz="0" w:space="0" w:color="auto"/>
        <w:left w:val="none" w:sz="0" w:space="0" w:color="auto"/>
        <w:bottom w:val="none" w:sz="0" w:space="0" w:color="auto"/>
        <w:right w:val="none" w:sz="0" w:space="0" w:color="auto"/>
      </w:divBdr>
    </w:div>
    <w:div w:id="374626814">
      <w:bodyDiv w:val="1"/>
      <w:marLeft w:val="0"/>
      <w:marRight w:val="0"/>
      <w:marTop w:val="0"/>
      <w:marBottom w:val="0"/>
      <w:divBdr>
        <w:top w:val="none" w:sz="0" w:space="0" w:color="auto"/>
        <w:left w:val="none" w:sz="0" w:space="0" w:color="auto"/>
        <w:bottom w:val="none" w:sz="0" w:space="0" w:color="auto"/>
        <w:right w:val="none" w:sz="0" w:space="0" w:color="auto"/>
      </w:divBdr>
    </w:div>
    <w:div w:id="401022122">
      <w:bodyDiv w:val="1"/>
      <w:marLeft w:val="0"/>
      <w:marRight w:val="0"/>
      <w:marTop w:val="0"/>
      <w:marBottom w:val="0"/>
      <w:divBdr>
        <w:top w:val="none" w:sz="0" w:space="0" w:color="auto"/>
        <w:left w:val="none" w:sz="0" w:space="0" w:color="auto"/>
        <w:bottom w:val="none" w:sz="0" w:space="0" w:color="auto"/>
        <w:right w:val="none" w:sz="0" w:space="0" w:color="auto"/>
      </w:divBdr>
    </w:div>
    <w:div w:id="401492964">
      <w:bodyDiv w:val="1"/>
      <w:marLeft w:val="0"/>
      <w:marRight w:val="0"/>
      <w:marTop w:val="0"/>
      <w:marBottom w:val="0"/>
      <w:divBdr>
        <w:top w:val="none" w:sz="0" w:space="0" w:color="auto"/>
        <w:left w:val="none" w:sz="0" w:space="0" w:color="auto"/>
        <w:bottom w:val="none" w:sz="0" w:space="0" w:color="auto"/>
        <w:right w:val="none" w:sz="0" w:space="0" w:color="auto"/>
      </w:divBdr>
    </w:div>
    <w:div w:id="415323220">
      <w:bodyDiv w:val="1"/>
      <w:marLeft w:val="0"/>
      <w:marRight w:val="0"/>
      <w:marTop w:val="0"/>
      <w:marBottom w:val="0"/>
      <w:divBdr>
        <w:top w:val="none" w:sz="0" w:space="0" w:color="auto"/>
        <w:left w:val="none" w:sz="0" w:space="0" w:color="auto"/>
        <w:bottom w:val="none" w:sz="0" w:space="0" w:color="auto"/>
        <w:right w:val="none" w:sz="0" w:space="0" w:color="auto"/>
      </w:divBdr>
    </w:div>
    <w:div w:id="420105750">
      <w:bodyDiv w:val="1"/>
      <w:marLeft w:val="0"/>
      <w:marRight w:val="0"/>
      <w:marTop w:val="0"/>
      <w:marBottom w:val="0"/>
      <w:divBdr>
        <w:top w:val="none" w:sz="0" w:space="0" w:color="auto"/>
        <w:left w:val="none" w:sz="0" w:space="0" w:color="auto"/>
        <w:bottom w:val="none" w:sz="0" w:space="0" w:color="auto"/>
        <w:right w:val="none" w:sz="0" w:space="0" w:color="auto"/>
      </w:divBdr>
    </w:div>
    <w:div w:id="436023837">
      <w:bodyDiv w:val="1"/>
      <w:marLeft w:val="0"/>
      <w:marRight w:val="0"/>
      <w:marTop w:val="0"/>
      <w:marBottom w:val="0"/>
      <w:divBdr>
        <w:top w:val="none" w:sz="0" w:space="0" w:color="auto"/>
        <w:left w:val="none" w:sz="0" w:space="0" w:color="auto"/>
        <w:bottom w:val="none" w:sz="0" w:space="0" w:color="auto"/>
        <w:right w:val="none" w:sz="0" w:space="0" w:color="auto"/>
      </w:divBdr>
    </w:div>
    <w:div w:id="437718160">
      <w:bodyDiv w:val="1"/>
      <w:marLeft w:val="0"/>
      <w:marRight w:val="0"/>
      <w:marTop w:val="0"/>
      <w:marBottom w:val="0"/>
      <w:divBdr>
        <w:top w:val="none" w:sz="0" w:space="0" w:color="auto"/>
        <w:left w:val="none" w:sz="0" w:space="0" w:color="auto"/>
        <w:bottom w:val="none" w:sz="0" w:space="0" w:color="auto"/>
        <w:right w:val="none" w:sz="0" w:space="0" w:color="auto"/>
      </w:divBdr>
    </w:div>
    <w:div w:id="449127775">
      <w:bodyDiv w:val="1"/>
      <w:marLeft w:val="0"/>
      <w:marRight w:val="0"/>
      <w:marTop w:val="0"/>
      <w:marBottom w:val="0"/>
      <w:divBdr>
        <w:top w:val="none" w:sz="0" w:space="0" w:color="auto"/>
        <w:left w:val="none" w:sz="0" w:space="0" w:color="auto"/>
        <w:bottom w:val="none" w:sz="0" w:space="0" w:color="auto"/>
        <w:right w:val="none" w:sz="0" w:space="0" w:color="auto"/>
      </w:divBdr>
    </w:div>
    <w:div w:id="452676733">
      <w:bodyDiv w:val="1"/>
      <w:marLeft w:val="0"/>
      <w:marRight w:val="0"/>
      <w:marTop w:val="0"/>
      <w:marBottom w:val="0"/>
      <w:divBdr>
        <w:top w:val="none" w:sz="0" w:space="0" w:color="auto"/>
        <w:left w:val="none" w:sz="0" w:space="0" w:color="auto"/>
        <w:bottom w:val="none" w:sz="0" w:space="0" w:color="auto"/>
        <w:right w:val="none" w:sz="0" w:space="0" w:color="auto"/>
      </w:divBdr>
    </w:div>
    <w:div w:id="455834361">
      <w:bodyDiv w:val="1"/>
      <w:marLeft w:val="0"/>
      <w:marRight w:val="0"/>
      <w:marTop w:val="0"/>
      <w:marBottom w:val="0"/>
      <w:divBdr>
        <w:top w:val="none" w:sz="0" w:space="0" w:color="auto"/>
        <w:left w:val="none" w:sz="0" w:space="0" w:color="auto"/>
        <w:bottom w:val="none" w:sz="0" w:space="0" w:color="auto"/>
        <w:right w:val="none" w:sz="0" w:space="0" w:color="auto"/>
      </w:divBdr>
    </w:div>
    <w:div w:id="469324939">
      <w:bodyDiv w:val="1"/>
      <w:marLeft w:val="0"/>
      <w:marRight w:val="0"/>
      <w:marTop w:val="0"/>
      <w:marBottom w:val="0"/>
      <w:divBdr>
        <w:top w:val="none" w:sz="0" w:space="0" w:color="auto"/>
        <w:left w:val="none" w:sz="0" w:space="0" w:color="auto"/>
        <w:bottom w:val="none" w:sz="0" w:space="0" w:color="auto"/>
        <w:right w:val="none" w:sz="0" w:space="0" w:color="auto"/>
      </w:divBdr>
    </w:div>
    <w:div w:id="475143546">
      <w:bodyDiv w:val="1"/>
      <w:marLeft w:val="0"/>
      <w:marRight w:val="0"/>
      <w:marTop w:val="0"/>
      <w:marBottom w:val="0"/>
      <w:divBdr>
        <w:top w:val="none" w:sz="0" w:space="0" w:color="auto"/>
        <w:left w:val="none" w:sz="0" w:space="0" w:color="auto"/>
        <w:bottom w:val="none" w:sz="0" w:space="0" w:color="auto"/>
        <w:right w:val="none" w:sz="0" w:space="0" w:color="auto"/>
      </w:divBdr>
    </w:div>
    <w:div w:id="479421817">
      <w:bodyDiv w:val="1"/>
      <w:marLeft w:val="0"/>
      <w:marRight w:val="0"/>
      <w:marTop w:val="0"/>
      <w:marBottom w:val="0"/>
      <w:divBdr>
        <w:top w:val="none" w:sz="0" w:space="0" w:color="auto"/>
        <w:left w:val="none" w:sz="0" w:space="0" w:color="auto"/>
        <w:bottom w:val="none" w:sz="0" w:space="0" w:color="auto"/>
        <w:right w:val="none" w:sz="0" w:space="0" w:color="auto"/>
      </w:divBdr>
    </w:div>
    <w:div w:id="484778428">
      <w:bodyDiv w:val="1"/>
      <w:marLeft w:val="0"/>
      <w:marRight w:val="0"/>
      <w:marTop w:val="0"/>
      <w:marBottom w:val="0"/>
      <w:divBdr>
        <w:top w:val="none" w:sz="0" w:space="0" w:color="auto"/>
        <w:left w:val="none" w:sz="0" w:space="0" w:color="auto"/>
        <w:bottom w:val="none" w:sz="0" w:space="0" w:color="auto"/>
        <w:right w:val="none" w:sz="0" w:space="0" w:color="auto"/>
      </w:divBdr>
    </w:div>
    <w:div w:id="489564402">
      <w:bodyDiv w:val="1"/>
      <w:marLeft w:val="0"/>
      <w:marRight w:val="0"/>
      <w:marTop w:val="0"/>
      <w:marBottom w:val="0"/>
      <w:divBdr>
        <w:top w:val="none" w:sz="0" w:space="0" w:color="auto"/>
        <w:left w:val="none" w:sz="0" w:space="0" w:color="auto"/>
        <w:bottom w:val="none" w:sz="0" w:space="0" w:color="auto"/>
        <w:right w:val="none" w:sz="0" w:space="0" w:color="auto"/>
      </w:divBdr>
    </w:div>
    <w:div w:id="523708353">
      <w:bodyDiv w:val="1"/>
      <w:marLeft w:val="0"/>
      <w:marRight w:val="0"/>
      <w:marTop w:val="0"/>
      <w:marBottom w:val="0"/>
      <w:divBdr>
        <w:top w:val="none" w:sz="0" w:space="0" w:color="auto"/>
        <w:left w:val="none" w:sz="0" w:space="0" w:color="auto"/>
        <w:bottom w:val="none" w:sz="0" w:space="0" w:color="auto"/>
        <w:right w:val="none" w:sz="0" w:space="0" w:color="auto"/>
      </w:divBdr>
    </w:div>
    <w:div w:id="536892543">
      <w:bodyDiv w:val="1"/>
      <w:marLeft w:val="0"/>
      <w:marRight w:val="0"/>
      <w:marTop w:val="0"/>
      <w:marBottom w:val="0"/>
      <w:divBdr>
        <w:top w:val="none" w:sz="0" w:space="0" w:color="auto"/>
        <w:left w:val="none" w:sz="0" w:space="0" w:color="auto"/>
        <w:bottom w:val="none" w:sz="0" w:space="0" w:color="auto"/>
        <w:right w:val="none" w:sz="0" w:space="0" w:color="auto"/>
      </w:divBdr>
    </w:div>
    <w:div w:id="537278913">
      <w:bodyDiv w:val="1"/>
      <w:marLeft w:val="0"/>
      <w:marRight w:val="0"/>
      <w:marTop w:val="0"/>
      <w:marBottom w:val="0"/>
      <w:divBdr>
        <w:top w:val="none" w:sz="0" w:space="0" w:color="auto"/>
        <w:left w:val="none" w:sz="0" w:space="0" w:color="auto"/>
        <w:bottom w:val="none" w:sz="0" w:space="0" w:color="auto"/>
        <w:right w:val="none" w:sz="0" w:space="0" w:color="auto"/>
      </w:divBdr>
    </w:div>
    <w:div w:id="538054325">
      <w:bodyDiv w:val="1"/>
      <w:marLeft w:val="0"/>
      <w:marRight w:val="0"/>
      <w:marTop w:val="0"/>
      <w:marBottom w:val="0"/>
      <w:divBdr>
        <w:top w:val="none" w:sz="0" w:space="0" w:color="auto"/>
        <w:left w:val="none" w:sz="0" w:space="0" w:color="auto"/>
        <w:bottom w:val="none" w:sz="0" w:space="0" w:color="auto"/>
        <w:right w:val="none" w:sz="0" w:space="0" w:color="auto"/>
      </w:divBdr>
      <w:divsChild>
        <w:div w:id="1938951009">
          <w:marLeft w:val="0"/>
          <w:marRight w:val="0"/>
          <w:marTop w:val="0"/>
          <w:marBottom w:val="0"/>
          <w:divBdr>
            <w:top w:val="none" w:sz="0" w:space="0" w:color="auto"/>
            <w:left w:val="none" w:sz="0" w:space="0" w:color="auto"/>
            <w:bottom w:val="none" w:sz="0" w:space="0" w:color="auto"/>
            <w:right w:val="none" w:sz="0" w:space="0" w:color="auto"/>
          </w:divBdr>
          <w:divsChild>
            <w:div w:id="1556623900">
              <w:marLeft w:val="0"/>
              <w:marRight w:val="0"/>
              <w:marTop w:val="0"/>
              <w:marBottom w:val="0"/>
              <w:divBdr>
                <w:top w:val="none" w:sz="0" w:space="0" w:color="auto"/>
                <w:left w:val="none" w:sz="0" w:space="0" w:color="auto"/>
                <w:bottom w:val="none" w:sz="0" w:space="0" w:color="auto"/>
                <w:right w:val="none" w:sz="0" w:space="0" w:color="auto"/>
              </w:divBdr>
              <w:divsChild>
                <w:div w:id="196333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02708">
      <w:bodyDiv w:val="1"/>
      <w:marLeft w:val="0"/>
      <w:marRight w:val="0"/>
      <w:marTop w:val="0"/>
      <w:marBottom w:val="0"/>
      <w:divBdr>
        <w:top w:val="none" w:sz="0" w:space="0" w:color="auto"/>
        <w:left w:val="none" w:sz="0" w:space="0" w:color="auto"/>
        <w:bottom w:val="none" w:sz="0" w:space="0" w:color="auto"/>
        <w:right w:val="none" w:sz="0" w:space="0" w:color="auto"/>
      </w:divBdr>
    </w:div>
    <w:div w:id="541789679">
      <w:bodyDiv w:val="1"/>
      <w:marLeft w:val="0"/>
      <w:marRight w:val="0"/>
      <w:marTop w:val="0"/>
      <w:marBottom w:val="0"/>
      <w:divBdr>
        <w:top w:val="none" w:sz="0" w:space="0" w:color="auto"/>
        <w:left w:val="none" w:sz="0" w:space="0" w:color="auto"/>
        <w:bottom w:val="none" w:sz="0" w:space="0" w:color="auto"/>
        <w:right w:val="none" w:sz="0" w:space="0" w:color="auto"/>
      </w:divBdr>
    </w:div>
    <w:div w:id="541987591">
      <w:bodyDiv w:val="1"/>
      <w:marLeft w:val="0"/>
      <w:marRight w:val="0"/>
      <w:marTop w:val="0"/>
      <w:marBottom w:val="0"/>
      <w:divBdr>
        <w:top w:val="none" w:sz="0" w:space="0" w:color="auto"/>
        <w:left w:val="none" w:sz="0" w:space="0" w:color="auto"/>
        <w:bottom w:val="none" w:sz="0" w:space="0" w:color="auto"/>
        <w:right w:val="none" w:sz="0" w:space="0" w:color="auto"/>
      </w:divBdr>
    </w:div>
    <w:div w:id="544413695">
      <w:bodyDiv w:val="1"/>
      <w:marLeft w:val="0"/>
      <w:marRight w:val="0"/>
      <w:marTop w:val="0"/>
      <w:marBottom w:val="0"/>
      <w:divBdr>
        <w:top w:val="none" w:sz="0" w:space="0" w:color="auto"/>
        <w:left w:val="none" w:sz="0" w:space="0" w:color="auto"/>
        <w:bottom w:val="none" w:sz="0" w:space="0" w:color="auto"/>
        <w:right w:val="none" w:sz="0" w:space="0" w:color="auto"/>
      </w:divBdr>
    </w:div>
    <w:div w:id="550045732">
      <w:bodyDiv w:val="1"/>
      <w:marLeft w:val="0"/>
      <w:marRight w:val="0"/>
      <w:marTop w:val="0"/>
      <w:marBottom w:val="0"/>
      <w:divBdr>
        <w:top w:val="none" w:sz="0" w:space="0" w:color="auto"/>
        <w:left w:val="none" w:sz="0" w:space="0" w:color="auto"/>
        <w:bottom w:val="none" w:sz="0" w:space="0" w:color="auto"/>
        <w:right w:val="none" w:sz="0" w:space="0" w:color="auto"/>
      </w:divBdr>
      <w:divsChild>
        <w:div w:id="127171281">
          <w:marLeft w:val="0"/>
          <w:marRight w:val="0"/>
          <w:marTop w:val="0"/>
          <w:marBottom w:val="0"/>
          <w:divBdr>
            <w:top w:val="none" w:sz="0" w:space="0" w:color="auto"/>
            <w:left w:val="none" w:sz="0" w:space="0" w:color="auto"/>
            <w:bottom w:val="none" w:sz="0" w:space="0" w:color="auto"/>
            <w:right w:val="none" w:sz="0" w:space="0" w:color="auto"/>
          </w:divBdr>
        </w:div>
        <w:div w:id="1336834601">
          <w:marLeft w:val="0"/>
          <w:marRight w:val="0"/>
          <w:marTop w:val="0"/>
          <w:marBottom w:val="0"/>
          <w:divBdr>
            <w:top w:val="none" w:sz="0" w:space="0" w:color="auto"/>
            <w:left w:val="none" w:sz="0" w:space="0" w:color="auto"/>
            <w:bottom w:val="none" w:sz="0" w:space="0" w:color="auto"/>
            <w:right w:val="none" w:sz="0" w:space="0" w:color="auto"/>
          </w:divBdr>
        </w:div>
      </w:divsChild>
    </w:div>
    <w:div w:id="575164499">
      <w:bodyDiv w:val="1"/>
      <w:marLeft w:val="0"/>
      <w:marRight w:val="0"/>
      <w:marTop w:val="0"/>
      <w:marBottom w:val="0"/>
      <w:divBdr>
        <w:top w:val="none" w:sz="0" w:space="0" w:color="auto"/>
        <w:left w:val="none" w:sz="0" w:space="0" w:color="auto"/>
        <w:bottom w:val="none" w:sz="0" w:space="0" w:color="auto"/>
        <w:right w:val="none" w:sz="0" w:space="0" w:color="auto"/>
      </w:divBdr>
    </w:div>
    <w:div w:id="579098312">
      <w:bodyDiv w:val="1"/>
      <w:marLeft w:val="0"/>
      <w:marRight w:val="0"/>
      <w:marTop w:val="0"/>
      <w:marBottom w:val="0"/>
      <w:divBdr>
        <w:top w:val="none" w:sz="0" w:space="0" w:color="auto"/>
        <w:left w:val="none" w:sz="0" w:space="0" w:color="auto"/>
        <w:bottom w:val="none" w:sz="0" w:space="0" w:color="auto"/>
        <w:right w:val="none" w:sz="0" w:space="0" w:color="auto"/>
      </w:divBdr>
    </w:div>
    <w:div w:id="587085345">
      <w:bodyDiv w:val="1"/>
      <w:marLeft w:val="0"/>
      <w:marRight w:val="0"/>
      <w:marTop w:val="0"/>
      <w:marBottom w:val="0"/>
      <w:divBdr>
        <w:top w:val="none" w:sz="0" w:space="0" w:color="auto"/>
        <w:left w:val="none" w:sz="0" w:space="0" w:color="auto"/>
        <w:bottom w:val="none" w:sz="0" w:space="0" w:color="auto"/>
        <w:right w:val="none" w:sz="0" w:space="0" w:color="auto"/>
      </w:divBdr>
    </w:div>
    <w:div w:id="591741522">
      <w:bodyDiv w:val="1"/>
      <w:marLeft w:val="0"/>
      <w:marRight w:val="0"/>
      <w:marTop w:val="0"/>
      <w:marBottom w:val="0"/>
      <w:divBdr>
        <w:top w:val="none" w:sz="0" w:space="0" w:color="auto"/>
        <w:left w:val="none" w:sz="0" w:space="0" w:color="auto"/>
        <w:bottom w:val="none" w:sz="0" w:space="0" w:color="auto"/>
        <w:right w:val="none" w:sz="0" w:space="0" w:color="auto"/>
      </w:divBdr>
    </w:div>
    <w:div w:id="598417270">
      <w:bodyDiv w:val="1"/>
      <w:marLeft w:val="0"/>
      <w:marRight w:val="0"/>
      <w:marTop w:val="0"/>
      <w:marBottom w:val="0"/>
      <w:divBdr>
        <w:top w:val="none" w:sz="0" w:space="0" w:color="auto"/>
        <w:left w:val="none" w:sz="0" w:space="0" w:color="auto"/>
        <w:bottom w:val="none" w:sz="0" w:space="0" w:color="auto"/>
        <w:right w:val="none" w:sz="0" w:space="0" w:color="auto"/>
      </w:divBdr>
    </w:div>
    <w:div w:id="602614092">
      <w:bodyDiv w:val="1"/>
      <w:marLeft w:val="0"/>
      <w:marRight w:val="0"/>
      <w:marTop w:val="0"/>
      <w:marBottom w:val="0"/>
      <w:divBdr>
        <w:top w:val="none" w:sz="0" w:space="0" w:color="auto"/>
        <w:left w:val="none" w:sz="0" w:space="0" w:color="auto"/>
        <w:bottom w:val="none" w:sz="0" w:space="0" w:color="auto"/>
        <w:right w:val="none" w:sz="0" w:space="0" w:color="auto"/>
      </w:divBdr>
    </w:div>
    <w:div w:id="610088773">
      <w:bodyDiv w:val="1"/>
      <w:marLeft w:val="0"/>
      <w:marRight w:val="0"/>
      <w:marTop w:val="0"/>
      <w:marBottom w:val="0"/>
      <w:divBdr>
        <w:top w:val="none" w:sz="0" w:space="0" w:color="auto"/>
        <w:left w:val="none" w:sz="0" w:space="0" w:color="auto"/>
        <w:bottom w:val="none" w:sz="0" w:space="0" w:color="auto"/>
        <w:right w:val="none" w:sz="0" w:space="0" w:color="auto"/>
      </w:divBdr>
    </w:div>
    <w:div w:id="616569357">
      <w:bodyDiv w:val="1"/>
      <w:marLeft w:val="0"/>
      <w:marRight w:val="0"/>
      <w:marTop w:val="0"/>
      <w:marBottom w:val="0"/>
      <w:divBdr>
        <w:top w:val="none" w:sz="0" w:space="0" w:color="auto"/>
        <w:left w:val="none" w:sz="0" w:space="0" w:color="auto"/>
        <w:bottom w:val="none" w:sz="0" w:space="0" w:color="auto"/>
        <w:right w:val="none" w:sz="0" w:space="0" w:color="auto"/>
      </w:divBdr>
    </w:div>
    <w:div w:id="622463094">
      <w:bodyDiv w:val="1"/>
      <w:marLeft w:val="0"/>
      <w:marRight w:val="0"/>
      <w:marTop w:val="0"/>
      <w:marBottom w:val="0"/>
      <w:divBdr>
        <w:top w:val="none" w:sz="0" w:space="0" w:color="auto"/>
        <w:left w:val="none" w:sz="0" w:space="0" w:color="auto"/>
        <w:bottom w:val="none" w:sz="0" w:space="0" w:color="auto"/>
        <w:right w:val="none" w:sz="0" w:space="0" w:color="auto"/>
      </w:divBdr>
    </w:div>
    <w:div w:id="624193138">
      <w:bodyDiv w:val="1"/>
      <w:marLeft w:val="0"/>
      <w:marRight w:val="0"/>
      <w:marTop w:val="0"/>
      <w:marBottom w:val="0"/>
      <w:divBdr>
        <w:top w:val="none" w:sz="0" w:space="0" w:color="auto"/>
        <w:left w:val="none" w:sz="0" w:space="0" w:color="auto"/>
        <w:bottom w:val="none" w:sz="0" w:space="0" w:color="auto"/>
        <w:right w:val="none" w:sz="0" w:space="0" w:color="auto"/>
      </w:divBdr>
    </w:div>
    <w:div w:id="654190047">
      <w:bodyDiv w:val="1"/>
      <w:marLeft w:val="0"/>
      <w:marRight w:val="0"/>
      <w:marTop w:val="0"/>
      <w:marBottom w:val="0"/>
      <w:divBdr>
        <w:top w:val="none" w:sz="0" w:space="0" w:color="auto"/>
        <w:left w:val="none" w:sz="0" w:space="0" w:color="auto"/>
        <w:bottom w:val="none" w:sz="0" w:space="0" w:color="auto"/>
        <w:right w:val="none" w:sz="0" w:space="0" w:color="auto"/>
      </w:divBdr>
    </w:div>
    <w:div w:id="666060858">
      <w:bodyDiv w:val="1"/>
      <w:marLeft w:val="0"/>
      <w:marRight w:val="0"/>
      <w:marTop w:val="0"/>
      <w:marBottom w:val="0"/>
      <w:divBdr>
        <w:top w:val="none" w:sz="0" w:space="0" w:color="auto"/>
        <w:left w:val="none" w:sz="0" w:space="0" w:color="auto"/>
        <w:bottom w:val="none" w:sz="0" w:space="0" w:color="auto"/>
        <w:right w:val="none" w:sz="0" w:space="0" w:color="auto"/>
      </w:divBdr>
    </w:div>
    <w:div w:id="672949924">
      <w:bodyDiv w:val="1"/>
      <w:marLeft w:val="0"/>
      <w:marRight w:val="0"/>
      <w:marTop w:val="0"/>
      <w:marBottom w:val="0"/>
      <w:divBdr>
        <w:top w:val="none" w:sz="0" w:space="0" w:color="auto"/>
        <w:left w:val="none" w:sz="0" w:space="0" w:color="auto"/>
        <w:bottom w:val="none" w:sz="0" w:space="0" w:color="auto"/>
        <w:right w:val="none" w:sz="0" w:space="0" w:color="auto"/>
      </w:divBdr>
    </w:div>
    <w:div w:id="674111345">
      <w:bodyDiv w:val="1"/>
      <w:marLeft w:val="0"/>
      <w:marRight w:val="0"/>
      <w:marTop w:val="0"/>
      <w:marBottom w:val="0"/>
      <w:divBdr>
        <w:top w:val="none" w:sz="0" w:space="0" w:color="auto"/>
        <w:left w:val="none" w:sz="0" w:space="0" w:color="auto"/>
        <w:bottom w:val="none" w:sz="0" w:space="0" w:color="auto"/>
        <w:right w:val="none" w:sz="0" w:space="0" w:color="auto"/>
      </w:divBdr>
    </w:div>
    <w:div w:id="675307252">
      <w:bodyDiv w:val="1"/>
      <w:marLeft w:val="0"/>
      <w:marRight w:val="0"/>
      <w:marTop w:val="0"/>
      <w:marBottom w:val="0"/>
      <w:divBdr>
        <w:top w:val="none" w:sz="0" w:space="0" w:color="auto"/>
        <w:left w:val="none" w:sz="0" w:space="0" w:color="auto"/>
        <w:bottom w:val="none" w:sz="0" w:space="0" w:color="auto"/>
        <w:right w:val="none" w:sz="0" w:space="0" w:color="auto"/>
      </w:divBdr>
    </w:div>
    <w:div w:id="685643696">
      <w:bodyDiv w:val="1"/>
      <w:marLeft w:val="0"/>
      <w:marRight w:val="0"/>
      <w:marTop w:val="0"/>
      <w:marBottom w:val="0"/>
      <w:divBdr>
        <w:top w:val="none" w:sz="0" w:space="0" w:color="auto"/>
        <w:left w:val="none" w:sz="0" w:space="0" w:color="auto"/>
        <w:bottom w:val="none" w:sz="0" w:space="0" w:color="auto"/>
        <w:right w:val="none" w:sz="0" w:space="0" w:color="auto"/>
      </w:divBdr>
      <w:divsChild>
        <w:div w:id="1206479864">
          <w:marLeft w:val="0"/>
          <w:marRight w:val="0"/>
          <w:marTop w:val="0"/>
          <w:marBottom w:val="0"/>
          <w:divBdr>
            <w:top w:val="none" w:sz="0" w:space="0" w:color="auto"/>
            <w:left w:val="none" w:sz="0" w:space="0" w:color="auto"/>
            <w:bottom w:val="none" w:sz="0" w:space="0" w:color="auto"/>
            <w:right w:val="none" w:sz="0" w:space="0" w:color="auto"/>
          </w:divBdr>
          <w:divsChild>
            <w:div w:id="1032464936">
              <w:marLeft w:val="0"/>
              <w:marRight w:val="0"/>
              <w:marTop w:val="0"/>
              <w:marBottom w:val="0"/>
              <w:divBdr>
                <w:top w:val="none" w:sz="0" w:space="0" w:color="auto"/>
                <w:left w:val="none" w:sz="0" w:space="0" w:color="auto"/>
                <w:bottom w:val="none" w:sz="0" w:space="0" w:color="auto"/>
                <w:right w:val="none" w:sz="0" w:space="0" w:color="auto"/>
              </w:divBdr>
              <w:divsChild>
                <w:div w:id="17296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490638">
      <w:bodyDiv w:val="1"/>
      <w:marLeft w:val="0"/>
      <w:marRight w:val="0"/>
      <w:marTop w:val="0"/>
      <w:marBottom w:val="0"/>
      <w:divBdr>
        <w:top w:val="none" w:sz="0" w:space="0" w:color="auto"/>
        <w:left w:val="none" w:sz="0" w:space="0" w:color="auto"/>
        <w:bottom w:val="none" w:sz="0" w:space="0" w:color="auto"/>
        <w:right w:val="none" w:sz="0" w:space="0" w:color="auto"/>
      </w:divBdr>
    </w:div>
    <w:div w:id="688415409">
      <w:bodyDiv w:val="1"/>
      <w:marLeft w:val="0"/>
      <w:marRight w:val="0"/>
      <w:marTop w:val="0"/>
      <w:marBottom w:val="0"/>
      <w:divBdr>
        <w:top w:val="none" w:sz="0" w:space="0" w:color="auto"/>
        <w:left w:val="none" w:sz="0" w:space="0" w:color="auto"/>
        <w:bottom w:val="none" w:sz="0" w:space="0" w:color="auto"/>
        <w:right w:val="none" w:sz="0" w:space="0" w:color="auto"/>
      </w:divBdr>
    </w:div>
    <w:div w:id="691415626">
      <w:bodyDiv w:val="1"/>
      <w:marLeft w:val="0"/>
      <w:marRight w:val="0"/>
      <w:marTop w:val="0"/>
      <w:marBottom w:val="0"/>
      <w:divBdr>
        <w:top w:val="none" w:sz="0" w:space="0" w:color="auto"/>
        <w:left w:val="none" w:sz="0" w:space="0" w:color="auto"/>
        <w:bottom w:val="none" w:sz="0" w:space="0" w:color="auto"/>
        <w:right w:val="none" w:sz="0" w:space="0" w:color="auto"/>
      </w:divBdr>
      <w:divsChild>
        <w:div w:id="1746537809">
          <w:marLeft w:val="0"/>
          <w:marRight w:val="0"/>
          <w:marTop w:val="0"/>
          <w:marBottom w:val="0"/>
          <w:divBdr>
            <w:top w:val="none" w:sz="0" w:space="0" w:color="auto"/>
            <w:left w:val="none" w:sz="0" w:space="0" w:color="auto"/>
            <w:bottom w:val="none" w:sz="0" w:space="0" w:color="auto"/>
            <w:right w:val="none" w:sz="0" w:space="0" w:color="auto"/>
          </w:divBdr>
        </w:div>
        <w:div w:id="2043742757">
          <w:marLeft w:val="0"/>
          <w:marRight w:val="0"/>
          <w:marTop w:val="0"/>
          <w:marBottom w:val="0"/>
          <w:divBdr>
            <w:top w:val="none" w:sz="0" w:space="0" w:color="auto"/>
            <w:left w:val="none" w:sz="0" w:space="0" w:color="auto"/>
            <w:bottom w:val="none" w:sz="0" w:space="0" w:color="auto"/>
            <w:right w:val="none" w:sz="0" w:space="0" w:color="auto"/>
          </w:divBdr>
        </w:div>
      </w:divsChild>
    </w:div>
    <w:div w:id="692191630">
      <w:bodyDiv w:val="1"/>
      <w:marLeft w:val="0"/>
      <w:marRight w:val="0"/>
      <w:marTop w:val="0"/>
      <w:marBottom w:val="0"/>
      <w:divBdr>
        <w:top w:val="none" w:sz="0" w:space="0" w:color="auto"/>
        <w:left w:val="none" w:sz="0" w:space="0" w:color="auto"/>
        <w:bottom w:val="none" w:sz="0" w:space="0" w:color="auto"/>
        <w:right w:val="none" w:sz="0" w:space="0" w:color="auto"/>
      </w:divBdr>
      <w:divsChild>
        <w:div w:id="825821139">
          <w:marLeft w:val="0"/>
          <w:marRight w:val="0"/>
          <w:marTop w:val="0"/>
          <w:marBottom w:val="0"/>
          <w:divBdr>
            <w:top w:val="none" w:sz="0" w:space="0" w:color="auto"/>
            <w:left w:val="none" w:sz="0" w:space="0" w:color="auto"/>
            <w:bottom w:val="none" w:sz="0" w:space="0" w:color="auto"/>
            <w:right w:val="none" w:sz="0" w:space="0" w:color="auto"/>
          </w:divBdr>
        </w:div>
        <w:div w:id="1973944765">
          <w:marLeft w:val="0"/>
          <w:marRight w:val="0"/>
          <w:marTop w:val="0"/>
          <w:marBottom w:val="0"/>
          <w:divBdr>
            <w:top w:val="none" w:sz="0" w:space="0" w:color="auto"/>
            <w:left w:val="none" w:sz="0" w:space="0" w:color="auto"/>
            <w:bottom w:val="none" w:sz="0" w:space="0" w:color="auto"/>
            <w:right w:val="none" w:sz="0" w:space="0" w:color="auto"/>
          </w:divBdr>
        </w:div>
      </w:divsChild>
    </w:div>
    <w:div w:id="701442810">
      <w:bodyDiv w:val="1"/>
      <w:marLeft w:val="0"/>
      <w:marRight w:val="0"/>
      <w:marTop w:val="0"/>
      <w:marBottom w:val="0"/>
      <w:divBdr>
        <w:top w:val="none" w:sz="0" w:space="0" w:color="auto"/>
        <w:left w:val="none" w:sz="0" w:space="0" w:color="auto"/>
        <w:bottom w:val="none" w:sz="0" w:space="0" w:color="auto"/>
        <w:right w:val="none" w:sz="0" w:space="0" w:color="auto"/>
      </w:divBdr>
    </w:div>
    <w:div w:id="703485623">
      <w:bodyDiv w:val="1"/>
      <w:marLeft w:val="0"/>
      <w:marRight w:val="0"/>
      <w:marTop w:val="0"/>
      <w:marBottom w:val="0"/>
      <w:divBdr>
        <w:top w:val="none" w:sz="0" w:space="0" w:color="auto"/>
        <w:left w:val="none" w:sz="0" w:space="0" w:color="auto"/>
        <w:bottom w:val="none" w:sz="0" w:space="0" w:color="auto"/>
        <w:right w:val="none" w:sz="0" w:space="0" w:color="auto"/>
      </w:divBdr>
    </w:div>
    <w:div w:id="738207029">
      <w:bodyDiv w:val="1"/>
      <w:marLeft w:val="0"/>
      <w:marRight w:val="0"/>
      <w:marTop w:val="0"/>
      <w:marBottom w:val="0"/>
      <w:divBdr>
        <w:top w:val="none" w:sz="0" w:space="0" w:color="auto"/>
        <w:left w:val="none" w:sz="0" w:space="0" w:color="auto"/>
        <w:bottom w:val="none" w:sz="0" w:space="0" w:color="auto"/>
        <w:right w:val="none" w:sz="0" w:space="0" w:color="auto"/>
      </w:divBdr>
    </w:div>
    <w:div w:id="770128772">
      <w:bodyDiv w:val="1"/>
      <w:marLeft w:val="0"/>
      <w:marRight w:val="0"/>
      <w:marTop w:val="0"/>
      <w:marBottom w:val="0"/>
      <w:divBdr>
        <w:top w:val="none" w:sz="0" w:space="0" w:color="auto"/>
        <w:left w:val="none" w:sz="0" w:space="0" w:color="auto"/>
        <w:bottom w:val="none" w:sz="0" w:space="0" w:color="auto"/>
        <w:right w:val="none" w:sz="0" w:space="0" w:color="auto"/>
      </w:divBdr>
    </w:div>
    <w:div w:id="783503017">
      <w:bodyDiv w:val="1"/>
      <w:marLeft w:val="0"/>
      <w:marRight w:val="0"/>
      <w:marTop w:val="0"/>
      <w:marBottom w:val="0"/>
      <w:divBdr>
        <w:top w:val="none" w:sz="0" w:space="0" w:color="auto"/>
        <w:left w:val="none" w:sz="0" w:space="0" w:color="auto"/>
        <w:bottom w:val="none" w:sz="0" w:space="0" w:color="auto"/>
        <w:right w:val="none" w:sz="0" w:space="0" w:color="auto"/>
      </w:divBdr>
    </w:div>
    <w:div w:id="793597279">
      <w:bodyDiv w:val="1"/>
      <w:marLeft w:val="0"/>
      <w:marRight w:val="0"/>
      <w:marTop w:val="0"/>
      <w:marBottom w:val="0"/>
      <w:divBdr>
        <w:top w:val="none" w:sz="0" w:space="0" w:color="auto"/>
        <w:left w:val="none" w:sz="0" w:space="0" w:color="auto"/>
        <w:bottom w:val="none" w:sz="0" w:space="0" w:color="auto"/>
        <w:right w:val="none" w:sz="0" w:space="0" w:color="auto"/>
      </w:divBdr>
    </w:div>
    <w:div w:id="808206081">
      <w:bodyDiv w:val="1"/>
      <w:marLeft w:val="0"/>
      <w:marRight w:val="0"/>
      <w:marTop w:val="0"/>
      <w:marBottom w:val="0"/>
      <w:divBdr>
        <w:top w:val="none" w:sz="0" w:space="0" w:color="auto"/>
        <w:left w:val="none" w:sz="0" w:space="0" w:color="auto"/>
        <w:bottom w:val="none" w:sz="0" w:space="0" w:color="auto"/>
        <w:right w:val="none" w:sz="0" w:space="0" w:color="auto"/>
      </w:divBdr>
    </w:div>
    <w:div w:id="815488223">
      <w:bodyDiv w:val="1"/>
      <w:marLeft w:val="0"/>
      <w:marRight w:val="0"/>
      <w:marTop w:val="0"/>
      <w:marBottom w:val="0"/>
      <w:divBdr>
        <w:top w:val="none" w:sz="0" w:space="0" w:color="auto"/>
        <w:left w:val="none" w:sz="0" w:space="0" w:color="auto"/>
        <w:bottom w:val="none" w:sz="0" w:space="0" w:color="auto"/>
        <w:right w:val="none" w:sz="0" w:space="0" w:color="auto"/>
      </w:divBdr>
    </w:div>
    <w:div w:id="823009371">
      <w:bodyDiv w:val="1"/>
      <w:marLeft w:val="0"/>
      <w:marRight w:val="0"/>
      <w:marTop w:val="0"/>
      <w:marBottom w:val="0"/>
      <w:divBdr>
        <w:top w:val="none" w:sz="0" w:space="0" w:color="auto"/>
        <w:left w:val="none" w:sz="0" w:space="0" w:color="auto"/>
        <w:bottom w:val="none" w:sz="0" w:space="0" w:color="auto"/>
        <w:right w:val="none" w:sz="0" w:space="0" w:color="auto"/>
      </w:divBdr>
    </w:div>
    <w:div w:id="827134709">
      <w:bodyDiv w:val="1"/>
      <w:marLeft w:val="0"/>
      <w:marRight w:val="0"/>
      <w:marTop w:val="0"/>
      <w:marBottom w:val="0"/>
      <w:divBdr>
        <w:top w:val="none" w:sz="0" w:space="0" w:color="auto"/>
        <w:left w:val="none" w:sz="0" w:space="0" w:color="auto"/>
        <w:bottom w:val="none" w:sz="0" w:space="0" w:color="auto"/>
        <w:right w:val="none" w:sz="0" w:space="0" w:color="auto"/>
      </w:divBdr>
    </w:div>
    <w:div w:id="832373512">
      <w:bodyDiv w:val="1"/>
      <w:marLeft w:val="0"/>
      <w:marRight w:val="0"/>
      <w:marTop w:val="0"/>
      <w:marBottom w:val="0"/>
      <w:divBdr>
        <w:top w:val="none" w:sz="0" w:space="0" w:color="auto"/>
        <w:left w:val="none" w:sz="0" w:space="0" w:color="auto"/>
        <w:bottom w:val="none" w:sz="0" w:space="0" w:color="auto"/>
        <w:right w:val="none" w:sz="0" w:space="0" w:color="auto"/>
      </w:divBdr>
    </w:div>
    <w:div w:id="853956221">
      <w:bodyDiv w:val="1"/>
      <w:marLeft w:val="0"/>
      <w:marRight w:val="0"/>
      <w:marTop w:val="0"/>
      <w:marBottom w:val="0"/>
      <w:divBdr>
        <w:top w:val="none" w:sz="0" w:space="0" w:color="auto"/>
        <w:left w:val="none" w:sz="0" w:space="0" w:color="auto"/>
        <w:bottom w:val="none" w:sz="0" w:space="0" w:color="auto"/>
        <w:right w:val="none" w:sz="0" w:space="0" w:color="auto"/>
      </w:divBdr>
    </w:div>
    <w:div w:id="853958464">
      <w:bodyDiv w:val="1"/>
      <w:marLeft w:val="0"/>
      <w:marRight w:val="0"/>
      <w:marTop w:val="0"/>
      <w:marBottom w:val="0"/>
      <w:divBdr>
        <w:top w:val="none" w:sz="0" w:space="0" w:color="auto"/>
        <w:left w:val="none" w:sz="0" w:space="0" w:color="auto"/>
        <w:bottom w:val="none" w:sz="0" w:space="0" w:color="auto"/>
        <w:right w:val="none" w:sz="0" w:space="0" w:color="auto"/>
      </w:divBdr>
    </w:div>
    <w:div w:id="876626273">
      <w:bodyDiv w:val="1"/>
      <w:marLeft w:val="0"/>
      <w:marRight w:val="0"/>
      <w:marTop w:val="0"/>
      <w:marBottom w:val="0"/>
      <w:divBdr>
        <w:top w:val="none" w:sz="0" w:space="0" w:color="auto"/>
        <w:left w:val="none" w:sz="0" w:space="0" w:color="auto"/>
        <w:bottom w:val="none" w:sz="0" w:space="0" w:color="auto"/>
        <w:right w:val="none" w:sz="0" w:space="0" w:color="auto"/>
      </w:divBdr>
    </w:div>
    <w:div w:id="879364488">
      <w:bodyDiv w:val="1"/>
      <w:marLeft w:val="0"/>
      <w:marRight w:val="0"/>
      <w:marTop w:val="0"/>
      <w:marBottom w:val="0"/>
      <w:divBdr>
        <w:top w:val="none" w:sz="0" w:space="0" w:color="auto"/>
        <w:left w:val="none" w:sz="0" w:space="0" w:color="auto"/>
        <w:bottom w:val="none" w:sz="0" w:space="0" w:color="auto"/>
        <w:right w:val="none" w:sz="0" w:space="0" w:color="auto"/>
      </w:divBdr>
    </w:div>
    <w:div w:id="880284334">
      <w:bodyDiv w:val="1"/>
      <w:marLeft w:val="0"/>
      <w:marRight w:val="0"/>
      <w:marTop w:val="0"/>
      <w:marBottom w:val="0"/>
      <w:divBdr>
        <w:top w:val="none" w:sz="0" w:space="0" w:color="auto"/>
        <w:left w:val="none" w:sz="0" w:space="0" w:color="auto"/>
        <w:bottom w:val="none" w:sz="0" w:space="0" w:color="auto"/>
        <w:right w:val="none" w:sz="0" w:space="0" w:color="auto"/>
      </w:divBdr>
    </w:div>
    <w:div w:id="880898927">
      <w:bodyDiv w:val="1"/>
      <w:marLeft w:val="0"/>
      <w:marRight w:val="0"/>
      <w:marTop w:val="0"/>
      <w:marBottom w:val="0"/>
      <w:divBdr>
        <w:top w:val="none" w:sz="0" w:space="0" w:color="auto"/>
        <w:left w:val="none" w:sz="0" w:space="0" w:color="auto"/>
        <w:bottom w:val="none" w:sz="0" w:space="0" w:color="auto"/>
        <w:right w:val="none" w:sz="0" w:space="0" w:color="auto"/>
      </w:divBdr>
    </w:div>
    <w:div w:id="886649518">
      <w:bodyDiv w:val="1"/>
      <w:marLeft w:val="0"/>
      <w:marRight w:val="0"/>
      <w:marTop w:val="0"/>
      <w:marBottom w:val="0"/>
      <w:divBdr>
        <w:top w:val="none" w:sz="0" w:space="0" w:color="auto"/>
        <w:left w:val="none" w:sz="0" w:space="0" w:color="auto"/>
        <w:bottom w:val="none" w:sz="0" w:space="0" w:color="auto"/>
        <w:right w:val="none" w:sz="0" w:space="0" w:color="auto"/>
      </w:divBdr>
    </w:div>
    <w:div w:id="891887898">
      <w:bodyDiv w:val="1"/>
      <w:marLeft w:val="0"/>
      <w:marRight w:val="0"/>
      <w:marTop w:val="0"/>
      <w:marBottom w:val="0"/>
      <w:divBdr>
        <w:top w:val="none" w:sz="0" w:space="0" w:color="auto"/>
        <w:left w:val="none" w:sz="0" w:space="0" w:color="auto"/>
        <w:bottom w:val="none" w:sz="0" w:space="0" w:color="auto"/>
        <w:right w:val="none" w:sz="0" w:space="0" w:color="auto"/>
      </w:divBdr>
    </w:div>
    <w:div w:id="892545685">
      <w:bodyDiv w:val="1"/>
      <w:marLeft w:val="0"/>
      <w:marRight w:val="0"/>
      <w:marTop w:val="0"/>
      <w:marBottom w:val="0"/>
      <w:divBdr>
        <w:top w:val="none" w:sz="0" w:space="0" w:color="auto"/>
        <w:left w:val="none" w:sz="0" w:space="0" w:color="auto"/>
        <w:bottom w:val="none" w:sz="0" w:space="0" w:color="auto"/>
        <w:right w:val="none" w:sz="0" w:space="0" w:color="auto"/>
      </w:divBdr>
    </w:div>
    <w:div w:id="897010997">
      <w:bodyDiv w:val="1"/>
      <w:marLeft w:val="0"/>
      <w:marRight w:val="0"/>
      <w:marTop w:val="0"/>
      <w:marBottom w:val="0"/>
      <w:divBdr>
        <w:top w:val="none" w:sz="0" w:space="0" w:color="auto"/>
        <w:left w:val="none" w:sz="0" w:space="0" w:color="auto"/>
        <w:bottom w:val="none" w:sz="0" w:space="0" w:color="auto"/>
        <w:right w:val="none" w:sz="0" w:space="0" w:color="auto"/>
      </w:divBdr>
    </w:div>
    <w:div w:id="914053732">
      <w:bodyDiv w:val="1"/>
      <w:marLeft w:val="0"/>
      <w:marRight w:val="0"/>
      <w:marTop w:val="0"/>
      <w:marBottom w:val="0"/>
      <w:divBdr>
        <w:top w:val="none" w:sz="0" w:space="0" w:color="auto"/>
        <w:left w:val="none" w:sz="0" w:space="0" w:color="auto"/>
        <w:bottom w:val="none" w:sz="0" w:space="0" w:color="auto"/>
        <w:right w:val="none" w:sz="0" w:space="0" w:color="auto"/>
      </w:divBdr>
      <w:divsChild>
        <w:div w:id="418137835">
          <w:marLeft w:val="0"/>
          <w:marRight w:val="0"/>
          <w:marTop w:val="0"/>
          <w:marBottom w:val="0"/>
          <w:divBdr>
            <w:top w:val="none" w:sz="0" w:space="0" w:color="auto"/>
            <w:left w:val="none" w:sz="0" w:space="0" w:color="auto"/>
            <w:bottom w:val="none" w:sz="0" w:space="0" w:color="auto"/>
            <w:right w:val="none" w:sz="0" w:space="0" w:color="auto"/>
          </w:divBdr>
        </w:div>
      </w:divsChild>
    </w:div>
    <w:div w:id="916590888">
      <w:bodyDiv w:val="1"/>
      <w:marLeft w:val="0"/>
      <w:marRight w:val="0"/>
      <w:marTop w:val="0"/>
      <w:marBottom w:val="0"/>
      <w:divBdr>
        <w:top w:val="none" w:sz="0" w:space="0" w:color="auto"/>
        <w:left w:val="none" w:sz="0" w:space="0" w:color="auto"/>
        <w:bottom w:val="none" w:sz="0" w:space="0" w:color="auto"/>
        <w:right w:val="none" w:sz="0" w:space="0" w:color="auto"/>
      </w:divBdr>
    </w:div>
    <w:div w:id="926885940">
      <w:bodyDiv w:val="1"/>
      <w:marLeft w:val="0"/>
      <w:marRight w:val="0"/>
      <w:marTop w:val="0"/>
      <w:marBottom w:val="0"/>
      <w:divBdr>
        <w:top w:val="none" w:sz="0" w:space="0" w:color="auto"/>
        <w:left w:val="none" w:sz="0" w:space="0" w:color="auto"/>
        <w:bottom w:val="none" w:sz="0" w:space="0" w:color="auto"/>
        <w:right w:val="none" w:sz="0" w:space="0" w:color="auto"/>
      </w:divBdr>
      <w:divsChild>
        <w:div w:id="975062177">
          <w:marLeft w:val="0"/>
          <w:marRight w:val="0"/>
          <w:marTop w:val="0"/>
          <w:marBottom w:val="0"/>
          <w:divBdr>
            <w:top w:val="none" w:sz="0" w:space="0" w:color="auto"/>
            <w:left w:val="none" w:sz="0" w:space="0" w:color="auto"/>
            <w:bottom w:val="none" w:sz="0" w:space="0" w:color="auto"/>
            <w:right w:val="none" w:sz="0" w:space="0" w:color="auto"/>
          </w:divBdr>
        </w:div>
        <w:div w:id="1868909431">
          <w:marLeft w:val="0"/>
          <w:marRight w:val="0"/>
          <w:marTop w:val="0"/>
          <w:marBottom w:val="0"/>
          <w:divBdr>
            <w:top w:val="none" w:sz="0" w:space="0" w:color="auto"/>
            <w:left w:val="none" w:sz="0" w:space="0" w:color="auto"/>
            <w:bottom w:val="none" w:sz="0" w:space="0" w:color="auto"/>
            <w:right w:val="none" w:sz="0" w:space="0" w:color="auto"/>
          </w:divBdr>
        </w:div>
      </w:divsChild>
    </w:div>
    <w:div w:id="929504005">
      <w:bodyDiv w:val="1"/>
      <w:marLeft w:val="0"/>
      <w:marRight w:val="0"/>
      <w:marTop w:val="0"/>
      <w:marBottom w:val="0"/>
      <w:divBdr>
        <w:top w:val="none" w:sz="0" w:space="0" w:color="auto"/>
        <w:left w:val="none" w:sz="0" w:space="0" w:color="auto"/>
        <w:bottom w:val="none" w:sz="0" w:space="0" w:color="auto"/>
        <w:right w:val="none" w:sz="0" w:space="0" w:color="auto"/>
      </w:divBdr>
    </w:div>
    <w:div w:id="952055841">
      <w:bodyDiv w:val="1"/>
      <w:marLeft w:val="0"/>
      <w:marRight w:val="0"/>
      <w:marTop w:val="0"/>
      <w:marBottom w:val="0"/>
      <w:divBdr>
        <w:top w:val="none" w:sz="0" w:space="0" w:color="auto"/>
        <w:left w:val="none" w:sz="0" w:space="0" w:color="auto"/>
        <w:bottom w:val="none" w:sz="0" w:space="0" w:color="auto"/>
        <w:right w:val="none" w:sz="0" w:space="0" w:color="auto"/>
      </w:divBdr>
    </w:div>
    <w:div w:id="955067619">
      <w:bodyDiv w:val="1"/>
      <w:marLeft w:val="0"/>
      <w:marRight w:val="0"/>
      <w:marTop w:val="0"/>
      <w:marBottom w:val="0"/>
      <w:divBdr>
        <w:top w:val="none" w:sz="0" w:space="0" w:color="auto"/>
        <w:left w:val="none" w:sz="0" w:space="0" w:color="auto"/>
        <w:bottom w:val="none" w:sz="0" w:space="0" w:color="auto"/>
        <w:right w:val="none" w:sz="0" w:space="0" w:color="auto"/>
      </w:divBdr>
    </w:div>
    <w:div w:id="969820692">
      <w:bodyDiv w:val="1"/>
      <w:marLeft w:val="0"/>
      <w:marRight w:val="0"/>
      <w:marTop w:val="0"/>
      <w:marBottom w:val="0"/>
      <w:divBdr>
        <w:top w:val="none" w:sz="0" w:space="0" w:color="auto"/>
        <w:left w:val="none" w:sz="0" w:space="0" w:color="auto"/>
        <w:bottom w:val="none" w:sz="0" w:space="0" w:color="auto"/>
        <w:right w:val="none" w:sz="0" w:space="0" w:color="auto"/>
      </w:divBdr>
    </w:div>
    <w:div w:id="976841302">
      <w:bodyDiv w:val="1"/>
      <w:marLeft w:val="0"/>
      <w:marRight w:val="0"/>
      <w:marTop w:val="0"/>
      <w:marBottom w:val="0"/>
      <w:divBdr>
        <w:top w:val="none" w:sz="0" w:space="0" w:color="auto"/>
        <w:left w:val="none" w:sz="0" w:space="0" w:color="auto"/>
        <w:bottom w:val="none" w:sz="0" w:space="0" w:color="auto"/>
        <w:right w:val="none" w:sz="0" w:space="0" w:color="auto"/>
      </w:divBdr>
    </w:div>
    <w:div w:id="982658676">
      <w:bodyDiv w:val="1"/>
      <w:marLeft w:val="0"/>
      <w:marRight w:val="0"/>
      <w:marTop w:val="0"/>
      <w:marBottom w:val="0"/>
      <w:divBdr>
        <w:top w:val="none" w:sz="0" w:space="0" w:color="auto"/>
        <w:left w:val="none" w:sz="0" w:space="0" w:color="auto"/>
        <w:bottom w:val="none" w:sz="0" w:space="0" w:color="auto"/>
        <w:right w:val="none" w:sz="0" w:space="0" w:color="auto"/>
      </w:divBdr>
    </w:div>
    <w:div w:id="985596208">
      <w:bodyDiv w:val="1"/>
      <w:marLeft w:val="0"/>
      <w:marRight w:val="0"/>
      <w:marTop w:val="0"/>
      <w:marBottom w:val="0"/>
      <w:divBdr>
        <w:top w:val="none" w:sz="0" w:space="0" w:color="auto"/>
        <w:left w:val="none" w:sz="0" w:space="0" w:color="auto"/>
        <w:bottom w:val="none" w:sz="0" w:space="0" w:color="auto"/>
        <w:right w:val="none" w:sz="0" w:space="0" w:color="auto"/>
      </w:divBdr>
    </w:div>
    <w:div w:id="1003970999">
      <w:bodyDiv w:val="1"/>
      <w:marLeft w:val="0"/>
      <w:marRight w:val="0"/>
      <w:marTop w:val="0"/>
      <w:marBottom w:val="0"/>
      <w:divBdr>
        <w:top w:val="none" w:sz="0" w:space="0" w:color="auto"/>
        <w:left w:val="none" w:sz="0" w:space="0" w:color="auto"/>
        <w:bottom w:val="none" w:sz="0" w:space="0" w:color="auto"/>
        <w:right w:val="none" w:sz="0" w:space="0" w:color="auto"/>
      </w:divBdr>
    </w:div>
    <w:div w:id="1013259945">
      <w:bodyDiv w:val="1"/>
      <w:marLeft w:val="0"/>
      <w:marRight w:val="0"/>
      <w:marTop w:val="0"/>
      <w:marBottom w:val="0"/>
      <w:divBdr>
        <w:top w:val="none" w:sz="0" w:space="0" w:color="auto"/>
        <w:left w:val="none" w:sz="0" w:space="0" w:color="auto"/>
        <w:bottom w:val="none" w:sz="0" w:space="0" w:color="auto"/>
        <w:right w:val="none" w:sz="0" w:space="0" w:color="auto"/>
      </w:divBdr>
    </w:div>
    <w:div w:id="1013262170">
      <w:bodyDiv w:val="1"/>
      <w:marLeft w:val="0"/>
      <w:marRight w:val="0"/>
      <w:marTop w:val="0"/>
      <w:marBottom w:val="0"/>
      <w:divBdr>
        <w:top w:val="none" w:sz="0" w:space="0" w:color="auto"/>
        <w:left w:val="none" w:sz="0" w:space="0" w:color="auto"/>
        <w:bottom w:val="none" w:sz="0" w:space="0" w:color="auto"/>
        <w:right w:val="none" w:sz="0" w:space="0" w:color="auto"/>
      </w:divBdr>
    </w:div>
    <w:div w:id="1034161749">
      <w:bodyDiv w:val="1"/>
      <w:marLeft w:val="0"/>
      <w:marRight w:val="0"/>
      <w:marTop w:val="0"/>
      <w:marBottom w:val="0"/>
      <w:divBdr>
        <w:top w:val="none" w:sz="0" w:space="0" w:color="auto"/>
        <w:left w:val="none" w:sz="0" w:space="0" w:color="auto"/>
        <w:bottom w:val="none" w:sz="0" w:space="0" w:color="auto"/>
        <w:right w:val="none" w:sz="0" w:space="0" w:color="auto"/>
      </w:divBdr>
    </w:div>
    <w:div w:id="1053384334">
      <w:bodyDiv w:val="1"/>
      <w:marLeft w:val="0"/>
      <w:marRight w:val="0"/>
      <w:marTop w:val="0"/>
      <w:marBottom w:val="0"/>
      <w:divBdr>
        <w:top w:val="none" w:sz="0" w:space="0" w:color="auto"/>
        <w:left w:val="none" w:sz="0" w:space="0" w:color="auto"/>
        <w:bottom w:val="none" w:sz="0" w:space="0" w:color="auto"/>
        <w:right w:val="none" w:sz="0" w:space="0" w:color="auto"/>
      </w:divBdr>
    </w:div>
    <w:div w:id="1064136049">
      <w:bodyDiv w:val="1"/>
      <w:marLeft w:val="0"/>
      <w:marRight w:val="0"/>
      <w:marTop w:val="0"/>
      <w:marBottom w:val="0"/>
      <w:divBdr>
        <w:top w:val="none" w:sz="0" w:space="0" w:color="auto"/>
        <w:left w:val="none" w:sz="0" w:space="0" w:color="auto"/>
        <w:bottom w:val="none" w:sz="0" w:space="0" w:color="auto"/>
        <w:right w:val="none" w:sz="0" w:space="0" w:color="auto"/>
      </w:divBdr>
    </w:div>
    <w:div w:id="1066296552">
      <w:bodyDiv w:val="1"/>
      <w:marLeft w:val="0"/>
      <w:marRight w:val="0"/>
      <w:marTop w:val="0"/>
      <w:marBottom w:val="0"/>
      <w:divBdr>
        <w:top w:val="none" w:sz="0" w:space="0" w:color="auto"/>
        <w:left w:val="none" w:sz="0" w:space="0" w:color="auto"/>
        <w:bottom w:val="none" w:sz="0" w:space="0" w:color="auto"/>
        <w:right w:val="none" w:sz="0" w:space="0" w:color="auto"/>
      </w:divBdr>
    </w:div>
    <w:div w:id="1070956003">
      <w:bodyDiv w:val="1"/>
      <w:marLeft w:val="0"/>
      <w:marRight w:val="0"/>
      <w:marTop w:val="0"/>
      <w:marBottom w:val="0"/>
      <w:divBdr>
        <w:top w:val="none" w:sz="0" w:space="0" w:color="auto"/>
        <w:left w:val="none" w:sz="0" w:space="0" w:color="auto"/>
        <w:bottom w:val="none" w:sz="0" w:space="0" w:color="auto"/>
        <w:right w:val="none" w:sz="0" w:space="0" w:color="auto"/>
      </w:divBdr>
    </w:div>
    <w:div w:id="1078552017">
      <w:bodyDiv w:val="1"/>
      <w:marLeft w:val="0"/>
      <w:marRight w:val="0"/>
      <w:marTop w:val="0"/>
      <w:marBottom w:val="0"/>
      <w:divBdr>
        <w:top w:val="none" w:sz="0" w:space="0" w:color="auto"/>
        <w:left w:val="none" w:sz="0" w:space="0" w:color="auto"/>
        <w:bottom w:val="none" w:sz="0" w:space="0" w:color="auto"/>
        <w:right w:val="none" w:sz="0" w:space="0" w:color="auto"/>
      </w:divBdr>
    </w:div>
    <w:div w:id="1080056977">
      <w:bodyDiv w:val="1"/>
      <w:marLeft w:val="0"/>
      <w:marRight w:val="0"/>
      <w:marTop w:val="0"/>
      <w:marBottom w:val="0"/>
      <w:divBdr>
        <w:top w:val="none" w:sz="0" w:space="0" w:color="auto"/>
        <w:left w:val="none" w:sz="0" w:space="0" w:color="auto"/>
        <w:bottom w:val="none" w:sz="0" w:space="0" w:color="auto"/>
        <w:right w:val="none" w:sz="0" w:space="0" w:color="auto"/>
      </w:divBdr>
    </w:div>
    <w:div w:id="1081416946">
      <w:bodyDiv w:val="1"/>
      <w:marLeft w:val="0"/>
      <w:marRight w:val="0"/>
      <w:marTop w:val="0"/>
      <w:marBottom w:val="0"/>
      <w:divBdr>
        <w:top w:val="none" w:sz="0" w:space="0" w:color="auto"/>
        <w:left w:val="none" w:sz="0" w:space="0" w:color="auto"/>
        <w:bottom w:val="none" w:sz="0" w:space="0" w:color="auto"/>
        <w:right w:val="none" w:sz="0" w:space="0" w:color="auto"/>
      </w:divBdr>
    </w:div>
    <w:div w:id="1095438679">
      <w:bodyDiv w:val="1"/>
      <w:marLeft w:val="0"/>
      <w:marRight w:val="0"/>
      <w:marTop w:val="0"/>
      <w:marBottom w:val="0"/>
      <w:divBdr>
        <w:top w:val="none" w:sz="0" w:space="0" w:color="auto"/>
        <w:left w:val="none" w:sz="0" w:space="0" w:color="auto"/>
        <w:bottom w:val="none" w:sz="0" w:space="0" w:color="auto"/>
        <w:right w:val="none" w:sz="0" w:space="0" w:color="auto"/>
      </w:divBdr>
    </w:div>
    <w:div w:id="1097477998">
      <w:bodyDiv w:val="1"/>
      <w:marLeft w:val="0"/>
      <w:marRight w:val="0"/>
      <w:marTop w:val="0"/>
      <w:marBottom w:val="0"/>
      <w:divBdr>
        <w:top w:val="none" w:sz="0" w:space="0" w:color="auto"/>
        <w:left w:val="none" w:sz="0" w:space="0" w:color="auto"/>
        <w:bottom w:val="none" w:sz="0" w:space="0" w:color="auto"/>
        <w:right w:val="none" w:sz="0" w:space="0" w:color="auto"/>
      </w:divBdr>
    </w:div>
    <w:div w:id="1106072944">
      <w:bodyDiv w:val="1"/>
      <w:marLeft w:val="0"/>
      <w:marRight w:val="0"/>
      <w:marTop w:val="0"/>
      <w:marBottom w:val="0"/>
      <w:divBdr>
        <w:top w:val="none" w:sz="0" w:space="0" w:color="auto"/>
        <w:left w:val="none" w:sz="0" w:space="0" w:color="auto"/>
        <w:bottom w:val="none" w:sz="0" w:space="0" w:color="auto"/>
        <w:right w:val="none" w:sz="0" w:space="0" w:color="auto"/>
      </w:divBdr>
    </w:div>
    <w:div w:id="1134758834">
      <w:bodyDiv w:val="1"/>
      <w:marLeft w:val="0"/>
      <w:marRight w:val="0"/>
      <w:marTop w:val="0"/>
      <w:marBottom w:val="0"/>
      <w:divBdr>
        <w:top w:val="none" w:sz="0" w:space="0" w:color="auto"/>
        <w:left w:val="none" w:sz="0" w:space="0" w:color="auto"/>
        <w:bottom w:val="none" w:sz="0" w:space="0" w:color="auto"/>
        <w:right w:val="none" w:sz="0" w:space="0" w:color="auto"/>
      </w:divBdr>
    </w:div>
    <w:div w:id="1136600754">
      <w:bodyDiv w:val="1"/>
      <w:marLeft w:val="0"/>
      <w:marRight w:val="0"/>
      <w:marTop w:val="0"/>
      <w:marBottom w:val="0"/>
      <w:divBdr>
        <w:top w:val="none" w:sz="0" w:space="0" w:color="auto"/>
        <w:left w:val="none" w:sz="0" w:space="0" w:color="auto"/>
        <w:bottom w:val="none" w:sz="0" w:space="0" w:color="auto"/>
        <w:right w:val="none" w:sz="0" w:space="0" w:color="auto"/>
      </w:divBdr>
    </w:div>
    <w:div w:id="1136726522">
      <w:bodyDiv w:val="1"/>
      <w:marLeft w:val="0"/>
      <w:marRight w:val="0"/>
      <w:marTop w:val="0"/>
      <w:marBottom w:val="0"/>
      <w:divBdr>
        <w:top w:val="none" w:sz="0" w:space="0" w:color="auto"/>
        <w:left w:val="none" w:sz="0" w:space="0" w:color="auto"/>
        <w:bottom w:val="none" w:sz="0" w:space="0" w:color="auto"/>
        <w:right w:val="none" w:sz="0" w:space="0" w:color="auto"/>
      </w:divBdr>
    </w:div>
    <w:div w:id="1152520427">
      <w:bodyDiv w:val="1"/>
      <w:marLeft w:val="0"/>
      <w:marRight w:val="0"/>
      <w:marTop w:val="0"/>
      <w:marBottom w:val="0"/>
      <w:divBdr>
        <w:top w:val="none" w:sz="0" w:space="0" w:color="auto"/>
        <w:left w:val="none" w:sz="0" w:space="0" w:color="auto"/>
        <w:bottom w:val="none" w:sz="0" w:space="0" w:color="auto"/>
        <w:right w:val="none" w:sz="0" w:space="0" w:color="auto"/>
      </w:divBdr>
    </w:div>
    <w:div w:id="1152599982">
      <w:bodyDiv w:val="1"/>
      <w:marLeft w:val="0"/>
      <w:marRight w:val="0"/>
      <w:marTop w:val="0"/>
      <w:marBottom w:val="0"/>
      <w:divBdr>
        <w:top w:val="none" w:sz="0" w:space="0" w:color="auto"/>
        <w:left w:val="none" w:sz="0" w:space="0" w:color="auto"/>
        <w:bottom w:val="none" w:sz="0" w:space="0" w:color="auto"/>
        <w:right w:val="none" w:sz="0" w:space="0" w:color="auto"/>
      </w:divBdr>
    </w:div>
    <w:div w:id="1152795259">
      <w:bodyDiv w:val="1"/>
      <w:marLeft w:val="0"/>
      <w:marRight w:val="0"/>
      <w:marTop w:val="0"/>
      <w:marBottom w:val="0"/>
      <w:divBdr>
        <w:top w:val="none" w:sz="0" w:space="0" w:color="auto"/>
        <w:left w:val="none" w:sz="0" w:space="0" w:color="auto"/>
        <w:bottom w:val="none" w:sz="0" w:space="0" w:color="auto"/>
        <w:right w:val="none" w:sz="0" w:space="0" w:color="auto"/>
      </w:divBdr>
    </w:div>
    <w:div w:id="1163009592">
      <w:bodyDiv w:val="1"/>
      <w:marLeft w:val="0"/>
      <w:marRight w:val="0"/>
      <w:marTop w:val="0"/>
      <w:marBottom w:val="0"/>
      <w:divBdr>
        <w:top w:val="none" w:sz="0" w:space="0" w:color="auto"/>
        <w:left w:val="none" w:sz="0" w:space="0" w:color="auto"/>
        <w:bottom w:val="none" w:sz="0" w:space="0" w:color="auto"/>
        <w:right w:val="none" w:sz="0" w:space="0" w:color="auto"/>
      </w:divBdr>
      <w:divsChild>
        <w:div w:id="462623352">
          <w:marLeft w:val="0"/>
          <w:marRight w:val="0"/>
          <w:marTop w:val="0"/>
          <w:marBottom w:val="0"/>
          <w:divBdr>
            <w:top w:val="none" w:sz="0" w:space="0" w:color="auto"/>
            <w:left w:val="none" w:sz="0" w:space="0" w:color="auto"/>
            <w:bottom w:val="none" w:sz="0" w:space="0" w:color="auto"/>
            <w:right w:val="none" w:sz="0" w:space="0" w:color="auto"/>
          </w:divBdr>
        </w:div>
        <w:div w:id="954167528">
          <w:marLeft w:val="0"/>
          <w:marRight w:val="0"/>
          <w:marTop w:val="0"/>
          <w:marBottom w:val="0"/>
          <w:divBdr>
            <w:top w:val="none" w:sz="0" w:space="0" w:color="auto"/>
            <w:left w:val="none" w:sz="0" w:space="0" w:color="auto"/>
            <w:bottom w:val="none" w:sz="0" w:space="0" w:color="auto"/>
            <w:right w:val="none" w:sz="0" w:space="0" w:color="auto"/>
          </w:divBdr>
        </w:div>
        <w:div w:id="1121076137">
          <w:marLeft w:val="0"/>
          <w:marRight w:val="0"/>
          <w:marTop w:val="0"/>
          <w:marBottom w:val="0"/>
          <w:divBdr>
            <w:top w:val="none" w:sz="0" w:space="0" w:color="auto"/>
            <w:left w:val="none" w:sz="0" w:space="0" w:color="auto"/>
            <w:bottom w:val="none" w:sz="0" w:space="0" w:color="auto"/>
            <w:right w:val="none" w:sz="0" w:space="0" w:color="auto"/>
          </w:divBdr>
          <w:divsChild>
            <w:div w:id="1859342610">
              <w:marLeft w:val="0"/>
              <w:marRight w:val="0"/>
              <w:marTop w:val="0"/>
              <w:marBottom w:val="0"/>
              <w:divBdr>
                <w:top w:val="none" w:sz="0" w:space="0" w:color="auto"/>
                <w:left w:val="none" w:sz="0" w:space="0" w:color="auto"/>
                <w:bottom w:val="none" w:sz="0" w:space="0" w:color="auto"/>
                <w:right w:val="none" w:sz="0" w:space="0" w:color="auto"/>
              </w:divBdr>
              <w:divsChild>
                <w:div w:id="1331370782">
                  <w:marLeft w:val="0"/>
                  <w:marRight w:val="0"/>
                  <w:marTop w:val="0"/>
                  <w:marBottom w:val="0"/>
                  <w:divBdr>
                    <w:top w:val="none" w:sz="0" w:space="0" w:color="auto"/>
                    <w:left w:val="none" w:sz="0" w:space="0" w:color="auto"/>
                    <w:bottom w:val="none" w:sz="0" w:space="0" w:color="auto"/>
                    <w:right w:val="none" w:sz="0" w:space="0" w:color="auto"/>
                  </w:divBdr>
                </w:div>
                <w:div w:id="1856918796">
                  <w:marLeft w:val="0"/>
                  <w:marRight w:val="0"/>
                  <w:marTop w:val="0"/>
                  <w:marBottom w:val="0"/>
                  <w:divBdr>
                    <w:top w:val="none" w:sz="0" w:space="0" w:color="auto"/>
                    <w:left w:val="none" w:sz="0" w:space="0" w:color="auto"/>
                    <w:bottom w:val="none" w:sz="0" w:space="0" w:color="auto"/>
                    <w:right w:val="none" w:sz="0" w:space="0" w:color="auto"/>
                  </w:divBdr>
                  <w:divsChild>
                    <w:div w:id="76828744">
                      <w:marLeft w:val="0"/>
                      <w:marRight w:val="0"/>
                      <w:marTop w:val="0"/>
                      <w:marBottom w:val="0"/>
                      <w:divBdr>
                        <w:top w:val="none" w:sz="0" w:space="0" w:color="auto"/>
                        <w:left w:val="none" w:sz="0" w:space="0" w:color="auto"/>
                        <w:bottom w:val="none" w:sz="0" w:space="0" w:color="auto"/>
                        <w:right w:val="none" w:sz="0" w:space="0" w:color="auto"/>
                      </w:divBdr>
                    </w:div>
                    <w:div w:id="2154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618917">
      <w:bodyDiv w:val="1"/>
      <w:marLeft w:val="0"/>
      <w:marRight w:val="0"/>
      <w:marTop w:val="0"/>
      <w:marBottom w:val="0"/>
      <w:divBdr>
        <w:top w:val="none" w:sz="0" w:space="0" w:color="auto"/>
        <w:left w:val="none" w:sz="0" w:space="0" w:color="auto"/>
        <w:bottom w:val="none" w:sz="0" w:space="0" w:color="auto"/>
        <w:right w:val="none" w:sz="0" w:space="0" w:color="auto"/>
      </w:divBdr>
    </w:div>
    <w:div w:id="1165439745">
      <w:bodyDiv w:val="1"/>
      <w:marLeft w:val="0"/>
      <w:marRight w:val="0"/>
      <w:marTop w:val="0"/>
      <w:marBottom w:val="0"/>
      <w:divBdr>
        <w:top w:val="none" w:sz="0" w:space="0" w:color="auto"/>
        <w:left w:val="none" w:sz="0" w:space="0" w:color="auto"/>
        <w:bottom w:val="none" w:sz="0" w:space="0" w:color="auto"/>
        <w:right w:val="none" w:sz="0" w:space="0" w:color="auto"/>
      </w:divBdr>
    </w:div>
    <w:div w:id="1182739008">
      <w:bodyDiv w:val="1"/>
      <w:marLeft w:val="0"/>
      <w:marRight w:val="0"/>
      <w:marTop w:val="0"/>
      <w:marBottom w:val="0"/>
      <w:divBdr>
        <w:top w:val="none" w:sz="0" w:space="0" w:color="auto"/>
        <w:left w:val="none" w:sz="0" w:space="0" w:color="auto"/>
        <w:bottom w:val="none" w:sz="0" w:space="0" w:color="auto"/>
        <w:right w:val="none" w:sz="0" w:space="0" w:color="auto"/>
      </w:divBdr>
    </w:div>
    <w:div w:id="1187865327">
      <w:bodyDiv w:val="1"/>
      <w:marLeft w:val="0"/>
      <w:marRight w:val="0"/>
      <w:marTop w:val="0"/>
      <w:marBottom w:val="0"/>
      <w:divBdr>
        <w:top w:val="none" w:sz="0" w:space="0" w:color="auto"/>
        <w:left w:val="none" w:sz="0" w:space="0" w:color="auto"/>
        <w:bottom w:val="none" w:sz="0" w:space="0" w:color="auto"/>
        <w:right w:val="none" w:sz="0" w:space="0" w:color="auto"/>
      </w:divBdr>
    </w:div>
    <w:div w:id="1189102774">
      <w:bodyDiv w:val="1"/>
      <w:marLeft w:val="0"/>
      <w:marRight w:val="0"/>
      <w:marTop w:val="0"/>
      <w:marBottom w:val="0"/>
      <w:divBdr>
        <w:top w:val="none" w:sz="0" w:space="0" w:color="auto"/>
        <w:left w:val="none" w:sz="0" w:space="0" w:color="auto"/>
        <w:bottom w:val="none" w:sz="0" w:space="0" w:color="auto"/>
        <w:right w:val="none" w:sz="0" w:space="0" w:color="auto"/>
      </w:divBdr>
    </w:div>
    <w:div w:id="1201866607">
      <w:bodyDiv w:val="1"/>
      <w:marLeft w:val="0"/>
      <w:marRight w:val="0"/>
      <w:marTop w:val="0"/>
      <w:marBottom w:val="0"/>
      <w:divBdr>
        <w:top w:val="none" w:sz="0" w:space="0" w:color="auto"/>
        <w:left w:val="none" w:sz="0" w:space="0" w:color="auto"/>
        <w:bottom w:val="none" w:sz="0" w:space="0" w:color="auto"/>
        <w:right w:val="none" w:sz="0" w:space="0" w:color="auto"/>
      </w:divBdr>
    </w:div>
    <w:div w:id="1210603932">
      <w:bodyDiv w:val="1"/>
      <w:marLeft w:val="0"/>
      <w:marRight w:val="0"/>
      <w:marTop w:val="0"/>
      <w:marBottom w:val="0"/>
      <w:divBdr>
        <w:top w:val="none" w:sz="0" w:space="0" w:color="auto"/>
        <w:left w:val="none" w:sz="0" w:space="0" w:color="auto"/>
        <w:bottom w:val="none" w:sz="0" w:space="0" w:color="auto"/>
        <w:right w:val="none" w:sz="0" w:space="0" w:color="auto"/>
      </w:divBdr>
    </w:div>
    <w:div w:id="1212766678">
      <w:bodyDiv w:val="1"/>
      <w:marLeft w:val="0"/>
      <w:marRight w:val="0"/>
      <w:marTop w:val="0"/>
      <w:marBottom w:val="0"/>
      <w:divBdr>
        <w:top w:val="none" w:sz="0" w:space="0" w:color="auto"/>
        <w:left w:val="none" w:sz="0" w:space="0" w:color="auto"/>
        <w:bottom w:val="none" w:sz="0" w:space="0" w:color="auto"/>
        <w:right w:val="none" w:sz="0" w:space="0" w:color="auto"/>
      </w:divBdr>
      <w:divsChild>
        <w:div w:id="272827798">
          <w:marLeft w:val="0"/>
          <w:marRight w:val="0"/>
          <w:marTop w:val="240"/>
          <w:marBottom w:val="0"/>
          <w:divBdr>
            <w:top w:val="none" w:sz="0" w:space="0" w:color="auto"/>
            <w:left w:val="none" w:sz="0" w:space="0" w:color="auto"/>
            <w:bottom w:val="none" w:sz="0" w:space="0" w:color="auto"/>
            <w:right w:val="none" w:sz="0" w:space="0" w:color="auto"/>
          </w:divBdr>
        </w:div>
      </w:divsChild>
    </w:div>
    <w:div w:id="1239245397">
      <w:bodyDiv w:val="1"/>
      <w:marLeft w:val="0"/>
      <w:marRight w:val="0"/>
      <w:marTop w:val="0"/>
      <w:marBottom w:val="0"/>
      <w:divBdr>
        <w:top w:val="none" w:sz="0" w:space="0" w:color="auto"/>
        <w:left w:val="none" w:sz="0" w:space="0" w:color="auto"/>
        <w:bottom w:val="none" w:sz="0" w:space="0" w:color="auto"/>
        <w:right w:val="none" w:sz="0" w:space="0" w:color="auto"/>
      </w:divBdr>
    </w:div>
    <w:div w:id="1241645064">
      <w:bodyDiv w:val="1"/>
      <w:marLeft w:val="0"/>
      <w:marRight w:val="0"/>
      <w:marTop w:val="0"/>
      <w:marBottom w:val="0"/>
      <w:divBdr>
        <w:top w:val="none" w:sz="0" w:space="0" w:color="auto"/>
        <w:left w:val="none" w:sz="0" w:space="0" w:color="auto"/>
        <w:bottom w:val="none" w:sz="0" w:space="0" w:color="auto"/>
        <w:right w:val="none" w:sz="0" w:space="0" w:color="auto"/>
      </w:divBdr>
    </w:div>
    <w:div w:id="1243222911">
      <w:bodyDiv w:val="1"/>
      <w:marLeft w:val="0"/>
      <w:marRight w:val="0"/>
      <w:marTop w:val="0"/>
      <w:marBottom w:val="0"/>
      <w:divBdr>
        <w:top w:val="none" w:sz="0" w:space="0" w:color="auto"/>
        <w:left w:val="none" w:sz="0" w:space="0" w:color="auto"/>
        <w:bottom w:val="none" w:sz="0" w:space="0" w:color="auto"/>
        <w:right w:val="none" w:sz="0" w:space="0" w:color="auto"/>
      </w:divBdr>
    </w:div>
    <w:div w:id="1251692295">
      <w:bodyDiv w:val="1"/>
      <w:marLeft w:val="0"/>
      <w:marRight w:val="0"/>
      <w:marTop w:val="0"/>
      <w:marBottom w:val="0"/>
      <w:divBdr>
        <w:top w:val="none" w:sz="0" w:space="0" w:color="auto"/>
        <w:left w:val="none" w:sz="0" w:space="0" w:color="auto"/>
        <w:bottom w:val="none" w:sz="0" w:space="0" w:color="auto"/>
        <w:right w:val="none" w:sz="0" w:space="0" w:color="auto"/>
      </w:divBdr>
    </w:div>
    <w:div w:id="1252813893">
      <w:bodyDiv w:val="1"/>
      <w:marLeft w:val="0"/>
      <w:marRight w:val="0"/>
      <w:marTop w:val="0"/>
      <w:marBottom w:val="0"/>
      <w:divBdr>
        <w:top w:val="none" w:sz="0" w:space="0" w:color="auto"/>
        <w:left w:val="none" w:sz="0" w:space="0" w:color="auto"/>
        <w:bottom w:val="none" w:sz="0" w:space="0" w:color="auto"/>
        <w:right w:val="none" w:sz="0" w:space="0" w:color="auto"/>
      </w:divBdr>
      <w:divsChild>
        <w:div w:id="83887216">
          <w:marLeft w:val="0"/>
          <w:marRight w:val="0"/>
          <w:marTop w:val="0"/>
          <w:marBottom w:val="0"/>
          <w:divBdr>
            <w:top w:val="none" w:sz="0" w:space="0" w:color="auto"/>
            <w:left w:val="none" w:sz="0" w:space="0" w:color="auto"/>
            <w:bottom w:val="none" w:sz="0" w:space="0" w:color="auto"/>
            <w:right w:val="none" w:sz="0" w:space="0" w:color="auto"/>
          </w:divBdr>
        </w:div>
        <w:div w:id="563954933">
          <w:marLeft w:val="0"/>
          <w:marRight w:val="0"/>
          <w:marTop w:val="0"/>
          <w:marBottom w:val="0"/>
          <w:divBdr>
            <w:top w:val="none" w:sz="0" w:space="0" w:color="auto"/>
            <w:left w:val="none" w:sz="0" w:space="0" w:color="auto"/>
            <w:bottom w:val="none" w:sz="0" w:space="0" w:color="auto"/>
            <w:right w:val="none" w:sz="0" w:space="0" w:color="auto"/>
          </w:divBdr>
        </w:div>
      </w:divsChild>
    </w:div>
    <w:div w:id="1277981522">
      <w:bodyDiv w:val="1"/>
      <w:marLeft w:val="0"/>
      <w:marRight w:val="0"/>
      <w:marTop w:val="0"/>
      <w:marBottom w:val="0"/>
      <w:divBdr>
        <w:top w:val="none" w:sz="0" w:space="0" w:color="auto"/>
        <w:left w:val="none" w:sz="0" w:space="0" w:color="auto"/>
        <w:bottom w:val="none" w:sz="0" w:space="0" w:color="auto"/>
        <w:right w:val="none" w:sz="0" w:space="0" w:color="auto"/>
      </w:divBdr>
    </w:div>
    <w:div w:id="1278486319">
      <w:bodyDiv w:val="1"/>
      <w:marLeft w:val="0"/>
      <w:marRight w:val="0"/>
      <w:marTop w:val="0"/>
      <w:marBottom w:val="0"/>
      <w:divBdr>
        <w:top w:val="none" w:sz="0" w:space="0" w:color="auto"/>
        <w:left w:val="none" w:sz="0" w:space="0" w:color="auto"/>
        <w:bottom w:val="none" w:sz="0" w:space="0" w:color="auto"/>
        <w:right w:val="none" w:sz="0" w:space="0" w:color="auto"/>
      </w:divBdr>
    </w:div>
    <w:div w:id="1286497351">
      <w:bodyDiv w:val="1"/>
      <w:marLeft w:val="0"/>
      <w:marRight w:val="0"/>
      <w:marTop w:val="0"/>
      <w:marBottom w:val="0"/>
      <w:divBdr>
        <w:top w:val="none" w:sz="0" w:space="0" w:color="auto"/>
        <w:left w:val="none" w:sz="0" w:space="0" w:color="auto"/>
        <w:bottom w:val="none" w:sz="0" w:space="0" w:color="auto"/>
        <w:right w:val="none" w:sz="0" w:space="0" w:color="auto"/>
      </w:divBdr>
    </w:div>
    <w:div w:id="1289555021">
      <w:bodyDiv w:val="1"/>
      <w:marLeft w:val="0"/>
      <w:marRight w:val="0"/>
      <w:marTop w:val="0"/>
      <w:marBottom w:val="0"/>
      <w:divBdr>
        <w:top w:val="none" w:sz="0" w:space="0" w:color="auto"/>
        <w:left w:val="none" w:sz="0" w:space="0" w:color="auto"/>
        <w:bottom w:val="none" w:sz="0" w:space="0" w:color="auto"/>
        <w:right w:val="none" w:sz="0" w:space="0" w:color="auto"/>
      </w:divBdr>
    </w:div>
    <w:div w:id="1292859055">
      <w:bodyDiv w:val="1"/>
      <w:marLeft w:val="0"/>
      <w:marRight w:val="0"/>
      <w:marTop w:val="0"/>
      <w:marBottom w:val="0"/>
      <w:divBdr>
        <w:top w:val="none" w:sz="0" w:space="0" w:color="auto"/>
        <w:left w:val="none" w:sz="0" w:space="0" w:color="auto"/>
        <w:bottom w:val="none" w:sz="0" w:space="0" w:color="auto"/>
        <w:right w:val="none" w:sz="0" w:space="0" w:color="auto"/>
      </w:divBdr>
    </w:div>
    <w:div w:id="1306005820">
      <w:bodyDiv w:val="1"/>
      <w:marLeft w:val="0"/>
      <w:marRight w:val="0"/>
      <w:marTop w:val="0"/>
      <w:marBottom w:val="0"/>
      <w:divBdr>
        <w:top w:val="none" w:sz="0" w:space="0" w:color="auto"/>
        <w:left w:val="none" w:sz="0" w:space="0" w:color="auto"/>
        <w:bottom w:val="none" w:sz="0" w:space="0" w:color="auto"/>
        <w:right w:val="none" w:sz="0" w:space="0" w:color="auto"/>
      </w:divBdr>
    </w:div>
    <w:div w:id="1309170953">
      <w:bodyDiv w:val="1"/>
      <w:marLeft w:val="0"/>
      <w:marRight w:val="0"/>
      <w:marTop w:val="0"/>
      <w:marBottom w:val="0"/>
      <w:divBdr>
        <w:top w:val="none" w:sz="0" w:space="0" w:color="auto"/>
        <w:left w:val="none" w:sz="0" w:space="0" w:color="auto"/>
        <w:bottom w:val="none" w:sz="0" w:space="0" w:color="auto"/>
        <w:right w:val="none" w:sz="0" w:space="0" w:color="auto"/>
      </w:divBdr>
    </w:div>
    <w:div w:id="1312556985">
      <w:bodyDiv w:val="1"/>
      <w:marLeft w:val="0"/>
      <w:marRight w:val="0"/>
      <w:marTop w:val="0"/>
      <w:marBottom w:val="0"/>
      <w:divBdr>
        <w:top w:val="none" w:sz="0" w:space="0" w:color="auto"/>
        <w:left w:val="none" w:sz="0" w:space="0" w:color="auto"/>
        <w:bottom w:val="none" w:sz="0" w:space="0" w:color="auto"/>
        <w:right w:val="none" w:sz="0" w:space="0" w:color="auto"/>
      </w:divBdr>
    </w:div>
    <w:div w:id="1336154902">
      <w:bodyDiv w:val="1"/>
      <w:marLeft w:val="0"/>
      <w:marRight w:val="0"/>
      <w:marTop w:val="0"/>
      <w:marBottom w:val="0"/>
      <w:divBdr>
        <w:top w:val="none" w:sz="0" w:space="0" w:color="auto"/>
        <w:left w:val="none" w:sz="0" w:space="0" w:color="auto"/>
        <w:bottom w:val="none" w:sz="0" w:space="0" w:color="auto"/>
        <w:right w:val="none" w:sz="0" w:space="0" w:color="auto"/>
      </w:divBdr>
    </w:div>
    <w:div w:id="1345206015">
      <w:bodyDiv w:val="1"/>
      <w:marLeft w:val="0"/>
      <w:marRight w:val="0"/>
      <w:marTop w:val="0"/>
      <w:marBottom w:val="0"/>
      <w:divBdr>
        <w:top w:val="none" w:sz="0" w:space="0" w:color="auto"/>
        <w:left w:val="none" w:sz="0" w:space="0" w:color="auto"/>
        <w:bottom w:val="none" w:sz="0" w:space="0" w:color="auto"/>
        <w:right w:val="none" w:sz="0" w:space="0" w:color="auto"/>
      </w:divBdr>
    </w:div>
    <w:div w:id="1345985143">
      <w:bodyDiv w:val="1"/>
      <w:marLeft w:val="0"/>
      <w:marRight w:val="0"/>
      <w:marTop w:val="0"/>
      <w:marBottom w:val="0"/>
      <w:divBdr>
        <w:top w:val="none" w:sz="0" w:space="0" w:color="auto"/>
        <w:left w:val="none" w:sz="0" w:space="0" w:color="auto"/>
        <w:bottom w:val="none" w:sz="0" w:space="0" w:color="auto"/>
        <w:right w:val="none" w:sz="0" w:space="0" w:color="auto"/>
      </w:divBdr>
    </w:div>
    <w:div w:id="1350375553">
      <w:bodyDiv w:val="1"/>
      <w:marLeft w:val="0"/>
      <w:marRight w:val="0"/>
      <w:marTop w:val="0"/>
      <w:marBottom w:val="0"/>
      <w:divBdr>
        <w:top w:val="none" w:sz="0" w:space="0" w:color="auto"/>
        <w:left w:val="none" w:sz="0" w:space="0" w:color="auto"/>
        <w:bottom w:val="none" w:sz="0" w:space="0" w:color="auto"/>
        <w:right w:val="none" w:sz="0" w:space="0" w:color="auto"/>
      </w:divBdr>
    </w:div>
    <w:div w:id="1356417970">
      <w:bodyDiv w:val="1"/>
      <w:marLeft w:val="0"/>
      <w:marRight w:val="0"/>
      <w:marTop w:val="0"/>
      <w:marBottom w:val="0"/>
      <w:divBdr>
        <w:top w:val="none" w:sz="0" w:space="0" w:color="auto"/>
        <w:left w:val="none" w:sz="0" w:space="0" w:color="auto"/>
        <w:bottom w:val="none" w:sz="0" w:space="0" w:color="auto"/>
        <w:right w:val="none" w:sz="0" w:space="0" w:color="auto"/>
      </w:divBdr>
    </w:div>
    <w:div w:id="1364676334">
      <w:bodyDiv w:val="1"/>
      <w:marLeft w:val="0"/>
      <w:marRight w:val="0"/>
      <w:marTop w:val="0"/>
      <w:marBottom w:val="0"/>
      <w:divBdr>
        <w:top w:val="none" w:sz="0" w:space="0" w:color="auto"/>
        <w:left w:val="none" w:sz="0" w:space="0" w:color="auto"/>
        <w:bottom w:val="none" w:sz="0" w:space="0" w:color="auto"/>
        <w:right w:val="none" w:sz="0" w:space="0" w:color="auto"/>
      </w:divBdr>
    </w:div>
    <w:div w:id="1366057748">
      <w:bodyDiv w:val="1"/>
      <w:marLeft w:val="0"/>
      <w:marRight w:val="0"/>
      <w:marTop w:val="0"/>
      <w:marBottom w:val="0"/>
      <w:divBdr>
        <w:top w:val="none" w:sz="0" w:space="0" w:color="auto"/>
        <w:left w:val="none" w:sz="0" w:space="0" w:color="auto"/>
        <w:bottom w:val="none" w:sz="0" w:space="0" w:color="auto"/>
        <w:right w:val="none" w:sz="0" w:space="0" w:color="auto"/>
      </w:divBdr>
    </w:div>
    <w:div w:id="1367750566">
      <w:bodyDiv w:val="1"/>
      <w:marLeft w:val="0"/>
      <w:marRight w:val="0"/>
      <w:marTop w:val="0"/>
      <w:marBottom w:val="0"/>
      <w:divBdr>
        <w:top w:val="none" w:sz="0" w:space="0" w:color="auto"/>
        <w:left w:val="none" w:sz="0" w:space="0" w:color="auto"/>
        <w:bottom w:val="none" w:sz="0" w:space="0" w:color="auto"/>
        <w:right w:val="none" w:sz="0" w:space="0" w:color="auto"/>
      </w:divBdr>
    </w:div>
    <w:div w:id="1377663934">
      <w:bodyDiv w:val="1"/>
      <w:marLeft w:val="0"/>
      <w:marRight w:val="0"/>
      <w:marTop w:val="0"/>
      <w:marBottom w:val="0"/>
      <w:divBdr>
        <w:top w:val="none" w:sz="0" w:space="0" w:color="auto"/>
        <w:left w:val="none" w:sz="0" w:space="0" w:color="auto"/>
        <w:bottom w:val="none" w:sz="0" w:space="0" w:color="auto"/>
        <w:right w:val="none" w:sz="0" w:space="0" w:color="auto"/>
      </w:divBdr>
    </w:div>
    <w:div w:id="1383553745">
      <w:bodyDiv w:val="1"/>
      <w:marLeft w:val="0"/>
      <w:marRight w:val="0"/>
      <w:marTop w:val="0"/>
      <w:marBottom w:val="0"/>
      <w:divBdr>
        <w:top w:val="none" w:sz="0" w:space="0" w:color="auto"/>
        <w:left w:val="none" w:sz="0" w:space="0" w:color="auto"/>
        <w:bottom w:val="none" w:sz="0" w:space="0" w:color="auto"/>
        <w:right w:val="none" w:sz="0" w:space="0" w:color="auto"/>
      </w:divBdr>
    </w:div>
    <w:div w:id="1394890451">
      <w:bodyDiv w:val="1"/>
      <w:marLeft w:val="0"/>
      <w:marRight w:val="0"/>
      <w:marTop w:val="0"/>
      <w:marBottom w:val="0"/>
      <w:divBdr>
        <w:top w:val="none" w:sz="0" w:space="0" w:color="auto"/>
        <w:left w:val="none" w:sz="0" w:space="0" w:color="auto"/>
        <w:bottom w:val="none" w:sz="0" w:space="0" w:color="auto"/>
        <w:right w:val="none" w:sz="0" w:space="0" w:color="auto"/>
      </w:divBdr>
    </w:div>
    <w:div w:id="1397360375">
      <w:bodyDiv w:val="1"/>
      <w:marLeft w:val="0"/>
      <w:marRight w:val="0"/>
      <w:marTop w:val="0"/>
      <w:marBottom w:val="0"/>
      <w:divBdr>
        <w:top w:val="none" w:sz="0" w:space="0" w:color="auto"/>
        <w:left w:val="none" w:sz="0" w:space="0" w:color="auto"/>
        <w:bottom w:val="none" w:sz="0" w:space="0" w:color="auto"/>
        <w:right w:val="none" w:sz="0" w:space="0" w:color="auto"/>
      </w:divBdr>
    </w:div>
    <w:div w:id="1398045085">
      <w:bodyDiv w:val="1"/>
      <w:marLeft w:val="0"/>
      <w:marRight w:val="0"/>
      <w:marTop w:val="0"/>
      <w:marBottom w:val="0"/>
      <w:divBdr>
        <w:top w:val="none" w:sz="0" w:space="0" w:color="auto"/>
        <w:left w:val="none" w:sz="0" w:space="0" w:color="auto"/>
        <w:bottom w:val="none" w:sz="0" w:space="0" w:color="auto"/>
        <w:right w:val="none" w:sz="0" w:space="0" w:color="auto"/>
      </w:divBdr>
    </w:div>
    <w:div w:id="1401057928">
      <w:bodyDiv w:val="1"/>
      <w:marLeft w:val="0"/>
      <w:marRight w:val="0"/>
      <w:marTop w:val="0"/>
      <w:marBottom w:val="0"/>
      <w:divBdr>
        <w:top w:val="none" w:sz="0" w:space="0" w:color="auto"/>
        <w:left w:val="none" w:sz="0" w:space="0" w:color="auto"/>
        <w:bottom w:val="none" w:sz="0" w:space="0" w:color="auto"/>
        <w:right w:val="none" w:sz="0" w:space="0" w:color="auto"/>
      </w:divBdr>
    </w:div>
    <w:div w:id="1402871662">
      <w:bodyDiv w:val="1"/>
      <w:marLeft w:val="0"/>
      <w:marRight w:val="0"/>
      <w:marTop w:val="0"/>
      <w:marBottom w:val="0"/>
      <w:divBdr>
        <w:top w:val="none" w:sz="0" w:space="0" w:color="auto"/>
        <w:left w:val="none" w:sz="0" w:space="0" w:color="auto"/>
        <w:bottom w:val="none" w:sz="0" w:space="0" w:color="auto"/>
        <w:right w:val="none" w:sz="0" w:space="0" w:color="auto"/>
      </w:divBdr>
    </w:div>
    <w:div w:id="1402946365">
      <w:bodyDiv w:val="1"/>
      <w:marLeft w:val="0"/>
      <w:marRight w:val="0"/>
      <w:marTop w:val="0"/>
      <w:marBottom w:val="0"/>
      <w:divBdr>
        <w:top w:val="none" w:sz="0" w:space="0" w:color="auto"/>
        <w:left w:val="none" w:sz="0" w:space="0" w:color="auto"/>
        <w:bottom w:val="none" w:sz="0" w:space="0" w:color="auto"/>
        <w:right w:val="none" w:sz="0" w:space="0" w:color="auto"/>
      </w:divBdr>
    </w:div>
    <w:div w:id="1405568400">
      <w:bodyDiv w:val="1"/>
      <w:marLeft w:val="0"/>
      <w:marRight w:val="0"/>
      <w:marTop w:val="0"/>
      <w:marBottom w:val="0"/>
      <w:divBdr>
        <w:top w:val="none" w:sz="0" w:space="0" w:color="auto"/>
        <w:left w:val="none" w:sz="0" w:space="0" w:color="auto"/>
        <w:bottom w:val="none" w:sz="0" w:space="0" w:color="auto"/>
        <w:right w:val="none" w:sz="0" w:space="0" w:color="auto"/>
      </w:divBdr>
    </w:div>
    <w:div w:id="1422028554">
      <w:bodyDiv w:val="1"/>
      <w:marLeft w:val="0"/>
      <w:marRight w:val="0"/>
      <w:marTop w:val="0"/>
      <w:marBottom w:val="0"/>
      <w:divBdr>
        <w:top w:val="none" w:sz="0" w:space="0" w:color="auto"/>
        <w:left w:val="none" w:sz="0" w:space="0" w:color="auto"/>
        <w:bottom w:val="none" w:sz="0" w:space="0" w:color="auto"/>
        <w:right w:val="none" w:sz="0" w:space="0" w:color="auto"/>
      </w:divBdr>
    </w:div>
    <w:div w:id="1431244601">
      <w:bodyDiv w:val="1"/>
      <w:marLeft w:val="0"/>
      <w:marRight w:val="0"/>
      <w:marTop w:val="0"/>
      <w:marBottom w:val="0"/>
      <w:divBdr>
        <w:top w:val="none" w:sz="0" w:space="0" w:color="auto"/>
        <w:left w:val="none" w:sz="0" w:space="0" w:color="auto"/>
        <w:bottom w:val="none" w:sz="0" w:space="0" w:color="auto"/>
        <w:right w:val="none" w:sz="0" w:space="0" w:color="auto"/>
      </w:divBdr>
    </w:div>
    <w:div w:id="1452017581">
      <w:bodyDiv w:val="1"/>
      <w:marLeft w:val="0"/>
      <w:marRight w:val="0"/>
      <w:marTop w:val="0"/>
      <w:marBottom w:val="0"/>
      <w:divBdr>
        <w:top w:val="none" w:sz="0" w:space="0" w:color="auto"/>
        <w:left w:val="none" w:sz="0" w:space="0" w:color="auto"/>
        <w:bottom w:val="none" w:sz="0" w:space="0" w:color="auto"/>
        <w:right w:val="none" w:sz="0" w:space="0" w:color="auto"/>
      </w:divBdr>
    </w:div>
    <w:div w:id="1457597562">
      <w:bodyDiv w:val="1"/>
      <w:marLeft w:val="0"/>
      <w:marRight w:val="0"/>
      <w:marTop w:val="0"/>
      <w:marBottom w:val="0"/>
      <w:divBdr>
        <w:top w:val="none" w:sz="0" w:space="0" w:color="auto"/>
        <w:left w:val="none" w:sz="0" w:space="0" w:color="auto"/>
        <w:bottom w:val="none" w:sz="0" w:space="0" w:color="auto"/>
        <w:right w:val="none" w:sz="0" w:space="0" w:color="auto"/>
      </w:divBdr>
    </w:div>
    <w:div w:id="1461610030">
      <w:bodyDiv w:val="1"/>
      <w:marLeft w:val="0"/>
      <w:marRight w:val="0"/>
      <w:marTop w:val="0"/>
      <w:marBottom w:val="0"/>
      <w:divBdr>
        <w:top w:val="none" w:sz="0" w:space="0" w:color="auto"/>
        <w:left w:val="none" w:sz="0" w:space="0" w:color="auto"/>
        <w:bottom w:val="none" w:sz="0" w:space="0" w:color="auto"/>
        <w:right w:val="none" w:sz="0" w:space="0" w:color="auto"/>
      </w:divBdr>
    </w:div>
    <w:div w:id="1474056950">
      <w:bodyDiv w:val="1"/>
      <w:marLeft w:val="0"/>
      <w:marRight w:val="0"/>
      <w:marTop w:val="0"/>
      <w:marBottom w:val="0"/>
      <w:divBdr>
        <w:top w:val="none" w:sz="0" w:space="0" w:color="auto"/>
        <w:left w:val="none" w:sz="0" w:space="0" w:color="auto"/>
        <w:bottom w:val="none" w:sz="0" w:space="0" w:color="auto"/>
        <w:right w:val="none" w:sz="0" w:space="0" w:color="auto"/>
      </w:divBdr>
    </w:div>
    <w:div w:id="1474329449">
      <w:bodyDiv w:val="1"/>
      <w:marLeft w:val="0"/>
      <w:marRight w:val="0"/>
      <w:marTop w:val="0"/>
      <w:marBottom w:val="0"/>
      <w:divBdr>
        <w:top w:val="none" w:sz="0" w:space="0" w:color="auto"/>
        <w:left w:val="none" w:sz="0" w:space="0" w:color="auto"/>
        <w:bottom w:val="none" w:sz="0" w:space="0" w:color="auto"/>
        <w:right w:val="none" w:sz="0" w:space="0" w:color="auto"/>
      </w:divBdr>
    </w:div>
    <w:div w:id="1479489852">
      <w:bodyDiv w:val="1"/>
      <w:marLeft w:val="0"/>
      <w:marRight w:val="0"/>
      <w:marTop w:val="0"/>
      <w:marBottom w:val="0"/>
      <w:divBdr>
        <w:top w:val="none" w:sz="0" w:space="0" w:color="auto"/>
        <w:left w:val="none" w:sz="0" w:space="0" w:color="auto"/>
        <w:bottom w:val="none" w:sz="0" w:space="0" w:color="auto"/>
        <w:right w:val="none" w:sz="0" w:space="0" w:color="auto"/>
      </w:divBdr>
    </w:div>
    <w:div w:id="1494026764">
      <w:bodyDiv w:val="1"/>
      <w:marLeft w:val="0"/>
      <w:marRight w:val="0"/>
      <w:marTop w:val="0"/>
      <w:marBottom w:val="0"/>
      <w:divBdr>
        <w:top w:val="none" w:sz="0" w:space="0" w:color="auto"/>
        <w:left w:val="none" w:sz="0" w:space="0" w:color="auto"/>
        <w:bottom w:val="none" w:sz="0" w:space="0" w:color="auto"/>
        <w:right w:val="none" w:sz="0" w:space="0" w:color="auto"/>
      </w:divBdr>
    </w:div>
    <w:div w:id="1501459187">
      <w:bodyDiv w:val="1"/>
      <w:marLeft w:val="0"/>
      <w:marRight w:val="0"/>
      <w:marTop w:val="0"/>
      <w:marBottom w:val="0"/>
      <w:divBdr>
        <w:top w:val="none" w:sz="0" w:space="0" w:color="auto"/>
        <w:left w:val="none" w:sz="0" w:space="0" w:color="auto"/>
        <w:bottom w:val="none" w:sz="0" w:space="0" w:color="auto"/>
        <w:right w:val="none" w:sz="0" w:space="0" w:color="auto"/>
      </w:divBdr>
    </w:div>
    <w:div w:id="1515068707">
      <w:bodyDiv w:val="1"/>
      <w:marLeft w:val="0"/>
      <w:marRight w:val="0"/>
      <w:marTop w:val="0"/>
      <w:marBottom w:val="0"/>
      <w:divBdr>
        <w:top w:val="none" w:sz="0" w:space="0" w:color="auto"/>
        <w:left w:val="none" w:sz="0" w:space="0" w:color="auto"/>
        <w:bottom w:val="none" w:sz="0" w:space="0" w:color="auto"/>
        <w:right w:val="none" w:sz="0" w:space="0" w:color="auto"/>
      </w:divBdr>
    </w:div>
    <w:div w:id="1557468880">
      <w:bodyDiv w:val="1"/>
      <w:marLeft w:val="0"/>
      <w:marRight w:val="0"/>
      <w:marTop w:val="0"/>
      <w:marBottom w:val="0"/>
      <w:divBdr>
        <w:top w:val="none" w:sz="0" w:space="0" w:color="auto"/>
        <w:left w:val="none" w:sz="0" w:space="0" w:color="auto"/>
        <w:bottom w:val="none" w:sz="0" w:space="0" w:color="auto"/>
        <w:right w:val="none" w:sz="0" w:space="0" w:color="auto"/>
      </w:divBdr>
    </w:div>
    <w:div w:id="1569457509">
      <w:bodyDiv w:val="1"/>
      <w:marLeft w:val="0"/>
      <w:marRight w:val="0"/>
      <w:marTop w:val="0"/>
      <w:marBottom w:val="0"/>
      <w:divBdr>
        <w:top w:val="none" w:sz="0" w:space="0" w:color="auto"/>
        <w:left w:val="none" w:sz="0" w:space="0" w:color="auto"/>
        <w:bottom w:val="none" w:sz="0" w:space="0" w:color="auto"/>
        <w:right w:val="none" w:sz="0" w:space="0" w:color="auto"/>
      </w:divBdr>
    </w:div>
    <w:div w:id="1581215733">
      <w:bodyDiv w:val="1"/>
      <w:marLeft w:val="0"/>
      <w:marRight w:val="0"/>
      <w:marTop w:val="0"/>
      <w:marBottom w:val="0"/>
      <w:divBdr>
        <w:top w:val="none" w:sz="0" w:space="0" w:color="auto"/>
        <w:left w:val="none" w:sz="0" w:space="0" w:color="auto"/>
        <w:bottom w:val="none" w:sz="0" w:space="0" w:color="auto"/>
        <w:right w:val="none" w:sz="0" w:space="0" w:color="auto"/>
      </w:divBdr>
    </w:div>
    <w:div w:id="1581712302">
      <w:bodyDiv w:val="1"/>
      <w:marLeft w:val="0"/>
      <w:marRight w:val="0"/>
      <w:marTop w:val="0"/>
      <w:marBottom w:val="0"/>
      <w:divBdr>
        <w:top w:val="none" w:sz="0" w:space="0" w:color="auto"/>
        <w:left w:val="none" w:sz="0" w:space="0" w:color="auto"/>
        <w:bottom w:val="none" w:sz="0" w:space="0" w:color="auto"/>
        <w:right w:val="none" w:sz="0" w:space="0" w:color="auto"/>
      </w:divBdr>
    </w:div>
    <w:div w:id="1586526927">
      <w:bodyDiv w:val="1"/>
      <w:marLeft w:val="0"/>
      <w:marRight w:val="0"/>
      <w:marTop w:val="0"/>
      <w:marBottom w:val="0"/>
      <w:divBdr>
        <w:top w:val="none" w:sz="0" w:space="0" w:color="auto"/>
        <w:left w:val="none" w:sz="0" w:space="0" w:color="auto"/>
        <w:bottom w:val="none" w:sz="0" w:space="0" w:color="auto"/>
        <w:right w:val="none" w:sz="0" w:space="0" w:color="auto"/>
      </w:divBdr>
    </w:div>
    <w:div w:id="1592347768">
      <w:bodyDiv w:val="1"/>
      <w:marLeft w:val="0"/>
      <w:marRight w:val="0"/>
      <w:marTop w:val="0"/>
      <w:marBottom w:val="0"/>
      <w:divBdr>
        <w:top w:val="none" w:sz="0" w:space="0" w:color="auto"/>
        <w:left w:val="none" w:sz="0" w:space="0" w:color="auto"/>
        <w:bottom w:val="none" w:sz="0" w:space="0" w:color="auto"/>
        <w:right w:val="none" w:sz="0" w:space="0" w:color="auto"/>
      </w:divBdr>
    </w:div>
    <w:div w:id="1603026798">
      <w:bodyDiv w:val="1"/>
      <w:marLeft w:val="0"/>
      <w:marRight w:val="0"/>
      <w:marTop w:val="0"/>
      <w:marBottom w:val="0"/>
      <w:divBdr>
        <w:top w:val="none" w:sz="0" w:space="0" w:color="auto"/>
        <w:left w:val="none" w:sz="0" w:space="0" w:color="auto"/>
        <w:bottom w:val="none" w:sz="0" w:space="0" w:color="auto"/>
        <w:right w:val="none" w:sz="0" w:space="0" w:color="auto"/>
      </w:divBdr>
      <w:divsChild>
        <w:div w:id="1789199152">
          <w:marLeft w:val="0"/>
          <w:marRight w:val="0"/>
          <w:marTop w:val="0"/>
          <w:marBottom w:val="0"/>
          <w:divBdr>
            <w:top w:val="none" w:sz="0" w:space="0" w:color="auto"/>
            <w:left w:val="none" w:sz="0" w:space="0" w:color="auto"/>
            <w:bottom w:val="none" w:sz="0" w:space="0" w:color="auto"/>
            <w:right w:val="none" w:sz="0" w:space="0" w:color="auto"/>
          </w:divBdr>
          <w:divsChild>
            <w:div w:id="1364012018">
              <w:marLeft w:val="0"/>
              <w:marRight w:val="0"/>
              <w:marTop w:val="0"/>
              <w:marBottom w:val="0"/>
              <w:divBdr>
                <w:top w:val="none" w:sz="0" w:space="0" w:color="auto"/>
                <w:left w:val="none" w:sz="0" w:space="0" w:color="auto"/>
                <w:bottom w:val="none" w:sz="0" w:space="0" w:color="auto"/>
                <w:right w:val="none" w:sz="0" w:space="0" w:color="auto"/>
              </w:divBdr>
              <w:divsChild>
                <w:div w:id="675617629">
                  <w:marLeft w:val="0"/>
                  <w:marRight w:val="0"/>
                  <w:marTop w:val="0"/>
                  <w:marBottom w:val="0"/>
                  <w:divBdr>
                    <w:top w:val="none" w:sz="0" w:space="0" w:color="auto"/>
                    <w:left w:val="none" w:sz="0" w:space="0" w:color="auto"/>
                    <w:bottom w:val="none" w:sz="0" w:space="0" w:color="auto"/>
                    <w:right w:val="none" w:sz="0" w:space="0" w:color="auto"/>
                  </w:divBdr>
                  <w:divsChild>
                    <w:div w:id="170636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33484">
      <w:bodyDiv w:val="1"/>
      <w:marLeft w:val="0"/>
      <w:marRight w:val="0"/>
      <w:marTop w:val="0"/>
      <w:marBottom w:val="0"/>
      <w:divBdr>
        <w:top w:val="none" w:sz="0" w:space="0" w:color="auto"/>
        <w:left w:val="none" w:sz="0" w:space="0" w:color="auto"/>
        <w:bottom w:val="none" w:sz="0" w:space="0" w:color="auto"/>
        <w:right w:val="none" w:sz="0" w:space="0" w:color="auto"/>
      </w:divBdr>
    </w:div>
    <w:div w:id="1619945257">
      <w:bodyDiv w:val="1"/>
      <w:marLeft w:val="0"/>
      <w:marRight w:val="0"/>
      <w:marTop w:val="0"/>
      <w:marBottom w:val="0"/>
      <w:divBdr>
        <w:top w:val="none" w:sz="0" w:space="0" w:color="auto"/>
        <w:left w:val="none" w:sz="0" w:space="0" w:color="auto"/>
        <w:bottom w:val="none" w:sz="0" w:space="0" w:color="auto"/>
        <w:right w:val="none" w:sz="0" w:space="0" w:color="auto"/>
      </w:divBdr>
    </w:div>
    <w:div w:id="1622764292">
      <w:bodyDiv w:val="1"/>
      <w:marLeft w:val="0"/>
      <w:marRight w:val="0"/>
      <w:marTop w:val="0"/>
      <w:marBottom w:val="0"/>
      <w:divBdr>
        <w:top w:val="none" w:sz="0" w:space="0" w:color="auto"/>
        <w:left w:val="none" w:sz="0" w:space="0" w:color="auto"/>
        <w:bottom w:val="none" w:sz="0" w:space="0" w:color="auto"/>
        <w:right w:val="none" w:sz="0" w:space="0" w:color="auto"/>
      </w:divBdr>
      <w:divsChild>
        <w:div w:id="582957285">
          <w:marLeft w:val="0"/>
          <w:marRight w:val="0"/>
          <w:marTop w:val="0"/>
          <w:marBottom w:val="0"/>
          <w:divBdr>
            <w:top w:val="none" w:sz="0" w:space="0" w:color="auto"/>
            <w:left w:val="none" w:sz="0" w:space="0" w:color="auto"/>
            <w:bottom w:val="none" w:sz="0" w:space="0" w:color="auto"/>
            <w:right w:val="none" w:sz="0" w:space="0" w:color="auto"/>
          </w:divBdr>
        </w:div>
        <w:div w:id="2035694835">
          <w:marLeft w:val="0"/>
          <w:marRight w:val="0"/>
          <w:marTop w:val="0"/>
          <w:marBottom w:val="0"/>
          <w:divBdr>
            <w:top w:val="none" w:sz="0" w:space="0" w:color="auto"/>
            <w:left w:val="none" w:sz="0" w:space="0" w:color="auto"/>
            <w:bottom w:val="none" w:sz="0" w:space="0" w:color="auto"/>
            <w:right w:val="none" w:sz="0" w:space="0" w:color="auto"/>
          </w:divBdr>
        </w:div>
      </w:divsChild>
    </w:div>
    <w:div w:id="1627010069">
      <w:bodyDiv w:val="1"/>
      <w:marLeft w:val="0"/>
      <w:marRight w:val="0"/>
      <w:marTop w:val="0"/>
      <w:marBottom w:val="0"/>
      <w:divBdr>
        <w:top w:val="none" w:sz="0" w:space="0" w:color="auto"/>
        <w:left w:val="none" w:sz="0" w:space="0" w:color="auto"/>
        <w:bottom w:val="none" w:sz="0" w:space="0" w:color="auto"/>
        <w:right w:val="none" w:sz="0" w:space="0" w:color="auto"/>
      </w:divBdr>
    </w:div>
    <w:div w:id="1627199542">
      <w:bodyDiv w:val="1"/>
      <w:marLeft w:val="0"/>
      <w:marRight w:val="0"/>
      <w:marTop w:val="0"/>
      <w:marBottom w:val="0"/>
      <w:divBdr>
        <w:top w:val="none" w:sz="0" w:space="0" w:color="auto"/>
        <w:left w:val="none" w:sz="0" w:space="0" w:color="auto"/>
        <w:bottom w:val="none" w:sz="0" w:space="0" w:color="auto"/>
        <w:right w:val="none" w:sz="0" w:space="0" w:color="auto"/>
      </w:divBdr>
    </w:div>
    <w:div w:id="1628972337">
      <w:bodyDiv w:val="1"/>
      <w:marLeft w:val="0"/>
      <w:marRight w:val="0"/>
      <w:marTop w:val="0"/>
      <w:marBottom w:val="0"/>
      <w:divBdr>
        <w:top w:val="none" w:sz="0" w:space="0" w:color="auto"/>
        <w:left w:val="none" w:sz="0" w:space="0" w:color="auto"/>
        <w:bottom w:val="none" w:sz="0" w:space="0" w:color="auto"/>
        <w:right w:val="none" w:sz="0" w:space="0" w:color="auto"/>
      </w:divBdr>
    </w:div>
    <w:div w:id="1642273044">
      <w:bodyDiv w:val="1"/>
      <w:marLeft w:val="0"/>
      <w:marRight w:val="0"/>
      <w:marTop w:val="0"/>
      <w:marBottom w:val="0"/>
      <w:divBdr>
        <w:top w:val="none" w:sz="0" w:space="0" w:color="auto"/>
        <w:left w:val="none" w:sz="0" w:space="0" w:color="auto"/>
        <w:bottom w:val="none" w:sz="0" w:space="0" w:color="auto"/>
        <w:right w:val="none" w:sz="0" w:space="0" w:color="auto"/>
      </w:divBdr>
    </w:div>
    <w:div w:id="1654068867">
      <w:bodyDiv w:val="1"/>
      <w:marLeft w:val="0"/>
      <w:marRight w:val="0"/>
      <w:marTop w:val="0"/>
      <w:marBottom w:val="0"/>
      <w:divBdr>
        <w:top w:val="none" w:sz="0" w:space="0" w:color="auto"/>
        <w:left w:val="none" w:sz="0" w:space="0" w:color="auto"/>
        <w:bottom w:val="none" w:sz="0" w:space="0" w:color="auto"/>
        <w:right w:val="none" w:sz="0" w:space="0" w:color="auto"/>
      </w:divBdr>
    </w:div>
    <w:div w:id="1657026204">
      <w:bodyDiv w:val="1"/>
      <w:marLeft w:val="0"/>
      <w:marRight w:val="0"/>
      <w:marTop w:val="0"/>
      <w:marBottom w:val="0"/>
      <w:divBdr>
        <w:top w:val="none" w:sz="0" w:space="0" w:color="auto"/>
        <w:left w:val="none" w:sz="0" w:space="0" w:color="auto"/>
        <w:bottom w:val="none" w:sz="0" w:space="0" w:color="auto"/>
        <w:right w:val="none" w:sz="0" w:space="0" w:color="auto"/>
      </w:divBdr>
    </w:div>
    <w:div w:id="1662463348">
      <w:bodyDiv w:val="1"/>
      <w:marLeft w:val="0"/>
      <w:marRight w:val="0"/>
      <w:marTop w:val="0"/>
      <w:marBottom w:val="0"/>
      <w:divBdr>
        <w:top w:val="none" w:sz="0" w:space="0" w:color="auto"/>
        <w:left w:val="none" w:sz="0" w:space="0" w:color="auto"/>
        <w:bottom w:val="none" w:sz="0" w:space="0" w:color="auto"/>
        <w:right w:val="none" w:sz="0" w:space="0" w:color="auto"/>
      </w:divBdr>
    </w:div>
    <w:div w:id="1671522455">
      <w:bodyDiv w:val="1"/>
      <w:marLeft w:val="0"/>
      <w:marRight w:val="0"/>
      <w:marTop w:val="0"/>
      <w:marBottom w:val="0"/>
      <w:divBdr>
        <w:top w:val="none" w:sz="0" w:space="0" w:color="auto"/>
        <w:left w:val="none" w:sz="0" w:space="0" w:color="auto"/>
        <w:bottom w:val="none" w:sz="0" w:space="0" w:color="auto"/>
        <w:right w:val="none" w:sz="0" w:space="0" w:color="auto"/>
      </w:divBdr>
    </w:div>
    <w:div w:id="1689989384">
      <w:bodyDiv w:val="1"/>
      <w:marLeft w:val="0"/>
      <w:marRight w:val="0"/>
      <w:marTop w:val="0"/>
      <w:marBottom w:val="0"/>
      <w:divBdr>
        <w:top w:val="none" w:sz="0" w:space="0" w:color="auto"/>
        <w:left w:val="none" w:sz="0" w:space="0" w:color="auto"/>
        <w:bottom w:val="none" w:sz="0" w:space="0" w:color="auto"/>
        <w:right w:val="none" w:sz="0" w:space="0" w:color="auto"/>
      </w:divBdr>
    </w:div>
    <w:div w:id="1691878278">
      <w:bodyDiv w:val="1"/>
      <w:marLeft w:val="0"/>
      <w:marRight w:val="0"/>
      <w:marTop w:val="0"/>
      <w:marBottom w:val="0"/>
      <w:divBdr>
        <w:top w:val="none" w:sz="0" w:space="0" w:color="auto"/>
        <w:left w:val="none" w:sz="0" w:space="0" w:color="auto"/>
        <w:bottom w:val="none" w:sz="0" w:space="0" w:color="auto"/>
        <w:right w:val="none" w:sz="0" w:space="0" w:color="auto"/>
      </w:divBdr>
    </w:div>
    <w:div w:id="1693338979">
      <w:bodyDiv w:val="1"/>
      <w:marLeft w:val="0"/>
      <w:marRight w:val="0"/>
      <w:marTop w:val="0"/>
      <w:marBottom w:val="0"/>
      <w:divBdr>
        <w:top w:val="none" w:sz="0" w:space="0" w:color="auto"/>
        <w:left w:val="none" w:sz="0" w:space="0" w:color="auto"/>
        <w:bottom w:val="none" w:sz="0" w:space="0" w:color="auto"/>
        <w:right w:val="none" w:sz="0" w:space="0" w:color="auto"/>
      </w:divBdr>
    </w:div>
    <w:div w:id="1693454057">
      <w:bodyDiv w:val="1"/>
      <w:marLeft w:val="0"/>
      <w:marRight w:val="0"/>
      <w:marTop w:val="0"/>
      <w:marBottom w:val="0"/>
      <w:divBdr>
        <w:top w:val="none" w:sz="0" w:space="0" w:color="auto"/>
        <w:left w:val="none" w:sz="0" w:space="0" w:color="auto"/>
        <w:bottom w:val="none" w:sz="0" w:space="0" w:color="auto"/>
        <w:right w:val="none" w:sz="0" w:space="0" w:color="auto"/>
      </w:divBdr>
    </w:div>
    <w:div w:id="1693605944">
      <w:bodyDiv w:val="1"/>
      <w:marLeft w:val="0"/>
      <w:marRight w:val="0"/>
      <w:marTop w:val="0"/>
      <w:marBottom w:val="0"/>
      <w:divBdr>
        <w:top w:val="none" w:sz="0" w:space="0" w:color="auto"/>
        <w:left w:val="none" w:sz="0" w:space="0" w:color="auto"/>
        <w:bottom w:val="none" w:sz="0" w:space="0" w:color="auto"/>
        <w:right w:val="none" w:sz="0" w:space="0" w:color="auto"/>
      </w:divBdr>
    </w:div>
    <w:div w:id="1694186077">
      <w:bodyDiv w:val="1"/>
      <w:marLeft w:val="0"/>
      <w:marRight w:val="0"/>
      <w:marTop w:val="0"/>
      <w:marBottom w:val="0"/>
      <w:divBdr>
        <w:top w:val="none" w:sz="0" w:space="0" w:color="auto"/>
        <w:left w:val="none" w:sz="0" w:space="0" w:color="auto"/>
        <w:bottom w:val="none" w:sz="0" w:space="0" w:color="auto"/>
        <w:right w:val="none" w:sz="0" w:space="0" w:color="auto"/>
      </w:divBdr>
      <w:divsChild>
        <w:div w:id="913125545">
          <w:marLeft w:val="0"/>
          <w:marRight w:val="0"/>
          <w:marTop w:val="0"/>
          <w:marBottom w:val="0"/>
          <w:divBdr>
            <w:top w:val="none" w:sz="0" w:space="0" w:color="auto"/>
            <w:left w:val="none" w:sz="0" w:space="0" w:color="auto"/>
            <w:bottom w:val="none" w:sz="0" w:space="0" w:color="auto"/>
            <w:right w:val="none" w:sz="0" w:space="0" w:color="auto"/>
          </w:divBdr>
        </w:div>
        <w:div w:id="2004506075">
          <w:marLeft w:val="0"/>
          <w:marRight w:val="0"/>
          <w:marTop w:val="0"/>
          <w:marBottom w:val="0"/>
          <w:divBdr>
            <w:top w:val="none" w:sz="0" w:space="0" w:color="auto"/>
            <w:left w:val="none" w:sz="0" w:space="0" w:color="auto"/>
            <w:bottom w:val="none" w:sz="0" w:space="0" w:color="auto"/>
            <w:right w:val="none" w:sz="0" w:space="0" w:color="auto"/>
          </w:divBdr>
          <w:divsChild>
            <w:div w:id="244146301">
              <w:marLeft w:val="0"/>
              <w:marRight w:val="0"/>
              <w:marTop w:val="0"/>
              <w:marBottom w:val="0"/>
              <w:divBdr>
                <w:top w:val="none" w:sz="0" w:space="0" w:color="auto"/>
                <w:left w:val="none" w:sz="0" w:space="0" w:color="auto"/>
                <w:bottom w:val="none" w:sz="0" w:space="0" w:color="auto"/>
                <w:right w:val="none" w:sz="0" w:space="0" w:color="auto"/>
              </w:divBdr>
            </w:div>
            <w:div w:id="667294988">
              <w:marLeft w:val="0"/>
              <w:marRight w:val="0"/>
              <w:marTop w:val="0"/>
              <w:marBottom w:val="0"/>
              <w:divBdr>
                <w:top w:val="none" w:sz="0" w:space="0" w:color="auto"/>
                <w:left w:val="none" w:sz="0" w:space="0" w:color="auto"/>
                <w:bottom w:val="none" w:sz="0" w:space="0" w:color="auto"/>
                <w:right w:val="none" w:sz="0" w:space="0" w:color="auto"/>
              </w:divBdr>
            </w:div>
            <w:div w:id="745029857">
              <w:marLeft w:val="0"/>
              <w:marRight w:val="0"/>
              <w:marTop w:val="0"/>
              <w:marBottom w:val="0"/>
              <w:divBdr>
                <w:top w:val="none" w:sz="0" w:space="0" w:color="auto"/>
                <w:left w:val="none" w:sz="0" w:space="0" w:color="auto"/>
                <w:bottom w:val="none" w:sz="0" w:space="0" w:color="auto"/>
                <w:right w:val="none" w:sz="0" w:space="0" w:color="auto"/>
              </w:divBdr>
            </w:div>
            <w:div w:id="1028406302">
              <w:marLeft w:val="0"/>
              <w:marRight w:val="0"/>
              <w:marTop w:val="0"/>
              <w:marBottom w:val="0"/>
              <w:divBdr>
                <w:top w:val="none" w:sz="0" w:space="0" w:color="auto"/>
                <w:left w:val="none" w:sz="0" w:space="0" w:color="auto"/>
                <w:bottom w:val="none" w:sz="0" w:space="0" w:color="auto"/>
                <w:right w:val="none" w:sz="0" w:space="0" w:color="auto"/>
              </w:divBdr>
            </w:div>
            <w:div w:id="2000383399">
              <w:marLeft w:val="0"/>
              <w:marRight w:val="0"/>
              <w:marTop w:val="0"/>
              <w:marBottom w:val="0"/>
              <w:divBdr>
                <w:top w:val="none" w:sz="0" w:space="0" w:color="auto"/>
                <w:left w:val="none" w:sz="0" w:space="0" w:color="auto"/>
                <w:bottom w:val="none" w:sz="0" w:space="0" w:color="auto"/>
                <w:right w:val="none" w:sz="0" w:space="0" w:color="auto"/>
              </w:divBdr>
            </w:div>
          </w:divsChild>
        </w:div>
        <w:div w:id="2056080791">
          <w:marLeft w:val="0"/>
          <w:marRight w:val="0"/>
          <w:marTop w:val="0"/>
          <w:marBottom w:val="0"/>
          <w:divBdr>
            <w:top w:val="none" w:sz="0" w:space="0" w:color="auto"/>
            <w:left w:val="none" w:sz="0" w:space="0" w:color="auto"/>
            <w:bottom w:val="none" w:sz="0" w:space="0" w:color="auto"/>
            <w:right w:val="none" w:sz="0" w:space="0" w:color="auto"/>
          </w:divBdr>
          <w:divsChild>
            <w:div w:id="514030634">
              <w:marLeft w:val="0"/>
              <w:marRight w:val="0"/>
              <w:marTop w:val="0"/>
              <w:marBottom w:val="0"/>
              <w:divBdr>
                <w:top w:val="none" w:sz="0" w:space="0" w:color="auto"/>
                <w:left w:val="none" w:sz="0" w:space="0" w:color="auto"/>
                <w:bottom w:val="none" w:sz="0" w:space="0" w:color="auto"/>
                <w:right w:val="none" w:sz="0" w:space="0" w:color="auto"/>
              </w:divBdr>
            </w:div>
            <w:div w:id="718479340">
              <w:marLeft w:val="0"/>
              <w:marRight w:val="0"/>
              <w:marTop w:val="0"/>
              <w:marBottom w:val="0"/>
              <w:divBdr>
                <w:top w:val="none" w:sz="0" w:space="0" w:color="auto"/>
                <w:left w:val="none" w:sz="0" w:space="0" w:color="auto"/>
                <w:bottom w:val="none" w:sz="0" w:space="0" w:color="auto"/>
                <w:right w:val="none" w:sz="0" w:space="0" w:color="auto"/>
              </w:divBdr>
            </w:div>
            <w:div w:id="999389326">
              <w:marLeft w:val="0"/>
              <w:marRight w:val="0"/>
              <w:marTop w:val="0"/>
              <w:marBottom w:val="0"/>
              <w:divBdr>
                <w:top w:val="none" w:sz="0" w:space="0" w:color="auto"/>
                <w:left w:val="none" w:sz="0" w:space="0" w:color="auto"/>
                <w:bottom w:val="none" w:sz="0" w:space="0" w:color="auto"/>
                <w:right w:val="none" w:sz="0" w:space="0" w:color="auto"/>
              </w:divBdr>
            </w:div>
            <w:div w:id="1039862509">
              <w:marLeft w:val="0"/>
              <w:marRight w:val="0"/>
              <w:marTop w:val="0"/>
              <w:marBottom w:val="0"/>
              <w:divBdr>
                <w:top w:val="none" w:sz="0" w:space="0" w:color="auto"/>
                <w:left w:val="none" w:sz="0" w:space="0" w:color="auto"/>
                <w:bottom w:val="none" w:sz="0" w:space="0" w:color="auto"/>
                <w:right w:val="none" w:sz="0" w:space="0" w:color="auto"/>
              </w:divBdr>
            </w:div>
            <w:div w:id="173061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77213">
      <w:bodyDiv w:val="1"/>
      <w:marLeft w:val="0"/>
      <w:marRight w:val="0"/>
      <w:marTop w:val="0"/>
      <w:marBottom w:val="0"/>
      <w:divBdr>
        <w:top w:val="none" w:sz="0" w:space="0" w:color="auto"/>
        <w:left w:val="none" w:sz="0" w:space="0" w:color="auto"/>
        <w:bottom w:val="none" w:sz="0" w:space="0" w:color="auto"/>
        <w:right w:val="none" w:sz="0" w:space="0" w:color="auto"/>
      </w:divBdr>
    </w:div>
    <w:div w:id="1702198440">
      <w:bodyDiv w:val="1"/>
      <w:marLeft w:val="0"/>
      <w:marRight w:val="0"/>
      <w:marTop w:val="0"/>
      <w:marBottom w:val="0"/>
      <w:divBdr>
        <w:top w:val="none" w:sz="0" w:space="0" w:color="auto"/>
        <w:left w:val="none" w:sz="0" w:space="0" w:color="auto"/>
        <w:bottom w:val="none" w:sz="0" w:space="0" w:color="auto"/>
        <w:right w:val="none" w:sz="0" w:space="0" w:color="auto"/>
      </w:divBdr>
    </w:div>
    <w:div w:id="1716587279">
      <w:bodyDiv w:val="1"/>
      <w:marLeft w:val="0"/>
      <w:marRight w:val="0"/>
      <w:marTop w:val="0"/>
      <w:marBottom w:val="0"/>
      <w:divBdr>
        <w:top w:val="none" w:sz="0" w:space="0" w:color="auto"/>
        <w:left w:val="none" w:sz="0" w:space="0" w:color="auto"/>
        <w:bottom w:val="none" w:sz="0" w:space="0" w:color="auto"/>
        <w:right w:val="none" w:sz="0" w:space="0" w:color="auto"/>
      </w:divBdr>
    </w:div>
    <w:div w:id="1725132182">
      <w:bodyDiv w:val="1"/>
      <w:marLeft w:val="0"/>
      <w:marRight w:val="0"/>
      <w:marTop w:val="0"/>
      <w:marBottom w:val="0"/>
      <w:divBdr>
        <w:top w:val="none" w:sz="0" w:space="0" w:color="auto"/>
        <w:left w:val="none" w:sz="0" w:space="0" w:color="auto"/>
        <w:bottom w:val="none" w:sz="0" w:space="0" w:color="auto"/>
        <w:right w:val="none" w:sz="0" w:space="0" w:color="auto"/>
      </w:divBdr>
    </w:div>
    <w:div w:id="1733845518">
      <w:bodyDiv w:val="1"/>
      <w:marLeft w:val="0"/>
      <w:marRight w:val="0"/>
      <w:marTop w:val="0"/>
      <w:marBottom w:val="0"/>
      <w:divBdr>
        <w:top w:val="none" w:sz="0" w:space="0" w:color="auto"/>
        <w:left w:val="none" w:sz="0" w:space="0" w:color="auto"/>
        <w:bottom w:val="none" w:sz="0" w:space="0" w:color="auto"/>
        <w:right w:val="none" w:sz="0" w:space="0" w:color="auto"/>
      </w:divBdr>
    </w:div>
    <w:div w:id="1740205808">
      <w:bodyDiv w:val="1"/>
      <w:marLeft w:val="0"/>
      <w:marRight w:val="0"/>
      <w:marTop w:val="0"/>
      <w:marBottom w:val="0"/>
      <w:divBdr>
        <w:top w:val="none" w:sz="0" w:space="0" w:color="auto"/>
        <w:left w:val="none" w:sz="0" w:space="0" w:color="auto"/>
        <w:bottom w:val="none" w:sz="0" w:space="0" w:color="auto"/>
        <w:right w:val="none" w:sz="0" w:space="0" w:color="auto"/>
      </w:divBdr>
    </w:div>
    <w:div w:id="1741321398">
      <w:bodyDiv w:val="1"/>
      <w:marLeft w:val="0"/>
      <w:marRight w:val="0"/>
      <w:marTop w:val="0"/>
      <w:marBottom w:val="0"/>
      <w:divBdr>
        <w:top w:val="none" w:sz="0" w:space="0" w:color="auto"/>
        <w:left w:val="none" w:sz="0" w:space="0" w:color="auto"/>
        <w:bottom w:val="none" w:sz="0" w:space="0" w:color="auto"/>
        <w:right w:val="none" w:sz="0" w:space="0" w:color="auto"/>
      </w:divBdr>
    </w:div>
    <w:div w:id="1747991124">
      <w:bodyDiv w:val="1"/>
      <w:marLeft w:val="0"/>
      <w:marRight w:val="0"/>
      <w:marTop w:val="0"/>
      <w:marBottom w:val="0"/>
      <w:divBdr>
        <w:top w:val="none" w:sz="0" w:space="0" w:color="auto"/>
        <w:left w:val="none" w:sz="0" w:space="0" w:color="auto"/>
        <w:bottom w:val="none" w:sz="0" w:space="0" w:color="auto"/>
        <w:right w:val="none" w:sz="0" w:space="0" w:color="auto"/>
      </w:divBdr>
    </w:div>
    <w:div w:id="1752384373">
      <w:bodyDiv w:val="1"/>
      <w:marLeft w:val="0"/>
      <w:marRight w:val="0"/>
      <w:marTop w:val="0"/>
      <w:marBottom w:val="0"/>
      <w:divBdr>
        <w:top w:val="none" w:sz="0" w:space="0" w:color="auto"/>
        <w:left w:val="none" w:sz="0" w:space="0" w:color="auto"/>
        <w:bottom w:val="none" w:sz="0" w:space="0" w:color="auto"/>
        <w:right w:val="none" w:sz="0" w:space="0" w:color="auto"/>
      </w:divBdr>
    </w:div>
    <w:div w:id="1753119904">
      <w:bodyDiv w:val="1"/>
      <w:marLeft w:val="0"/>
      <w:marRight w:val="0"/>
      <w:marTop w:val="0"/>
      <w:marBottom w:val="0"/>
      <w:divBdr>
        <w:top w:val="none" w:sz="0" w:space="0" w:color="auto"/>
        <w:left w:val="none" w:sz="0" w:space="0" w:color="auto"/>
        <w:bottom w:val="none" w:sz="0" w:space="0" w:color="auto"/>
        <w:right w:val="none" w:sz="0" w:space="0" w:color="auto"/>
      </w:divBdr>
    </w:div>
    <w:div w:id="1773938452">
      <w:bodyDiv w:val="1"/>
      <w:marLeft w:val="0"/>
      <w:marRight w:val="0"/>
      <w:marTop w:val="0"/>
      <w:marBottom w:val="0"/>
      <w:divBdr>
        <w:top w:val="none" w:sz="0" w:space="0" w:color="auto"/>
        <w:left w:val="none" w:sz="0" w:space="0" w:color="auto"/>
        <w:bottom w:val="none" w:sz="0" w:space="0" w:color="auto"/>
        <w:right w:val="none" w:sz="0" w:space="0" w:color="auto"/>
      </w:divBdr>
      <w:divsChild>
        <w:div w:id="1131940113">
          <w:marLeft w:val="0"/>
          <w:marRight w:val="0"/>
          <w:marTop w:val="82"/>
          <w:marBottom w:val="0"/>
          <w:divBdr>
            <w:top w:val="none" w:sz="0" w:space="0" w:color="auto"/>
            <w:left w:val="none" w:sz="0" w:space="0" w:color="auto"/>
            <w:bottom w:val="none" w:sz="0" w:space="0" w:color="auto"/>
            <w:right w:val="none" w:sz="0" w:space="0" w:color="auto"/>
          </w:divBdr>
        </w:div>
        <w:div w:id="1426533794">
          <w:marLeft w:val="0"/>
          <w:marRight w:val="0"/>
          <w:marTop w:val="82"/>
          <w:marBottom w:val="0"/>
          <w:divBdr>
            <w:top w:val="none" w:sz="0" w:space="0" w:color="auto"/>
            <w:left w:val="none" w:sz="0" w:space="0" w:color="auto"/>
            <w:bottom w:val="none" w:sz="0" w:space="0" w:color="auto"/>
            <w:right w:val="none" w:sz="0" w:space="0" w:color="auto"/>
          </w:divBdr>
        </w:div>
        <w:div w:id="1668559695">
          <w:marLeft w:val="0"/>
          <w:marRight w:val="0"/>
          <w:marTop w:val="82"/>
          <w:marBottom w:val="0"/>
          <w:divBdr>
            <w:top w:val="none" w:sz="0" w:space="0" w:color="auto"/>
            <w:left w:val="none" w:sz="0" w:space="0" w:color="auto"/>
            <w:bottom w:val="none" w:sz="0" w:space="0" w:color="auto"/>
            <w:right w:val="none" w:sz="0" w:space="0" w:color="auto"/>
          </w:divBdr>
        </w:div>
      </w:divsChild>
    </w:div>
    <w:div w:id="1776517111">
      <w:bodyDiv w:val="1"/>
      <w:marLeft w:val="0"/>
      <w:marRight w:val="0"/>
      <w:marTop w:val="0"/>
      <w:marBottom w:val="0"/>
      <w:divBdr>
        <w:top w:val="none" w:sz="0" w:space="0" w:color="auto"/>
        <w:left w:val="none" w:sz="0" w:space="0" w:color="auto"/>
        <w:bottom w:val="none" w:sz="0" w:space="0" w:color="auto"/>
        <w:right w:val="none" w:sz="0" w:space="0" w:color="auto"/>
      </w:divBdr>
    </w:div>
    <w:div w:id="1778133829">
      <w:bodyDiv w:val="1"/>
      <w:marLeft w:val="0"/>
      <w:marRight w:val="0"/>
      <w:marTop w:val="0"/>
      <w:marBottom w:val="0"/>
      <w:divBdr>
        <w:top w:val="none" w:sz="0" w:space="0" w:color="auto"/>
        <w:left w:val="none" w:sz="0" w:space="0" w:color="auto"/>
        <w:bottom w:val="none" w:sz="0" w:space="0" w:color="auto"/>
        <w:right w:val="none" w:sz="0" w:space="0" w:color="auto"/>
      </w:divBdr>
    </w:div>
    <w:div w:id="1779717620">
      <w:bodyDiv w:val="1"/>
      <w:marLeft w:val="0"/>
      <w:marRight w:val="0"/>
      <w:marTop w:val="0"/>
      <w:marBottom w:val="0"/>
      <w:divBdr>
        <w:top w:val="none" w:sz="0" w:space="0" w:color="auto"/>
        <w:left w:val="none" w:sz="0" w:space="0" w:color="auto"/>
        <w:bottom w:val="none" w:sz="0" w:space="0" w:color="auto"/>
        <w:right w:val="none" w:sz="0" w:space="0" w:color="auto"/>
      </w:divBdr>
    </w:div>
    <w:div w:id="1786269635">
      <w:bodyDiv w:val="1"/>
      <w:marLeft w:val="0"/>
      <w:marRight w:val="0"/>
      <w:marTop w:val="0"/>
      <w:marBottom w:val="0"/>
      <w:divBdr>
        <w:top w:val="none" w:sz="0" w:space="0" w:color="auto"/>
        <w:left w:val="none" w:sz="0" w:space="0" w:color="auto"/>
        <w:bottom w:val="none" w:sz="0" w:space="0" w:color="auto"/>
        <w:right w:val="none" w:sz="0" w:space="0" w:color="auto"/>
      </w:divBdr>
    </w:div>
    <w:div w:id="1789816786">
      <w:bodyDiv w:val="1"/>
      <w:marLeft w:val="0"/>
      <w:marRight w:val="0"/>
      <w:marTop w:val="0"/>
      <w:marBottom w:val="0"/>
      <w:divBdr>
        <w:top w:val="none" w:sz="0" w:space="0" w:color="auto"/>
        <w:left w:val="none" w:sz="0" w:space="0" w:color="auto"/>
        <w:bottom w:val="none" w:sz="0" w:space="0" w:color="auto"/>
        <w:right w:val="none" w:sz="0" w:space="0" w:color="auto"/>
      </w:divBdr>
    </w:div>
    <w:div w:id="1789859769">
      <w:bodyDiv w:val="1"/>
      <w:marLeft w:val="0"/>
      <w:marRight w:val="0"/>
      <w:marTop w:val="0"/>
      <w:marBottom w:val="0"/>
      <w:divBdr>
        <w:top w:val="none" w:sz="0" w:space="0" w:color="auto"/>
        <w:left w:val="none" w:sz="0" w:space="0" w:color="auto"/>
        <w:bottom w:val="none" w:sz="0" w:space="0" w:color="auto"/>
        <w:right w:val="none" w:sz="0" w:space="0" w:color="auto"/>
      </w:divBdr>
    </w:div>
    <w:div w:id="1798335143">
      <w:bodyDiv w:val="1"/>
      <w:marLeft w:val="0"/>
      <w:marRight w:val="0"/>
      <w:marTop w:val="0"/>
      <w:marBottom w:val="0"/>
      <w:divBdr>
        <w:top w:val="none" w:sz="0" w:space="0" w:color="auto"/>
        <w:left w:val="none" w:sz="0" w:space="0" w:color="auto"/>
        <w:bottom w:val="none" w:sz="0" w:space="0" w:color="auto"/>
        <w:right w:val="none" w:sz="0" w:space="0" w:color="auto"/>
      </w:divBdr>
    </w:div>
    <w:div w:id="1800102253">
      <w:bodyDiv w:val="1"/>
      <w:marLeft w:val="0"/>
      <w:marRight w:val="0"/>
      <w:marTop w:val="0"/>
      <w:marBottom w:val="0"/>
      <w:divBdr>
        <w:top w:val="none" w:sz="0" w:space="0" w:color="auto"/>
        <w:left w:val="none" w:sz="0" w:space="0" w:color="auto"/>
        <w:bottom w:val="none" w:sz="0" w:space="0" w:color="auto"/>
        <w:right w:val="none" w:sz="0" w:space="0" w:color="auto"/>
      </w:divBdr>
    </w:div>
    <w:div w:id="1814179964">
      <w:bodyDiv w:val="1"/>
      <w:marLeft w:val="0"/>
      <w:marRight w:val="0"/>
      <w:marTop w:val="0"/>
      <w:marBottom w:val="0"/>
      <w:divBdr>
        <w:top w:val="none" w:sz="0" w:space="0" w:color="auto"/>
        <w:left w:val="none" w:sz="0" w:space="0" w:color="auto"/>
        <w:bottom w:val="none" w:sz="0" w:space="0" w:color="auto"/>
        <w:right w:val="none" w:sz="0" w:space="0" w:color="auto"/>
      </w:divBdr>
    </w:div>
    <w:div w:id="1821581522">
      <w:bodyDiv w:val="1"/>
      <w:marLeft w:val="0"/>
      <w:marRight w:val="0"/>
      <w:marTop w:val="0"/>
      <w:marBottom w:val="0"/>
      <w:divBdr>
        <w:top w:val="none" w:sz="0" w:space="0" w:color="auto"/>
        <w:left w:val="none" w:sz="0" w:space="0" w:color="auto"/>
        <w:bottom w:val="none" w:sz="0" w:space="0" w:color="auto"/>
        <w:right w:val="none" w:sz="0" w:space="0" w:color="auto"/>
      </w:divBdr>
    </w:div>
    <w:div w:id="1827555290">
      <w:bodyDiv w:val="1"/>
      <w:marLeft w:val="0"/>
      <w:marRight w:val="0"/>
      <w:marTop w:val="0"/>
      <w:marBottom w:val="0"/>
      <w:divBdr>
        <w:top w:val="none" w:sz="0" w:space="0" w:color="auto"/>
        <w:left w:val="none" w:sz="0" w:space="0" w:color="auto"/>
        <w:bottom w:val="none" w:sz="0" w:space="0" w:color="auto"/>
        <w:right w:val="none" w:sz="0" w:space="0" w:color="auto"/>
      </w:divBdr>
    </w:div>
    <w:div w:id="1839222638">
      <w:bodyDiv w:val="1"/>
      <w:marLeft w:val="0"/>
      <w:marRight w:val="0"/>
      <w:marTop w:val="0"/>
      <w:marBottom w:val="0"/>
      <w:divBdr>
        <w:top w:val="none" w:sz="0" w:space="0" w:color="auto"/>
        <w:left w:val="none" w:sz="0" w:space="0" w:color="auto"/>
        <w:bottom w:val="none" w:sz="0" w:space="0" w:color="auto"/>
        <w:right w:val="none" w:sz="0" w:space="0" w:color="auto"/>
      </w:divBdr>
    </w:div>
    <w:div w:id="1843011132">
      <w:bodyDiv w:val="1"/>
      <w:marLeft w:val="0"/>
      <w:marRight w:val="0"/>
      <w:marTop w:val="0"/>
      <w:marBottom w:val="0"/>
      <w:divBdr>
        <w:top w:val="none" w:sz="0" w:space="0" w:color="auto"/>
        <w:left w:val="none" w:sz="0" w:space="0" w:color="auto"/>
        <w:bottom w:val="none" w:sz="0" w:space="0" w:color="auto"/>
        <w:right w:val="none" w:sz="0" w:space="0" w:color="auto"/>
      </w:divBdr>
    </w:div>
    <w:div w:id="1843161265">
      <w:bodyDiv w:val="1"/>
      <w:marLeft w:val="0"/>
      <w:marRight w:val="0"/>
      <w:marTop w:val="0"/>
      <w:marBottom w:val="0"/>
      <w:divBdr>
        <w:top w:val="none" w:sz="0" w:space="0" w:color="auto"/>
        <w:left w:val="none" w:sz="0" w:space="0" w:color="auto"/>
        <w:bottom w:val="none" w:sz="0" w:space="0" w:color="auto"/>
        <w:right w:val="none" w:sz="0" w:space="0" w:color="auto"/>
      </w:divBdr>
    </w:div>
    <w:div w:id="1848471840">
      <w:bodyDiv w:val="1"/>
      <w:marLeft w:val="0"/>
      <w:marRight w:val="0"/>
      <w:marTop w:val="0"/>
      <w:marBottom w:val="0"/>
      <w:divBdr>
        <w:top w:val="none" w:sz="0" w:space="0" w:color="auto"/>
        <w:left w:val="none" w:sz="0" w:space="0" w:color="auto"/>
        <w:bottom w:val="none" w:sz="0" w:space="0" w:color="auto"/>
        <w:right w:val="none" w:sz="0" w:space="0" w:color="auto"/>
      </w:divBdr>
      <w:divsChild>
        <w:div w:id="401029213">
          <w:marLeft w:val="0"/>
          <w:marRight w:val="0"/>
          <w:marTop w:val="0"/>
          <w:marBottom w:val="0"/>
          <w:divBdr>
            <w:top w:val="none" w:sz="0" w:space="0" w:color="auto"/>
            <w:left w:val="none" w:sz="0" w:space="0" w:color="auto"/>
            <w:bottom w:val="none" w:sz="0" w:space="0" w:color="auto"/>
            <w:right w:val="none" w:sz="0" w:space="0" w:color="auto"/>
          </w:divBdr>
        </w:div>
        <w:div w:id="742993319">
          <w:marLeft w:val="0"/>
          <w:marRight w:val="0"/>
          <w:marTop w:val="0"/>
          <w:marBottom w:val="0"/>
          <w:divBdr>
            <w:top w:val="none" w:sz="0" w:space="0" w:color="auto"/>
            <w:left w:val="none" w:sz="0" w:space="0" w:color="auto"/>
            <w:bottom w:val="none" w:sz="0" w:space="0" w:color="auto"/>
            <w:right w:val="none" w:sz="0" w:space="0" w:color="auto"/>
          </w:divBdr>
        </w:div>
        <w:div w:id="958293758">
          <w:marLeft w:val="0"/>
          <w:marRight w:val="0"/>
          <w:marTop w:val="0"/>
          <w:marBottom w:val="0"/>
          <w:divBdr>
            <w:top w:val="none" w:sz="0" w:space="0" w:color="auto"/>
            <w:left w:val="none" w:sz="0" w:space="0" w:color="auto"/>
            <w:bottom w:val="none" w:sz="0" w:space="0" w:color="auto"/>
            <w:right w:val="none" w:sz="0" w:space="0" w:color="auto"/>
          </w:divBdr>
        </w:div>
        <w:div w:id="1027753912">
          <w:marLeft w:val="0"/>
          <w:marRight w:val="0"/>
          <w:marTop w:val="0"/>
          <w:marBottom w:val="0"/>
          <w:divBdr>
            <w:top w:val="none" w:sz="0" w:space="0" w:color="auto"/>
            <w:left w:val="none" w:sz="0" w:space="0" w:color="auto"/>
            <w:bottom w:val="none" w:sz="0" w:space="0" w:color="auto"/>
            <w:right w:val="none" w:sz="0" w:space="0" w:color="auto"/>
          </w:divBdr>
        </w:div>
        <w:div w:id="1042899783">
          <w:marLeft w:val="0"/>
          <w:marRight w:val="0"/>
          <w:marTop w:val="0"/>
          <w:marBottom w:val="0"/>
          <w:divBdr>
            <w:top w:val="none" w:sz="0" w:space="0" w:color="auto"/>
            <w:left w:val="none" w:sz="0" w:space="0" w:color="auto"/>
            <w:bottom w:val="none" w:sz="0" w:space="0" w:color="auto"/>
            <w:right w:val="none" w:sz="0" w:space="0" w:color="auto"/>
          </w:divBdr>
        </w:div>
        <w:div w:id="1235507638">
          <w:marLeft w:val="0"/>
          <w:marRight w:val="0"/>
          <w:marTop w:val="0"/>
          <w:marBottom w:val="0"/>
          <w:divBdr>
            <w:top w:val="none" w:sz="0" w:space="0" w:color="auto"/>
            <w:left w:val="none" w:sz="0" w:space="0" w:color="auto"/>
            <w:bottom w:val="none" w:sz="0" w:space="0" w:color="auto"/>
            <w:right w:val="none" w:sz="0" w:space="0" w:color="auto"/>
          </w:divBdr>
        </w:div>
      </w:divsChild>
    </w:div>
    <w:div w:id="1849441168">
      <w:bodyDiv w:val="1"/>
      <w:marLeft w:val="0"/>
      <w:marRight w:val="0"/>
      <w:marTop w:val="0"/>
      <w:marBottom w:val="0"/>
      <w:divBdr>
        <w:top w:val="none" w:sz="0" w:space="0" w:color="auto"/>
        <w:left w:val="none" w:sz="0" w:space="0" w:color="auto"/>
        <w:bottom w:val="none" w:sz="0" w:space="0" w:color="auto"/>
        <w:right w:val="none" w:sz="0" w:space="0" w:color="auto"/>
      </w:divBdr>
    </w:div>
    <w:div w:id="1850290849">
      <w:bodyDiv w:val="1"/>
      <w:marLeft w:val="0"/>
      <w:marRight w:val="0"/>
      <w:marTop w:val="0"/>
      <w:marBottom w:val="0"/>
      <w:divBdr>
        <w:top w:val="none" w:sz="0" w:space="0" w:color="auto"/>
        <w:left w:val="none" w:sz="0" w:space="0" w:color="auto"/>
        <w:bottom w:val="none" w:sz="0" w:space="0" w:color="auto"/>
        <w:right w:val="none" w:sz="0" w:space="0" w:color="auto"/>
      </w:divBdr>
      <w:divsChild>
        <w:div w:id="440493681">
          <w:marLeft w:val="0"/>
          <w:marRight w:val="0"/>
          <w:marTop w:val="0"/>
          <w:marBottom w:val="0"/>
          <w:divBdr>
            <w:top w:val="none" w:sz="0" w:space="0" w:color="auto"/>
            <w:left w:val="none" w:sz="0" w:space="0" w:color="auto"/>
            <w:bottom w:val="none" w:sz="0" w:space="0" w:color="auto"/>
            <w:right w:val="none" w:sz="0" w:space="0" w:color="auto"/>
          </w:divBdr>
        </w:div>
        <w:div w:id="817696922">
          <w:marLeft w:val="0"/>
          <w:marRight w:val="0"/>
          <w:marTop w:val="0"/>
          <w:marBottom w:val="0"/>
          <w:divBdr>
            <w:top w:val="none" w:sz="0" w:space="0" w:color="auto"/>
            <w:left w:val="none" w:sz="0" w:space="0" w:color="auto"/>
            <w:bottom w:val="none" w:sz="0" w:space="0" w:color="auto"/>
            <w:right w:val="none" w:sz="0" w:space="0" w:color="auto"/>
          </w:divBdr>
        </w:div>
        <w:div w:id="1001733951">
          <w:marLeft w:val="0"/>
          <w:marRight w:val="0"/>
          <w:marTop w:val="0"/>
          <w:marBottom w:val="0"/>
          <w:divBdr>
            <w:top w:val="none" w:sz="0" w:space="0" w:color="auto"/>
            <w:left w:val="none" w:sz="0" w:space="0" w:color="auto"/>
            <w:bottom w:val="none" w:sz="0" w:space="0" w:color="auto"/>
            <w:right w:val="none" w:sz="0" w:space="0" w:color="auto"/>
          </w:divBdr>
        </w:div>
        <w:div w:id="1160461250">
          <w:marLeft w:val="0"/>
          <w:marRight w:val="0"/>
          <w:marTop w:val="0"/>
          <w:marBottom w:val="0"/>
          <w:divBdr>
            <w:top w:val="none" w:sz="0" w:space="0" w:color="auto"/>
            <w:left w:val="none" w:sz="0" w:space="0" w:color="auto"/>
            <w:bottom w:val="none" w:sz="0" w:space="0" w:color="auto"/>
            <w:right w:val="none" w:sz="0" w:space="0" w:color="auto"/>
          </w:divBdr>
        </w:div>
        <w:div w:id="2111777133">
          <w:marLeft w:val="0"/>
          <w:marRight w:val="0"/>
          <w:marTop w:val="0"/>
          <w:marBottom w:val="0"/>
          <w:divBdr>
            <w:top w:val="none" w:sz="0" w:space="0" w:color="auto"/>
            <w:left w:val="none" w:sz="0" w:space="0" w:color="auto"/>
            <w:bottom w:val="none" w:sz="0" w:space="0" w:color="auto"/>
            <w:right w:val="none" w:sz="0" w:space="0" w:color="auto"/>
          </w:divBdr>
        </w:div>
      </w:divsChild>
    </w:div>
    <w:div w:id="1851141546">
      <w:bodyDiv w:val="1"/>
      <w:marLeft w:val="0"/>
      <w:marRight w:val="0"/>
      <w:marTop w:val="0"/>
      <w:marBottom w:val="0"/>
      <w:divBdr>
        <w:top w:val="none" w:sz="0" w:space="0" w:color="auto"/>
        <w:left w:val="none" w:sz="0" w:space="0" w:color="auto"/>
        <w:bottom w:val="none" w:sz="0" w:space="0" w:color="auto"/>
        <w:right w:val="none" w:sz="0" w:space="0" w:color="auto"/>
      </w:divBdr>
    </w:div>
    <w:div w:id="1851675415">
      <w:bodyDiv w:val="1"/>
      <w:marLeft w:val="0"/>
      <w:marRight w:val="0"/>
      <w:marTop w:val="0"/>
      <w:marBottom w:val="0"/>
      <w:divBdr>
        <w:top w:val="none" w:sz="0" w:space="0" w:color="auto"/>
        <w:left w:val="none" w:sz="0" w:space="0" w:color="auto"/>
        <w:bottom w:val="none" w:sz="0" w:space="0" w:color="auto"/>
        <w:right w:val="none" w:sz="0" w:space="0" w:color="auto"/>
      </w:divBdr>
    </w:div>
    <w:div w:id="1858039593">
      <w:bodyDiv w:val="1"/>
      <w:marLeft w:val="0"/>
      <w:marRight w:val="0"/>
      <w:marTop w:val="0"/>
      <w:marBottom w:val="0"/>
      <w:divBdr>
        <w:top w:val="none" w:sz="0" w:space="0" w:color="auto"/>
        <w:left w:val="none" w:sz="0" w:space="0" w:color="auto"/>
        <w:bottom w:val="none" w:sz="0" w:space="0" w:color="auto"/>
        <w:right w:val="none" w:sz="0" w:space="0" w:color="auto"/>
      </w:divBdr>
    </w:div>
    <w:div w:id="1870794630">
      <w:bodyDiv w:val="1"/>
      <w:marLeft w:val="0"/>
      <w:marRight w:val="0"/>
      <w:marTop w:val="0"/>
      <w:marBottom w:val="0"/>
      <w:divBdr>
        <w:top w:val="none" w:sz="0" w:space="0" w:color="auto"/>
        <w:left w:val="none" w:sz="0" w:space="0" w:color="auto"/>
        <w:bottom w:val="none" w:sz="0" w:space="0" w:color="auto"/>
        <w:right w:val="none" w:sz="0" w:space="0" w:color="auto"/>
      </w:divBdr>
    </w:div>
    <w:div w:id="1877041984">
      <w:bodyDiv w:val="1"/>
      <w:marLeft w:val="0"/>
      <w:marRight w:val="0"/>
      <w:marTop w:val="0"/>
      <w:marBottom w:val="0"/>
      <w:divBdr>
        <w:top w:val="none" w:sz="0" w:space="0" w:color="auto"/>
        <w:left w:val="none" w:sz="0" w:space="0" w:color="auto"/>
        <w:bottom w:val="none" w:sz="0" w:space="0" w:color="auto"/>
        <w:right w:val="none" w:sz="0" w:space="0" w:color="auto"/>
      </w:divBdr>
    </w:div>
    <w:div w:id="1895192663">
      <w:bodyDiv w:val="1"/>
      <w:marLeft w:val="0"/>
      <w:marRight w:val="0"/>
      <w:marTop w:val="0"/>
      <w:marBottom w:val="0"/>
      <w:divBdr>
        <w:top w:val="none" w:sz="0" w:space="0" w:color="auto"/>
        <w:left w:val="none" w:sz="0" w:space="0" w:color="auto"/>
        <w:bottom w:val="none" w:sz="0" w:space="0" w:color="auto"/>
        <w:right w:val="none" w:sz="0" w:space="0" w:color="auto"/>
      </w:divBdr>
    </w:div>
    <w:div w:id="1895919779">
      <w:bodyDiv w:val="1"/>
      <w:marLeft w:val="0"/>
      <w:marRight w:val="0"/>
      <w:marTop w:val="0"/>
      <w:marBottom w:val="0"/>
      <w:divBdr>
        <w:top w:val="none" w:sz="0" w:space="0" w:color="auto"/>
        <w:left w:val="none" w:sz="0" w:space="0" w:color="auto"/>
        <w:bottom w:val="none" w:sz="0" w:space="0" w:color="auto"/>
        <w:right w:val="none" w:sz="0" w:space="0" w:color="auto"/>
      </w:divBdr>
      <w:divsChild>
        <w:div w:id="1053577048">
          <w:marLeft w:val="0"/>
          <w:marRight w:val="0"/>
          <w:marTop w:val="0"/>
          <w:marBottom w:val="0"/>
          <w:divBdr>
            <w:top w:val="none" w:sz="0" w:space="0" w:color="auto"/>
            <w:left w:val="none" w:sz="0" w:space="0" w:color="auto"/>
            <w:bottom w:val="none" w:sz="0" w:space="0" w:color="auto"/>
            <w:right w:val="none" w:sz="0" w:space="0" w:color="auto"/>
          </w:divBdr>
        </w:div>
        <w:div w:id="1361855344">
          <w:marLeft w:val="0"/>
          <w:marRight w:val="0"/>
          <w:marTop w:val="0"/>
          <w:marBottom w:val="0"/>
          <w:divBdr>
            <w:top w:val="none" w:sz="0" w:space="0" w:color="auto"/>
            <w:left w:val="none" w:sz="0" w:space="0" w:color="auto"/>
            <w:bottom w:val="none" w:sz="0" w:space="0" w:color="auto"/>
            <w:right w:val="none" w:sz="0" w:space="0" w:color="auto"/>
          </w:divBdr>
          <w:divsChild>
            <w:div w:id="12517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72943">
      <w:bodyDiv w:val="1"/>
      <w:marLeft w:val="0"/>
      <w:marRight w:val="0"/>
      <w:marTop w:val="0"/>
      <w:marBottom w:val="0"/>
      <w:divBdr>
        <w:top w:val="none" w:sz="0" w:space="0" w:color="auto"/>
        <w:left w:val="none" w:sz="0" w:space="0" w:color="auto"/>
        <w:bottom w:val="none" w:sz="0" w:space="0" w:color="auto"/>
        <w:right w:val="none" w:sz="0" w:space="0" w:color="auto"/>
      </w:divBdr>
    </w:div>
    <w:div w:id="1899364463">
      <w:bodyDiv w:val="1"/>
      <w:marLeft w:val="0"/>
      <w:marRight w:val="0"/>
      <w:marTop w:val="0"/>
      <w:marBottom w:val="0"/>
      <w:divBdr>
        <w:top w:val="none" w:sz="0" w:space="0" w:color="auto"/>
        <w:left w:val="none" w:sz="0" w:space="0" w:color="auto"/>
        <w:bottom w:val="none" w:sz="0" w:space="0" w:color="auto"/>
        <w:right w:val="none" w:sz="0" w:space="0" w:color="auto"/>
      </w:divBdr>
    </w:div>
    <w:div w:id="1916166136">
      <w:bodyDiv w:val="1"/>
      <w:marLeft w:val="0"/>
      <w:marRight w:val="0"/>
      <w:marTop w:val="0"/>
      <w:marBottom w:val="0"/>
      <w:divBdr>
        <w:top w:val="none" w:sz="0" w:space="0" w:color="auto"/>
        <w:left w:val="none" w:sz="0" w:space="0" w:color="auto"/>
        <w:bottom w:val="none" w:sz="0" w:space="0" w:color="auto"/>
        <w:right w:val="none" w:sz="0" w:space="0" w:color="auto"/>
      </w:divBdr>
    </w:div>
    <w:div w:id="1920364264">
      <w:bodyDiv w:val="1"/>
      <w:marLeft w:val="0"/>
      <w:marRight w:val="0"/>
      <w:marTop w:val="0"/>
      <w:marBottom w:val="0"/>
      <w:divBdr>
        <w:top w:val="none" w:sz="0" w:space="0" w:color="auto"/>
        <w:left w:val="none" w:sz="0" w:space="0" w:color="auto"/>
        <w:bottom w:val="none" w:sz="0" w:space="0" w:color="auto"/>
        <w:right w:val="none" w:sz="0" w:space="0" w:color="auto"/>
      </w:divBdr>
    </w:div>
    <w:div w:id="1955745384">
      <w:bodyDiv w:val="1"/>
      <w:marLeft w:val="0"/>
      <w:marRight w:val="0"/>
      <w:marTop w:val="0"/>
      <w:marBottom w:val="0"/>
      <w:divBdr>
        <w:top w:val="none" w:sz="0" w:space="0" w:color="auto"/>
        <w:left w:val="none" w:sz="0" w:space="0" w:color="auto"/>
        <w:bottom w:val="none" w:sz="0" w:space="0" w:color="auto"/>
        <w:right w:val="none" w:sz="0" w:space="0" w:color="auto"/>
      </w:divBdr>
    </w:div>
    <w:div w:id="1960839367">
      <w:bodyDiv w:val="1"/>
      <w:marLeft w:val="0"/>
      <w:marRight w:val="0"/>
      <w:marTop w:val="0"/>
      <w:marBottom w:val="0"/>
      <w:divBdr>
        <w:top w:val="none" w:sz="0" w:space="0" w:color="auto"/>
        <w:left w:val="none" w:sz="0" w:space="0" w:color="auto"/>
        <w:bottom w:val="none" w:sz="0" w:space="0" w:color="auto"/>
        <w:right w:val="none" w:sz="0" w:space="0" w:color="auto"/>
      </w:divBdr>
    </w:div>
    <w:div w:id="1961036442">
      <w:bodyDiv w:val="1"/>
      <w:marLeft w:val="0"/>
      <w:marRight w:val="0"/>
      <w:marTop w:val="0"/>
      <w:marBottom w:val="0"/>
      <w:divBdr>
        <w:top w:val="none" w:sz="0" w:space="0" w:color="auto"/>
        <w:left w:val="none" w:sz="0" w:space="0" w:color="auto"/>
        <w:bottom w:val="none" w:sz="0" w:space="0" w:color="auto"/>
        <w:right w:val="none" w:sz="0" w:space="0" w:color="auto"/>
      </w:divBdr>
      <w:divsChild>
        <w:div w:id="82646247">
          <w:marLeft w:val="0"/>
          <w:marRight w:val="0"/>
          <w:marTop w:val="0"/>
          <w:marBottom w:val="0"/>
          <w:divBdr>
            <w:top w:val="none" w:sz="0" w:space="0" w:color="auto"/>
            <w:left w:val="none" w:sz="0" w:space="0" w:color="auto"/>
            <w:bottom w:val="none" w:sz="0" w:space="0" w:color="auto"/>
            <w:right w:val="none" w:sz="0" w:space="0" w:color="auto"/>
          </w:divBdr>
        </w:div>
        <w:div w:id="1822234155">
          <w:marLeft w:val="0"/>
          <w:marRight w:val="0"/>
          <w:marTop w:val="0"/>
          <w:marBottom w:val="0"/>
          <w:divBdr>
            <w:top w:val="none" w:sz="0" w:space="0" w:color="auto"/>
            <w:left w:val="none" w:sz="0" w:space="0" w:color="auto"/>
            <w:bottom w:val="none" w:sz="0" w:space="0" w:color="auto"/>
            <w:right w:val="none" w:sz="0" w:space="0" w:color="auto"/>
          </w:divBdr>
          <w:divsChild>
            <w:div w:id="736779480">
              <w:marLeft w:val="0"/>
              <w:marRight w:val="0"/>
              <w:marTop w:val="0"/>
              <w:marBottom w:val="0"/>
              <w:divBdr>
                <w:top w:val="none" w:sz="0" w:space="0" w:color="auto"/>
                <w:left w:val="none" w:sz="0" w:space="0" w:color="auto"/>
                <w:bottom w:val="none" w:sz="0" w:space="0" w:color="auto"/>
                <w:right w:val="none" w:sz="0" w:space="0" w:color="auto"/>
              </w:divBdr>
              <w:divsChild>
                <w:div w:id="432826286">
                  <w:marLeft w:val="0"/>
                  <w:marRight w:val="0"/>
                  <w:marTop w:val="0"/>
                  <w:marBottom w:val="0"/>
                  <w:divBdr>
                    <w:top w:val="none" w:sz="0" w:space="0" w:color="auto"/>
                    <w:left w:val="none" w:sz="0" w:space="0" w:color="auto"/>
                    <w:bottom w:val="none" w:sz="0" w:space="0" w:color="auto"/>
                    <w:right w:val="none" w:sz="0" w:space="0" w:color="auto"/>
                  </w:divBdr>
                  <w:divsChild>
                    <w:div w:id="1549956174">
                      <w:marLeft w:val="0"/>
                      <w:marRight w:val="0"/>
                      <w:marTop w:val="0"/>
                      <w:marBottom w:val="0"/>
                      <w:divBdr>
                        <w:top w:val="none" w:sz="0" w:space="0" w:color="auto"/>
                        <w:left w:val="none" w:sz="0" w:space="0" w:color="auto"/>
                        <w:bottom w:val="none" w:sz="0" w:space="0" w:color="auto"/>
                        <w:right w:val="none" w:sz="0" w:space="0" w:color="auto"/>
                      </w:divBdr>
                    </w:div>
                    <w:div w:id="19995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534568">
          <w:marLeft w:val="0"/>
          <w:marRight w:val="0"/>
          <w:marTop w:val="0"/>
          <w:marBottom w:val="0"/>
          <w:divBdr>
            <w:top w:val="none" w:sz="0" w:space="0" w:color="auto"/>
            <w:left w:val="none" w:sz="0" w:space="0" w:color="auto"/>
            <w:bottom w:val="none" w:sz="0" w:space="0" w:color="auto"/>
            <w:right w:val="none" w:sz="0" w:space="0" w:color="auto"/>
          </w:divBdr>
        </w:div>
      </w:divsChild>
    </w:div>
    <w:div w:id="1965037229">
      <w:bodyDiv w:val="1"/>
      <w:marLeft w:val="0"/>
      <w:marRight w:val="0"/>
      <w:marTop w:val="0"/>
      <w:marBottom w:val="0"/>
      <w:divBdr>
        <w:top w:val="none" w:sz="0" w:space="0" w:color="auto"/>
        <w:left w:val="none" w:sz="0" w:space="0" w:color="auto"/>
        <w:bottom w:val="none" w:sz="0" w:space="0" w:color="auto"/>
        <w:right w:val="none" w:sz="0" w:space="0" w:color="auto"/>
      </w:divBdr>
    </w:div>
    <w:div w:id="1968925124">
      <w:bodyDiv w:val="1"/>
      <w:marLeft w:val="0"/>
      <w:marRight w:val="0"/>
      <w:marTop w:val="0"/>
      <w:marBottom w:val="0"/>
      <w:divBdr>
        <w:top w:val="none" w:sz="0" w:space="0" w:color="auto"/>
        <w:left w:val="none" w:sz="0" w:space="0" w:color="auto"/>
        <w:bottom w:val="none" w:sz="0" w:space="0" w:color="auto"/>
        <w:right w:val="none" w:sz="0" w:space="0" w:color="auto"/>
      </w:divBdr>
    </w:div>
    <w:div w:id="1972443477">
      <w:bodyDiv w:val="1"/>
      <w:marLeft w:val="0"/>
      <w:marRight w:val="0"/>
      <w:marTop w:val="0"/>
      <w:marBottom w:val="0"/>
      <w:divBdr>
        <w:top w:val="none" w:sz="0" w:space="0" w:color="auto"/>
        <w:left w:val="none" w:sz="0" w:space="0" w:color="auto"/>
        <w:bottom w:val="none" w:sz="0" w:space="0" w:color="auto"/>
        <w:right w:val="none" w:sz="0" w:space="0" w:color="auto"/>
      </w:divBdr>
    </w:div>
    <w:div w:id="1974796450">
      <w:bodyDiv w:val="1"/>
      <w:marLeft w:val="0"/>
      <w:marRight w:val="0"/>
      <w:marTop w:val="0"/>
      <w:marBottom w:val="0"/>
      <w:divBdr>
        <w:top w:val="none" w:sz="0" w:space="0" w:color="auto"/>
        <w:left w:val="none" w:sz="0" w:space="0" w:color="auto"/>
        <w:bottom w:val="none" w:sz="0" w:space="0" w:color="auto"/>
        <w:right w:val="none" w:sz="0" w:space="0" w:color="auto"/>
      </w:divBdr>
    </w:div>
    <w:div w:id="1982884404">
      <w:bodyDiv w:val="1"/>
      <w:marLeft w:val="0"/>
      <w:marRight w:val="0"/>
      <w:marTop w:val="0"/>
      <w:marBottom w:val="0"/>
      <w:divBdr>
        <w:top w:val="none" w:sz="0" w:space="0" w:color="auto"/>
        <w:left w:val="none" w:sz="0" w:space="0" w:color="auto"/>
        <w:bottom w:val="none" w:sz="0" w:space="0" w:color="auto"/>
        <w:right w:val="none" w:sz="0" w:space="0" w:color="auto"/>
      </w:divBdr>
    </w:div>
    <w:div w:id="1988707870">
      <w:bodyDiv w:val="1"/>
      <w:marLeft w:val="0"/>
      <w:marRight w:val="0"/>
      <w:marTop w:val="0"/>
      <w:marBottom w:val="0"/>
      <w:divBdr>
        <w:top w:val="none" w:sz="0" w:space="0" w:color="auto"/>
        <w:left w:val="none" w:sz="0" w:space="0" w:color="auto"/>
        <w:bottom w:val="none" w:sz="0" w:space="0" w:color="auto"/>
        <w:right w:val="none" w:sz="0" w:space="0" w:color="auto"/>
      </w:divBdr>
    </w:div>
    <w:div w:id="1990019508">
      <w:bodyDiv w:val="1"/>
      <w:marLeft w:val="0"/>
      <w:marRight w:val="0"/>
      <w:marTop w:val="0"/>
      <w:marBottom w:val="0"/>
      <w:divBdr>
        <w:top w:val="none" w:sz="0" w:space="0" w:color="auto"/>
        <w:left w:val="none" w:sz="0" w:space="0" w:color="auto"/>
        <w:bottom w:val="none" w:sz="0" w:space="0" w:color="auto"/>
        <w:right w:val="none" w:sz="0" w:space="0" w:color="auto"/>
      </w:divBdr>
    </w:div>
    <w:div w:id="1997488857">
      <w:bodyDiv w:val="1"/>
      <w:marLeft w:val="0"/>
      <w:marRight w:val="0"/>
      <w:marTop w:val="0"/>
      <w:marBottom w:val="0"/>
      <w:divBdr>
        <w:top w:val="none" w:sz="0" w:space="0" w:color="auto"/>
        <w:left w:val="none" w:sz="0" w:space="0" w:color="auto"/>
        <w:bottom w:val="none" w:sz="0" w:space="0" w:color="auto"/>
        <w:right w:val="none" w:sz="0" w:space="0" w:color="auto"/>
      </w:divBdr>
    </w:div>
    <w:div w:id="2006932827">
      <w:bodyDiv w:val="1"/>
      <w:marLeft w:val="0"/>
      <w:marRight w:val="0"/>
      <w:marTop w:val="0"/>
      <w:marBottom w:val="0"/>
      <w:divBdr>
        <w:top w:val="none" w:sz="0" w:space="0" w:color="auto"/>
        <w:left w:val="none" w:sz="0" w:space="0" w:color="auto"/>
        <w:bottom w:val="none" w:sz="0" w:space="0" w:color="auto"/>
        <w:right w:val="none" w:sz="0" w:space="0" w:color="auto"/>
      </w:divBdr>
    </w:div>
    <w:div w:id="2025521383">
      <w:bodyDiv w:val="1"/>
      <w:marLeft w:val="0"/>
      <w:marRight w:val="0"/>
      <w:marTop w:val="0"/>
      <w:marBottom w:val="0"/>
      <w:divBdr>
        <w:top w:val="none" w:sz="0" w:space="0" w:color="auto"/>
        <w:left w:val="none" w:sz="0" w:space="0" w:color="auto"/>
        <w:bottom w:val="none" w:sz="0" w:space="0" w:color="auto"/>
        <w:right w:val="none" w:sz="0" w:space="0" w:color="auto"/>
      </w:divBdr>
    </w:div>
    <w:div w:id="2029410395">
      <w:bodyDiv w:val="1"/>
      <w:marLeft w:val="0"/>
      <w:marRight w:val="0"/>
      <w:marTop w:val="0"/>
      <w:marBottom w:val="0"/>
      <w:divBdr>
        <w:top w:val="none" w:sz="0" w:space="0" w:color="auto"/>
        <w:left w:val="none" w:sz="0" w:space="0" w:color="auto"/>
        <w:bottom w:val="none" w:sz="0" w:space="0" w:color="auto"/>
        <w:right w:val="none" w:sz="0" w:space="0" w:color="auto"/>
      </w:divBdr>
    </w:div>
    <w:div w:id="2029912456">
      <w:bodyDiv w:val="1"/>
      <w:marLeft w:val="0"/>
      <w:marRight w:val="0"/>
      <w:marTop w:val="0"/>
      <w:marBottom w:val="0"/>
      <w:divBdr>
        <w:top w:val="none" w:sz="0" w:space="0" w:color="auto"/>
        <w:left w:val="none" w:sz="0" w:space="0" w:color="auto"/>
        <w:bottom w:val="none" w:sz="0" w:space="0" w:color="auto"/>
        <w:right w:val="none" w:sz="0" w:space="0" w:color="auto"/>
      </w:divBdr>
    </w:div>
    <w:div w:id="2040541297">
      <w:bodyDiv w:val="1"/>
      <w:marLeft w:val="0"/>
      <w:marRight w:val="0"/>
      <w:marTop w:val="0"/>
      <w:marBottom w:val="0"/>
      <w:divBdr>
        <w:top w:val="none" w:sz="0" w:space="0" w:color="auto"/>
        <w:left w:val="none" w:sz="0" w:space="0" w:color="auto"/>
        <w:bottom w:val="none" w:sz="0" w:space="0" w:color="auto"/>
        <w:right w:val="none" w:sz="0" w:space="0" w:color="auto"/>
      </w:divBdr>
    </w:div>
    <w:div w:id="2041858717">
      <w:bodyDiv w:val="1"/>
      <w:marLeft w:val="0"/>
      <w:marRight w:val="0"/>
      <w:marTop w:val="0"/>
      <w:marBottom w:val="0"/>
      <w:divBdr>
        <w:top w:val="none" w:sz="0" w:space="0" w:color="auto"/>
        <w:left w:val="none" w:sz="0" w:space="0" w:color="auto"/>
        <w:bottom w:val="none" w:sz="0" w:space="0" w:color="auto"/>
        <w:right w:val="none" w:sz="0" w:space="0" w:color="auto"/>
      </w:divBdr>
    </w:div>
    <w:div w:id="2050716305">
      <w:bodyDiv w:val="1"/>
      <w:marLeft w:val="0"/>
      <w:marRight w:val="0"/>
      <w:marTop w:val="0"/>
      <w:marBottom w:val="0"/>
      <w:divBdr>
        <w:top w:val="none" w:sz="0" w:space="0" w:color="auto"/>
        <w:left w:val="none" w:sz="0" w:space="0" w:color="auto"/>
        <w:bottom w:val="none" w:sz="0" w:space="0" w:color="auto"/>
        <w:right w:val="none" w:sz="0" w:space="0" w:color="auto"/>
      </w:divBdr>
    </w:div>
    <w:div w:id="2055232883">
      <w:bodyDiv w:val="1"/>
      <w:marLeft w:val="0"/>
      <w:marRight w:val="0"/>
      <w:marTop w:val="0"/>
      <w:marBottom w:val="0"/>
      <w:divBdr>
        <w:top w:val="none" w:sz="0" w:space="0" w:color="auto"/>
        <w:left w:val="none" w:sz="0" w:space="0" w:color="auto"/>
        <w:bottom w:val="none" w:sz="0" w:space="0" w:color="auto"/>
        <w:right w:val="none" w:sz="0" w:space="0" w:color="auto"/>
      </w:divBdr>
    </w:div>
    <w:div w:id="2056536082">
      <w:bodyDiv w:val="1"/>
      <w:marLeft w:val="0"/>
      <w:marRight w:val="0"/>
      <w:marTop w:val="0"/>
      <w:marBottom w:val="0"/>
      <w:divBdr>
        <w:top w:val="none" w:sz="0" w:space="0" w:color="auto"/>
        <w:left w:val="none" w:sz="0" w:space="0" w:color="auto"/>
        <w:bottom w:val="none" w:sz="0" w:space="0" w:color="auto"/>
        <w:right w:val="none" w:sz="0" w:space="0" w:color="auto"/>
      </w:divBdr>
    </w:div>
    <w:div w:id="2071344293">
      <w:bodyDiv w:val="1"/>
      <w:marLeft w:val="0"/>
      <w:marRight w:val="0"/>
      <w:marTop w:val="0"/>
      <w:marBottom w:val="0"/>
      <w:divBdr>
        <w:top w:val="none" w:sz="0" w:space="0" w:color="auto"/>
        <w:left w:val="none" w:sz="0" w:space="0" w:color="auto"/>
        <w:bottom w:val="none" w:sz="0" w:space="0" w:color="auto"/>
        <w:right w:val="none" w:sz="0" w:space="0" w:color="auto"/>
      </w:divBdr>
    </w:div>
    <w:div w:id="2079279349">
      <w:bodyDiv w:val="1"/>
      <w:marLeft w:val="0"/>
      <w:marRight w:val="0"/>
      <w:marTop w:val="0"/>
      <w:marBottom w:val="0"/>
      <w:divBdr>
        <w:top w:val="none" w:sz="0" w:space="0" w:color="auto"/>
        <w:left w:val="none" w:sz="0" w:space="0" w:color="auto"/>
        <w:bottom w:val="none" w:sz="0" w:space="0" w:color="auto"/>
        <w:right w:val="none" w:sz="0" w:space="0" w:color="auto"/>
      </w:divBdr>
    </w:div>
    <w:div w:id="2087797303">
      <w:bodyDiv w:val="1"/>
      <w:marLeft w:val="0"/>
      <w:marRight w:val="0"/>
      <w:marTop w:val="0"/>
      <w:marBottom w:val="0"/>
      <w:divBdr>
        <w:top w:val="none" w:sz="0" w:space="0" w:color="auto"/>
        <w:left w:val="none" w:sz="0" w:space="0" w:color="auto"/>
        <w:bottom w:val="none" w:sz="0" w:space="0" w:color="auto"/>
        <w:right w:val="none" w:sz="0" w:space="0" w:color="auto"/>
      </w:divBdr>
    </w:div>
    <w:div w:id="2090688332">
      <w:bodyDiv w:val="1"/>
      <w:marLeft w:val="0"/>
      <w:marRight w:val="0"/>
      <w:marTop w:val="0"/>
      <w:marBottom w:val="0"/>
      <w:divBdr>
        <w:top w:val="none" w:sz="0" w:space="0" w:color="auto"/>
        <w:left w:val="none" w:sz="0" w:space="0" w:color="auto"/>
        <w:bottom w:val="none" w:sz="0" w:space="0" w:color="auto"/>
        <w:right w:val="none" w:sz="0" w:space="0" w:color="auto"/>
      </w:divBdr>
    </w:div>
    <w:div w:id="2101289127">
      <w:bodyDiv w:val="1"/>
      <w:marLeft w:val="0"/>
      <w:marRight w:val="0"/>
      <w:marTop w:val="0"/>
      <w:marBottom w:val="0"/>
      <w:divBdr>
        <w:top w:val="none" w:sz="0" w:space="0" w:color="auto"/>
        <w:left w:val="none" w:sz="0" w:space="0" w:color="auto"/>
        <w:bottom w:val="none" w:sz="0" w:space="0" w:color="auto"/>
        <w:right w:val="none" w:sz="0" w:space="0" w:color="auto"/>
      </w:divBdr>
      <w:divsChild>
        <w:div w:id="226035542">
          <w:marLeft w:val="0"/>
          <w:marRight w:val="0"/>
          <w:marTop w:val="0"/>
          <w:marBottom w:val="0"/>
          <w:divBdr>
            <w:top w:val="none" w:sz="0" w:space="0" w:color="auto"/>
            <w:left w:val="none" w:sz="0" w:space="0" w:color="auto"/>
            <w:bottom w:val="none" w:sz="0" w:space="0" w:color="auto"/>
            <w:right w:val="none" w:sz="0" w:space="0" w:color="auto"/>
          </w:divBdr>
        </w:div>
        <w:div w:id="1730835303">
          <w:marLeft w:val="0"/>
          <w:marRight w:val="0"/>
          <w:marTop w:val="0"/>
          <w:marBottom w:val="0"/>
          <w:divBdr>
            <w:top w:val="none" w:sz="0" w:space="0" w:color="auto"/>
            <w:left w:val="none" w:sz="0" w:space="0" w:color="auto"/>
            <w:bottom w:val="none" w:sz="0" w:space="0" w:color="auto"/>
            <w:right w:val="none" w:sz="0" w:space="0" w:color="auto"/>
          </w:divBdr>
        </w:div>
      </w:divsChild>
    </w:div>
    <w:div w:id="2126461648">
      <w:bodyDiv w:val="1"/>
      <w:marLeft w:val="0"/>
      <w:marRight w:val="0"/>
      <w:marTop w:val="0"/>
      <w:marBottom w:val="0"/>
      <w:divBdr>
        <w:top w:val="none" w:sz="0" w:space="0" w:color="auto"/>
        <w:left w:val="none" w:sz="0" w:space="0" w:color="auto"/>
        <w:bottom w:val="none" w:sz="0" w:space="0" w:color="auto"/>
        <w:right w:val="none" w:sz="0" w:space="0" w:color="auto"/>
      </w:divBdr>
    </w:div>
    <w:div w:id="2138405188">
      <w:bodyDiv w:val="1"/>
      <w:marLeft w:val="0"/>
      <w:marRight w:val="0"/>
      <w:marTop w:val="0"/>
      <w:marBottom w:val="0"/>
      <w:divBdr>
        <w:top w:val="none" w:sz="0" w:space="0" w:color="auto"/>
        <w:left w:val="none" w:sz="0" w:space="0" w:color="auto"/>
        <w:bottom w:val="none" w:sz="0" w:space="0" w:color="auto"/>
        <w:right w:val="none" w:sz="0" w:space="0" w:color="auto"/>
      </w:divBdr>
    </w:div>
    <w:div w:id="2139256054">
      <w:bodyDiv w:val="1"/>
      <w:marLeft w:val="0"/>
      <w:marRight w:val="0"/>
      <w:marTop w:val="0"/>
      <w:marBottom w:val="0"/>
      <w:divBdr>
        <w:top w:val="none" w:sz="0" w:space="0" w:color="auto"/>
        <w:left w:val="none" w:sz="0" w:space="0" w:color="auto"/>
        <w:bottom w:val="none" w:sz="0" w:space="0" w:color="auto"/>
        <w:right w:val="none" w:sz="0" w:space="0" w:color="auto"/>
      </w:divBdr>
    </w:div>
    <w:div w:id="2146073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2.xml"/><Relationship Id="rId42" Type="http://schemas.openxmlformats.org/officeDocument/2006/relationships/header" Target="header14.xml"/><Relationship Id="rId47" Type="http://schemas.openxmlformats.org/officeDocument/2006/relationships/header" Target="header16.xml"/><Relationship Id="rId63" Type="http://schemas.openxmlformats.org/officeDocument/2006/relationships/header" Target="header23.xml"/><Relationship Id="rId68" Type="http://schemas.openxmlformats.org/officeDocument/2006/relationships/footer" Target="footer25.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8.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footer" Target="footer5.xml"/><Relationship Id="rId37" Type="http://schemas.openxmlformats.org/officeDocument/2006/relationships/footer" Target="footer8.xml"/><Relationship Id="rId40" Type="http://schemas.openxmlformats.org/officeDocument/2006/relationships/header" Target="header13.xml"/><Relationship Id="rId45" Type="http://schemas.openxmlformats.org/officeDocument/2006/relationships/footer" Target="footer12.xml"/><Relationship Id="rId53" Type="http://schemas.openxmlformats.org/officeDocument/2006/relationships/footer" Target="footer17.xml"/><Relationship Id="rId58" Type="http://schemas.openxmlformats.org/officeDocument/2006/relationships/footer" Target="footer20.xml"/><Relationship Id="rId66" Type="http://schemas.openxmlformats.org/officeDocument/2006/relationships/footer" Target="footer24.xml"/><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22.xm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footer" Target="footer4.xml"/><Relationship Id="rId35" Type="http://schemas.openxmlformats.org/officeDocument/2006/relationships/header" Target="header11.xml"/><Relationship Id="rId43" Type="http://schemas.openxmlformats.org/officeDocument/2006/relationships/footer" Target="footer11.xml"/><Relationship Id="rId48" Type="http://schemas.openxmlformats.org/officeDocument/2006/relationships/footer" Target="footer14.xml"/><Relationship Id="rId56" Type="http://schemas.openxmlformats.org/officeDocument/2006/relationships/footer" Target="footer19.xml"/><Relationship Id="rId64" Type="http://schemas.openxmlformats.org/officeDocument/2006/relationships/footer" Target="footer23.xml"/><Relationship Id="rId69" Type="http://schemas.openxmlformats.org/officeDocument/2006/relationships/header" Target="header26.xml"/><Relationship Id="rId8" Type="http://schemas.openxmlformats.org/officeDocument/2006/relationships/settings" Target="settings.xml"/><Relationship Id="rId51" Type="http://schemas.openxmlformats.org/officeDocument/2006/relationships/header" Target="header18.xml"/><Relationship Id="rId72" Type="http://schemas.openxmlformats.org/officeDocument/2006/relationships/hyperlink" Target="mailto:com@lawcom.govt.nz"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lawcom.govt.nz" TargetMode="External"/><Relationship Id="rId25" Type="http://schemas.openxmlformats.org/officeDocument/2006/relationships/header" Target="header4.xml"/><Relationship Id="rId33" Type="http://schemas.openxmlformats.org/officeDocument/2006/relationships/header" Target="header10.xml"/><Relationship Id="rId38" Type="http://schemas.openxmlformats.org/officeDocument/2006/relationships/header" Target="header12.xml"/><Relationship Id="rId46" Type="http://schemas.openxmlformats.org/officeDocument/2006/relationships/footer" Target="footer13.xml"/><Relationship Id="rId59" Type="http://schemas.openxmlformats.org/officeDocument/2006/relationships/header" Target="header21.xml"/><Relationship Id="rId67" Type="http://schemas.openxmlformats.org/officeDocument/2006/relationships/header" Target="header25.xml"/><Relationship Id="rId20" Type="http://schemas.openxmlformats.org/officeDocument/2006/relationships/header" Target="header2.xml"/><Relationship Id="rId41" Type="http://schemas.openxmlformats.org/officeDocument/2006/relationships/footer" Target="footer10.xml"/><Relationship Id="rId54" Type="http://schemas.openxmlformats.org/officeDocument/2006/relationships/header" Target="header19.xml"/><Relationship Id="rId62" Type="http://schemas.openxmlformats.org/officeDocument/2006/relationships/footer" Target="footer22.xml"/><Relationship Id="rId70" Type="http://schemas.openxmlformats.org/officeDocument/2006/relationships/header" Target="header27.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lawcom.govt.nz/our-work/a-review-of-the-protections-in-the-human-rights-act-1993-for-people-who-are-transgender-people-who-are-non-binary-and-people-with-innate-variations-of-sex-characteristics/" TargetMode="External"/><Relationship Id="rId28" Type="http://schemas.openxmlformats.org/officeDocument/2006/relationships/header" Target="header7.xml"/><Relationship Id="rId36" Type="http://schemas.openxmlformats.org/officeDocument/2006/relationships/footer" Target="footer7.xml"/><Relationship Id="rId49" Type="http://schemas.openxmlformats.org/officeDocument/2006/relationships/header" Target="header17.xml"/><Relationship Id="rId57" Type="http://schemas.openxmlformats.org/officeDocument/2006/relationships/header" Target="header20.xml"/><Relationship Id="rId10" Type="http://schemas.openxmlformats.org/officeDocument/2006/relationships/footnotes" Target="footnotes.xml"/><Relationship Id="rId31" Type="http://schemas.openxmlformats.org/officeDocument/2006/relationships/header" Target="header9.xml"/><Relationship Id="rId44" Type="http://schemas.openxmlformats.org/officeDocument/2006/relationships/header" Target="header15.xml"/><Relationship Id="rId52" Type="http://schemas.openxmlformats.org/officeDocument/2006/relationships/footer" Target="footer16.xml"/><Relationship Id="rId60" Type="http://schemas.openxmlformats.org/officeDocument/2006/relationships/footer" Target="footer21.xml"/><Relationship Id="rId65" Type="http://schemas.openxmlformats.org/officeDocument/2006/relationships/header" Target="header24.xml"/><Relationship Id="rId73" Type="http://schemas.openxmlformats.org/officeDocument/2006/relationships/header" Target="header28.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footer" Target="footer9.xml"/><Relationship Id="rId34" Type="http://schemas.openxmlformats.org/officeDocument/2006/relationships/footer" Target="footer6.xml"/><Relationship Id="rId50" Type="http://schemas.openxmlformats.org/officeDocument/2006/relationships/footer" Target="footer15.xml"/><Relationship Id="rId55" Type="http://schemas.openxmlformats.org/officeDocument/2006/relationships/footer" Target="footer18.xml"/><Relationship Id="rId7" Type="http://schemas.openxmlformats.org/officeDocument/2006/relationships/styles" Target="styles.xml"/><Relationship Id="rId71"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26" Type="http://schemas.openxmlformats.org/officeDocument/2006/relationships/hyperlink" Target="https://www.speakupforwomen.nz/post/media-release-ek-hra" TargetMode="External"/><Relationship Id="rId21" Type="http://schemas.openxmlformats.org/officeDocument/2006/relationships/hyperlink" Target="https://interactadvocates.org/resources/intersex-organizations/" TargetMode="External"/><Relationship Id="rId42" Type="http://schemas.openxmlformats.org/officeDocument/2006/relationships/hyperlink" Target="https://www.tewhatuora.govt.nz/health-services-and-programmes/providing-health-services-for-transgender-people/updates-from-the-gender-affirming-genital-surgery-service/" TargetMode="External"/><Relationship Id="rId47" Type="http://schemas.openxmlformats.org/officeDocument/2006/relationships/hyperlink" Target="https://www.stuff.co.nz/dominion-post/comment/7750692/Ombudsmens-services-ensure-a-fair-go" TargetMode="External"/><Relationship Id="rId63" Type="http://schemas.openxmlformats.org/officeDocument/2006/relationships/hyperlink" Target="https://www.gov.ie/en/publication/7e05d-programme-for-government-our-shared-future/" TargetMode="External"/><Relationship Id="rId68" Type="http://schemas.openxmlformats.org/officeDocument/2006/relationships/hyperlink" Target="https://www.speakupforwomen.nz/_files/ugd/f0d3e1_0874d58f124842968479e02e8bd07854.pdf" TargetMode="External"/><Relationship Id="rId84" Type="http://schemas.openxmlformats.org/officeDocument/2006/relationships/hyperlink" Target="https://questions-statements.parliament.uk/written-statements/detail/2022-07-04/hcws172" TargetMode="External"/><Relationship Id="rId89" Type="http://schemas.openxmlformats.org/officeDocument/2006/relationships/hyperlink" Target="https://www.nzherald.co.nz/sport/new-zealand-government-revises-status-on-transgender-athletes-in-community-sport/OO3XC4OGCNF65AWGX2HNUYSARE/" TargetMode="External"/><Relationship Id="rId16" Type="http://schemas.openxmlformats.org/officeDocument/2006/relationships/hyperlink" Target="https://starship.org.nz/guidelines/differences-of-sex-development-atawhai-taihemahema/" TargetMode="External"/><Relationship Id="rId11" Type="http://schemas.openxmlformats.org/officeDocument/2006/relationships/hyperlink" Target="https://www.psychiatry.org/psychiatrists/diversity/education/transgender-and-gender-nonconforming-patients/gender-dysphoria-diagnosis" TargetMode="External"/><Relationship Id="rId32" Type="http://schemas.openxmlformats.org/officeDocument/2006/relationships/hyperlink" Target="https://teara.govt.nz/mi/gender-diversity/page-2" TargetMode="External"/><Relationship Id="rId37" Type="http://schemas.openxmlformats.org/officeDocument/2006/relationships/hyperlink" Target="https://www.stats.govt.nz/news/one-third-of-people-who-identify-as-lgbt-plus-hold-a-bachelors-degree-or-higher/" TargetMode="External"/><Relationship Id="rId53" Type="http://schemas.openxmlformats.org/officeDocument/2006/relationships/hyperlink" Target="https://www.maoriplus.co.nz/show/karanga-the-first-voice/play/6306555530112" TargetMode="External"/><Relationship Id="rId58" Type="http://schemas.openxmlformats.org/officeDocument/2006/relationships/hyperlink" Target="https://www.stats.govt.nz/information-releases/lgbt-plus-population-of-aotearoa-year-ended-june-2021" TargetMode="External"/><Relationship Id="rId74" Type="http://schemas.openxmlformats.org/officeDocument/2006/relationships/hyperlink" Target="https://outline.org.nz/our-counsellors/" TargetMode="External"/><Relationship Id="rId79" Type="http://schemas.openxmlformats.org/officeDocument/2006/relationships/hyperlink" Target="https://www.educationcounts.govt.nz/directories/list-of-nz-schools" TargetMode="External"/><Relationship Id="rId5" Type="http://schemas.openxmlformats.org/officeDocument/2006/relationships/hyperlink" Target="https://www.stats.govt.nz/information-releases/lgbt-plus-population-of-aotearoa-year-ended-june-2021/" TargetMode="External"/><Relationship Id="rId90" Type="http://schemas.openxmlformats.org/officeDocument/2006/relationships/hyperlink" Target="https://www.nzherald.co.nz/sport/governments-tough-stance-on-transgender-sports-sparks-controversy/SUOGZO7QZBEJJDD267U4K7DXVA/" TargetMode="External"/><Relationship Id="rId95" Type="http://schemas.openxmlformats.org/officeDocument/2006/relationships/hyperlink" Target="https://my.clevelandclinic.org/health/diseases/24639-hyperandrogenism" TargetMode="External"/><Relationship Id="rId22" Type="http://schemas.openxmlformats.org/officeDocument/2006/relationships/hyperlink" Target="https://www.intersexaotearoa.org/all-about-intersex" TargetMode="External"/><Relationship Id="rId27" Type="http://schemas.openxmlformats.org/officeDocument/2006/relationships/hyperlink" Target="https://www.speakupforwomen.nz/post/responses-to-media-questions" TargetMode="External"/><Relationship Id="rId43" Type="http://schemas.openxmlformats.org/officeDocument/2006/relationships/hyperlink" Target="https://www.health.gov.au/topics/mental-health-and-suicide-prevention/suicide-in-australia" TargetMode="External"/><Relationship Id="rId48" Type="http://schemas.openxmlformats.org/officeDocument/2006/relationships/hyperlink" Target="https://www.dpmc.govt.nz/our-programmes/policy-project/policy-advice-themes/evidence-and-evaluation" TargetMode="External"/><Relationship Id="rId64" Type="http://schemas.openxmlformats.org/officeDocument/2006/relationships/hyperlink" Target="https://www.speakupforwomen.nz/terminology" TargetMode="External"/><Relationship Id="rId69" Type="http://schemas.openxmlformats.org/officeDocument/2006/relationships/hyperlink" Target="https://www.bbc.com/news/articles/c0kkvkkejgno" TargetMode="External"/><Relationship Id="rId80" Type="http://schemas.openxmlformats.org/officeDocument/2006/relationships/hyperlink" Target="https://bills.parliament.nz/download/ProposedMembersBill/b6f4d221-3375-4dc4-f1ea-08dc70a25664" TargetMode="External"/><Relationship Id="rId85" Type="http://schemas.openxmlformats.org/officeDocument/2006/relationships/hyperlink" Target="https://assets.publishing.service.gov.uk/media/664329a0ae748c43d3793a28/ADT_2024.pdf" TargetMode="External"/><Relationship Id="rId3" Type="http://schemas.openxmlformats.org/officeDocument/2006/relationships/hyperlink" Target="https://www.speakupforwomen.nz/terminology" TargetMode="External"/><Relationship Id="rId12" Type="http://schemas.openxmlformats.org/officeDocument/2006/relationships/hyperlink" Target="https://www.publicservice.govt.nz/assets/DirectoryFile/Transitioning-and-Gender-Affirmation-in-the-New-Zealand-Public-Service-V1-Optimised.pdf" TargetMode="External"/><Relationship Id="rId17" Type="http://schemas.openxmlformats.org/officeDocument/2006/relationships/hyperlink" Target="https://starship.org.nz/guidelines/differences-of-sex-development-atawhai-taihemahema/" TargetMode="External"/><Relationship Id="rId25" Type="http://schemas.openxmlformats.org/officeDocument/2006/relationships/hyperlink" Target="https://womensrightsparty.nz/changes-to-human-rights-act-will-harm-women-and-girls/" TargetMode="External"/><Relationship Id="rId33" Type="http://schemas.openxmlformats.org/officeDocument/2006/relationships/hyperlink" Target="https://www.pridenz.com/rainbow_politicians_georgina_beyer_profile_transcript.html" TargetMode="External"/><Relationship Id="rId38" Type="http://schemas.openxmlformats.org/officeDocument/2006/relationships/hyperlink" Target="https://www.publicservice.govt.nz/guidance/inclusion-and-our-rainbow-public-service/findings-from-the-wecount-2019-survey/identity-of-the-rainbow-population/" TargetMode="External"/><Relationship Id="rId46" Type="http://schemas.openxmlformats.org/officeDocument/2006/relationships/hyperlink" Target="https://www.rnz.co.nz/news/national/501068/intersex-awareness-day-aotearoa-s-journey-towards-change" TargetMode="External"/><Relationship Id="rId59" Type="http://schemas.openxmlformats.org/officeDocument/2006/relationships/hyperlink" Target="https://thespinoff.co.nz/society/16-05-2024/deadnaming-insults-and-harassment-trans-corrections-officer-brings-landmark-human-rights-case-against-his-employer" TargetMode="External"/><Relationship Id="rId67" Type="http://schemas.openxmlformats.org/officeDocument/2006/relationships/hyperlink" Target="https://www.lava.nz/nz-hate-speech-law?rq=hate%20speech" TargetMode="External"/><Relationship Id="rId20" Type="http://schemas.openxmlformats.org/officeDocument/2006/relationships/hyperlink" Target="https://ihra.org.au/16601/intersex-numbers/" TargetMode="External"/><Relationship Id="rId41" Type="http://schemas.openxmlformats.org/officeDocument/2006/relationships/hyperlink" Target="https://www.tewhatuora.govt.nz/health-services-and-programmes/providing-health-services-for-transgender-people/the-gender-affirming-genital-surgery-service/" TargetMode="External"/><Relationship Id="rId54" Type="http://schemas.openxmlformats.org/officeDocument/2006/relationships/hyperlink" Target="https://tehiku.nz/te-hiku-radio/tautinei/33912/angitu-challenge-gender-roles-in-te-matatini-2023" TargetMode="External"/><Relationship Id="rId62" Type="http://schemas.openxmlformats.org/officeDocument/2006/relationships/hyperlink" Target="https://www.justice.gc.ca/eng/csj-sjc/pl/identity-identite/faq.html?wbdisable=true" TargetMode="External"/><Relationship Id="rId70" Type="http://schemas.openxmlformats.org/officeDocument/2006/relationships/hyperlink" Target="https://www.equity.org.uk/advice-and-support/casting-and-auditions/guidelines-for-entertainment-professionals-working-with-lgbtplus-performers" TargetMode="External"/><Relationship Id="rId75" Type="http://schemas.openxmlformats.org/officeDocument/2006/relationships/hyperlink" Target="https://insideout.org.nz/respectful-relationships-programme/" TargetMode="External"/><Relationship Id="rId83" Type="http://schemas.openxmlformats.org/officeDocument/2006/relationships/hyperlink" Target="https://newsroom.co.nz/2023/11/03/race-relations-among-most-divisive-issues-in-election-poll/" TargetMode="External"/><Relationship Id="rId88" Type="http://schemas.openxmlformats.org/officeDocument/2006/relationships/hyperlink" Target="https://www.uci.org/pressrelease/the-uci-adapts-its-rules-on-the-participation-of-transgender-athletes-in/6FnXDIzvzxtWFOvbOEnKbC" TargetMode="External"/><Relationship Id="rId91" Type="http://schemas.openxmlformats.org/officeDocument/2006/relationships/hyperlink" Target="https://www.nzherald.co.nz/sport/governments-tough-stance-on-transgender-sports-sparks-controversy/SUOGZO7QZBEJJDD267U4K7DXVA/" TargetMode="External"/><Relationship Id="rId96" Type="http://schemas.openxmlformats.org/officeDocument/2006/relationships/hyperlink" Target="https://www.beehive.govt.nz/release/rainbow-health-gets-funding-boost" TargetMode="External"/><Relationship Id="rId1" Type="http://schemas.openxmlformats.org/officeDocument/2006/relationships/hyperlink" Target="https://www.justice.govt.nz/assets/Documents/Publications/Incitement-Discussion-Document.pdf" TargetMode="External"/><Relationship Id="rId6" Type="http://schemas.openxmlformats.org/officeDocument/2006/relationships/hyperlink" Target="https://maoridictionary.co.nz/search?idiom=&amp;phrase=&amp;proverb=&amp;loan=&amp;histLoanWords=&amp;keywords=takatapui" TargetMode="External"/><Relationship Id="rId15" Type="http://schemas.openxmlformats.org/officeDocument/2006/relationships/hyperlink" Target="https://interactadvocates.org/wp-content/uploads/2022/10/Intersex-Variations-Glossary.pdf" TargetMode="External"/><Relationship Id="rId23" Type="http://schemas.openxmlformats.org/officeDocument/2006/relationships/hyperlink" Target="https://starship.org.nz/guidelines/differences-of-sex-development-atawhai-taihemahema/" TargetMode="External"/><Relationship Id="rId28" Type="http://schemas.openxmlformats.org/officeDocument/2006/relationships/hyperlink" Target="https://www.speakupforwomen.nz/post/responses-to-media-questions" TargetMode="External"/><Relationship Id="rId36" Type="http://schemas.openxmlformats.org/officeDocument/2006/relationships/hyperlink" Target="https://www.stats.govt.nz/information-releases/lgbt-plus-population-of-aotearoa-year-ended-june-2021/" TargetMode="External"/><Relationship Id="rId49" Type="http://schemas.openxmlformats.org/officeDocument/2006/relationships/hyperlink" Target="https://podcasters.spotify.com/pod/show/te-whe/episodes/Te-Wh---Episode-6-Te-Ira-Tangata-with-Tu-Chapman--Hmiora-Bailey-e1g5dmb" TargetMode="External"/><Relationship Id="rId57" Type="http://schemas.openxmlformats.org/officeDocument/2006/relationships/hyperlink" Target="https://bchumanrights.ca/human-rights/human-rights-in-bc/" TargetMode="External"/><Relationship Id="rId10" Type="http://schemas.openxmlformats.org/officeDocument/2006/relationships/hyperlink" Target="https://icd.who.int/browse/2024-01/mms/en" TargetMode="External"/><Relationship Id="rId31" Type="http://schemas.openxmlformats.org/officeDocument/2006/relationships/hyperlink" Target="https://www.pridenz.com/rainbow_politicians_georgina_beyer_profile_transcript.html" TargetMode="External"/><Relationship Id="rId44" Type="http://schemas.openxmlformats.org/officeDocument/2006/relationships/hyperlink" Target="https://www.renews.co.nz/im-intersex-and-i-wish-doctors-had-left-my-body-alone/" TargetMode="External"/><Relationship Id="rId52" Type="http://schemas.openxmlformats.org/officeDocument/2006/relationships/hyperlink" Target="https://teara.govt.nz/en/te-mana-o-te-wahine-maori-women/page-4" TargetMode="External"/><Relationship Id="rId60" Type="http://schemas.openxmlformats.org/officeDocument/2006/relationships/hyperlink" Target="https://www.lava.nz/news/discrimination-claim" TargetMode="External"/><Relationship Id="rId65" Type="http://schemas.openxmlformats.org/officeDocument/2006/relationships/hyperlink" Target="http://www.manitobahumanrights.ca/education/pdf/guidelines/guideline_genderid.pdf" TargetMode="External"/><Relationship Id="rId73" Type="http://schemas.openxmlformats.org/officeDocument/2006/relationships/hyperlink" Target="https://pacificradiology.com/services/pregnancy-ultrasound" TargetMode="External"/><Relationship Id="rId78" Type="http://schemas.openxmlformats.org/officeDocument/2006/relationships/hyperlink" Target="https://www.southerncross.co.nz/society/buying-health-insurance/diversity-and-inclusion" TargetMode="External"/><Relationship Id="rId81" Type="http://schemas.openxmlformats.org/officeDocument/2006/relationships/hyperlink" Target="https://www.speakupforwomen.nz/post/responses-to-media-questions" TargetMode="External"/><Relationship Id="rId86" Type="http://schemas.openxmlformats.org/officeDocument/2006/relationships/hyperlink" Target="https://bills.parliament.nz/download/ProposedMembersBill/b6f4d221-3375-4dc4-f1ea-08dc70a25664" TargetMode="External"/><Relationship Id="rId94" Type="http://schemas.openxmlformats.org/officeDocument/2006/relationships/hyperlink" Target="https://newsroom.co.nz/2023/11/03/race-relations-among-most-divisive-issues-in-election-poll/" TargetMode="External"/><Relationship Id="rId4" Type="http://schemas.openxmlformats.org/officeDocument/2006/relationships/hyperlink" Target="https://www.who.int/health-topics/gender" TargetMode="External"/><Relationship Id="rId9" Type="http://schemas.openxmlformats.org/officeDocument/2006/relationships/hyperlink" Target="https://www.ncbi.nlm.nih.gov/books/NBK577212/table/pediat_transgender.T.dsm5_criteria_for_g/" TargetMode="External"/><Relationship Id="rId13" Type="http://schemas.openxmlformats.org/officeDocument/2006/relationships/hyperlink" Target="https://www.intersexaotearoa.org/all-about-intersex" TargetMode="External"/><Relationship Id="rId18" Type="http://schemas.openxmlformats.org/officeDocument/2006/relationships/hyperlink" Target="https://starship.org.nz/guidelines/differences-of-sex-development-atawhai-taihemahema/" TargetMode="External"/><Relationship Id="rId39" Type="http://schemas.openxmlformats.org/officeDocument/2006/relationships/hyperlink" Target="https://www.stuff.co.nz/national/education/130787679/transgender-students-should-automatically-get-into-nearest-coed-school-mp-says" TargetMode="External"/><Relationship Id="rId34" Type="http://schemas.openxmlformats.org/officeDocument/2006/relationships/hyperlink" Target="https://www.rnz.co.nz/news/national/514532/reports-of-hate-crimes-against-trans-people-jump-42-percent-spike-month-of-posie-parker-visit" TargetMode="External"/><Relationship Id="rId50" Type="http://schemas.openxmlformats.org/officeDocument/2006/relationships/hyperlink" Target="www.youtubehttps://www.youtube.com/watch?v=AHS1Pg_2Los&amp;list=PLxUzkZ8eaX5UqJAqNBcQPpAiJJiuqpp3F&amp;index=12" TargetMode="External"/><Relationship Id="rId55" Type="http://schemas.openxmlformats.org/officeDocument/2006/relationships/hyperlink" Target="https://www.justia.com/employment/employment-laws-50-state-surveys/employment-discrimination-laws-50-state-survey/" TargetMode="External"/><Relationship Id="rId76" Type="http://schemas.openxmlformats.org/officeDocument/2006/relationships/hyperlink" Target="https://www.stats.govt.nz/news/deaths-increase-by-ten-percent-in-2022" TargetMode="External"/><Relationship Id="rId97" Type="http://schemas.openxmlformats.org/officeDocument/2006/relationships/hyperlink" Target="https://www.dpmc.govt.nz/publications/human-rights-implications-bills-and-cabinet-papers" TargetMode="External"/><Relationship Id="rId7" Type="http://schemas.openxmlformats.org/officeDocument/2006/relationships/hyperlink" Target="https://maoridictionary.co.nz/" TargetMode="External"/><Relationship Id="rId71" Type="http://schemas.openxmlformats.org/officeDocument/2006/relationships/hyperlink" Target="https://www.customs.govt.nz/globalassets/documents/technical-lists-and-guides/guidelines-for-strip-searches.pdf" TargetMode="External"/><Relationship Id="rId92" Type="http://schemas.openxmlformats.org/officeDocument/2006/relationships/hyperlink" Target="https://www.theguardian.com/sport/2023/oct/03/swimming-world-cup-category-for-transgender-athletes-cancelled-after-no-entries-received" TargetMode="External"/><Relationship Id="rId2" Type="http://schemas.openxmlformats.org/officeDocument/2006/relationships/hyperlink" Target="https://selectcommittees.parliament.nz/v/8/288c0f22-5e28-4540-9729-08dbf5589e15" TargetMode="External"/><Relationship Id="rId29" Type="http://schemas.openxmlformats.org/officeDocument/2006/relationships/hyperlink" Target="https://www.ohchr.org/en/press-releases/2018/10/levels-violence-against-trans-people-offend-human-conscience-says-un-rights" TargetMode="External"/><Relationship Id="rId24" Type="http://schemas.openxmlformats.org/officeDocument/2006/relationships/hyperlink" Target="https://ihra.org.au/allies/" TargetMode="External"/><Relationship Id="rId40" Type="http://schemas.openxmlformats.org/officeDocument/2006/relationships/hyperlink" Target="https://www.transgenderchildren.nz/stories/nadia" TargetMode="External"/><Relationship Id="rId45" Type="http://schemas.openxmlformats.org/officeDocument/2006/relationships/hyperlink" Target="https://starship.org.nz/guidelines/differences-of-sex-development-atawhai-taihemahema/" TargetMode="External"/><Relationship Id="rId66" Type="http://schemas.openxmlformats.org/officeDocument/2006/relationships/hyperlink" Target="https://saskatchewanhumanrights.ca/wp-content/uploads/2020/03/SHRC_Transgender.pdf" TargetMode="External"/><Relationship Id="rId87" Type="http://schemas.openxmlformats.org/officeDocument/2006/relationships/hyperlink" Target="https://stillmed.olympics.com/media/Documents/Olympic-Movement/Factsheets/Women-in-the-Olympic-Movement.pdf" TargetMode="External"/><Relationship Id="rId61" Type="http://schemas.openxmlformats.org/officeDocument/2006/relationships/hyperlink" Target="https://www.justice.gc.ca/eng/csj-sjc/pl/identity-identite/faq.html?wbdisable=true" TargetMode="External"/><Relationship Id="rId82" Type="http://schemas.openxmlformats.org/officeDocument/2006/relationships/hyperlink" Target="https://philpapers.org/archive/LAWWSA-4.pdf" TargetMode="External"/><Relationship Id="rId19" Type="http://schemas.openxmlformats.org/officeDocument/2006/relationships/hyperlink" Target="https://ihra.org.au/16601/intersex-numbers/" TargetMode="External"/><Relationship Id="rId14" Type="http://schemas.openxmlformats.org/officeDocument/2006/relationships/hyperlink" Target="https://interactadvocates.org/wp-content/uploads/2022/10/Intersex-Variations-Glossary.pdf" TargetMode="External"/><Relationship Id="rId30" Type="http://schemas.openxmlformats.org/officeDocument/2006/relationships/hyperlink" Target="https://www.pridenz.com/rainbow_politicians_georgina_beyer_profile_transcript.html" TargetMode="External"/><Relationship Id="rId35" Type="http://schemas.openxmlformats.org/officeDocument/2006/relationships/hyperlink" Target="http://https:/www.classificationoffice.govt.nz/resources/research/online-misogyny-and-violent-extremism-index/intersectionality-and-misogyny/intersections-with-sexual-orientation-and-gender-identity/" TargetMode="External"/><Relationship Id="rId56" Type="http://schemas.openxmlformats.org/officeDocument/2006/relationships/hyperlink" Target="https://albertahumanrights.ab.ca/what-are-human-rights/about-human-rights/protected-grounds/" TargetMode="External"/><Relationship Id="rId77" Type="http://schemas.openxmlformats.org/officeDocument/2006/relationships/hyperlink" Target="https://www.icnz.org.nz/wp-content/uploads/2023/01/ICNZ_Guide_to_Insurance_Pricing_Oct19_Updated.pdf" TargetMode="External"/><Relationship Id="rId8" Type="http://schemas.openxmlformats.org/officeDocument/2006/relationships/hyperlink" Target="https://www.youtube.com/watch?v=AHS1Pg_2Los" TargetMode="External"/><Relationship Id="rId51" Type="http://schemas.openxmlformats.org/officeDocument/2006/relationships/hyperlink" Target="https://youtu.be/-YtllAe6cYg?t=279" TargetMode="External"/><Relationship Id="rId72" Type="http://schemas.openxmlformats.org/officeDocument/2006/relationships/hyperlink" Target="https://www.stuff.co.nz/dominion-post/news/wellington/103985607/porirua-citys-muslim-community-float-womenonly-swimming-sessions" TargetMode="External"/><Relationship Id="rId93" Type="http://schemas.openxmlformats.org/officeDocument/2006/relationships/hyperlink" Target="https://www.boxingnz.org.nz/newsarticle/119503?newsfeedId=674549" TargetMode="External"/><Relationship Id="rId98" Type="http://schemas.openxmlformats.org/officeDocument/2006/relationships/hyperlink" Target="https://www.pco.govt.nz/8.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lawcomnz.sharepoint.com/resources/Templates%20%20Forms/Issues%20Paper%20-%20Chapter%20-%20Templat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46842588F3C94DBB3B3572A39A871B" ma:contentTypeVersion="1" ma:contentTypeDescription="Create a new document." ma:contentTypeScope="" ma:versionID="4ee979e750bba88684fbf963c6da6328">
  <xsd:schema xmlns:xsd="http://www.w3.org/2001/XMLSchema" xmlns:xs="http://www.w3.org/2001/XMLSchema" xmlns:p="http://schemas.microsoft.com/office/2006/metadata/properties" xmlns:ns2="a85b4a20-75c1-47a1-b80d-c24888539def" xmlns:ns3="1F53D08B-451D-4982-9323-BFC2B4CA615C" xmlns:ns4="8aef46b2-e9f9-4668-ba1f-6f3688fcd530" xmlns:ns5="1f53d08b-451d-4982-9323-bfc2b4ca615c" targetNamespace="http://schemas.microsoft.com/office/2006/metadata/properties" ma:root="true" ma:fieldsID="129da8fc50fe6c0180a706f0ce4accab" ns2:_="" ns3:_="" ns4:_="" ns5:_="">
    <xsd:import namespace="a85b4a20-75c1-47a1-b80d-c24888539def"/>
    <xsd:import namespace="1F53D08B-451D-4982-9323-BFC2B4CA615C"/>
    <xsd:import namespace="8aef46b2-e9f9-4668-ba1f-6f3688fcd530"/>
    <xsd:import namespace="1f53d08b-451d-4982-9323-bfc2b4ca615c"/>
    <xsd:element name="properties">
      <xsd:complexType>
        <xsd:sequence>
          <xsd:element name="documentManagement">
            <xsd:complexType>
              <xsd:all>
                <xsd:element ref="ns2:_dlc_DocId" minOccurs="0"/>
                <xsd:element ref="ns2:_dlc_DocIdUrl" minOccurs="0"/>
                <xsd:element ref="ns2:_dlc_DocIdPersistId" minOccurs="0"/>
                <xsd:element ref="ns3:Publication_x0020_Type"/>
                <xsd:element ref="ns3:Topic"/>
                <xsd:element ref="ns3:Document_x0020_Type"/>
                <xsd:element ref="ns3:Description0" minOccurs="0"/>
                <xsd:element ref="ns3:From" minOccurs="0"/>
                <xsd:element ref="ns3:From_x002d_Address" minOccurs="0"/>
                <xsd:element ref="ns3:To" minOccurs="0"/>
                <xsd:element ref="ns3:To_x002d_Address" minOccurs="0"/>
                <xsd:element ref="ns3:Sent" minOccurs="0"/>
                <xsd:element ref="ns2:TaxCatchAll" minOccurs="0"/>
                <xsd:element ref="ns3:MediaServiceMetadata" minOccurs="0"/>
                <xsd:element ref="ns3:MediaServiceFastMetadata" minOccurs="0"/>
                <xsd:element ref="ns4:SharedWithUsers" minOccurs="0"/>
                <xsd:element ref="ns4:SharedWithDetails" minOccurs="0"/>
                <xsd:element ref="ns3:MediaServiceEventHashCode" minOccurs="0"/>
                <xsd:element ref="ns3:MediaServiceGenerationTime" minOccurs="0"/>
                <xsd:element ref="ns3:MediaServiceAutoKeyPoints" minOccurs="0"/>
                <xsd:element ref="ns3:MediaServiceKeyPoints" minOccurs="0"/>
                <xsd:element ref="ns3:MediaServiceSearchProperties"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b4a20-75c1-47a1-b80d-c24888539d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95880c4a-8671-4e7e-a0b6-a7224b920e9a}" ma:internalName="TaxCatchAll" ma:showField="CatchAllData" ma:web="a85b4a20-75c1-47a1-b80d-c24888539d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F53D08B-451D-4982-9323-BFC2B4CA615C" elementFormDefault="qualified">
    <xsd:import namespace="http://schemas.microsoft.com/office/2006/documentManagement/types"/>
    <xsd:import namespace="http://schemas.microsoft.com/office/infopath/2007/PartnerControls"/>
    <xsd:element name="Publication_x0020_Type" ma:index="11" ma:displayName="Stage" ma:format="Dropdown" ma:internalName="Publication_x0020_Type">
      <xsd:simpleType>
        <xsd:restriction base="dms:Choice">
          <xsd:enumeration value="TOR"/>
          <xsd:enumeration value="Issues Paper"/>
          <xsd:enumeration value="Report"/>
        </xsd:restriction>
      </xsd:simpleType>
    </xsd:element>
    <xsd:element name="Topic" ma:index="12" ma:displayName="Topic" ma:format="Dropdown" ma:indexed="true" ma:internalName="Topic">
      <xsd:simpleType>
        <xsd:restriction base="dms:Choice">
          <xsd:enumeration value="Policy making"/>
          <xsd:enumeration value="Writing"/>
          <xsd:enumeration value="Draft legislation"/>
          <xsd:enumeration value="Team comments"/>
          <xsd:enumeration value="Commissioner comments"/>
          <xsd:enumeration value="External comments"/>
          <xsd:enumeration value="Web content"/>
        </xsd:restriction>
      </xsd:simpleType>
    </xsd:element>
    <xsd:element name="Document_x0020_Type" ma:index="13" ma:displayName="Document Type" ma:format="Dropdown" ma:indexed="true" ma:internalName="Document_x0020_Type">
      <xsd:simpleType>
        <xsd:restriction base="dms:Choice">
          <xsd:enumeration value="Parts &amp; chapters"/>
          <xsd:enumeration value="Full publication"/>
          <xsd:enumeration value="Memo"/>
          <xsd:enumeration value="File note"/>
          <xsd:enumeration value="Correspondence"/>
          <xsd:enumeration value="Draft legislation"/>
          <xsd:enumeration value="Web content"/>
          <xsd:enumeration value="Design component"/>
          <xsd:enumeration value="Other"/>
        </xsd:restriction>
      </xsd:simpleType>
    </xsd:element>
    <xsd:element name="Description0" ma:index="14" nillable="true" ma:displayName="Description" ma:internalName="Description0">
      <xsd:simpleType>
        <xsd:restriction base="dms:Text">
          <xsd:maxLength value="255"/>
        </xsd:restriction>
      </xsd:simpleType>
    </xsd:element>
    <xsd:element name="From" ma:index="16" nillable="true" ma:displayName="From" ma:internalName="From">
      <xsd:simpleType>
        <xsd:restriction base="dms:Text">
          <xsd:maxLength value="255"/>
        </xsd:restriction>
      </xsd:simpleType>
    </xsd:element>
    <xsd:element name="From_x002d_Address" ma:index="17" nillable="true" ma:displayName="From-Address" ma:internalName="From_x002d_Address">
      <xsd:simpleType>
        <xsd:restriction base="dms:Text">
          <xsd:maxLength value="255"/>
        </xsd:restriction>
      </xsd:simpleType>
    </xsd:element>
    <xsd:element name="To" ma:index="18" nillable="true" ma:displayName="To" ma:internalName="To">
      <xsd:simpleType>
        <xsd:restriction base="dms:Text">
          <xsd:maxLength value="255"/>
        </xsd:restriction>
      </xsd:simpleType>
    </xsd:element>
    <xsd:element name="To_x002d_Address" ma:index="19" nillable="true" ma:displayName="To-Address" ma:internalName="To_x002d_Address">
      <xsd:simpleType>
        <xsd:restriction base="dms:Text">
          <xsd:maxLength value="255"/>
        </xsd:restriction>
      </xsd:simpleType>
    </xsd:element>
    <xsd:element name="Sent" ma:index="20" nillable="true" ma:displayName="Sent" ma:format="DateOnly" ma:internalName="Sent">
      <xsd:simpleType>
        <xsd:restriction base="dms:DateTime"/>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ef46b2-e9f9-4668-ba1f-6f3688fcd530"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53d08b-451d-4982-9323-bfc2b4ca615c" elementFormDefault="qualified">
    <xsd:import namespace="http://schemas.microsoft.com/office/2006/documentManagement/types"/>
    <xsd:import namespace="http://schemas.microsoft.com/office/infopath/2007/PartnerControls"/>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ma:index="1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a85b4a20-75c1-47a1-b80d-c24888539def" xsi:nil="true"/>
    <_dlc_DocId xmlns="a85b4a20-75c1-47a1-b80d-c24888539def">EFJMHPFX6CZM-2108340846-62</_dlc_DocId>
    <_dlc_DocIdUrl xmlns="a85b4a20-75c1-47a1-b80d-c24888539def">
      <Url>https://lawcomnz.sharepoint.com/Projects/SGD/_layouts/15/DocIdRedir.aspx?ID=EFJMHPFX6CZM-2108340846-62</Url>
      <Description>EFJMHPFX6CZM-2108340846-62</Description>
    </_dlc_DocIdUrl>
    <SharedWithUsers xmlns="8aef46b2-e9f9-4668-ba1f-6f3688fcd530">
      <UserInfo>
        <DisplayName>Jenny Ryan</DisplayName>
        <AccountId>552</AccountId>
        <AccountType/>
      </UserInfo>
      <UserInfo>
        <DisplayName>John-Luke Day</DisplayName>
        <AccountId>76</AccountId>
        <AccountType/>
      </UserInfo>
      <UserInfo>
        <DisplayName>Amelia Jeffares</DisplayName>
        <AccountId>5864</AccountId>
        <AccountType/>
      </UserInfo>
      <UserInfo>
        <DisplayName>Dena Valente</DisplayName>
        <AccountId>5606</AccountId>
        <AccountType/>
      </UserInfo>
      <UserInfo>
        <DisplayName>Nichola Lambie</DisplayName>
        <AccountId>50</AccountId>
        <AccountType/>
      </UserInfo>
      <UserInfo>
        <DisplayName>Duke Nguyen</DisplayName>
        <AccountId>41</AccountId>
        <AccountType/>
      </UserInfo>
      <UserInfo>
        <DisplayName>Claire Browning</DisplayName>
        <AccountId>6285</AccountId>
        <AccountType/>
      </UserInfo>
      <UserInfo>
        <DisplayName>Rochelle Rolston</DisplayName>
        <AccountId>6480</AccountId>
        <AccountType/>
      </UserInfo>
      <UserInfo>
        <DisplayName>Geof Shirtcliffe</DisplayName>
        <AccountId>4678</AccountId>
        <AccountType/>
      </UserInfo>
      <UserInfo>
        <DisplayName>Megan Rae</DisplayName>
        <AccountId>4559</AccountId>
        <AccountType/>
      </UserInfo>
      <UserInfo>
        <DisplayName>Jack McNeill</DisplayName>
        <AccountId>6397</AccountId>
        <AccountType/>
      </UserInfo>
      <UserInfo>
        <DisplayName>Claudia Geiringer</DisplayName>
        <AccountId>5708</AccountId>
        <AccountType/>
      </UserInfo>
      <UserInfo>
        <DisplayName>Rebecca Garden</DisplayName>
        <AccountId>4014</AccountId>
        <AccountType/>
      </UserInfo>
      <UserInfo>
        <DisplayName>Amokura Kawharu</DisplayName>
        <AccountId>2891</AccountId>
        <AccountType/>
      </UserInfo>
      <UserInfo>
        <DisplayName>Tāneora Fraser</DisplayName>
        <AccountId>2617</AccountId>
        <AccountType/>
      </UserInfo>
      <UserInfo>
        <DisplayName>Jesse Watts</DisplayName>
        <AccountId>827</AccountId>
        <AccountType/>
      </UserInfo>
    </SharedWithUsers>
    <Document_x0020_Type xmlns="1F53D08B-451D-4982-9323-BFC2B4CA615C">Full publication</Document_x0020_Type>
    <From_x002d_Address xmlns="1F53D08B-451D-4982-9323-BFC2B4CA615C" xsi:nil="true"/>
    <From xmlns="1F53D08B-451D-4982-9323-BFC2B4CA615C" xsi:nil="true"/>
    <Topic xmlns="1F53D08B-451D-4982-9323-BFC2B4CA615C">Writing</Topic>
    <Publication_x0020_Type xmlns="1F53D08B-451D-4982-9323-BFC2B4CA615C">Issues Paper</Publication_x0020_Type>
    <Description0 xmlns="1F53D08B-451D-4982-9323-BFC2B4CA615C" xsi:nil="true"/>
    <To_x002d_Address xmlns="1F53D08B-451D-4982-9323-BFC2B4CA615C" xsi:nil="true"/>
    <To xmlns="1F53D08B-451D-4982-9323-BFC2B4CA615C" xsi:nil="true"/>
    <Sent xmlns="1F53D08B-451D-4982-9323-BFC2B4CA615C"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2D1F3-6BBB-4F8C-9EEA-35A37FB58C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b4a20-75c1-47a1-b80d-c24888539def"/>
    <ds:schemaRef ds:uri="1F53D08B-451D-4982-9323-BFC2B4CA615C"/>
    <ds:schemaRef ds:uri="8aef46b2-e9f9-4668-ba1f-6f3688fcd530"/>
    <ds:schemaRef ds:uri="1f53d08b-451d-4982-9323-bfc2b4ca61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0C7991-87CD-4DD0-8378-FFD2945F38C5}">
  <ds:schemaRefs>
    <ds:schemaRef ds:uri="http://schemas.microsoft.com/sharepoint/v3/contenttype/forms"/>
  </ds:schemaRefs>
</ds:datastoreItem>
</file>

<file path=customXml/itemProps3.xml><?xml version="1.0" encoding="utf-8"?>
<ds:datastoreItem xmlns:ds="http://schemas.openxmlformats.org/officeDocument/2006/customXml" ds:itemID="{D9D353E8-DCB9-4886-9308-93A1612E0F28}">
  <ds:schemaRefs>
    <ds:schemaRef ds:uri="http://schemas.microsoft.com/sharepoint/events"/>
  </ds:schemaRefs>
</ds:datastoreItem>
</file>

<file path=customXml/itemProps4.xml><?xml version="1.0" encoding="utf-8"?>
<ds:datastoreItem xmlns:ds="http://schemas.openxmlformats.org/officeDocument/2006/customXml" ds:itemID="{7975D17D-13AF-4FAC-9EF1-D5342562857D}">
  <ds:schemaRefs>
    <ds:schemaRef ds:uri="http://www.w3.org/XML/1998/namespace"/>
    <ds:schemaRef ds:uri="http://schemas.openxmlformats.org/package/2006/metadata/core-properties"/>
    <ds:schemaRef ds:uri="8aef46b2-e9f9-4668-ba1f-6f3688fcd530"/>
    <ds:schemaRef ds:uri="http://purl.org/dc/terms/"/>
    <ds:schemaRef ds:uri="http://schemas.microsoft.com/office/infopath/2007/PartnerControls"/>
    <ds:schemaRef ds:uri="http://purl.org/dc/elements/1.1/"/>
    <ds:schemaRef ds:uri="http://schemas.microsoft.com/office/2006/documentManagement/types"/>
    <ds:schemaRef ds:uri="1f53d08b-451d-4982-9323-bfc2b4ca615c"/>
    <ds:schemaRef ds:uri="1F53D08B-451D-4982-9323-BFC2B4CA615C"/>
    <ds:schemaRef ds:uri="a85b4a20-75c1-47a1-b80d-c24888539def"/>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6F3EC2C9-C112-4F11-BE3C-950236AF4C41}">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Issues%20Paper%20-%20Chapter%20-%20Template.docx</Template>
  <TotalTime>6</TotalTime>
  <Pages>172</Pages>
  <Words>73966</Words>
  <Characters>421612</Characters>
  <Application>Microsoft Office Word</Application>
  <DocSecurity>2</DocSecurity>
  <Lines>3513</Lines>
  <Paragraphs>989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Duke Nguyen</dc:creator>
  <cp:keywords/>
  <dc:description/>
  <cp:lastModifiedBy>Duke Nguyen</cp:lastModifiedBy>
  <cp:revision>26</cp:revision>
  <cp:lastPrinted>2021-04-16T17:15:00Z</cp:lastPrinted>
  <dcterms:created xsi:type="dcterms:W3CDTF">2024-06-26T04:02:00Z</dcterms:created>
  <dcterms:modified xsi:type="dcterms:W3CDTF">2024-08-04T23:45:00Z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2017-12-18T00:00:00Z</vt:filetime>
  </property>
  <property fmtid="{D5CDD505-2E9C-101B-9397-08002B2CF9AE}" pid="3" name="LastSaved">
    <vt:filetime>2018-05-28T00:00:00Z</vt:filetime>
  </property>
  <property fmtid="{D5CDD505-2E9C-101B-9397-08002B2CF9AE}" pid="4" name="ContentTypeId">
    <vt:lpwstr>0x010100F146842588F3C94DBB3B3572A39A871B</vt:lpwstr>
  </property>
  <property fmtid="{D5CDD505-2E9C-101B-9397-08002B2CF9AE}" pid="5" name="_dlc_DocIdItemGuid">
    <vt:lpwstr>59ffd09c-9857-4777-b5d4-2f9257cc7798</vt:lpwstr>
  </property>
  <property fmtid="{D5CDD505-2E9C-101B-9397-08002B2CF9AE}" pid="6" name="_MarkAsFinal">
    <vt:bool>true</vt:bool>
  </property>
</Properties>
</file>