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4DAE7" w14:textId="77777777" w:rsidR="002B5528" w:rsidRPr="002B5528" w:rsidRDefault="002B5528" w:rsidP="002B5528">
      <w:pPr>
        <w:numPr>
          <w:ilvl w:val="1"/>
          <w:numId w:val="16"/>
        </w:numPr>
        <w:tabs>
          <w:tab w:val="num" w:pos="360"/>
          <w:tab w:val="left" w:pos="709"/>
          <w:tab w:val="num" w:pos="5416"/>
        </w:tabs>
        <w:spacing w:after="120"/>
        <w:ind w:left="709" w:hanging="709"/>
        <w:jc w:val="both"/>
        <w:rPr>
          <w:rFonts w:eastAsia="Segoe UI Emoji" w:cs="Times New Roman"/>
          <w:color w:val="000000"/>
          <w:szCs w:val="24"/>
          <w:lang w:eastAsia="en-AU"/>
        </w:rPr>
      </w:pPr>
      <w:r w:rsidRPr="002B5528">
        <w:rPr>
          <w:rFonts w:eastAsia="Segoe UI Emoji" w:cs="Times New Roman"/>
          <w:noProof/>
          <w:color w:val="000000"/>
          <w:szCs w:val="24"/>
          <w:lang w:eastAsia="en-AU"/>
        </w:rPr>
        <mc:AlternateContent>
          <mc:Choice Requires="wpg">
            <w:drawing>
              <wp:anchor distT="0" distB="0" distL="114300" distR="114300" simplePos="0" relativeHeight="251658242" behindDoc="0" locked="0" layoutInCell="1" allowOverlap="1" wp14:anchorId="35820DEB" wp14:editId="75011FCB">
                <wp:simplePos x="0" y="0"/>
                <wp:positionH relativeFrom="column">
                  <wp:posOffset>-898980</wp:posOffset>
                </wp:positionH>
                <wp:positionV relativeFrom="page">
                  <wp:posOffset>232913</wp:posOffset>
                </wp:positionV>
                <wp:extent cx="7200265" cy="1158240"/>
                <wp:effectExtent l="0" t="0" r="635" b="3810"/>
                <wp:wrapNone/>
                <wp:docPr id="479" name="Group 479"/>
                <wp:cNvGraphicFramePr/>
                <a:graphic xmlns:a="http://schemas.openxmlformats.org/drawingml/2006/main">
                  <a:graphicData uri="http://schemas.microsoft.com/office/word/2010/wordprocessingGroup">
                    <wpg:wgp>
                      <wpg:cNvGrpSpPr/>
                      <wpg:grpSpPr>
                        <a:xfrm>
                          <a:off x="0" y="0"/>
                          <a:ext cx="7200265" cy="1158240"/>
                          <a:chOff x="0" y="0"/>
                          <a:chExt cx="7200265" cy="1158240"/>
                        </a:xfrm>
                      </wpg:grpSpPr>
                      <wpg:grpSp>
                        <wpg:cNvPr id="7" name="Group 3"/>
                        <wpg:cNvGrpSpPr/>
                        <wpg:grpSpPr>
                          <a:xfrm>
                            <a:off x="0" y="0"/>
                            <a:ext cx="7200265" cy="1158240"/>
                            <a:chOff x="7315" y="21945"/>
                            <a:chExt cx="7200265" cy="1158240"/>
                          </a:xfrm>
                          <a:blipFill dpi="0" rotWithShape="1">
                            <a:blip r:embed="rId12">
                              <a:extLst>
                                <a:ext uri="{28A0092B-C50C-407E-A947-70E740481C1C}">
                                  <a14:useLocalDpi xmlns:a14="http://schemas.microsoft.com/office/drawing/2010/main" val="0"/>
                                </a:ext>
                              </a:extLst>
                            </a:blip>
                            <a:srcRect/>
                            <a:stretch>
                              <a:fillRect/>
                            </a:stretch>
                          </a:blipFill>
                        </wpg:grpSpPr>
                        <wps:wsp>
                          <wps:cNvPr id="235" name="Freeform 213"/>
                          <wps:cNvSpPr>
                            <a:spLocks/>
                          </wps:cNvSpPr>
                          <wps:spPr bwMode="auto">
                            <a:xfrm>
                              <a:off x="7315" y="21945"/>
                              <a:ext cx="7200265" cy="1158240"/>
                            </a:xfrm>
                            <a:custGeom>
                              <a:avLst/>
                              <a:gdLst>
                                <a:gd name="T0" fmla="+- 0 283 283"/>
                                <a:gd name="T1" fmla="*/ T0 w 11339"/>
                                <a:gd name="T2" fmla="+- 0 2107 283"/>
                                <a:gd name="T3" fmla="*/ 2107 h 1824"/>
                                <a:gd name="T4" fmla="+- 0 11622 283"/>
                                <a:gd name="T5" fmla="*/ T4 w 11339"/>
                                <a:gd name="T6" fmla="+- 0 2107 283"/>
                                <a:gd name="T7" fmla="*/ 2107 h 1824"/>
                                <a:gd name="T8" fmla="+- 0 11622 283"/>
                                <a:gd name="T9" fmla="*/ T8 w 11339"/>
                                <a:gd name="T10" fmla="+- 0 283 283"/>
                                <a:gd name="T11" fmla="*/ 283 h 1824"/>
                                <a:gd name="T12" fmla="+- 0 283 283"/>
                                <a:gd name="T13" fmla="*/ T12 w 11339"/>
                                <a:gd name="T14" fmla="+- 0 283 283"/>
                                <a:gd name="T15" fmla="*/ 283 h 1824"/>
                                <a:gd name="T16" fmla="+- 0 283 283"/>
                                <a:gd name="T17" fmla="*/ T16 w 11339"/>
                                <a:gd name="T18" fmla="+- 0 2107 283"/>
                                <a:gd name="T19" fmla="*/ 2107 h 1824"/>
                              </a:gdLst>
                              <a:ahLst/>
                              <a:cxnLst>
                                <a:cxn ang="0">
                                  <a:pos x="T1" y="T3"/>
                                </a:cxn>
                                <a:cxn ang="0">
                                  <a:pos x="T5" y="T7"/>
                                </a:cxn>
                                <a:cxn ang="0">
                                  <a:pos x="T9" y="T11"/>
                                </a:cxn>
                                <a:cxn ang="0">
                                  <a:pos x="T13" y="T15"/>
                                </a:cxn>
                                <a:cxn ang="0">
                                  <a:pos x="T17" y="T19"/>
                                </a:cxn>
                              </a:cxnLst>
                              <a:rect l="0" t="0" r="r" b="b"/>
                              <a:pathLst>
                                <a:path w="11339" h="1824">
                                  <a:moveTo>
                                    <a:pt x="0" y="1824"/>
                                  </a:moveTo>
                                  <a:lnTo>
                                    <a:pt x="11339" y="1824"/>
                                  </a:lnTo>
                                  <a:lnTo>
                                    <a:pt x="11339" y="0"/>
                                  </a:lnTo>
                                  <a:lnTo>
                                    <a:pt x="0" y="0"/>
                                  </a:lnTo>
                                  <a:lnTo>
                                    <a:pt x="0" y="1824"/>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6" name="Picture 21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bwMode="auto">
                            <a:xfrm>
                              <a:off x="288191" y="361310"/>
                              <a:ext cx="1399210" cy="559684"/>
                            </a:xfrm>
                            <a:prstGeom prst="rect">
                              <a:avLst/>
                            </a:prstGeom>
                            <a:grpFill/>
                          </pic:spPr>
                        </pic:pic>
                      </wpg:grpSp>
                      <wps:wsp>
                        <wps:cNvPr id="307" name="Text Box 2"/>
                        <wps:cNvSpPr txBox="1">
                          <a:spLocks noChangeArrowheads="1"/>
                        </wps:cNvSpPr>
                        <wps:spPr bwMode="auto">
                          <a:xfrm>
                            <a:off x="4181475" y="407602"/>
                            <a:ext cx="2892067" cy="541307"/>
                          </a:xfrm>
                          <a:prstGeom prst="rect">
                            <a:avLst/>
                          </a:prstGeom>
                          <a:noFill/>
                          <a:ln w="9525">
                            <a:noFill/>
                            <a:miter lim="800000"/>
                            <a:headEnd/>
                            <a:tailEnd/>
                          </a:ln>
                        </wps:spPr>
                        <wps:txbx>
                          <w:txbxContent>
                            <w:p w14:paraId="2D18898F" w14:textId="77777777" w:rsidR="002B5528" w:rsidRDefault="002B5528" w:rsidP="002B5528">
                              <w:pPr>
                                <w:spacing w:before="26" w:after="0"/>
                                <w:ind w:left="181" w:right="62"/>
                                <w:jc w:val="right"/>
                                <w:rPr>
                                  <w:rFonts w:eastAsia="Wingdings" w:cs="Wingdings"/>
                                  <w:b/>
                                  <w:color w:val="72AB6A"/>
                                  <w:spacing w:val="-3"/>
                                  <w:sz w:val="18"/>
                                  <w:szCs w:val="18"/>
                                </w:rPr>
                              </w:pPr>
                              <w:r w:rsidRPr="003962F3">
                                <w:rPr>
                                  <w:rFonts w:eastAsia="Wingdings" w:cs="Wingdings"/>
                                  <w:b/>
                                  <w:color w:val="72AB6A"/>
                                  <w:spacing w:val="-3"/>
                                  <w:sz w:val="18"/>
                                  <w:szCs w:val="18"/>
                                </w:rPr>
                                <w:t>Te Whanganui-a-Tara, Aotearoa</w:t>
                              </w:r>
                            </w:p>
                            <w:p w14:paraId="216200BA" w14:textId="77777777" w:rsidR="002B5528" w:rsidRDefault="002B5528" w:rsidP="002B5528">
                              <w:pPr>
                                <w:spacing w:before="26"/>
                                <w:ind w:left="184" w:right="61"/>
                                <w:jc w:val="right"/>
                                <w:rPr>
                                  <w:rFonts w:eastAsia="Wingdings" w:cs="Wingdings"/>
                                  <w:b/>
                                  <w:color w:val="72AB6A"/>
                                  <w:spacing w:val="3"/>
                                  <w:sz w:val="18"/>
                                  <w:szCs w:val="18"/>
                                </w:rPr>
                              </w:pPr>
                              <w:r w:rsidRPr="003962F3">
                                <w:rPr>
                                  <w:rFonts w:eastAsia="Wingdings" w:cs="Wingdings"/>
                                  <w:b/>
                                  <w:color w:val="72AB6A"/>
                                  <w:spacing w:val="-3"/>
                                  <w:sz w:val="18"/>
                                  <w:szCs w:val="18"/>
                                </w:rPr>
                                <w:t xml:space="preserve">  </w:t>
                              </w:r>
                              <w:r w:rsidRPr="00D61250">
                                <w:rPr>
                                  <w:rFonts w:eastAsia="Wingdings" w:cs="Wingdings"/>
                                  <w:b/>
                                  <w:color w:val="72AB6A"/>
                                  <w:spacing w:val="-3"/>
                                  <w:sz w:val="18"/>
                                  <w:szCs w:val="18"/>
                                </w:rPr>
                                <w:t>W</w:t>
                              </w:r>
                              <w:r w:rsidRPr="00D61250">
                                <w:rPr>
                                  <w:rFonts w:eastAsia="Wingdings" w:cs="Wingdings"/>
                                  <w:b/>
                                  <w:color w:val="72AB6A"/>
                                  <w:spacing w:val="3"/>
                                  <w:sz w:val="18"/>
                                  <w:szCs w:val="18"/>
                                </w:rPr>
                                <w:t>elli</w:t>
                              </w:r>
                              <w:r w:rsidRPr="00D61250">
                                <w:rPr>
                                  <w:rFonts w:eastAsia="Wingdings" w:cs="Wingdings"/>
                                  <w:b/>
                                  <w:color w:val="72AB6A"/>
                                  <w:spacing w:val="2"/>
                                  <w:sz w:val="18"/>
                                  <w:szCs w:val="18"/>
                                </w:rPr>
                                <w:t>ng</w:t>
                              </w:r>
                              <w:r w:rsidRPr="00D61250">
                                <w:rPr>
                                  <w:rFonts w:eastAsia="Wingdings" w:cs="Wingdings"/>
                                  <w:b/>
                                  <w:color w:val="72AB6A"/>
                                  <w:spacing w:val="-1"/>
                                  <w:sz w:val="18"/>
                                  <w:szCs w:val="18"/>
                                </w:rPr>
                                <w:t>t</w:t>
                              </w:r>
                              <w:r w:rsidRPr="00D61250">
                                <w:rPr>
                                  <w:rFonts w:eastAsia="Wingdings" w:cs="Wingdings"/>
                                  <w:b/>
                                  <w:color w:val="72AB6A"/>
                                  <w:spacing w:val="3"/>
                                  <w:sz w:val="18"/>
                                  <w:szCs w:val="18"/>
                                </w:rPr>
                                <w:t>on</w:t>
                              </w:r>
                              <w:r w:rsidRPr="00D61250">
                                <w:rPr>
                                  <w:rFonts w:eastAsia="Wingdings" w:cs="Wingdings"/>
                                  <w:b/>
                                  <w:color w:val="72AB6A"/>
                                  <w:sz w:val="18"/>
                                  <w:szCs w:val="18"/>
                                </w:rPr>
                                <w:t xml:space="preserve">, </w:t>
                              </w:r>
                              <w:r w:rsidRPr="00D61250">
                                <w:rPr>
                                  <w:rFonts w:eastAsia="Wingdings" w:cs="Wingdings"/>
                                  <w:b/>
                                  <w:color w:val="72AB6A"/>
                                  <w:spacing w:val="3"/>
                                  <w:sz w:val="18"/>
                                  <w:szCs w:val="18"/>
                                </w:rPr>
                                <w:t>N</w:t>
                              </w:r>
                              <w:r w:rsidRPr="00D61250">
                                <w:rPr>
                                  <w:rFonts w:eastAsia="Wingdings" w:cs="Wingdings"/>
                                  <w:b/>
                                  <w:color w:val="72AB6A"/>
                                  <w:spacing w:val="-1"/>
                                  <w:sz w:val="18"/>
                                  <w:szCs w:val="18"/>
                                </w:rPr>
                                <w:t>e</w:t>
                              </w:r>
                              <w:r w:rsidRPr="00D61250">
                                <w:rPr>
                                  <w:rFonts w:eastAsia="Wingdings" w:cs="Wingdings"/>
                                  <w:b/>
                                  <w:color w:val="72AB6A"/>
                                  <w:sz w:val="18"/>
                                  <w:szCs w:val="18"/>
                                </w:rPr>
                                <w:t xml:space="preserve">w </w:t>
                              </w:r>
                              <w:r w:rsidRPr="00D61250">
                                <w:rPr>
                                  <w:rFonts w:eastAsia="Wingdings" w:cs="Wingdings"/>
                                  <w:b/>
                                  <w:color w:val="72AB6A"/>
                                  <w:spacing w:val="-1"/>
                                  <w:sz w:val="18"/>
                                  <w:szCs w:val="18"/>
                                </w:rPr>
                                <w:t>Z</w:t>
                              </w:r>
                              <w:r w:rsidRPr="00D61250">
                                <w:rPr>
                                  <w:rFonts w:eastAsia="Wingdings" w:cs="Wingdings"/>
                                  <w:b/>
                                  <w:color w:val="72AB6A"/>
                                  <w:spacing w:val="2"/>
                                  <w:sz w:val="18"/>
                                  <w:szCs w:val="18"/>
                                </w:rPr>
                                <w:t>e</w:t>
                              </w:r>
                              <w:r w:rsidRPr="00D61250">
                                <w:rPr>
                                  <w:rFonts w:eastAsia="Wingdings" w:cs="Wingdings"/>
                                  <w:b/>
                                  <w:color w:val="72AB6A"/>
                                  <w:spacing w:val="3"/>
                                  <w:sz w:val="18"/>
                                  <w:szCs w:val="18"/>
                                </w:rPr>
                                <w:t>aland</w:t>
                              </w:r>
                            </w:p>
                            <w:p w14:paraId="11AF2115" w14:textId="77777777" w:rsidR="002B5528" w:rsidRDefault="002B5528" w:rsidP="00D11D81">
                              <w:pPr>
                                <w:spacing w:after="78"/>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35820DEB" id="Group 479" o:spid="_x0000_s1026" style="position:absolute;left:0;text-align:left;margin-left:-70.8pt;margin-top:18.35pt;width:566.95pt;height:91.2pt;z-index:251658242;mso-position-vertical-relative:page;mso-height-relative:margin" coordsize="72002,11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&#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">
                <v:group id="Group 3" o:spid="_x0000_s1027" style="position:absolute;width:72002;height:11582" coordorigin="73,219" coordsize="72002,1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13" o:spid="_x0000_s1028" style="position:absolute;left:73;top:219;width:72002;height:11582;visibility:visible;mso-wrap-style:square;v-text-anchor:top" coordsize="11339,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" path="m,1824r11339,l11339,,,,,1824e" filled="f" stroked="f">
                    <v:path arrowok="t" o:connecttype="custom" o:connectlocs="0,1337945;7200265,1337945;7200265,179705;0,179705;0,133794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 o:spid="_x0000_s1029" type="#_x0000_t75" style="position:absolute;left:2881;top:3613;width:13993;height:5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">
                    <v:imagedata r:id="rId14" o:title=""/>
                  </v:shape>
                </v:group>
                <v:shapetype id="_x0000_t202" coordsize="21600,21600" o:spt="202" path="m,l,21600r21600,l21600,xe">
                  <v:stroke joinstyle="miter"/>
                  <v:path gradientshapeok="t" o:connecttype="rect"/>
                </v:shapetype>
                <v:shape id="Text Box 2" o:spid="_x0000_s1030" type="#_x0000_t202" style="position:absolute;left:41814;top:4076;width:28921;height:5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2D18898F" w14:textId="77777777" w:rsidR="002B5528" w:rsidRDefault="002B5528" w:rsidP="002B5528">
                        <w:pPr>
                          <w:spacing w:before="26" w:after="0"/>
                          <w:ind w:left="181" w:right="62"/>
                          <w:jc w:val="right"/>
                          <w:rPr>
                            <w:rFonts w:eastAsia="Wingdings" w:cs="Wingdings"/>
                            <w:b/>
                            <w:color w:val="72AB6A"/>
                            <w:spacing w:val="-3"/>
                            <w:sz w:val="18"/>
                            <w:szCs w:val="18"/>
                          </w:rPr>
                        </w:pPr>
                        <w:r w:rsidRPr="003962F3">
                          <w:rPr>
                            <w:rFonts w:eastAsia="Wingdings" w:cs="Wingdings"/>
                            <w:b/>
                            <w:color w:val="72AB6A"/>
                            <w:spacing w:val="-3"/>
                            <w:sz w:val="18"/>
                            <w:szCs w:val="18"/>
                          </w:rPr>
                          <w:t>Te Whanganui-a-Tara, Aotearoa</w:t>
                        </w:r>
                      </w:p>
                      <w:p w14:paraId="216200BA" w14:textId="77777777" w:rsidR="002B5528" w:rsidRDefault="002B5528" w:rsidP="002B5528">
                        <w:pPr>
                          <w:spacing w:before="26"/>
                          <w:ind w:left="184" w:right="61"/>
                          <w:jc w:val="right"/>
                          <w:rPr>
                            <w:rFonts w:eastAsia="Wingdings" w:cs="Wingdings"/>
                            <w:b/>
                            <w:color w:val="72AB6A"/>
                            <w:spacing w:val="3"/>
                            <w:sz w:val="18"/>
                            <w:szCs w:val="18"/>
                          </w:rPr>
                        </w:pPr>
                        <w:r w:rsidRPr="003962F3">
                          <w:rPr>
                            <w:rFonts w:eastAsia="Wingdings" w:cs="Wingdings"/>
                            <w:b/>
                            <w:color w:val="72AB6A"/>
                            <w:spacing w:val="-3"/>
                            <w:sz w:val="18"/>
                            <w:szCs w:val="18"/>
                          </w:rPr>
                          <w:t xml:space="preserve">  </w:t>
                        </w:r>
                        <w:r w:rsidRPr="00D61250">
                          <w:rPr>
                            <w:rFonts w:eastAsia="Wingdings" w:cs="Wingdings"/>
                            <w:b/>
                            <w:color w:val="72AB6A"/>
                            <w:spacing w:val="-3"/>
                            <w:sz w:val="18"/>
                            <w:szCs w:val="18"/>
                          </w:rPr>
                          <w:t>W</w:t>
                        </w:r>
                        <w:r w:rsidRPr="00D61250">
                          <w:rPr>
                            <w:rFonts w:eastAsia="Wingdings" w:cs="Wingdings"/>
                            <w:b/>
                            <w:color w:val="72AB6A"/>
                            <w:spacing w:val="3"/>
                            <w:sz w:val="18"/>
                            <w:szCs w:val="18"/>
                          </w:rPr>
                          <w:t>elli</w:t>
                        </w:r>
                        <w:r w:rsidRPr="00D61250">
                          <w:rPr>
                            <w:rFonts w:eastAsia="Wingdings" w:cs="Wingdings"/>
                            <w:b/>
                            <w:color w:val="72AB6A"/>
                            <w:spacing w:val="2"/>
                            <w:sz w:val="18"/>
                            <w:szCs w:val="18"/>
                          </w:rPr>
                          <w:t>ng</w:t>
                        </w:r>
                        <w:r w:rsidRPr="00D61250">
                          <w:rPr>
                            <w:rFonts w:eastAsia="Wingdings" w:cs="Wingdings"/>
                            <w:b/>
                            <w:color w:val="72AB6A"/>
                            <w:spacing w:val="-1"/>
                            <w:sz w:val="18"/>
                            <w:szCs w:val="18"/>
                          </w:rPr>
                          <w:t>t</w:t>
                        </w:r>
                        <w:r w:rsidRPr="00D61250">
                          <w:rPr>
                            <w:rFonts w:eastAsia="Wingdings" w:cs="Wingdings"/>
                            <w:b/>
                            <w:color w:val="72AB6A"/>
                            <w:spacing w:val="3"/>
                            <w:sz w:val="18"/>
                            <w:szCs w:val="18"/>
                          </w:rPr>
                          <w:t>on</w:t>
                        </w:r>
                        <w:r w:rsidRPr="00D61250">
                          <w:rPr>
                            <w:rFonts w:eastAsia="Wingdings" w:cs="Wingdings"/>
                            <w:b/>
                            <w:color w:val="72AB6A"/>
                            <w:sz w:val="18"/>
                            <w:szCs w:val="18"/>
                          </w:rPr>
                          <w:t xml:space="preserve">, </w:t>
                        </w:r>
                        <w:r w:rsidRPr="00D61250">
                          <w:rPr>
                            <w:rFonts w:eastAsia="Wingdings" w:cs="Wingdings"/>
                            <w:b/>
                            <w:color w:val="72AB6A"/>
                            <w:spacing w:val="3"/>
                            <w:sz w:val="18"/>
                            <w:szCs w:val="18"/>
                          </w:rPr>
                          <w:t>N</w:t>
                        </w:r>
                        <w:r w:rsidRPr="00D61250">
                          <w:rPr>
                            <w:rFonts w:eastAsia="Wingdings" w:cs="Wingdings"/>
                            <w:b/>
                            <w:color w:val="72AB6A"/>
                            <w:spacing w:val="-1"/>
                            <w:sz w:val="18"/>
                            <w:szCs w:val="18"/>
                          </w:rPr>
                          <w:t>e</w:t>
                        </w:r>
                        <w:r w:rsidRPr="00D61250">
                          <w:rPr>
                            <w:rFonts w:eastAsia="Wingdings" w:cs="Wingdings"/>
                            <w:b/>
                            <w:color w:val="72AB6A"/>
                            <w:sz w:val="18"/>
                            <w:szCs w:val="18"/>
                          </w:rPr>
                          <w:t xml:space="preserve">w </w:t>
                        </w:r>
                        <w:r w:rsidRPr="00D61250">
                          <w:rPr>
                            <w:rFonts w:eastAsia="Wingdings" w:cs="Wingdings"/>
                            <w:b/>
                            <w:color w:val="72AB6A"/>
                            <w:spacing w:val="-1"/>
                            <w:sz w:val="18"/>
                            <w:szCs w:val="18"/>
                          </w:rPr>
                          <w:t>Z</w:t>
                        </w:r>
                        <w:r w:rsidRPr="00D61250">
                          <w:rPr>
                            <w:rFonts w:eastAsia="Wingdings" w:cs="Wingdings"/>
                            <w:b/>
                            <w:color w:val="72AB6A"/>
                            <w:spacing w:val="2"/>
                            <w:sz w:val="18"/>
                            <w:szCs w:val="18"/>
                          </w:rPr>
                          <w:t>e</w:t>
                        </w:r>
                        <w:r w:rsidRPr="00D61250">
                          <w:rPr>
                            <w:rFonts w:eastAsia="Wingdings" w:cs="Wingdings"/>
                            <w:b/>
                            <w:color w:val="72AB6A"/>
                            <w:spacing w:val="3"/>
                            <w:sz w:val="18"/>
                            <w:szCs w:val="18"/>
                          </w:rPr>
                          <w:t>aland</w:t>
                        </w:r>
                      </w:p>
                      <w:p w14:paraId="11AF2115" w14:textId="77777777" w:rsidR="002B5528" w:rsidRDefault="002B5528" w:rsidP="00D11D81">
                        <w:pPr>
                          <w:spacing w:after="78"/>
                        </w:pPr>
                      </w:p>
                    </w:txbxContent>
                  </v:textbox>
                </v:shape>
                <w10:wrap anchory="page"/>
              </v:group>
            </w:pict>
          </mc:Fallback>
        </mc:AlternateContent>
      </w:r>
      <w:r w:rsidRPr="002B5528">
        <w:rPr>
          <w:rFonts w:eastAsia="Segoe UI Emoji" w:cs="Times New Roman"/>
          <w:color w:val="000000"/>
          <w:szCs w:val="24"/>
          <w:lang w:eastAsia="en-AU"/>
        </w:rPr>
        <w:t xml:space="preserve">  </w:t>
      </w:r>
    </w:p>
    <w:p w14:paraId="179E9335" w14:textId="77777777" w:rsidR="002B5528" w:rsidRPr="002B5528" w:rsidRDefault="002B5528" w:rsidP="002B5528">
      <w:pPr>
        <w:spacing w:line="200" w:lineRule="exact"/>
        <w:rPr>
          <w:rFonts w:eastAsia="Calibri" w:cs="Cordia New"/>
          <w:szCs w:val="20"/>
        </w:rPr>
      </w:pPr>
    </w:p>
    <w:p w14:paraId="39821014" w14:textId="77777777" w:rsidR="002B5528" w:rsidRPr="002B5528" w:rsidRDefault="002B5528" w:rsidP="002B5528">
      <w:pPr>
        <w:spacing w:line="200" w:lineRule="exact"/>
        <w:rPr>
          <w:rFonts w:eastAsia="Calibri" w:cs="Cordia New"/>
          <w:szCs w:val="20"/>
        </w:rPr>
      </w:pPr>
    </w:p>
    <w:p w14:paraId="4DAF8F1B" w14:textId="77777777" w:rsidR="002B5528" w:rsidRPr="002B5528" w:rsidRDefault="002B5528" w:rsidP="002B5528">
      <w:pPr>
        <w:spacing w:line="200" w:lineRule="exact"/>
        <w:rPr>
          <w:rFonts w:eastAsia="Calibri" w:cs="Cordia New"/>
          <w:szCs w:val="20"/>
        </w:rPr>
      </w:pPr>
    </w:p>
    <w:p w14:paraId="6311CF5B" w14:textId="77777777" w:rsidR="002B5528" w:rsidRPr="002B5528" w:rsidRDefault="002B5528" w:rsidP="002B5528">
      <w:pPr>
        <w:spacing w:line="200" w:lineRule="exact"/>
        <w:rPr>
          <w:rFonts w:eastAsia="Calibri" w:cs="Cordia New"/>
          <w:szCs w:val="20"/>
        </w:rPr>
      </w:pPr>
    </w:p>
    <w:p w14:paraId="3D4CBA03" w14:textId="77777777" w:rsidR="002B5528" w:rsidRPr="002B5528" w:rsidRDefault="002B5528" w:rsidP="002B5528">
      <w:pPr>
        <w:spacing w:before="51"/>
        <w:ind w:right="-20"/>
        <w:rPr>
          <w:rFonts w:eastAsia="Calibri" w:cs="Cordia New"/>
          <w:szCs w:val="20"/>
        </w:rPr>
      </w:pPr>
    </w:p>
    <w:p w14:paraId="4388EAC5" w14:textId="77777777" w:rsidR="002B5528" w:rsidRPr="002B5528" w:rsidRDefault="002B5528" w:rsidP="002B5528">
      <w:pPr>
        <w:spacing w:before="51"/>
        <w:ind w:right="-20"/>
        <w:rPr>
          <w:rFonts w:eastAsia="Tahoma" w:cs="Tahoma"/>
          <w:color w:val="414042"/>
          <w:sz w:val="33"/>
          <w:szCs w:val="33"/>
        </w:rPr>
      </w:pPr>
    </w:p>
    <w:p w14:paraId="76A34DB2" w14:textId="77777777" w:rsidR="002B5528" w:rsidRPr="002B5528" w:rsidRDefault="002B5528" w:rsidP="002B5528">
      <w:pPr>
        <w:spacing w:before="51"/>
        <w:ind w:right="-20"/>
        <w:rPr>
          <w:rFonts w:eastAsia="Tahoma" w:cs="Tahoma"/>
          <w:color w:val="414042"/>
          <w:sz w:val="33"/>
          <w:szCs w:val="33"/>
        </w:rPr>
      </w:pPr>
    </w:p>
    <w:p w14:paraId="71E8A677" w14:textId="77777777" w:rsidR="002B5528" w:rsidRPr="002B5528" w:rsidRDefault="002B5528" w:rsidP="002B5528">
      <w:pPr>
        <w:spacing w:before="51"/>
        <w:ind w:right="-20"/>
        <w:rPr>
          <w:rFonts w:eastAsia="Tahoma" w:cs="Tahoma"/>
          <w:color w:val="414042"/>
          <w:sz w:val="33"/>
          <w:szCs w:val="33"/>
        </w:rPr>
      </w:pPr>
    </w:p>
    <w:p w14:paraId="0547065D" w14:textId="77777777" w:rsidR="002B5528" w:rsidRPr="002B5528" w:rsidRDefault="002B5528" w:rsidP="002B5528">
      <w:pPr>
        <w:spacing w:before="51"/>
        <w:ind w:right="-20"/>
        <w:rPr>
          <w:rFonts w:eastAsia="Tahoma" w:cs="Tahoma"/>
          <w:color w:val="414042"/>
          <w:sz w:val="33"/>
          <w:szCs w:val="33"/>
        </w:rPr>
      </w:pPr>
    </w:p>
    <w:p w14:paraId="10CBDD41" w14:textId="77777777" w:rsidR="002B5528" w:rsidRPr="002B5528" w:rsidRDefault="002B5528" w:rsidP="00D504B9">
      <w:pPr>
        <w:ind w:right="850"/>
        <w:rPr>
          <w:rFonts w:ascii="Metropolis Black" w:eastAsia="Metropolis Black" w:hAnsi="Metropolis Black" w:cs="Metropolis Black"/>
          <w:b/>
          <w:color w:val="7FB177"/>
          <w:spacing w:val="-32"/>
          <w:sz w:val="66"/>
          <w:szCs w:val="66"/>
        </w:rPr>
      </w:pPr>
      <w:r w:rsidRPr="002B5528">
        <w:rPr>
          <w:rFonts w:ascii="Metropolis Black" w:eastAsia="Metropolis Black" w:hAnsi="Metropolis Black" w:cs="Metropolis Black"/>
          <w:b/>
          <w:color w:val="7FB177"/>
          <w:spacing w:val="-32"/>
          <w:sz w:val="66"/>
          <w:szCs w:val="66"/>
        </w:rPr>
        <w:t>Hara ngākau kino</w:t>
      </w:r>
    </w:p>
    <w:p w14:paraId="77F3B451" w14:textId="77777777" w:rsidR="002B5528" w:rsidRPr="002B5528" w:rsidRDefault="002B5528" w:rsidP="00D504B9">
      <w:pPr>
        <w:ind w:right="850"/>
        <w:rPr>
          <w:rFonts w:ascii="Metropolis Black" w:eastAsia="Metropolis Black" w:hAnsi="Metropolis Black" w:cs="Metropolis Black"/>
          <w:b/>
          <w:color w:val="7FB177"/>
          <w:spacing w:val="-32"/>
          <w:sz w:val="66"/>
          <w:szCs w:val="66"/>
        </w:rPr>
      </w:pPr>
      <w:r w:rsidRPr="002B5528">
        <w:rPr>
          <w:rFonts w:ascii="Metropolis Black" w:eastAsia="Metropolis Black" w:hAnsi="Metropolis Black" w:cs="Metropolis Black"/>
          <w:b/>
          <w:color w:val="7FB177"/>
          <w:spacing w:val="-32"/>
          <w:sz w:val="66"/>
          <w:szCs w:val="66"/>
        </w:rPr>
        <w:t>Hate crime</w:t>
      </w:r>
    </w:p>
    <w:p w14:paraId="5B597FFC" w14:textId="77777777" w:rsidR="002B5528" w:rsidRPr="002B5528" w:rsidRDefault="002B5528" w:rsidP="002B5528">
      <w:pPr>
        <w:spacing w:before="6" w:line="150" w:lineRule="exact"/>
        <w:rPr>
          <w:rFonts w:eastAsia="Tahoma" w:cs="Cordia New"/>
          <w:sz w:val="15"/>
          <w:szCs w:val="15"/>
        </w:rPr>
      </w:pPr>
    </w:p>
    <w:p w14:paraId="138FCA6E" w14:textId="77777777" w:rsidR="002B5528" w:rsidRPr="002B5528" w:rsidRDefault="002B5528" w:rsidP="002B5528">
      <w:pPr>
        <w:jc w:val="both"/>
        <w:rPr>
          <w:rFonts w:ascii="Metropolis Black" w:eastAsia="Metropolis Black" w:hAnsi="Metropolis Black" w:cs="Metropolis Black"/>
          <w:color w:val="7FB177"/>
          <w:spacing w:val="-32"/>
          <w:sz w:val="42"/>
          <w:szCs w:val="42"/>
          <w:lang w:eastAsia="en-AU"/>
        </w:rPr>
      </w:pPr>
      <w:r w:rsidRPr="002B5528">
        <w:rPr>
          <w:rFonts w:eastAsia="Times New Roman" w:cs="Times New Roman"/>
          <w:noProof/>
          <w:color w:val="0D0D0D"/>
          <w:szCs w:val="24"/>
          <w:lang w:eastAsia="en-NZ"/>
        </w:rPr>
        <mc:AlternateContent>
          <mc:Choice Requires="wpg">
            <w:drawing>
              <wp:anchor distT="0" distB="0" distL="114300" distR="114300" simplePos="0" relativeHeight="251658243" behindDoc="1" locked="0" layoutInCell="1" allowOverlap="1" wp14:anchorId="559E641E" wp14:editId="3873C444">
                <wp:simplePos x="0" y="0"/>
                <wp:positionH relativeFrom="page">
                  <wp:posOffset>1140143</wp:posOffset>
                </wp:positionH>
                <wp:positionV relativeFrom="paragraph">
                  <wp:posOffset>8255</wp:posOffset>
                </wp:positionV>
                <wp:extent cx="1332230" cy="1270"/>
                <wp:effectExtent l="0" t="19050" r="20320" b="17780"/>
                <wp:wrapNone/>
                <wp:docPr id="45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417" y="1878"/>
                          <a:chExt cx="2098" cy="2"/>
                        </a:xfrm>
                      </wpg:grpSpPr>
                      <wps:wsp>
                        <wps:cNvPr id="458" name="Freeform 138"/>
                        <wps:cNvSpPr>
                          <a:spLocks/>
                        </wps:cNvSpPr>
                        <wps:spPr bwMode="auto">
                          <a:xfrm>
                            <a:off x="1417" y="1878"/>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4140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95AE20" id="Group 137" o:spid="_x0000_s1026" style="position:absolute;margin-left:89.8pt;margin-top:.65pt;width:104.9pt;height:.1pt;z-index:-251658237;mso-position-horizontal-relative:page" coordorigin="1417,1878"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">
                <v:shape id="Freeform 138" o:spid="_x0000_s1027" style="position:absolute;left:1417;top:1878;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" path="m,l2098,e" filled="f" strokecolor="#414042" strokeweight="3pt">
                  <v:path arrowok="t" o:connecttype="custom" o:connectlocs="0,0;2098,0" o:connectangles="0,0"/>
                </v:shape>
                <w10:wrap anchorx="page"/>
              </v:group>
            </w:pict>
          </mc:Fallback>
        </mc:AlternateContent>
      </w:r>
    </w:p>
    <w:p w14:paraId="0E55964F" w14:textId="5BD2BC3A" w:rsidR="002B5528" w:rsidRPr="002B5528" w:rsidRDefault="00390F49" w:rsidP="00D504B9">
      <w:pPr>
        <w:spacing w:line="276" w:lineRule="auto"/>
        <w:ind w:right="141"/>
        <w:rPr>
          <w:rFonts w:ascii="Metropolis Black" w:eastAsia="Metropolis Black" w:hAnsi="Metropolis Black" w:cs="Metropolis Black"/>
          <w:b/>
          <w:color w:val="7FB177"/>
          <w:spacing w:val="-32"/>
          <w:sz w:val="60"/>
          <w:szCs w:val="60"/>
        </w:rPr>
      </w:pPr>
      <w:r w:rsidRPr="00390F49">
        <w:rPr>
          <w:rFonts w:ascii="Metropolis Black" w:eastAsia="Metropolis Black" w:hAnsi="Metropolis Black" w:cs="Metropolis Black"/>
          <w:sz w:val="66"/>
          <w:szCs w:val="66"/>
        </w:rPr>
        <w:t>Summary of submissions</w:t>
      </w:r>
    </w:p>
    <w:p w14:paraId="04741EF5" w14:textId="77777777" w:rsidR="002B5528" w:rsidRPr="002B5528" w:rsidRDefault="002B5528" w:rsidP="002B5528">
      <w:pPr>
        <w:spacing w:before="3" w:line="120" w:lineRule="exact"/>
        <w:rPr>
          <w:rFonts w:eastAsia="Calibri" w:cs="Cordia New"/>
          <w:sz w:val="12"/>
          <w:szCs w:val="12"/>
        </w:rPr>
      </w:pPr>
    </w:p>
    <w:p w14:paraId="75D450B4" w14:textId="77777777" w:rsidR="002B5528" w:rsidRPr="002B5528" w:rsidRDefault="002B5528" w:rsidP="002B5528">
      <w:pPr>
        <w:ind w:left="113" w:right="2931"/>
        <w:rPr>
          <w:rFonts w:eastAsia="Calibri" w:cs="Cordia New"/>
          <w:color w:val="262626"/>
          <w:sz w:val="18"/>
        </w:rPr>
        <w:sectPr w:rsidR="002B5528" w:rsidRPr="002B5528" w:rsidSect="002B5528">
          <w:headerReference w:type="even" r:id="rId15"/>
          <w:footerReference w:type="default" r:id="rId16"/>
          <w:footnotePr>
            <w:numRestart w:val="eachSect"/>
          </w:footnotePr>
          <w:pgSz w:w="11907" w:h="16840" w:code="9"/>
          <w:pgMar w:top="1134" w:right="1134" w:bottom="1134" w:left="1701" w:header="567" w:footer="681" w:gutter="0"/>
          <w:pgNumType w:fmt="lowerRoman" w:start="3"/>
          <w:cols w:space="720"/>
          <w:docGrid w:linePitch="272"/>
        </w:sectPr>
      </w:pPr>
    </w:p>
    <w:bookmarkStart w:id="0" w:name="_Toc531954812"/>
    <w:bookmarkStart w:id="1" w:name="_Toc57815049"/>
    <w:bookmarkStart w:id="2" w:name="_Toc66116298"/>
    <w:bookmarkStart w:id="3" w:name="_Toc67055486"/>
    <w:bookmarkStart w:id="4" w:name="_Toc68863166"/>
    <w:bookmarkStart w:id="5" w:name="_Toc69283942"/>
    <w:bookmarkStart w:id="6" w:name="_Toc113621557"/>
    <w:bookmarkStart w:id="7" w:name="_Toc127978617"/>
    <w:bookmarkStart w:id="8" w:name="_Toc131408553"/>
    <w:bookmarkStart w:id="9" w:name="_Toc133415038"/>
    <w:bookmarkStart w:id="10" w:name="_Toc135221470"/>
    <w:bookmarkStart w:id="11" w:name="_Toc135233120"/>
    <w:bookmarkStart w:id="12" w:name="_Toc135300933"/>
    <w:bookmarkStart w:id="13" w:name="_Toc159247957"/>
    <w:bookmarkStart w:id="14" w:name="_Toc166233803"/>
    <w:bookmarkStart w:id="15" w:name="_Toc169276652"/>
    <w:bookmarkStart w:id="16" w:name="_Toc170217450"/>
    <w:bookmarkStart w:id="17" w:name="_Toc170302106"/>
    <w:bookmarkStart w:id="18" w:name="_Toc179534523"/>
    <w:bookmarkStart w:id="19" w:name="_Toc184126861"/>
    <w:bookmarkStart w:id="20" w:name="_Toc206755170"/>
    <w:bookmarkStart w:id="21" w:name="_Toc207093247"/>
    <w:p w14:paraId="34FF0AA0" w14:textId="77777777" w:rsidR="002B5528" w:rsidRPr="002B5528" w:rsidRDefault="002B5528" w:rsidP="00E42365">
      <w:pPr>
        <w:keepNext/>
        <w:spacing w:before="480" w:after="240"/>
        <w:outlineLvl w:val="0"/>
        <w:rPr>
          <w:rFonts w:ascii="Metropolis Black" w:eastAsia="Consolas" w:hAnsi="Metropolis Black" w:cs="Times New Roman"/>
          <w:b/>
          <w:color w:val="73AB6E"/>
          <w:sz w:val="66"/>
          <w:szCs w:val="24"/>
          <w:lang w:eastAsia="en-AU"/>
        </w:rPr>
      </w:pPr>
      <w:r w:rsidRPr="002B5528">
        <w:rPr>
          <w:rFonts w:ascii="Calibri" w:eastAsia="Times New Roman" w:hAnsi="Calibri" w:cs="Times New Roman"/>
          <w:b/>
          <w:noProof/>
          <w:color w:val="73AB6E"/>
          <w:sz w:val="66"/>
          <w:szCs w:val="24"/>
          <w:lang w:eastAsia="en-NZ"/>
        </w:rPr>
        <w:lastRenderedPageBreak/>
        <mc:AlternateContent>
          <mc:Choice Requires="wpg">
            <w:drawing>
              <wp:anchor distT="0" distB="0" distL="114300" distR="114300" simplePos="0" relativeHeight="251658241" behindDoc="1" locked="0" layoutInCell="1" allowOverlap="1" wp14:anchorId="4631BC9A" wp14:editId="7D1D2733">
                <wp:simplePos x="0" y="0"/>
                <wp:positionH relativeFrom="page">
                  <wp:posOffset>1108710</wp:posOffset>
                </wp:positionH>
                <wp:positionV relativeFrom="paragraph">
                  <wp:posOffset>951865</wp:posOffset>
                </wp:positionV>
                <wp:extent cx="1332230" cy="1270"/>
                <wp:effectExtent l="0" t="19050" r="20320" b="1778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417" y="535"/>
                          <a:chExt cx="2098" cy="2"/>
                        </a:xfrm>
                      </wpg:grpSpPr>
                      <wps:wsp>
                        <wps:cNvPr id="30" name="Freeform 3"/>
                        <wps:cNvSpPr>
                          <a:spLocks/>
                        </wps:cNvSpPr>
                        <wps:spPr bwMode="auto">
                          <a:xfrm>
                            <a:off x="1417" y="535"/>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73AB6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A0226F" id="Group 27" o:spid="_x0000_s1026" style="position:absolute;margin-left:87.3pt;margin-top:74.95pt;width:104.9pt;height:.1pt;z-index:-251658239;mso-position-horizontal-relative:page" coordorigin="1417,535"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">
                <v:shape id="Freeform 3" o:spid="_x0000_s1027" style="position:absolute;left:1417;top:535;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" path="m,l2098,e" filled="f" strokecolor="#73ab6e" strokeweight="3pt">
                  <v:path arrowok="t" o:connecttype="custom" o:connectlocs="0,0;2098,0" o:connectangles="0,0"/>
                </v:shape>
                <w10:wrap anchorx="page"/>
              </v:group>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2B5528">
        <w:rPr>
          <w:rFonts w:ascii="Metropolis Black" w:eastAsia="Consolas" w:hAnsi="Metropolis Black" w:cs="Times New Roman"/>
          <w:b/>
          <w:color w:val="73AB6E"/>
          <w:sz w:val="66"/>
          <w:szCs w:val="24"/>
          <w:lang w:eastAsia="en-AU"/>
        </w:rPr>
        <w:t>Contents</w:t>
      </w:r>
      <w:bookmarkEnd w:id="16"/>
      <w:bookmarkEnd w:id="17"/>
      <w:bookmarkEnd w:id="18"/>
      <w:bookmarkEnd w:id="19"/>
      <w:bookmarkEnd w:id="20"/>
      <w:bookmarkEnd w:id="21"/>
    </w:p>
    <w:p w14:paraId="37476ED9" w14:textId="77777777" w:rsidR="002B5528" w:rsidRPr="002B5528" w:rsidRDefault="002B5528" w:rsidP="002B5528">
      <w:pPr>
        <w:rPr>
          <w:rFonts w:eastAsia="Calibri" w:cs="Cordia New"/>
          <w:lang w:eastAsia="en-NZ"/>
        </w:rPr>
      </w:pPr>
    </w:p>
    <w:p w14:paraId="0992DC76" w14:textId="2BA2F436" w:rsidR="007D0490" w:rsidRDefault="002B5528">
      <w:pPr>
        <w:pStyle w:val="TOC1"/>
        <w:rPr>
          <w:rFonts w:asciiTheme="minorHAnsi" w:eastAsiaTheme="minorEastAsia" w:hAnsiTheme="minorHAnsi"/>
          <w:b w:val="0"/>
          <w:noProof/>
          <w:color w:val="auto"/>
          <w:kern w:val="2"/>
          <w:sz w:val="24"/>
          <w:szCs w:val="24"/>
          <w:lang w:eastAsia="en-NZ"/>
          <w14:ligatures w14:val="standardContextual"/>
        </w:rPr>
      </w:pPr>
      <w:r w:rsidRPr="002B5528">
        <w:rPr>
          <w:rFonts w:eastAsia="Calibri" w:cs="Cordia New"/>
          <w:lang w:eastAsia="en-NZ"/>
        </w:rPr>
        <w:fldChar w:fldCharType="begin"/>
      </w:r>
      <w:r w:rsidRPr="002B5528">
        <w:rPr>
          <w:rFonts w:eastAsia="Calibri" w:cs="Cordia New"/>
          <w:lang w:eastAsia="en-NZ"/>
        </w:rPr>
        <w:instrText xml:space="preserve"> TOC \o "1-2" \h \z \u </w:instrText>
      </w:r>
      <w:r w:rsidRPr="002B5528">
        <w:rPr>
          <w:rFonts w:eastAsia="Calibri" w:cs="Cordia New"/>
          <w:lang w:eastAsia="en-NZ"/>
        </w:rPr>
        <w:fldChar w:fldCharType="separate"/>
      </w:r>
      <w:hyperlink w:anchor="_Toc207093248" w:history="1">
        <w:r w:rsidR="007D0490" w:rsidRPr="006F5296">
          <w:rPr>
            <w:rStyle w:val="Hyperlink"/>
            <w:noProof/>
          </w:rPr>
          <w:t>Overview</w:t>
        </w:r>
        <w:r w:rsidR="007D0490">
          <w:rPr>
            <w:noProof/>
            <w:webHidden/>
          </w:rPr>
          <w:tab/>
        </w:r>
        <w:r w:rsidR="007D0490">
          <w:rPr>
            <w:noProof/>
            <w:webHidden/>
          </w:rPr>
          <w:fldChar w:fldCharType="begin"/>
        </w:r>
        <w:r w:rsidR="007D0490">
          <w:rPr>
            <w:noProof/>
            <w:webHidden/>
          </w:rPr>
          <w:instrText xml:space="preserve"> PAGEREF _Toc207093248 \h </w:instrText>
        </w:r>
        <w:r w:rsidR="007D0490">
          <w:rPr>
            <w:noProof/>
            <w:webHidden/>
          </w:rPr>
        </w:r>
        <w:r w:rsidR="007D0490">
          <w:rPr>
            <w:noProof/>
            <w:webHidden/>
          </w:rPr>
          <w:fldChar w:fldCharType="separate"/>
        </w:r>
        <w:r w:rsidR="00DB176A">
          <w:rPr>
            <w:noProof/>
            <w:webHidden/>
          </w:rPr>
          <w:t>2</w:t>
        </w:r>
        <w:r w:rsidR="007D0490">
          <w:rPr>
            <w:noProof/>
            <w:webHidden/>
          </w:rPr>
          <w:fldChar w:fldCharType="end"/>
        </w:r>
      </w:hyperlink>
    </w:p>
    <w:p w14:paraId="62205576" w14:textId="23788EBA" w:rsidR="007D0490" w:rsidRDefault="007D0490">
      <w:pPr>
        <w:pStyle w:val="TOC2"/>
        <w:rPr>
          <w:rFonts w:asciiTheme="minorHAnsi" w:eastAsiaTheme="minorEastAsia" w:hAnsiTheme="minorHAnsi"/>
          <w:noProof/>
          <w:kern w:val="2"/>
          <w:sz w:val="24"/>
          <w:szCs w:val="24"/>
          <w:lang w:eastAsia="en-NZ"/>
          <w14:ligatures w14:val="standardContextual"/>
        </w:rPr>
      </w:pPr>
      <w:hyperlink w:anchor="_Toc207093249" w:history="1">
        <w:r w:rsidRPr="006F5296">
          <w:rPr>
            <w:rStyle w:val="Hyperlink"/>
            <w:noProof/>
          </w:rPr>
          <w:t>What we asked submitters</w:t>
        </w:r>
        <w:r>
          <w:rPr>
            <w:noProof/>
            <w:webHidden/>
          </w:rPr>
          <w:tab/>
        </w:r>
        <w:r>
          <w:rPr>
            <w:noProof/>
            <w:webHidden/>
          </w:rPr>
          <w:fldChar w:fldCharType="begin"/>
        </w:r>
        <w:r>
          <w:rPr>
            <w:noProof/>
            <w:webHidden/>
          </w:rPr>
          <w:instrText xml:space="preserve"> PAGEREF _Toc207093249 \h </w:instrText>
        </w:r>
        <w:r>
          <w:rPr>
            <w:noProof/>
            <w:webHidden/>
          </w:rPr>
        </w:r>
        <w:r>
          <w:rPr>
            <w:noProof/>
            <w:webHidden/>
          </w:rPr>
          <w:fldChar w:fldCharType="separate"/>
        </w:r>
        <w:r w:rsidR="00DB176A">
          <w:rPr>
            <w:noProof/>
            <w:webHidden/>
          </w:rPr>
          <w:t>2</w:t>
        </w:r>
        <w:r>
          <w:rPr>
            <w:noProof/>
            <w:webHidden/>
          </w:rPr>
          <w:fldChar w:fldCharType="end"/>
        </w:r>
      </w:hyperlink>
    </w:p>
    <w:p w14:paraId="0D7B825A" w14:textId="27CF01FF" w:rsidR="007D0490" w:rsidRDefault="007D0490">
      <w:pPr>
        <w:pStyle w:val="TOC2"/>
        <w:rPr>
          <w:rFonts w:asciiTheme="minorHAnsi" w:eastAsiaTheme="minorEastAsia" w:hAnsiTheme="minorHAnsi"/>
          <w:noProof/>
          <w:kern w:val="2"/>
          <w:sz w:val="24"/>
          <w:szCs w:val="24"/>
          <w:lang w:eastAsia="en-NZ"/>
          <w14:ligatures w14:val="standardContextual"/>
        </w:rPr>
      </w:pPr>
      <w:hyperlink w:anchor="_Toc207093250" w:history="1">
        <w:r w:rsidRPr="006F5296">
          <w:rPr>
            <w:rStyle w:val="Hyperlink"/>
            <w:noProof/>
          </w:rPr>
          <w:t>The submissions</w:t>
        </w:r>
        <w:r>
          <w:rPr>
            <w:noProof/>
            <w:webHidden/>
          </w:rPr>
          <w:tab/>
        </w:r>
        <w:r>
          <w:rPr>
            <w:noProof/>
            <w:webHidden/>
          </w:rPr>
          <w:fldChar w:fldCharType="begin"/>
        </w:r>
        <w:r>
          <w:rPr>
            <w:noProof/>
            <w:webHidden/>
          </w:rPr>
          <w:instrText xml:space="preserve"> PAGEREF _Toc207093250 \h </w:instrText>
        </w:r>
        <w:r>
          <w:rPr>
            <w:noProof/>
            <w:webHidden/>
          </w:rPr>
        </w:r>
        <w:r>
          <w:rPr>
            <w:noProof/>
            <w:webHidden/>
          </w:rPr>
          <w:fldChar w:fldCharType="separate"/>
        </w:r>
        <w:r w:rsidR="00DB176A">
          <w:rPr>
            <w:noProof/>
            <w:webHidden/>
          </w:rPr>
          <w:t>4</w:t>
        </w:r>
        <w:r>
          <w:rPr>
            <w:noProof/>
            <w:webHidden/>
          </w:rPr>
          <w:fldChar w:fldCharType="end"/>
        </w:r>
      </w:hyperlink>
    </w:p>
    <w:p w14:paraId="56446FDD" w14:textId="7900AEFB" w:rsidR="007D0490" w:rsidRDefault="007D0490">
      <w:pPr>
        <w:pStyle w:val="TOC2"/>
        <w:rPr>
          <w:rFonts w:asciiTheme="minorHAnsi" w:eastAsiaTheme="minorEastAsia" w:hAnsiTheme="minorHAnsi"/>
          <w:noProof/>
          <w:kern w:val="2"/>
          <w:sz w:val="24"/>
          <w:szCs w:val="24"/>
          <w:lang w:eastAsia="en-NZ"/>
          <w14:ligatures w14:val="standardContextual"/>
        </w:rPr>
      </w:pPr>
      <w:hyperlink w:anchor="_Toc207093251" w:history="1">
        <w:r w:rsidRPr="006F5296">
          <w:rPr>
            <w:rStyle w:val="Hyperlink"/>
            <w:noProof/>
          </w:rPr>
          <w:t>Other issues raised by submitters</w:t>
        </w:r>
        <w:r>
          <w:rPr>
            <w:noProof/>
            <w:webHidden/>
          </w:rPr>
          <w:tab/>
        </w:r>
        <w:r>
          <w:rPr>
            <w:noProof/>
            <w:webHidden/>
          </w:rPr>
          <w:fldChar w:fldCharType="begin"/>
        </w:r>
        <w:r>
          <w:rPr>
            <w:noProof/>
            <w:webHidden/>
          </w:rPr>
          <w:instrText xml:space="preserve"> PAGEREF _Toc207093251 \h </w:instrText>
        </w:r>
        <w:r>
          <w:rPr>
            <w:noProof/>
            <w:webHidden/>
          </w:rPr>
        </w:r>
        <w:r>
          <w:rPr>
            <w:noProof/>
            <w:webHidden/>
          </w:rPr>
          <w:fldChar w:fldCharType="separate"/>
        </w:r>
        <w:r w:rsidR="00DB176A">
          <w:rPr>
            <w:noProof/>
            <w:webHidden/>
          </w:rPr>
          <w:t>4</w:t>
        </w:r>
        <w:r>
          <w:rPr>
            <w:noProof/>
            <w:webHidden/>
          </w:rPr>
          <w:fldChar w:fldCharType="end"/>
        </w:r>
      </w:hyperlink>
    </w:p>
    <w:p w14:paraId="1A8461D4" w14:textId="1784384F" w:rsidR="007D0490" w:rsidRDefault="007D0490">
      <w:pPr>
        <w:pStyle w:val="TOC2"/>
        <w:rPr>
          <w:rFonts w:asciiTheme="minorHAnsi" w:eastAsiaTheme="minorEastAsia" w:hAnsiTheme="minorHAnsi"/>
          <w:noProof/>
          <w:kern w:val="2"/>
          <w:sz w:val="24"/>
          <w:szCs w:val="24"/>
          <w:lang w:eastAsia="en-NZ"/>
          <w14:ligatures w14:val="standardContextual"/>
        </w:rPr>
      </w:pPr>
      <w:hyperlink w:anchor="_Toc207093252" w:history="1">
        <w:r w:rsidRPr="006F5296">
          <w:rPr>
            <w:rStyle w:val="Hyperlink"/>
            <w:noProof/>
          </w:rPr>
          <w:t>Other feedback collated by the free speech union</w:t>
        </w:r>
        <w:r>
          <w:rPr>
            <w:noProof/>
            <w:webHidden/>
          </w:rPr>
          <w:tab/>
        </w:r>
        <w:r>
          <w:rPr>
            <w:noProof/>
            <w:webHidden/>
          </w:rPr>
          <w:fldChar w:fldCharType="begin"/>
        </w:r>
        <w:r>
          <w:rPr>
            <w:noProof/>
            <w:webHidden/>
          </w:rPr>
          <w:instrText xml:space="preserve"> PAGEREF _Toc207093252 \h </w:instrText>
        </w:r>
        <w:r>
          <w:rPr>
            <w:noProof/>
            <w:webHidden/>
          </w:rPr>
        </w:r>
        <w:r>
          <w:rPr>
            <w:noProof/>
            <w:webHidden/>
          </w:rPr>
          <w:fldChar w:fldCharType="separate"/>
        </w:r>
        <w:r w:rsidR="00DB176A">
          <w:rPr>
            <w:noProof/>
            <w:webHidden/>
          </w:rPr>
          <w:t>5</w:t>
        </w:r>
        <w:r>
          <w:rPr>
            <w:noProof/>
            <w:webHidden/>
          </w:rPr>
          <w:fldChar w:fldCharType="end"/>
        </w:r>
      </w:hyperlink>
    </w:p>
    <w:p w14:paraId="63A9D51C" w14:textId="45F7D44A" w:rsidR="007D0490" w:rsidRDefault="007D0490">
      <w:pPr>
        <w:pStyle w:val="TOC1"/>
        <w:rPr>
          <w:rFonts w:asciiTheme="minorHAnsi" w:eastAsiaTheme="minorEastAsia" w:hAnsiTheme="minorHAnsi"/>
          <w:b w:val="0"/>
          <w:noProof/>
          <w:color w:val="auto"/>
          <w:kern w:val="2"/>
          <w:sz w:val="24"/>
          <w:szCs w:val="24"/>
          <w:lang w:eastAsia="en-NZ"/>
          <w14:ligatures w14:val="standardContextual"/>
        </w:rPr>
      </w:pPr>
      <w:hyperlink w:anchor="_Toc207093253" w:history="1">
        <w:r w:rsidRPr="006F5296">
          <w:rPr>
            <w:rStyle w:val="Hyperlink"/>
            <w:noProof/>
          </w:rPr>
          <w:t>Hate crime and its impacts</w:t>
        </w:r>
        <w:r>
          <w:rPr>
            <w:noProof/>
            <w:webHidden/>
          </w:rPr>
          <w:tab/>
        </w:r>
        <w:r>
          <w:rPr>
            <w:noProof/>
            <w:webHidden/>
          </w:rPr>
          <w:fldChar w:fldCharType="begin"/>
        </w:r>
        <w:r>
          <w:rPr>
            <w:noProof/>
            <w:webHidden/>
          </w:rPr>
          <w:instrText xml:space="preserve"> PAGEREF _Toc207093253 \h </w:instrText>
        </w:r>
        <w:r>
          <w:rPr>
            <w:noProof/>
            <w:webHidden/>
          </w:rPr>
        </w:r>
        <w:r>
          <w:rPr>
            <w:noProof/>
            <w:webHidden/>
          </w:rPr>
          <w:fldChar w:fldCharType="separate"/>
        </w:r>
        <w:r w:rsidR="00DB176A">
          <w:rPr>
            <w:noProof/>
            <w:webHidden/>
          </w:rPr>
          <w:t>6</w:t>
        </w:r>
        <w:r>
          <w:rPr>
            <w:noProof/>
            <w:webHidden/>
          </w:rPr>
          <w:fldChar w:fldCharType="end"/>
        </w:r>
      </w:hyperlink>
    </w:p>
    <w:p w14:paraId="0826A0AB" w14:textId="5BA0D9C1" w:rsidR="007D0490" w:rsidRDefault="007D0490">
      <w:pPr>
        <w:pStyle w:val="TOC1"/>
        <w:rPr>
          <w:rFonts w:asciiTheme="minorHAnsi" w:eastAsiaTheme="minorEastAsia" w:hAnsiTheme="minorHAnsi"/>
          <w:b w:val="0"/>
          <w:noProof/>
          <w:color w:val="auto"/>
          <w:kern w:val="2"/>
          <w:sz w:val="24"/>
          <w:szCs w:val="24"/>
          <w:lang w:eastAsia="en-NZ"/>
          <w14:ligatures w14:val="standardContextual"/>
        </w:rPr>
      </w:pPr>
      <w:hyperlink w:anchor="_Toc207093255" w:history="1">
        <w:r w:rsidRPr="006F5296">
          <w:rPr>
            <w:rStyle w:val="Hyperlink"/>
            <w:noProof/>
          </w:rPr>
          <w:t>Reform considerations</w:t>
        </w:r>
        <w:r>
          <w:rPr>
            <w:noProof/>
            <w:webHidden/>
          </w:rPr>
          <w:tab/>
        </w:r>
        <w:r>
          <w:rPr>
            <w:noProof/>
            <w:webHidden/>
          </w:rPr>
          <w:fldChar w:fldCharType="begin"/>
        </w:r>
        <w:r>
          <w:rPr>
            <w:noProof/>
            <w:webHidden/>
          </w:rPr>
          <w:instrText xml:space="preserve"> PAGEREF _Toc207093255 \h </w:instrText>
        </w:r>
        <w:r>
          <w:rPr>
            <w:noProof/>
            <w:webHidden/>
          </w:rPr>
        </w:r>
        <w:r>
          <w:rPr>
            <w:noProof/>
            <w:webHidden/>
          </w:rPr>
          <w:fldChar w:fldCharType="separate"/>
        </w:r>
        <w:r w:rsidR="00DB176A">
          <w:rPr>
            <w:noProof/>
            <w:webHidden/>
          </w:rPr>
          <w:t>10</w:t>
        </w:r>
        <w:r>
          <w:rPr>
            <w:noProof/>
            <w:webHidden/>
          </w:rPr>
          <w:fldChar w:fldCharType="end"/>
        </w:r>
      </w:hyperlink>
    </w:p>
    <w:p w14:paraId="4CEE6CA1" w14:textId="6251E345" w:rsidR="007D0490" w:rsidRPr="00591B64" w:rsidRDefault="007D0490">
      <w:pPr>
        <w:pStyle w:val="TOC2"/>
        <w:rPr>
          <w:rStyle w:val="Hyperlink"/>
          <w:rFonts w:eastAsiaTheme="majorEastAsia"/>
          <w:noProof/>
        </w:rPr>
      </w:pPr>
      <w:hyperlink w:anchor="_Toc207093256" w:history="1">
        <w:r w:rsidRPr="00591B64">
          <w:rPr>
            <w:rStyle w:val="Hyperlink"/>
            <w:rFonts w:eastAsiaTheme="majorEastAsia"/>
            <w:noProof/>
          </w:rPr>
          <w:t>Overview</w:t>
        </w:r>
        <w:r w:rsidRPr="00591B64">
          <w:rPr>
            <w:rStyle w:val="Hyperlink"/>
            <w:rFonts w:eastAsiaTheme="majorEastAsia"/>
            <w:noProof/>
            <w:webHidden/>
          </w:rPr>
          <w:tab/>
        </w:r>
        <w:r w:rsidRPr="00591B64">
          <w:rPr>
            <w:rStyle w:val="Hyperlink"/>
            <w:rFonts w:eastAsiaTheme="majorEastAsia"/>
            <w:noProof/>
            <w:webHidden/>
          </w:rPr>
          <w:fldChar w:fldCharType="begin"/>
        </w:r>
        <w:r w:rsidRPr="00591B64">
          <w:rPr>
            <w:rStyle w:val="Hyperlink"/>
            <w:rFonts w:eastAsiaTheme="majorEastAsia"/>
            <w:noProof/>
            <w:webHidden/>
          </w:rPr>
          <w:instrText xml:space="preserve"> PAGEREF _Toc207093256 \h </w:instrText>
        </w:r>
        <w:r w:rsidRPr="00591B64">
          <w:rPr>
            <w:rStyle w:val="Hyperlink"/>
            <w:rFonts w:eastAsiaTheme="majorEastAsia"/>
            <w:noProof/>
            <w:webHidden/>
          </w:rPr>
        </w:r>
        <w:r w:rsidRPr="00591B64">
          <w:rPr>
            <w:rStyle w:val="Hyperlink"/>
            <w:rFonts w:eastAsiaTheme="majorEastAsia"/>
            <w:noProof/>
            <w:webHidden/>
          </w:rPr>
          <w:fldChar w:fldCharType="separate"/>
        </w:r>
        <w:r w:rsidR="00DB176A">
          <w:rPr>
            <w:rStyle w:val="Hyperlink"/>
            <w:rFonts w:eastAsiaTheme="majorEastAsia"/>
            <w:noProof/>
            <w:webHidden/>
          </w:rPr>
          <w:t>10</w:t>
        </w:r>
        <w:r w:rsidRPr="00591B64">
          <w:rPr>
            <w:rStyle w:val="Hyperlink"/>
            <w:rFonts w:eastAsiaTheme="majorEastAsia"/>
            <w:noProof/>
            <w:webHidden/>
          </w:rPr>
          <w:fldChar w:fldCharType="end"/>
        </w:r>
      </w:hyperlink>
    </w:p>
    <w:p w14:paraId="71CA3247" w14:textId="4C25939C" w:rsidR="007D0490" w:rsidRPr="00591B64" w:rsidRDefault="007D0490">
      <w:pPr>
        <w:pStyle w:val="TOC2"/>
        <w:rPr>
          <w:rStyle w:val="Hyperlink"/>
          <w:rFonts w:eastAsiaTheme="majorEastAsia"/>
          <w:noProof/>
        </w:rPr>
      </w:pPr>
      <w:hyperlink w:anchor="_Toc207093257" w:history="1">
        <w:r w:rsidRPr="00591B64">
          <w:rPr>
            <w:rStyle w:val="Hyperlink"/>
            <w:rFonts w:eastAsiaTheme="majorEastAsia"/>
            <w:noProof/>
          </w:rPr>
          <w:t>The need to treat hate crime more seriously</w:t>
        </w:r>
        <w:r w:rsidRPr="00591B64">
          <w:rPr>
            <w:rStyle w:val="Hyperlink"/>
            <w:rFonts w:eastAsiaTheme="majorEastAsia"/>
            <w:noProof/>
            <w:webHidden/>
          </w:rPr>
          <w:tab/>
        </w:r>
        <w:r w:rsidRPr="00591B64">
          <w:rPr>
            <w:rStyle w:val="Hyperlink"/>
            <w:rFonts w:eastAsiaTheme="majorEastAsia"/>
            <w:noProof/>
            <w:webHidden/>
          </w:rPr>
          <w:fldChar w:fldCharType="begin"/>
        </w:r>
        <w:r w:rsidRPr="00591B64">
          <w:rPr>
            <w:rStyle w:val="Hyperlink"/>
            <w:rFonts w:eastAsiaTheme="majorEastAsia"/>
            <w:noProof/>
            <w:webHidden/>
          </w:rPr>
          <w:instrText xml:space="preserve"> PAGEREF _Toc207093257 \h </w:instrText>
        </w:r>
        <w:r w:rsidRPr="00591B64">
          <w:rPr>
            <w:rStyle w:val="Hyperlink"/>
            <w:rFonts w:eastAsiaTheme="majorEastAsia"/>
            <w:noProof/>
            <w:webHidden/>
          </w:rPr>
        </w:r>
        <w:r w:rsidRPr="00591B64">
          <w:rPr>
            <w:rStyle w:val="Hyperlink"/>
            <w:rFonts w:eastAsiaTheme="majorEastAsia"/>
            <w:noProof/>
            <w:webHidden/>
          </w:rPr>
          <w:fldChar w:fldCharType="separate"/>
        </w:r>
        <w:r w:rsidR="00DB176A">
          <w:rPr>
            <w:rStyle w:val="Hyperlink"/>
            <w:rFonts w:eastAsiaTheme="majorEastAsia"/>
            <w:noProof/>
            <w:webHidden/>
          </w:rPr>
          <w:t>11</w:t>
        </w:r>
        <w:r w:rsidRPr="00591B64">
          <w:rPr>
            <w:rStyle w:val="Hyperlink"/>
            <w:rFonts w:eastAsiaTheme="majorEastAsia"/>
            <w:noProof/>
            <w:webHidden/>
          </w:rPr>
          <w:fldChar w:fldCharType="end"/>
        </w:r>
      </w:hyperlink>
    </w:p>
    <w:p w14:paraId="74F7CD2B" w14:textId="588BD51D" w:rsidR="007D0490" w:rsidRPr="00591B64" w:rsidRDefault="007D0490">
      <w:pPr>
        <w:pStyle w:val="TOC2"/>
        <w:rPr>
          <w:rStyle w:val="Hyperlink"/>
          <w:rFonts w:eastAsiaTheme="majorEastAsia"/>
          <w:noProof/>
        </w:rPr>
      </w:pPr>
      <w:hyperlink w:anchor="_Toc207093258" w:history="1">
        <w:r w:rsidRPr="00591B64">
          <w:rPr>
            <w:rStyle w:val="Hyperlink"/>
            <w:rFonts w:eastAsiaTheme="majorEastAsia"/>
            <w:noProof/>
          </w:rPr>
          <w:t>Guidance on when it is appropriate to create new offences</w:t>
        </w:r>
        <w:r w:rsidRPr="00591B64">
          <w:rPr>
            <w:rStyle w:val="Hyperlink"/>
            <w:rFonts w:eastAsiaTheme="majorEastAsia"/>
            <w:noProof/>
            <w:webHidden/>
          </w:rPr>
          <w:tab/>
        </w:r>
        <w:r w:rsidRPr="00591B64">
          <w:rPr>
            <w:rStyle w:val="Hyperlink"/>
            <w:rFonts w:eastAsiaTheme="majorEastAsia"/>
            <w:noProof/>
            <w:webHidden/>
          </w:rPr>
          <w:fldChar w:fldCharType="begin"/>
        </w:r>
        <w:r w:rsidRPr="00591B64">
          <w:rPr>
            <w:rStyle w:val="Hyperlink"/>
            <w:rFonts w:eastAsiaTheme="majorEastAsia"/>
            <w:noProof/>
            <w:webHidden/>
          </w:rPr>
          <w:instrText xml:space="preserve"> PAGEREF _Toc207093258 \h </w:instrText>
        </w:r>
        <w:r w:rsidRPr="00591B64">
          <w:rPr>
            <w:rStyle w:val="Hyperlink"/>
            <w:rFonts w:eastAsiaTheme="majorEastAsia"/>
            <w:noProof/>
            <w:webHidden/>
          </w:rPr>
        </w:r>
        <w:r w:rsidRPr="00591B64">
          <w:rPr>
            <w:rStyle w:val="Hyperlink"/>
            <w:rFonts w:eastAsiaTheme="majorEastAsia"/>
            <w:noProof/>
            <w:webHidden/>
          </w:rPr>
          <w:fldChar w:fldCharType="separate"/>
        </w:r>
        <w:r w:rsidR="00DB176A">
          <w:rPr>
            <w:rStyle w:val="Hyperlink"/>
            <w:rFonts w:eastAsiaTheme="majorEastAsia"/>
            <w:noProof/>
            <w:webHidden/>
          </w:rPr>
          <w:t>12</w:t>
        </w:r>
        <w:r w:rsidRPr="00591B64">
          <w:rPr>
            <w:rStyle w:val="Hyperlink"/>
            <w:rFonts w:eastAsiaTheme="majorEastAsia"/>
            <w:noProof/>
            <w:webHidden/>
          </w:rPr>
          <w:fldChar w:fldCharType="end"/>
        </w:r>
      </w:hyperlink>
    </w:p>
    <w:p w14:paraId="6186E2BB" w14:textId="38F7504F" w:rsidR="007D0490" w:rsidRPr="00591B64" w:rsidRDefault="007D0490">
      <w:pPr>
        <w:pStyle w:val="TOC2"/>
        <w:rPr>
          <w:rStyle w:val="Hyperlink"/>
          <w:rFonts w:eastAsiaTheme="majorEastAsia"/>
          <w:noProof/>
        </w:rPr>
      </w:pPr>
      <w:hyperlink w:anchor="_Toc207093259" w:history="1">
        <w:r w:rsidRPr="00591B64">
          <w:rPr>
            <w:rStyle w:val="Hyperlink"/>
            <w:rFonts w:eastAsiaTheme="majorEastAsia"/>
            <w:noProof/>
          </w:rPr>
          <w:t>Tikanga</w:t>
        </w:r>
        <w:r w:rsidRPr="00591B64">
          <w:rPr>
            <w:rStyle w:val="Hyperlink"/>
            <w:rFonts w:eastAsiaTheme="majorEastAsia"/>
            <w:noProof/>
            <w:webHidden/>
          </w:rPr>
          <w:tab/>
        </w:r>
        <w:r w:rsidRPr="00591B64">
          <w:rPr>
            <w:rStyle w:val="Hyperlink"/>
            <w:rFonts w:eastAsiaTheme="majorEastAsia"/>
            <w:noProof/>
            <w:webHidden/>
          </w:rPr>
          <w:fldChar w:fldCharType="begin"/>
        </w:r>
        <w:r w:rsidRPr="00591B64">
          <w:rPr>
            <w:rStyle w:val="Hyperlink"/>
            <w:rFonts w:eastAsiaTheme="majorEastAsia"/>
            <w:noProof/>
            <w:webHidden/>
          </w:rPr>
          <w:instrText xml:space="preserve"> PAGEREF _Toc207093259 \h </w:instrText>
        </w:r>
        <w:r w:rsidRPr="00591B64">
          <w:rPr>
            <w:rStyle w:val="Hyperlink"/>
            <w:rFonts w:eastAsiaTheme="majorEastAsia"/>
            <w:noProof/>
            <w:webHidden/>
          </w:rPr>
        </w:r>
        <w:r w:rsidRPr="00591B64">
          <w:rPr>
            <w:rStyle w:val="Hyperlink"/>
            <w:rFonts w:eastAsiaTheme="majorEastAsia"/>
            <w:noProof/>
            <w:webHidden/>
          </w:rPr>
          <w:fldChar w:fldCharType="separate"/>
        </w:r>
        <w:r w:rsidR="00DB176A">
          <w:rPr>
            <w:rStyle w:val="Hyperlink"/>
            <w:rFonts w:eastAsiaTheme="majorEastAsia"/>
            <w:noProof/>
            <w:webHidden/>
          </w:rPr>
          <w:t>13</w:t>
        </w:r>
        <w:r w:rsidRPr="00591B64">
          <w:rPr>
            <w:rStyle w:val="Hyperlink"/>
            <w:rFonts w:eastAsiaTheme="majorEastAsia"/>
            <w:noProof/>
            <w:webHidden/>
          </w:rPr>
          <w:fldChar w:fldCharType="end"/>
        </w:r>
      </w:hyperlink>
    </w:p>
    <w:p w14:paraId="0EB5005F" w14:textId="11E173E7" w:rsidR="007D0490" w:rsidRPr="00591B64" w:rsidRDefault="007D0490">
      <w:pPr>
        <w:pStyle w:val="TOC2"/>
        <w:rPr>
          <w:rStyle w:val="Hyperlink"/>
          <w:rFonts w:eastAsiaTheme="majorEastAsia"/>
          <w:noProof/>
        </w:rPr>
      </w:pPr>
      <w:hyperlink w:anchor="_Toc207093260" w:history="1">
        <w:r w:rsidRPr="00591B64">
          <w:rPr>
            <w:rStyle w:val="Hyperlink"/>
            <w:rFonts w:eastAsiaTheme="majorEastAsia"/>
            <w:noProof/>
          </w:rPr>
          <w:t>Te Tiriti o Waitangi | Treaty of Waitangi</w:t>
        </w:r>
        <w:r w:rsidRPr="00591B64">
          <w:rPr>
            <w:rStyle w:val="Hyperlink"/>
            <w:rFonts w:eastAsiaTheme="majorEastAsia"/>
            <w:noProof/>
            <w:webHidden/>
          </w:rPr>
          <w:tab/>
        </w:r>
        <w:r w:rsidRPr="00591B64">
          <w:rPr>
            <w:rStyle w:val="Hyperlink"/>
            <w:rFonts w:eastAsiaTheme="majorEastAsia"/>
            <w:noProof/>
            <w:webHidden/>
          </w:rPr>
          <w:fldChar w:fldCharType="begin"/>
        </w:r>
        <w:r w:rsidRPr="00591B64">
          <w:rPr>
            <w:rStyle w:val="Hyperlink"/>
            <w:rFonts w:eastAsiaTheme="majorEastAsia"/>
            <w:noProof/>
            <w:webHidden/>
          </w:rPr>
          <w:instrText xml:space="preserve"> PAGEREF _Toc207093260 \h </w:instrText>
        </w:r>
        <w:r w:rsidRPr="00591B64">
          <w:rPr>
            <w:rStyle w:val="Hyperlink"/>
            <w:rFonts w:eastAsiaTheme="majorEastAsia"/>
            <w:noProof/>
            <w:webHidden/>
          </w:rPr>
        </w:r>
        <w:r w:rsidRPr="00591B64">
          <w:rPr>
            <w:rStyle w:val="Hyperlink"/>
            <w:rFonts w:eastAsiaTheme="majorEastAsia"/>
            <w:noProof/>
            <w:webHidden/>
          </w:rPr>
          <w:fldChar w:fldCharType="separate"/>
        </w:r>
        <w:r w:rsidR="00DB176A">
          <w:rPr>
            <w:rStyle w:val="Hyperlink"/>
            <w:rFonts w:eastAsiaTheme="majorEastAsia"/>
            <w:noProof/>
            <w:webHidden/>
          </w:rPr>
          <w:t>14</w:t>
        </w:r>
        <w:r w:rsidRPr="00591B64">
          <w:rPr>
            <w:rStyle w:val="Hyperlink"/>
            <w:rFonts w:eastAsiaTheme="majorEastAsia"/>
            <w:noProof/>
            <w:webHidden/>
          </w:rPr>
          <w:fldChar w:fldCharType="end"/>
        </w:r>
      </w:hyperlink>
    </w:p>
    <w:p w14:paraId="50DBE738" w14:textId="6EC57778" w:rsidR="007D0490" w:rsidRPr="00591B64" w:rsidRDefault="007D0490">
      <w:pPr>
        <w:pStyle w:val="TOC2"/>
        <w:rPr>
          <w:rStyle w:val="Hyperlink"/>
          <w:rFonts w:eastAsiaTheme="majorEastAsia"/>
          <w:noProof/>
        </w:rPr>
      </w:pPr>
      <w:hyperlink w:anchor="_Toc207093261" w:history="1">
        <w:r w:rsidRPr="00591B64">
          <w:rPr>
            <w:rStyle w:val="Hyperlink"/>
            <w:rFonts w:eastAsiaTheme="majorEastAsia"/>
            <w:noProof/>
          </w:rPr>
          <w:t>Human Rights</w:t>
        </w:r>
        <w:r w:rsidRPr="00591B64">
          <w:rPr>
            <w:rStyle w:val="Hyperlink"/>
            <w:rFonts w:eastAsiaTheme="majorEastAsia"/>
            <w:noProof/>
            <w:webHidden/>
          </w:rPr>
          <w:tab/>
        </w:r>
        <w:r w:rsidRPr="00591B64">
          <w:rPr>
            <w:rStyle w:val="Hyperlink"/>
            <w:rFonts w:eastAsiaTheme="majorEastAsia"/>
            <w:noProof/>
            <w:webHidden/>
          </w:rPr>
          <w:fldChar w:fldCharType="begin"/>
        </w:r>
        <w:r w:rsidRPr="00591B64">
          <w:rPr>
            <w:rStyle w:val="Hyperlink"/>
            <w:rFonts w:eastAsiaTheme="majorEastAsia"/>
            <w:noProof/>
            <w:webHidden/>
          </w:rPr>
          <w:instrText xml:space="preserve"> PAGEREF _Toc207093261 \h </w:instrText>
        </w:r>
        <w:r w:rsidRPr="00591B64">
          <w:rPr>
            <w:rStyle w:val="Hyperlink"/>
            <w:rFonts w:eastAsiaTheme="majorEastAsia"/>
            <w:noProof/>
            <w:webHidden/>
          </w:rPr>
        </w:r>
        <w:r w:rsidRPr="00591B64">
          <w:rPr>
            <w:rStyle w:val="Hyperlink"/>
            <w:rFonts w:eastAsiaTheme="majorEastAsia"/>
            <w:noProof/>
            <w:webHidden/>
          </w:rPr>
          <w:fldChar w:fldCharType="separate"/>
        </w:r>
        <w:r w:rsidR="00DB176A">
          <w:rPr>
            <w:rStyle w:val="Hyperlink"/>
            <w:rFonts w:eastAsiaTheme="majorEastAsia"/>
            <w:noProof/>
            <w:webHidden/>
          </w:rPr>
          <w:t>16</w:t>
        </w:r>
        <w:r w:rsidRPr="00591B64">
          <w:rPr>
            <w:rStyle w:val="Hyperlink"/>
            <w:rFonts w:eastAsiaTheme="majorEastAsia"/>
            <w:noProof/>
            <w:webHidden/>
          </w:rPr>
          <w:fldChar w:fldCharType="end"/>
        </w:r>
      </w:hyperlink>
    </w:p>
    <w:p w14:paraId="1F423DB7" w14:textId="68218BDA" w:rsidR="007D0490" w:rsidRDefault="007D0490">
      <w:pPr>
        <w:pStyle w:val="TOC2"/>
        <w:rPr>
          <w:rFonts w:asciiTheme="minorHAnsi" w:eastAsiaTheme="minorEastAsia" w:hAnsiTheme="minorHAnsi"/>
          <w:noProof/>
          <w:kern w:val="2"/>
          <w:sz w:val="24"/>
          <w:szCs w:val="24"/>
          <w:lang w:eastAsia="en-NZ"/>
          <w14:ligatures w14:val="standardContextual"/>
        </w:rPr>
      </w:pPr>
      <w:hyperlink w:anchor="_Toc207093262" w:history="1">
        <w:r w:rsidRPr="006F5296">
          <w:rPr>
            <w:rStyle w:val="Hyperlink"/>
            <w:noProof/>
          </w:rPr>
          <w:t>Selecting protected characteristics</w:t>
        </w:r>
        <w:r>
          <w:rPr>
            <w:noProof/>
            <w:webHidden/>
          </w:rPr>
          <w:tab/>
        </w:r>
        <w:r>
          <w:rPr>
            <w:noProof/>
            <w:webHidden/>
          </w:rPr>
          <w:fldChar w:fldCharType="begin"/>
        </w:r>
        <w:r>
          <w:rPr>
            <w:noProof/>
            <w:webHidden/>
          </w:rPr>
          <w:instrText xml:space="preserve"> PAGEREF _Toc207093262 \h </w:instrText>
        </w:r>
        <w:r>
          <w:rPr>
            <w:noProof/>
            <w:webHidden/>
          </w:rPr>
        </w:r>
        <w:r>
          <w:rPr>
            <w:noProof/>
            <w:webHidden/>
          </w:rPr>
          <w:fldChar w:fldCharType="separate"/>
        </w:r>
        <w:r w:rsidR="00DB176A">
          <w:rPr>
            <w:noProof/>
            <w:webHidden/>
          </w:rPr>
          <w:t>18</w:t>
        </w:r>
        <w:r>
          <w:rPr>
            <w:noProof/>
            <w:webHidden/>
          </w:rPr>
          <w:fldChar w:fldCharType="end"/>
        </w:r>
      </w:hyperlink>
    </w:p>
    <w:p w14:paraId="4B465E4F" w14:textId="129C29D4" w:rsidR="007D0490" w:rsidRDefault="007D0490">
      <w:pPr>
        <w:pStyle w:val="TOC1"/>
        <w:rPr>
          <w:rFonts w:asciiTheme="minorHAnsi" w:eastAsiaTheme="minorEastAsia" w:hAnsiTheme="minorHAnsi"/>
          <w:b w:val="0"/>
          <w:noProof/>
          <w:color w:val="auto"/>
          <w:kern w:val="2"/>
          <w:sz w:val="24"/>
          <w:szCs w:val="24"/>
          <w:lang w:eastAsia="en-NZ"/>
          <w14:ligatures w14:val="standardContextual"/>
        </w:rPr>
      </w:pPr>
      <w:hyperlink w:anchor="_Toc207093263" w:history="1">
        <w:r w:rsidRPr="006F5296">
          <w:rPr>
            <w:rStyle w:val="Hyperlink"/>
            <w:noProof/>
          </w:rPr>
          <w:t>Sentence aggravation model — problems and options for reform</w:t>
        </w:r>
        <w:r>
          <w:rPr>
            <w:noProof/>
            <w:webHidden/>
          </w:rPr>
          <w:tab/>
        </w:r>
        <w:r>
          <w:rPr>
            <w:noProof/>
            <w:webHidden/>
          </w:rPr>
          <w:fldChar w:fldCharType="begin"/>
        </w:r>
        <w:r>
          <w:rPr>
            <w:noProof/>
            <w:webHidden/>
          </w:rPr>
          <w:instrText xml:space="preserve"> PAGEREF _Toc207093263 \h </w:instrText>
        </w:r>
        <w:r>
          <w:rPr>
            <w:noProof/>
            <w:webHidden/>
          </w:rPr>
        </w:r>
        <w:r>
          <w:rPr>
            <w:noProof/>
            <w:webHidden/>
          </w:rPr>
          <w:fldChar w:fldCharType="separate"/>
        </w:r>
        <w:r w:rsidR="00DB176A">
          <w:rPr>
            <w:noProof/>
            <w:webHidden/>
          </w:rPr>
          <w:t>24</w:t>
        </w:r>
        <w:r>
          <w:rPr>
            <w:noProof/>
            <w:webHidden/>
          </w:rPr>
          <w:fldChar w:fldCharType="end"/>
        </w:r>
      </w:hyperlink>
    </w:p>
    <w:p w14:paraId="659CEBD1" w14:textId="0BC27FE5" w:rsidR="007D0490" w:rsidRDefault="007D0490">
      <w:pPr>
        <w:pStyle w:val="TOC2"/>
        <w:rPr>
          <w:rFonts w:asciiTheme="minorHAnsi" w:eastAsiaTheme="minorEastAsia" w:hAnsiTheme="minorHAnsi"/>
          <w:noProof/>
          <w:kern w:val="2"/>
          <w:sz w:val="24"/>
          <w:szCs w:val="24"/>
          <w:lang w:eastAsia="en-NZ"/>
          <w14:ligatures w14:val="standardContextual"/>
        </w:rPr>
      </w:pPr>
      <w:hyperlink w:anchor="_Toc207093264" w:history="1">
        <w:r w:rsidRPr="006F5296">
          <w:rPr>
            <w:rStyle w:val="Hyperlink"/>
            <w:rFonts w:eastAsiaTheme="majorEastAsia"/>
            <w:noProof/>
          </w:rPr>
          <w:t>Overview</w:t>
        </w:r>
        <w:r>
          <w:rPr>
            <w:noProof/>
            <w:webHidden/>
          </w:rPr>
          <w:tab/>
        </w:r>
        <w:r>
          <w:rPr>
            <w:noProof/>
            <w:webHidden/>
          </w:rPr>
          <w:fldChar w:fldCharType="begin"/>
        </w:r>
        <w:r>
          <w:rPr>
            <w:noProof/>
            <w:webHidden/>
          </w:rPr>
          <w:instrText xml:space="preserve"> PAGEREF _Toc207093264 \h </w:instrText>
        </w:r>
        <w:r>
          <w:rPr>
            <w:noProof/>
            <w:webHidden/>
          </w:rPr>
        </w:r>
        <w:r>
          <w:rPr>
            <w:noProof/>
            <w:webHidden/>
          </w:rPr>
          <w:fldChar w:fldCharType="separate"/>
        </w:r>
        <w:r w:rsidR="00DB176A">
          <w:rPr>
            <w:noProof/>
            <w:webHidden/>
          </w:rPr>
          <w:t>24</w:t>
        </w:r>
        <w:r>
          <w:rPr>
            <w:noProof/>
            <w:webHidden/>
          </w:rPr>
          <w:fldChar w:fldCharType="end"/>
        </w:r>
      </w:hyperlink>
    </w:p>
    <w:p w14:paraId="500F9913" w14:textId="48A7CB5C" w:rsidR="007D0490" w:rsidRDefault="007D0490">
      <w:pPr>
        <w:pStyle w:val="TOC2"/>
        <w:rPr>
          <w:rFonts w:asciiTheme="minorHAnsi" w:eastAsiaTheme="minorEastAsia" w:hAnsiTheme="minorHAnsi"/>
          <w:noProof/>
          <w:kern w:val="2"/>
          <w:sz w:val="24"/>
          <w:szCs w:val="24"/>
          <w:lang w:eastAsia="en-NZ"/>
          <w14:ligatures w14:val="standardContextual"/>
        </w:rPr>
      </w:pPr>
      <w:hyperlink w:anchor="_Toc207093265" w:history="1">
        <w:r w:rsidRPr="006F5296">
          <w:rPr>
            <w:rStyle w:val="Hyperlink"/>
            <w:rFonts w:eastAsiaTheme="majorEastAsia"/>
            <w:noProof/>
          </w:rPr>
          <w:t>Denouncing hate crime</w:t>
        </w:r>
        <w:r>
          <w:rPr>
            <w:noProof/>
            <w:webHidden/>
          </w:rPr>
          <w:tab/>
        </w:r>
        <w:r>
          <w:rPr>
            <w:noProof/>
            <w:webHidden/>
          </w:rPr>
          <w:fldChar w:fldCharType="begin"/>
        </w:r>
        <w:r>
          <w:rPr>
            <w:noProof/>
            <w:webHidden/>
          </w:rPr>
          <w:instrText xml:space="preserve"> PAGEREF _Toc207093265 \h </w:instrText>
        </w:r>
        <w:r>
          <w:rPr>
            <w:noProof/>
            <w:webHidden/>
          </w:rPr>
        </w:r>
        <w:r>
          <w:rPr>
            <w:noProof/>
            <w:webHidden/>
          </w:rPr>
          <w:fldChar w:fldCharType="separate"/>
        </w:r>
        <w:r w:rsidR="00DB176A">
          <w:rPr>
            <w:noProof/>
            <w:webHidden/>
          </w:rPr>
          <w:t>26</w:t>
        </w:r>
        <w:r>
          <w:rPr>
            <w:noProof/>
            <w:webHidden/>
          </w:rPr>
          <w:fldChar w:fldCharType="end"/>
        </w:r>
      </w:hyperlink>
    </w:p>
    <w:p w14:paraId="01705A2E" w14:textId="04A3EDE6" w:rsidR="007D0490" w:rsidRDefault="007D0490">
      <w:pPr>
        <w:pStyle w:val="TOC2"/>
        <w:rPr>
          <w:rFonts w:asciiTheme="minorHAnsi" w:eastAsiaTheme="minorEastAsia" w:hAnsiTheme="minorHAnsi"/>
          <w:noProof/>
          <w:kern w:val="2"/>
          <w:sz w:val="24"/>
          <w:szCs w:val="24"/>
          <w:lang w:eastAsia="en-NZ"/>
          <w14:ligatures w14:val="standardContextual"/>
        </w:rPr>
      </w:pPr>
      <w:hyperlink w:anchor="_Toc207093266" w:history="1">
        <w:r w:rsidRPr="006F5296">
          <w:rPr>
            <w:rStyle w:val="Hyperlink"/>
            <w:rFonts w:eastAsiaTheme="majorEastAsia"/>
            <w:noProof/>
          </w:rPr>
          <w:t>Encouraging reporting of hate crimes</w:t>
        </w:r>
        <w:r>
          <w:rPr>
            <w:noProof/>
            <w:webHidden/>
          </w:rPr>
          <w:tab/>
        </w:r>
        <w:r>
          <w:rPr>
            <w:noProof/>
            <w:webHidden/>
          </w:rPr>
          <w:fldChar w:fldCharType="begin"/>
        </w:r>
        <w:r>
          <w:rPr>
            <w:noProof/>
            <w:webHidden/>
          </w:rPr>
          <w:instrText xml:space="preserve"> PAGEREF _Toc207093266 \h </w:instrText>
        </w:r>
        <w:r>
          <w:rPr>
            <w:noProof/>
            <w:webHidden/>
          </w:rPr>
        </w:r>
        <w:r>
          <w:rPr>
            <w:noProof/>
            <w:webHidden/>
          </w:rPr>
          <w:fldChar w:fldCharType="separate"/>
        </w:r>
        <w:r w:rsidR="00DB176A">
          <w:rPr>
            <w:noProof/>
            <w:webHidden/>
          </w:rPr>
          <w:t>29</w:t>
        </w:r>
        <w:r>
          <w:rPr>
            <w:noProof/>
            <w:webHidden/>
          </w:rPr>
          <w:fldChar w:fldCharType="end"/>
        </w:r>
      </w:hyperlink>
    </w:p>
    <w:p w14:paraId="4E4035E1" w14:textId="0881894A" w:rsidR="007D0490" w:rsidRDefault="007D0490">
      <w:pPr>
        <w:pStyle w:val="TOC2"/>
        <w:rPr>
          <w:rFonts w:asciiTheme="minorHAnsi" w:eastAsiaTheme="minorEastAsia" w:hAnsiTheme="minorHAnsi"/>
          <w:noProof/>
          <w:kern w:val="2"/>
          <w:sz w:val="24"/>
          <w:szCs w:val="24"/>
          <w:lang w:eastAsia="en-NZ"/>
          <w14:ligatures w14:val="standardContextual"/>
        </w:rPr>
      </w:pPr>
      <w:hyperlink w:anchor="_Toc207093267" w:history="1">
        <w:r w:rsidRPr="006F5296">
          <w:rPr>
            <w:rStyle w:val="Hyperlink"/>
            <w:rFonts w:eastAsiaTheme="majorEastAsia"/>
            <w:noProof/>
          </w:rPr>
          <w:t>Ensuring hate motivation is addressed in relevant cases</w:t>
        </w:r>
        <w:r>
          <w:rPr>
            <w:noProof/>
            <w:webHidden/>
          </w:rPr>
          <w:tab/>
        </w:r>
        <w:r>
          <w:rPr>
            <w:noProof/>
            <w:webHidden/>
          </w:rPr>
          <w:fldChar w:fldCharType="begin"/>
        </w:r>
        <w:r>
          <w:rPr>
            <w:noProof/>
            <w:webHidden/>
          </w:rPr>
          <w:instrText xml:space="preserve"> PAGEREF _Toc207093267 \h </w:instrText>
        </w:r>
        <w:r>
          <w:rPr>
            <w:noProof/>
            <w:webHidden/>
          </w:rPr>
        </w:r>
        <w:r>
          <w:rPr>
            <w:noProof/>
            <w:webHidden/>
          </w:rPr>
          <w:fldChar w:fldCharType="separate"/>
        </w:r>
        <w:r w:rsidR="00DB176A">
          <w:rPr>
            <w:noProof/>
            <w:webHidden/>
          </w:rPr>
          <w:t>32</w:t>
        </w:r>
        <w:r>
          <w:rPr>
            <w:noProof/>
            <w:webHidden/>
          </w:rPr>
          <w:fldChar w:fldCharType="end"/>
        </w:r>
      </w:hyperlink>
    </w:p>
    <w:p w14:paraId="105FE829" w14:textId="07B3D470" w:rsidR="007D0490" w:rsidRDefault="007D0490">
      <w:pPr>
        <w:pStyle w:val="TOC2"/>
        <w:rPr>
          <w:rFonts w:asciiTheme="minorHAnsi" w:eastAsiaTheme="minorEastAsia" w:hAnsiTheme="minorHAnsi"/>
          <w:noProof/>
          <w:kern w:val="2"/>
          <w:sz w:val="24"/>
          <w:szCs w:val="24"/>
          <w:lang w:eastAsia="en-NZ"/>
          <w14:ligatures w14:val="standardContextual"/>
        </w:rPr>
      </w:pPr>
      <w:hyperlink w:anchor="_Toc207093268" w:history="1">
        <w:r w:rsidRPr="006F5296">
          <w:rPr>
            <w:rStyle w:val="Hyperlink"/>
            <w:rFonts w:eastAsiaTheme="majorEastAsia"/>
            <w:noProof/>
          </w:rPr>
          <w:t>Collecting information about hate crime</w:t>
        </w:r>
        <w:r>
          <w:rPr>
            <w:noProof/>
            <w:webHidden/>
          </w:rPr>
          <w:tab/>
        </w:r>
        <w:r>
          <w:rPr>
            <w:noProof/>
            <w:webHidden/>
          </w:rPr>
          <w:fldChar w:fldCharType="begin"/>
        </w:r>
        <w:r>
          <w:rPr>
            <w:noProof/>
            <w:webHidden/>
          </w:rPr>
          <w:instrText xml:space="preserve"> PAGEREF _Toc207093268 \h </w:instrText>
        </w:r>
        <w:r>
          <w:rPr>
            <w:noProof/>
            <w:webHidden/>
          </w:rPr>
        </w:r>
        <w:r>
          <w:rPr>
            <w:noProof/>
            <w:webHidden/>
          </w:rPr>
          <w:fldChar w:fldCharType="separate"/>
        </w:r>
        <w:r w:rsidR="00DB176A">
          <w:rPr>
            <w:noProof/>
            <w:webHidden/>
          </w:rPr>
          <w:t>36</w:t>
        </w:r>
        <w:r>
          <w:rPr>
            <w:noProof/>
            <w:webHidden/>
          </w:rPr>
          <w:fldChar w:fldCharType="end"/>
        </w:r>
      </w:hyperlink>
    </w:p>
    <w:p w14:paraId="4A5A2FA8" w14:textId="4586728A" w:rsidR="007D0490" w:rsidRDefault="007D0490">
      <w:pPr>
        <w:pStyle w:val="TOC2"/>
        <w:rPr>
          <w:rFonts w:asciiTheme="minorHAnsi" w:eastAsiaTheme="minorEastAsia" w:hAnsiTheme="minorHAnsi"/>
          <w:noProof/>
          <w:kern w:val="2"/>
          <w:sz w:val="24"/>
          <w:szCs w:val="24"/>
          <w:lang w:eastAsia="en-NZ"/>
          <w14:ligatures w14:val="standardContextual"/>
        </w:rPr>
      </w:pPr>
      <w:hyperlink w:anchor="_Toc207093269" w:history="1">
        <w:r w:rsidRPr="006F5296">
          <w:rPr>
            <w:rStyle w:val="Hyperlink"/>
            <w:rFonts w:eastAsiaTheme="majorEastAsia"/>
            <w:noProof/>
          </w:rPr>
          <w:t>Applying the aggravating factor</w:t>
        </w:r>
        <w:r>
          <w:rPr>
            <w:noProof/>
            <w:webHidden/>
          </w:rPr>
          <w:tab/>
        </w:r>
        <w:r>
          <w:rPr>
            <w:noProof/>
            <w:webHidden/>
          </w:rPr>
          <w:fldChar w:fldCharType="begin"/>
        </w:r>
        <w:r>
          <w:rPr>
            <w:noProof/>
            <w:webHidden/>
          </w:rPr>
          <w:instrText xml:space="preserve"> PAGEREF _Toc207093269 \h </w:instrText>
        </w:r>
        <w:r>
          <w:rPr>
            <w:noProof/>
            <w:webHidden/>
          </w:rPr>
        </w:r>
        <w:r>
          <w:rPr>
            <w:noProof/>
            <w:webHidden/>
          </w:rPr>
          <w:fldChar w:fldCharType="separate"/>
        </w:r>
        <w:r w:rsidR="00DB176A">
          <w:rPr>
            <w:noProof/>
            <w:webHidden/>
          </w:rPr>
          <w:t>38</w:t>
        </w:r>
        <w:r>
          <w:rPr>
            <w:noProof/>
            <w:webHidden/>
          </w:rPr>
          <w:fldChar w:fldCharType="end"/>
        </w:r>
      </w:hyperlink>
    </w:p>
    <w:p w14:paraId="00E313CE" w14:textId="6227A465" w:rsidR="007D0490" w:rsidRDefault="007D0490">
      <w:pPr>
        <w:pStyle w:val="TOC2"/>
        <w:rPr>
          <w:rFonts w:asciiTheme="minorHAnsi" w:eastAsiaTheme="minorEastAsia" w:hAnsiTheme="minorHAnsi"/>
          <w:noProof/>
          <w:kern w:val="2"/>
          <w:sz w:val="24"/>
          <w:szCs w:val="24"/>
          <w:lang w:eastAsia="en-NZ"/>
          <w14:ligatures w14:val="standardContextual"/>
        </w:rPr>
      </w:pPr>
      <w:hyperlink w:anchor="_Toc207093270" w:history="1">
        <w:r w:rsidRPr="006F5296">
          <w:rPr>
            <w:rStyle w:val="Hyperlink"/>
            <w:rFonts w:eastAsiaTheme="majorEastAsia"/>
            <w:noProof/>
          </w:rPr>
          <w:t>Assessing the rehabilitative needs of offenders</w:t>
        </w:r>
        <w:r>
          <w:rPr>
            <w:noProof/>
            <w:webHidden/>
          </w:rPr>
          <w:tab/>
        </w:r>
        <w:r>
          <w:rPr>
            <w:noProof/>
            <w:webHidden/>
          </w:rPr>
          <w:fldChar w:fldCharType="begin"/>
        </w:r>
        <w:r>
          <w:rPr>
            <w:noProof/>
            <w:webHidden/>
          </w:rPr>
          <w:instrText xml:space="preserve"> PAGEREF _Toc207093270 \h </w:instrText>
        </w:r>
        <w:r>
          <w:rPr>
            <w:noProof/>
            <w:webHidden/>
          </w:rPr>
        </w:r>
        <w:r>
          <w:rPr>
            <w:noProof/>
            <w:webHidden/>
          </w:rPr>
          <w:fldChar w:fldCharType="separate"/>
        </w:r>
        <w:r w:rsidR="00DB176A">
          <w:rPr>
            <w:noProof/>
            <w:webHidden/>
          </w:rPr>
          <w:t>42</w:t>
        </w:r>
        <w:r>
          <w:rPr>
            <w:noProof/>
            <w:webHidden/>
          </w:rPr>
          <w:fldChar w:fldCharType="end"/>
        </w:r>
      </w:hyperlink>
    </w:p>
    <w:p w14:paraId="227B7C29" w14:textId="61A58F11" w:rsidR="007D0490" w:rsidRDefault="007D0490">
      <w:pPr>
        <w:pStyle w:val="TOC2"/>
        <w:rPr>
          <w:rFonts w:asciiTheme="minorHAnsi" w:eastAsiaTheme="minorEastAsia" w:hAnsiTheme="minorHAnsi"/>
          <w:noProof/>
          <w:kern w:val="2"/>
          <w:sz w:val="24"/>
          <w:szCs w:val="24"/>
          <w:lang w:eastAsia="en-NZ"/>
          <w14:ligatures w14:val="standardContextual"/>
        </w:rPr>
      </w:pPr>
      <w:hyperlink w:anchor="_Toc207093271" w:history="1">
        <w:r w:rsidRPr="006F5296">
          <w:rPr>
            <w:rStyle w:val="Hyperlink"/>
            <w:rFonts w:eastAsiaTheme="majorEastAsia"/>
            <w:noProof/>
          </w:rPr>
          <w:t>Other concerns raised</w:t>
        </w:r>
        <w:r>
          <w:rPr>
            <w:noProof/>
            <w:webHidden/>
          </w:rPr>
          <w:tab/>
        </w:r>
        <w:r>
          <w:rPr>
            <w:noProof/>
            <w:webHidden/>
          </w:rPr>
          <w:fldChar w:fldCharType="begin"/>
        </w:r>
        <w:r>
          <w:rPr>
            <w:noProof/>
            <w:webHidden/>
          </w:rPr>
          <w:instrText xml:space="preserve"> PAGEREF _Toc207093271 \h </w:instrText>
        </w:r>
        <w:r>
          <w:rPr>
            <w:noProof/>
            <w:webHidden/>
          </w:rPr>
        </w:r>
        <w:r>
          <w:rPr>
            <w:noProof/>
            <w:webHidden/>
          </w:rPr>
          <w:fldChar w:fldCharType="separate"/>
        </w:r>
        <w:r w:rsidR="00DB176A">
          <w:rPr>
            <w:noProof/>
            <w:webHidden/>
          </w:rPr>
          <w:t>43</w:t>
        </w:r>
        <w:r>
          <w:rPr>
            <w:noProof/>
            <w:webHidden/>
          </w:rPr>
          <w:fldChar w:fldCharType="end"/>
        </w:r>
      </w:hyperlink>
    </w:p>
    <w:p w14:paraId="7656FED1" w14:textId="1FB6B442" w:rsidR="007D0490" w:rsidRDefault="007D0490">
      <w:pPr>
        <w:pStyle w:val="TOC2"/>
        <w:rPr>
          <w:rFonts w:asciiTheme="minorHAnsi" w:eastAsiaTheme="minorEastAsia" w:hAnsiTheme="minorHAnsi"/>
          <w:noProof/>
          <w:kern w:val="2"/>
          <w:sz w:val="24"/>
          <w:szCs w:val="24"/>
          <w:lang w:eastAsia="en-NZ"/>
          <w14:ligatures w14:val="standardContextual"/>
        </w:rPr>
      </w:pPr>
      <w:hyperlink w:anchor="_Toc207093272" w:history="1">
        <w:r w:rsidRPr="006F5296">
          <w:rPr>
            <w:rStyle w:val="Hyperlink"/>
            <w:rFonts w:eastAsiaTheme="majorEastAsia"/>
            <w:noProof/>
          </w:rPr>
          <w:t>Other suggestions to improve the sentence aggravation model</w:t>
        </w:r>
        <w:r>
          <w:rPr>
            <w:noProof/>
            <w:webHidden/>
          </w:rPr>
          <w:tab/>
        </w:r>
        <w:r>
          <w:rPr>
            <w:noProof/>
            <w:webHidden/>
          </w:rPr>
          <w:fldChar w:fldCharType="begin"/>
        </w:r>
        <w:r>
          <w:rPr>
            <w:noProof/>
            <w:webHidden/>
          </w:rPr>
          <w:instrText xml:space="preserve"> PAGEREF _Toc207093272 \h </w:instrText>
        </w:r>
        <w:r>
          <w:rPr>
            <w:noProof/>
            <w:webHidden/>
          </w:rPr>
        </w:r>
        <w:r>
          <w:rPr>
            <w:noProof/>
            <w:webHidden/>
          </w:rPr>
          <w:fldChar w:fldCharType="separate"/>
        </w:r>
        <w:r w:rsidR="00DB176A">
          <w:rPr>
            <w:noProof/>
            <w:webHidden/>
          </w:rPr>
          <w:t>44</w:t>
        </w:r>
        <w:r>
          <w:rPr>
            <w:noProof/>
            <w:webHidden/>
          </w:rPr>
          <w:fldChar w:fldCharType="end"/>
        </w:r>
      </w:hyperlink>
    </w:p>
    <w:p w14:paraId="027AA00A" w14:textId="29C99447" w:rsidR="007D0490" w:rsidRDefault="007D0490">
      <w:pPr>
        <w:pStyle w:val="TOC1"/>
        <w:rPr>
          <w:rFonts w:asciiTheme="minorHAnsi" w:eastAsiaTheme="minorEastAsia" w:hAnsiTheme="minorHAnsi"/>
          <w:b w:val="0"/>
          <w:noProof/>
          <w:color w:val="auto"/>
          <w:kern w:val="2"/>
          <w:sz w:val="24"/>
          <w:szCs w:val="24"/>
          <w:lang w:eastAsia="en-NZ"/>
          <w14:ligatures w14:val="standardContextual"/>
        </w:rPr>
      </w:pPr>
      <w:hyperlink w:anchor="_Toc207093273" w:history="1">
        <w:r w:rsidRPr="006F5296">
          <w:rPr>
            <w:rStyle w:val="Hyperlink"/>
            <w:noProof/>
          </w:rPr>
          <w:t>Other legal models to address hate crime</w:t>
        </w:r>
        <w:r>
          <w:rPr>
            <w:noProof/>
            <w:webHidden/>
          </w:rPr>
          <w:tab/>
        </w:r>
        <w:r>
          <w:rPr>
            <w:noProof/>
            <w:webHidden/>
          </w:rPr>
          <w:fldChar w:fldCharType="begin"/>
        </w:r>
        <w:r>
          <w:rPr>
            <w:noProof/>
            <w:webHidden/>
          </w:rPr>
          <w:instrText xml:space="preserve"> PAGEREF _Toc207093273 \h </w:instrText>
        </w:r>
        <w:r>
          <w:rPr>
            <w:noProof/>
            <w:webHidden/>
          </w:rPr>
        </w:r>
        <w:r>
          <w:rPr>
            <w:noProof/>
            <w:webHidden/>
          </w:rPr>
          <w:fldChar w:fldCharType="separate"/>
        </w:r>
        <w:r w:rsidR="00DB176A">
          <w:rPr>
            <w:noProof/>
            <w:webHidden/>
          </w:rPr>
          <w:t>46</w:t>
        </w:r>
        <w:r>
          <w:rPr>
            <w:noProof/>
            <w:webHidden/>
          </w:rPr>
          <w:fldChar w:fldCharType="end"/>
        </w:r>
      </w:hyperlink>
    </w:p>
    <w:p w14:paraId="355A3E21" w14:textId="36053841" w:rsidR="007D0490" w:rsidRDefault="007D0490">
      <w:pPr>
        <w:pStyle w:val="TOC2"/>
        <w:rPr>
          <w:rFonts w:asciiTheme="minorHAnsi" w:eastAsiaTheme="minorEastAsia" w:hAnsiTheme="minorHAnsi"/>
          <w:noProof/>
          <w:kern w:val="2"/>
          <w:sz w:val="24"/>
          <w:szCs w:val="24"/>
          <w:lang w:eastAsia="en-NZ"/>
          <w14:ligatures w14:val="standardContextual"/>
        </w:rPr>
      </w:pPr>
      <w:hyperlink w:anchor="_Toc207093274" w:history="1">
        <w:r w:rsidRPr="006F5296">
          <w:rPr>
            <w:rStyle w:val="Hyperlink"/>
            <w:noProof/>
          </w:rPr>
          <w:t>Overview</w:t>
        </w:r>
        <w:r>
          <w:rPr>
            <w:noProof/>
            <w:webHidden/>
          </w:rPr>
          <w:tab/>
        </w:r>
        <w:r>
          <w:rPr>
            <w:noProof/>
            <w:webHidden/>
          </w:rPr>
          <w:fldChar w:fldCharType="begin"/>
        </w:r>
        <w:r>
          <w:rPr>
            <w:noProof/>
            <w:webHidden/>
          </w:rPr>
          <w:instrText xml:space="preserve"> PAGEREF _Toc207093274 \h </w:instrText>
        </w:r>
        <w:r>
          <w:rPr>
            <w:noProof/>
            <w:webHidden/>
          </w:rPr>
        </w:r>
        <w:r>
          <w:rPr>
            <w:noProof/>
            <w:webHidden/>
          </w:rPr>
          <w:fldChar w:fldCharType="separate"/>
        </w:r>
        <w:r w:rsidR="00DB176A">
          <w:rPr>
            <w:noProof/>
            <w:webHidden/>
          </w:rPr>
          <w:t>46</w:t>
        </w:r>
        <w:r>
          <w:rPr>
            <w:noProof/>
            <w:webHidden/>
          </w:rPr>
          <w:fldChar w:fldCharType="end"/>
        </w:r>
      </w:hyperlink>
    </w:p>
    <w:p w14:paraId="620E4F0E" w14:textId="52E32A2C" w:rsidR="007D0490" w:rsidRDefault="007D0490">
      <w:pPr>
        <w:pStyle w:val="TOC2"/>
        <w:rPr>
          <w:rFonts w:asciiTheme="minorHAnsi" w:eastAsiaTheme="minorEastAsia" w:hAnsiTheme="minorHAnsi"/>
          <w:noProof/>
          <w:kern w:val="2"/>
          <w:sz w:val="24"/>
          <w:szCs w:val="24"/>
          <w:lang w:eastAsia="en-NZ"/>
          <w14:ligatures w14:val="standardContextual"/>
        </w:rPr>
      </w:pPr>
      <w:hyperlink w:anchor="_Toc207093275" w:history="1">
        <w:r w:rsidRPr="006F5296">
          <w:rPr>
            <w:rStyle w:val="Hyperlink"/>
            <w:noProof/>
          </w:rPr>
          <w:t>Adopting a different model</w:t>
        </w:r>
        <w:r>
          <w:rPr>
            <w:noProof/>
            <w:webHidden/>
          </w:rPr>
          <w:tab/>
        </w:r>
        <w:r>
          <w:rPr>
            <w:noProof/>
            <w:webHidden/>
          </w:rPr>
          <w:fldChar w:fldCharType="begin"/>
        </w:r>
        <w:r>
          <w:rPr>
            <w:noProof/>
            <w:webHidden/>
          </w:rPr>
          <w:instrText xml:space="preserve"> PAGEREF _Toc207093275 \h </w:instrText>
        </w:r>
        <w:r>
          <w:rPr>
            <w:noProof/>
            <w:webHidden/>
          </w:rPr>
        </w:r>
        <w:r>
          <w:rPr>
            <w:noProof/>
            <w:webHidden/>
          </w:rPr>
          <w:fldChar w:fldCharType="separate"/>
        </w:r>
        <w:r w:rsidR="00DB176A">
          <w:rPr>
            <w:noProof/>
            <w:webHidden/>
          </w:rPr>
          <w:t>46</w:t>
        </w:r>
        <w:r>
          <w:rPr>
            <w:noProof/>
            <w:webHidden/>
          </w:rPr>
          <w:fldChar w:fldCharType="end"/>
        </w:r>
      </w:hyperlink>
    </w:p>
    <w:p w14:paraId="59FBBF79" w14:textId="554FF21D" w:rsidR="007D0490" w:rsidRDefault="007D0490">
      <w:pPr>
        <w:pStyle w:val="TOC2"/>
        <w:rPr>
          <w:rFonts w:asciiTheme="minorHAnsi" w:eastAsiaTheme="minorEastAsia" w:hAnsiTheme="minorHAnsi"/>
          <w:noProof/>
          <w:kern w:val="2"/>
          <w:sz w:val="24"/>
          <w:szCs w:val="24"/>
          <w:lang w:eastAsia="en-NZ"/>
          <w14:ligatures w14:val="standardContextual"/>
        </w:rPr>
      </w:pPr>
      <w:hyperlink w:anchor="_Toc207093276" w:history="1">
        <w:r w:rsidRPr="006F5296">
          <w:rPr>
            <w:rStyle w:val="Hyperlink"/>
            <w:noProof/>
          </w:rPr>
          <w:t>Base offences covered by the specific offence model</w:t>
        </w:r>
        <w:r>
          <w:rPr>
            <w:noProof/>
            <w:webHidden/>
          </w:rPr>
          <w:tab/>
        </w:r>
        <w:r>
          <w:rPr>
            <w:noProof/>
            <w:webHidden/>
          </w:rPr>
          <w:fldChar w:fldCharType="begin"/>
        </w:r>
        <w:r>
          <w:rPr>
            <w:noProof/>
            <w:webHidden/>
          </w:rPr>
          <w:instrText xml:space="preserve"> PAGEREF _Toc207093276 \h </w:instrText>
        </w:r>
        <w:r>
          <w:rPr>
            <w:noProof/>
            <w:webHidden/>
          </w:rPr>
        </w:r>
        <w:r>
          <w:rPr>
            <w:noProof/>
            <w:webHidden/>
          </w:rPr>
          <w:fldChar w:fldCharType="separate"/>
        </w:r>
        <w:r w:rsidR="00DB176A">
          <w:rPr>
            <w:noProof/>
            <w:webHidden/>
          </w:rPr>
          <w:t>51</w:t>
        </w:r>
        <w:r>
          <w:rPr>
            <w:noProof/>
            <w:webHidden/>
          </w:rPr>
          <w:fldChar w:fldCharType="end"/>
        </w:r>
      </w:hyperlink>
    </w:p>
    <w:p w14:paraId="29ED7AAC" w14:textId="253A2550" w:rsidR="007D0490" w:rsidRDefault="007D0490">
      <w:pPr>
        <w:pStyle w:val="TOC2"/>
        <w:rPr>
          <w:rFonts w:asciiTheme="minorHAnsi" w:eastAsiaTheme="minorEastAsia" w:hAnsiTheme="minorHAnsi"/>
          <w:noProof/>
          <w:kern w:val="2"/>
          <w:sz w:val="24"/>
          <w:szCs w:val="24"/>
          <w:lang w:eastAsia="en-NZ"/>
          <w14:ligatures w14:val="standardContextual"/>
        </w:rPr>
      </w:pPr>
      <w:hyperlink w:anchor="_Toc207093277" w:history="1">
        <w:r w:rsidRPr="006F5296">
          <w:rPr>
            <w:rStyle w:val="Hyperlink"/>
            <w:noProof/>
          </w:rPr>
          <w:t>Keeping the sentence aggravation model if a different model is adopted</w:t>
        </w:r>
        <w:r>
          <w:rPr>
            <w:noProof/>
            <w:webHidden/>
          </w:rPr>
          <w:tab/>
        </w:r>
        <w:r>
          <w:rPr>
            <w:noProof/>
            <w:webHidden/>
          </w:rPr>
          <w:fldChar w:fldCharType="begin"/>
        </w:r>
        <w:r>
          <w:rPr>
            <w:noProof/>
            <w:webHidden/>
          </w:rPr>
          <w:instrText xml:space="preserve"> PAGEREF _Toc207093277 \h </w:instrText>
        </w:r>
        <w:r>
          <w:rPr>
            <w:noProof/>
            <w:webHidden/>
          </w:rPr>
        </w:r>
        <w:r>
          <w:rPr>
            <w:noProof/>
            <w:webHidden/>
          </w:rPr>
          <w:fldChar w:fldCharType="separate"/>
        </w:r>
        <w:r w:rsidR="00DB176A">
          <w:rPr>
            <w:noProof/>
            <w:webHidden/>
          </w:rPr>
          <w:t>53</w:t>
        </w:r>
        <w:r>
          <w:rPr>
            <w:noProof/>
            <w:webHidden/>
          </w:rPr>
          <w:fldChar w:fldCharType="end"/>
        </w:r>
      </w:hyperlink>
    </w:p>
    <w:p w14:paraId="1687D9AD" w14:textId="435F3EA7" w:rsidR="007D0490" w:rsidRDefault="007D0490">
      <w:pPr>
        <w:pStyle w:val="TOC1"/>
        <w:rPr>
          <w:rFonts w:asciiTheme="minorHAnsi" w:eastAsiaTheme="minorEastAsia" w:hAnsiTheme="minorHAnsi"/>
          <w:b w:val="0"/>
          <w:noProof/>
          <w:color w:val="auto"/>
          <w:kern w:val="2"/>
          <w:sz w:val="24"/>
          <w:szCs w:val="24"/>
          <w:lang w:eastAsia="en-NZ"/>
          <w14:ligatures w14:val="standardContextual"/>
        </w:rPr>
      </w:pPr>
      <w:hyperlink w:anchor="_Toc207093278" w:history="1">
        <w:r w:rsidRPr="006F5296">
          <w:rPr>
            <w:rStyle w:val="Hyperlink"/>
            <w:noProof/>
          </w:rPr>
          <w:t>Appendix 1: List of submitters</w:t>
        </w:r>
        <w:r>
          <w:rPr>
            <w:noProof/>
            <w:webHidden/>
          </w:rPr>
          <w:tab/>
        </w:r>
        <w:r>
          <w:rPr>
            <w:noProof/>
            <w:webHidden/>
          </w:rPr>
          <w:fldChar w:fldCharType="begin"/>
        </w:r>
        <w:r>
          <w:rPr>
            <w:noProof/>
            <w:webHidden/>
          </w:rPr>
          <w:instrText xml:space="preserve"> PAGEREF _Toc207093278 \h </w:instrText>
        </w:r>
        <w:r>
          <w:rPr>
            <w:noProof/>
            <w:webHidden/>
          </w:rPr>
        </w:r>
        <w:r>
          <w:rPr>
            <w:noProof/>
            <w:webHidden/>
          </w:rPr>
          <w:fldChar w:fldCharType="separate"/>
        </w:r>
        <w:r w:rsidR="00DB176A">
          <w:rPr>
            <w:noProof/>
            <w:webHidden/>
          </w:rPr>
          <w:t>55</w:t>
        </w:r>
        <w:r>
          <w:rPr>
            <w:noProof/>
            <w:webHidden/>
          </w:rPr>
          <w:fldChar w:fldCharType="end"/>
        </w:r>
      </w:hyperlink>
    </w:p>
    <w:p w14:paraId="5D7BBC82" w14:textId="51A8576B" w:rsidR="007D0490" w:rsidRDefault="007D0490">
      <w:pPr>
        <w:pStyle w:val="TOC1"/>
        <w:rPr>
          <w:rFonts w:asciiTheme="minorHAnsi" w:eastAsiaTheme="minorEastAsia" w:hAnsiTheme="minorHAnsi"/>
          <w:b w:val="0"/>
          <w:noProof/>
          <w:color w:val="auto"/>
          <w:kern w:val="2"/>
          <w:sz w:val="24"/>
          <w:szCs w:val="24"/>
          <w:lang w:eastAsia="en-NZ"/>
          <w14:ligatures w14:val="standardContextual"/>
        </w:rPr>
      </w:pPr>
      <w:hyperlink w:anchor="_Toc207093281" w:history="1">
        <w:r w:rsidRPr="006F5296">
          <w:rPr>
            <w:rStyle w:val="Hyperlink"/>
            <w:noProof/>
          </w:rPr>
          <w:t xml:space="preserve">Appendix 2: Other feedback collated by the Free Speech Union </w:t>
        </w:r>
        <w:r>
          <w:rPr>
            <w:noProof/>
            <w:webHidden/>
          </w:rPr>
          <w:tab/>
        </w:r>
        <w:r>
          <w:rPr>
            <w:noProof/>
            <w:webHidden/>
          </w:rPr>
          <w:fldChar w:fldCharType="begin"/>
        </w:r>
        <w:r>
          <w:rPr>
            <w:noProof/>
            <w:webHidden/>
          </w:rPr>
          <w:instrText xml:space="preserve"> PAGEREF _Toc207093281 \h </w:instrText>
        </w:r>
        <w:r>
          <w:rPr>
            <w:noProof/>
            <w:webHidden/>
          </w:rPr>
        </w:r>
        <w:r>
          <w:rPr>
            <w:noProof/>
            <w:webHidden/>
          </w:rPr>
          <w:fldChar w:fldCharType="separate"/>
        </w:r>
        <w:r w:rsidR="00DB176A">
          <w:rPr>
            <w:noProof/>
            <w:webHidden/>
          </w:rPr>
          <w:t>57</w:t>
        </w:r>
        <w:r>
          <w:rPr>
            <w:noProof/>
            <w:webHidden/>
          </w:rPr>
          <w:fldChar w:fldCharType="end"/>
        </w:r>
      </w:hyperlink>
    </w:p>
    <w:p w14:paraId="2F6D8A04" w14:textId="2F712F9C" w:rsidR="002B5528" w:rsidRPr="002B5528" w:rsidRDefault="002B5528" w:rsidP="002B5528">
      <w:pPr>
        <w:rPr>
          <w:rFonts w:eastAsia="Calibri" w:cs="Cordia New"/>
          <w:lang w:eastAsia="en-NZ"/>
        </w:rPr>
        <w:sectPr w:rsidR="002B5528" w:rsidRPr="002B5528" w:rsidSect="002B5528">
          <w:headerReference w:type="even" r:id="rId17"/>
          <w:headerReference w:type="default" r:id="rId18"/>
          <w:footerReference w:type="even" r:id="rId19"/>
          <w:footerReference w:type="default" r:id="rId20"/>
          <w:footnotePr>
            <w:numRestart w:val="eachSect"/>
          </w:footnotePr>
          <w:type w:val="nextColumn"/>
          <w:pgSz w:w="11907" w:h="16840" w:code="9"/>
          <w:pgMar w:top="1134" w:right="1134" w:bottom="1134" w:left="1701" w:header="499" w:footer="0" w:gutter="0"/>
          <w:pgNumType w:start="1"/>
          <w:cols w:space="720"/>
        </w:sectPr>
      </w:pPr>
      <w:r w:rsidRPr="002B5528">
        <w:rPr>
          <w:rFonts w:eastAsia="Calibri" w:cs="Cordia New"/>
          <w:lang w:eastAsia="en-NZ"/>
        </w:rPr>
        <w:fldChar w:fldCharType="end"/>
      </w:r>
    </w:p>
    <w:p w14:paraId="2D0F18B6" w14:textId="64AD7D3A" w:rsidR="00EE7069" w:rsidRPr="00530D57" w:rsidRDefault="0006289E" w:rsidP="00E42365">
      <w:pPr>
        <w:pStyle w:val="Heading1nonum"/>
        <w:spacing w:before="480"/>
      </w:pPr>
      <w:bookmarkStart w:id="22" w:name="_Toc207093248"/>
      <w:r w:rsidRPr="00530D57">
        <w:lastRenderedPageBreak/>
        <w:t>Overview</w:t>
      </w:r>
      <w:bookmarkEnd w:id="22"/>
    </w:p>
    <w:p w14:paraId="644E09B3" w14:textId="4DB79F20" w:rsidR="00D1550B" w:rsidRDefault="00D1550B" w:rsidP="00D1550B">
      <w:pPr>
        <w:pStyle w:val="Numberedpara"/>
        <w:numPr>
          <w:ilvl w:val="0"/>
          <w:numId w:val="0"/>
        </w:numPr>
        <w:ind w:left="567"/>
      </w:pPr>
      <w:r w:rsidRPr="00530D57">
        <w:rPr>
          <w:rFonts w:asciiTheme="minorHAnsi" w:hAnsiTheme="minorHAnsi"/>
          <w:noProof/>
          <w:lang w:eastAsia="en-NZ"/>
        </w:rPr>
        <mc:AlternateContent>
          <mc:Choice Requires="wpg">
            <w:drawing>
              <wp:anchor distT="0" distB="0" distL="114300" distR="114300" simplePos="0" relativeHeight="251658240" behindDoc="1" locked="0" layoutInCell="1" allowOverlap="1" wp14:anchorId="5899609B" wp14:editId="69800DCA">
                <wp:simplePos x="0" y="0"/>
                <wp:positionH relativeFrom="page">
                  <wp:posOffset>1087120</wp:posOffset>
                </wp:positionH>
                <wp:positionV relativeFrom="paragraph">
                  <wp:posOffset>44976</wp:posOffset>
                </wp:positionV>
                <wp:extent cx="1332230" cy="1270"/>
                <wp:effectExtent l="0" t="19050" r="20320" b="1778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417" y="535"/>
                          <a:chExt cx="2098" cy="2"/>
                        </a:xfrm>
                      </wpg:grpSpPr>
                      <wps:wsp>
                        <wps:cNvPr id="5" name="Freeform 3"/>
                        <wps:cNvSpPr>
                          <a:spLocks/>
                        </wps:cNvSpPr>
                        <wps:spPr bwMode="auto">
                          <a:xfrm>
                            <a:off x="1417" y="535"/>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73AB6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1B9CA2" id="Group 4" o:spid="_x0000_s1026" style="position:absolute;margin-left:85.6pt;margin-top:3.55pt;width:104.9pt;height:.1pt;z-index:-251658240;mso-position-horizontal-relative:page" coordorigin="1417,535"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">
                <v:shape id="Freeform 3" o:spid="_x0000_s1027" style="position:absolute;left:1417;top:535;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" path="m,l2098,e" filled="f" strokecolor="#73ab6e" strokeweight="3pt">
                  <v:path arrowok="t" o:connecttype="custom" o:connectlocs="0,0;2098,0" o:connectangles="0,0"/>
                </v:shape>
                <w10:wrap anchorx="page"/>
              </v:group>
            </w:pict>
          </mc:Fallback>
        </mc:AlternateContent>
      </w:r>
    </w:p>
    <w:p w14:paraId="718DDD5E" w14:textId="77777777" w:rsidR="00D1550B" w:rsidRDefault="00D1550B" w:rsidP="00D1550B">
      <w:pPr>
        <w:pStyle w:val="Numberedpara"/>
        <w:numPr>
          <w:ilvl w:val="0"/>
          <w:numId w:val="0"/>
        </w:numPr>
        <w:ind w:left="567"/>
      </w:pPr>
    </w:p>
    <w:p w14:paraId="3B368FD8" w14:textId="20D6F551" w:rsidR="00390230" w:rsidRPr="00530D57" w:rsidRDefault="00F832F8" w:rsidP="003470CF">
      <w:pPr>
        <w:pStyle w:val="Numberedpara"/>
      </w:pPr>
      <w:r w:rsidRPr="00530D57">
        <w:t xml:space="preserve">The Minister of Justice has asked </w:t>
      </w:r>
      <w:r w:rsidR="00390230" w:rsidRPr="00530D57">
        <w:t>Te Aka Matua o te Ture | Law Commission</w:t>
      </w:r>
      <w:r w:rsidR="00F45CAD" w:rsidRPr="00530D57">
        <w:t xml:space="preserve"> to</w:t>
      </w:r>
      <w:r w:rsidR="00390230" w:rsidRPr="00530D57">
        <w:t xml:space="preserve"> review the law relating to hate crime</w:t>
      </w:r>
      <w:r w:rsidR="00F45CAD" w:rsidRPr="00530D57">
        <w:t xml:space="preserve">. </w:t>
      </w:r>
      <w:r w:rsidR="00EE71F5" w:rsidRPr="00530D57">
        <w:t>This</w:t>
      </w:r>
      <w:r w:rsidR="0018498A" w:rsidRPr="00530D57">
        <w:t xml:space="preserve"> referral</w:t>
      </w:r>
      <w:r w:rsidR="00EE71F5" w:rsidRPr="00530D57">
        <w:t xml:space="preserve"> follow</w:t>
      </w:r>
      <w:r w:rsidR="00525585" w:rsidRPr="00530D57">
        <w:t>s</w:t>
      </w:r>
      <w:r w:rsidR="00EE71F5" w:rsidRPr="00530D57">
        <w:t xml:space="preserve"> a recommendation by the Royal Commission of Inquiry into the terrorist attack on Christchurch masjidain (Muslim places of worship) </w:t>
      </w:r>
      <w:r w:rsidR="00AD0E34" w:rsidRPr="00530D57">
        <w:t>on 15 March 2019</w:t>
      </w:r>
      <w:r w:rsidR="00390230" w:rsidRPr="00530D57" w:rsidDel="00294244">
        <w:t xml:space="preserve"> to create </w:t>
      </w:r>
      <w:r w:rsidR="00390230" w:rsidRPr="00530D57">
        <w:t xml:space="preserve">new hate crime offences. </w:t>
      </w:r>
    </w:p>
    <w:p w14:paraId="10DE783D" w14:textId="278B00D1" w:rsidR="00390230" w:rsidRPr="00530D57" w:rsidRDefault="002F6744" w:rsidP="00101C64">
      <w:pPr>
        <w:pStyle w:val="Numberedpara"/>
      </w:pPr>
      <w:r w:rsidRPr="00530D57">
        <w:t xml:space="preserve">Under </w:t>
      </w:r>
      <w:r w:rsidR="009642DD" w:rsidRPr="00530D57">
        <w:t xml:space="preserve">the </w:t>
      </w:r>
      <w:r w:rsidRPr="00530D57">
        <w:t xml:space="preserve">current law in </w:t>
      </w:r>
      <w:r w:rsidR="00390230" w:rsidRPr="00530D57">
        <w:t>Aotearoa New Zealand</w:t>
      </w:r>
      <w:r w:rsidR="009642DD" w:rsidRPr="00530D57">
        <w:t>,</w:t>
      </w:r>
      <w:r w:rsidR="00390230" w:rsidRPr="00530D57">
        <w:t xml:space="preserve"> </w:t>
      </w:r>
      <w:r w:rsidR="00702F55" w:rsidRPr="00530D57">
        <w:t xml:space="preserve">an offender’s hate motivation </w:t>
      </w:r>
      <w:r w:rsidR="0018007A" w:rsidRPr="00530D57">
        <w:t>must</w:t>
      </w:r>
      <w:r w:rsidR="00702F55" w:rsidRPr="00530D57">
        <w:t xml:space="preserve"> be taken into account at sentencing</w:t>
      </w:r>
      <w:r w:rsidR="00390230" w:rsidRPr="00530D57">
        <w:t xml:space="preserve">. </w:t>
      </w:r>
      <w:r w:rsidR="009B2696" w:rsidRPr="00530D57">
        <w:t xml:space="preserve">We are looking at whether the law should be changed </w:t>
      </w:r>
      <w:r w:rsidR="00705659" w:rsidRPr="00530D57">
        <w:t>(</w:t>
      </w:r>
      <w:r w:rsidR="009B2696" w:rsidRPr="00530D57">
        <w:t>for example, to create new hate crime offences</w:t>
      </w:r>
      <w:r w:rsidR="00705659" w:rsidRPr="00530D57">
        <w:t>)</w:t>
      </w:r>
      <w:r w:rsidR="009B2696" w:rsidRPr="00530D57">
        <w:t>.</w:t>
      </w:r>
      <w:r w:rsidR="00567320" w:rsidRPr="00530D57">
        <w:t xml:space="preserve"> The </w:t>
      </w:r>
      <w:hyperlink r:id="rId21" w:history="1">
        <w:r w:rsidR="00567320" w:rsidRPr="00530D57">
          <w:rPr>
            <w:rStyle w:val="Hyperlink"/>
          </w:rPr>
          <w:t xml:space="preserve">Terms of </w:t>
        </w:r>
        <w:r w:rsidR="00DD2615" w:rsidRPr="00530D57">
          <w:rPr>
            <w:rStyle w:val="Hyperlink"/>
          </w:rPr>
          <w:t>R</w:t>
        </w:r>
        <w:r w:rsidR="00567320" w:rsidRPr="00530D57">
          <w:rPr>
            <w:rStyle w:val="Hyperlink"/>
          </w:rPr>
          <w:t>eference</w:t>
        </w:r>
      </w:hyperlink>
      <w:r w:rsidR="00567320" w:rsidRPr="00530D57">
        <w:t xml:space="preserve"> for </w:t>
      </w:r>
      <w:r w:rsidR="00C2126B" w:rsidRPr="00530D57">
        <w:t>the</w:t>
      </w:r>
      <w:r w:rsidR="00567320" w:rsidRPr="00530D57">
        <w:t xml:space="preserve"> review are available on our website.</w:t>
      </w:r>
    </w:p>
    <w:p w14:paraId="70B7575A" w14:textId="3FBE5F83" w:rsidR="00654150" w:rsidRPr="00530D57" w:rsidRDefault="00B65503" w:rsidP="00732B16">
      <w:pPr>
        <w:pStyle w:val="Numberedpara"/>
      </w:pPr>
      <w:r w:rsidRPr="00530D57">
        <w:t xml:space="preserve">On 4 February 2025 we published a </w:t>
      </w:r>
      <w:hyperlink r:id="rId22" w:history="1">
        <w:r w:rsidRPr="00530D57">
          <w:rPr>
            <w:rStyle w:val="Hyperlink"/>
          </w:rPr>
          <w:t>Consultation Paper</w:t>
        </w:r>
      </w:hyperlink>
      <w:r w:rsidRPr="00530D57">
        <w:t xml:space="preserve"> seeking submissions about the law on hate crime. </w:t>
      </w:r>
      <w:r w:rsidR="00E03F7F" w:rsidRPr="00530D57">
        <w:t xml:space="preserve">We also published a summary of </w:t>
      </w:r>
      <w:r w:rsidR="0050356D" w:rsidRPr="00530D57">
        <w:t xml:space="preserve">our </w:t>
      </w:r>
      <w:r w:rsidR="00E03F7F" w:rsidRPr="00530D57">
        <w:t xml:space="preserve">Consultation Paper </w:t>
      </w:r>
      <w:r w:rsidR="004404FD" w:rsidRPr="00530D57">
        <w:t xml:space="preserve">in a range of languages and accessible formats </w:t>
      </w:r>
      <w:r w:rsidR="00F73C47" w:rsidRPr="00530D57">
        <w:t xml:space="preserve">and provided an online submission form that submitters could use. </w:t>
      </w:r>
      <w:r w:rsidRPr="00530D57">
        <w:t>Submissions were open for a six-week period, closing on 13 March 2025.</w:t>
      </w:r>
      <w:r w:rsidR="00347A6F" w:rsidRPr="00530D57">
        <w:t xml:space="preserve"> </w:t>
      </w:r>
    </w:p>
    <w:p w14:paraId="5E028788" w14:textId="647B0EFA" w:rsidR="00390230" w:rsidRPr="00530D57" w:rsidRDefault="00F54B26" w:rsidP="00732B16">
      <w:pPr>
        <w:pStyle w:val="Numberedpara"/>
      </w:pPr>
      <w:r w:rsidRPr="00530D57">
        <w:t>This document summarises the submissions we received.</w:t>
      </w:r>
      <w:r w:rsidR="001C4653" w:rsidRPr="00530D57">
        <w:t xml:space="preserve"> </w:t>
      </w:r>
      <w:r w:rsidR="00654150" w:rsidRPr="00530D57">
        <w:t xml:space="preserve">We </w:t>
      </w:r>
      <w:r w:rsidR="009D05EC" w:rsidRPr="00530D57">
        <w:t xml:space="preserve">have included the main points from submissions </w:t>
      </w:r>
      <w:r w:rsidR="00852B66" w:rsidRPr="00530D57">
        <w:t>(where these are sufficiently clear)</w:t>
      </w:r>
      <w:r w:rsidR="002E5178" w:rsidRPr="00530D57">
        <w:t>. We have</w:t>
      </w:r>
      <w:r w:rsidR="00852B66" w:rsidRPr="00530D57">
        <w:t xml:space="preserve"> </w:t>
      </w:r>
      <w:r w:rsidR="009D05EC" w:rsidRPr="00530D57">
        <w:t xml:space="preserve">excluded information </w:t>
      </w:r>
      <w:r w:rsidR="002E5178" w:rsidRPr="00530D57">
        <w:t xml:space="preserve">from this summary </w:t>
      </w:r>
      <w:r w:rsidR="009D05EC" w:rsidRPr="00530D57">
        <w:t>if a submitter</w:t>
      </w:r>
      <w:r w:rsidR="00E058CF" w:rsidRPr="00530D57">
        <w:t xml:space="preserve"> requested we do not publish </w:t>
      </w:r>
      <w:r w:rsidR="00010306" w:rsidRPr="00530D57">
        <w:t>it</w:t>
      </w:r>
      <w:r w:rsidR="009D05EC" w:rsidRPr="00530D57">
        <w:t>.</w:t>
      </w:r>
      <w:r w:rsidR="003378B8" w:rsidRPr="00530D57">
        <w:t xml:space="preserve"> </w:t>
      </w:r>
    </w:p>
    <w:p w14:paraId="492CCEE2" w14:textId="2E8A4FDE" w:rsidR="00A61E36" w:rsidRPr="00530D57" w:rsidRDefault="00A61E36" w:rsidP="00101C64">
      <w:pPr>
        <w:pStyle w:val="Heading2"/>
      </w:pPr>
      <w:bookmarkStart w:id="23" w:name="_Toc207093249"/>
      <w:r w:rsidRPr="00530D57">
        <w:t xml:space="preserve">What we </w:t>
      </w:r>
      <w:r w:rsidR="00136871" w:rsidRPr="00530D57">
        <w:t>asked submitters</w:t>
      </w:r>
      <w:bookmarkEnd w:id="23"/>
    </w:p>
    <w:p w14:paraId="6148C427" w14:textId="5F9B41FB" w:rsidR="005612EE" w:rsidRPr="00530D57" w:rsidRDefault="0060241E" w:rsidP="002F5E4F">
      <w:pPr>
        <w:pStyle w:val="Numberedpara"/>
      </w:pPr>
      <w:r w:rsidRPr="00530D57">
        <w:t>Our</w:t>
      </w:r>
      <w:r w:rsidR="005612EE" w:rsidRPr="00530D57">
        <w:t xml:space="preserve"> Consultation Paper </w:t>
      </w:r>
      <w:r w:rsidR="005A4832" w:rsidRPr="00530D57">
        <w:t xml:space="preserve">discussed a range of issues and </w:t>
      </w:r>
      <w:r w:rsidR="005612EE" w:rsidRPr="00530D57">
        <w:t>asked nine questions</w:t>
      </w:r>
      <w:r w:rsidR="00D27717" w:rsidRPr="00530D57">
        <w:t>, as follows:</w:t>
      </w:r>
      <w:r w:rsidR="008142F2" w:rsidRPr="00530D57">
        <w:t xml:space="preserve"> </w:t>
      </w:r>
    </w:p>
    <w:p w14:paraId="75357E4B" w14:textId="203AE7CD" w:rsidR="009B2A96" w:rsidRPr="00530D57" w:rsidRDefault="00AD6DC5" w:rsidP="00FF547E">
      <w:pPr>
        <w:pStyle w:val="Heading3"/>
      </w:pPr>
      <w:r w:rsidRPr="00530D57">
        <w:t>H</w:t>
      </w:r>
      <w:r w:rsidR="00194511" w:rsidRPr="00530D57">
        <w:t>ate crime and its impact</w:t>
      </w:r>
      <w:r w:rsidR="00686C22" w:rsidRPr="00530D57">
        <w:t>s</w:t>
      </w:r>
    </w:p>
    <w:p w14:paraId="2429D457" w14:textId="0F56AF58" w:rsidR="00686C22" w:rsidRPr="00530D57" w:rsidRDefault="003B5B91" w:rsidP="002F5E4F">
      <w:pPr>
        <w:pStyle w:val="Numberedpara"/>
      </w:pPr>
      <w:r w:rsidRPr="002B5528">
        <w:rPr>
          <w:rFonts w:eastAsia="Metropolis Light"/>
          <w:noProof/>
          <w:lang w:eastAsia="en-AU"/>
        </w:rPr>
        <mc:AlternateContent>
          <mc:Choice Requires="wpg">
            <w:drawing>
              <wp:anchor distT="0" distB="0" distL="114300" distR="114300" simplePos="0" relativeHeight="251658245" behindDoc="1" locked="0" layoutInCell="1" allowOverlap="1" wp14:anchorId="736E8079" wp14:editId="4A0AE5C4">
                <wp:simplePos x="0" y="0"/>
                <wp:positionH relativeFrom="column">
                  <wp:posOffset>2515</wp:posOffset>
                </wp:positionH>
                <wp:positionV relativeFrom="paragraph">
                  <wp:posOffset>427430</wp:posOffset>
                </wp:positionV>
                <wp:extent cx="5760085" cy="651053"/>
                <wp:effectExtent l="0" t="0" r="12065" b="15875"/>
                <wp:wrapNone/>
                <wp:docPr id="2340997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651053"/>
                          <a:chOff x="1837" y="1791"/>
                          <a:chExt cx="9302" cy="20164"/>
                        </a:xfrm>
                      </wpg:grpSpPr>
                      <wps:wsp>
                        <wps:cNvPr id="1098884419" name="Freeform 54"/>
                        <wps:cNvSpPr>
                          <a:spLocks/>
                        </wps:cNvSpPr>
                        <wps:spPr bwMode="auto">
                          <a:xfrm>
                            <a:off x="1837" y="1791"/>
                            <a:ext cx="9302" cy="20164"/>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w="9525">
                            <a:solidFill>
                              <a:srgbClr val="9BBB59">
                                <a:lumMod val="75000"/>
                              </a:srgbClr>
                            </a:solidFill>
                            <a:round/>
                            <a:headEnd/>
                            <a:tailEnd/>
                          </a:ln>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465A4275" id="Group 53" o:spid="_x0000_s1026" style="position:absolute;margin-left:.2pt;margin-top:33.65pt;width:453.55pt;height:51.25pt;z-index:-251658235;mso-height-relative:margin" coordorigin="1837,1791" coordsize="9302,20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">
                <v:shape id="Freeform 54" o:spid="_x0000_s1027" style="position:absolute;left:1837;top:1791;width:9302;height:20164;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" path="m,l9354,r,7809l,7809,,e" fillcolor="#edf2ea" strokecolor="#77933c">
                  <v:path arrowok="t" o:connecttype="custom" o:connectlocs="0,2582;9302,2582;9302,22746;0,22746;0,2582" o:connectangles="0,0,0,0,0"/>
                </v:shape>
              </v:group>
            </w:pict>
          </mc:Fallback>
        </mc:AlternateContent>
      </w:r>
      <w:r w:rsidR="00686C22" w:rsidRPr="00530D57">
        <w:t>Chapter 2</w:t>
      </w:r>
      <w:r w:rsidR="000B1922" w:rsidRPr="00530D57">
        <w:t xml:space="preserve"> </w:t>
      </w:r>
      <w:r w:rsidR="00686C22" w:rsidRPr="00530D57">
        <w:t xml:space="preserve">provided an overview of </w:t>
      </w:r>
      <w:r w:rsidR="00A920B6" w:rsidRPr="00530D57">
        <w:t xml:space="preserve">what </w:t>
      </w:r>
      <w:r w:rsidR="00686C22" w:rsidRPr="00530D57">
        <w:t>hate crime</w:t>
      </w:r>
      <w:r w:rsidR="00A920B6" w:rsidRPr="00530D57">
        <w:t xml:space="preserve"> is, its impacts and what we know about hate crime in Aotearoa New Zealand.</w:t>
      </w:r>
      <w:r w:rsidR="00140DFB" w:rsidRPr="00530D57">
        <w:t xml:space="preserve"> </w:t>
      </w:r>
      <w:r w:rsidR="00686C22" w:rsidRPr="00530D57">
        <w:t>We asked submitters:</w:t>
      </w:r>
    </w:p>
    <w:p w14:paraId="1FC1B1E5" w14:textId="53D79FE5" w:rsidR="006103B8" w:rsidRPr="00530D57" w:rsidRDefault="006103B8" w:rsidP="003B5B91">
      <w:pPr>
        <w:tabs>
          <w:tab w:val="left" w:pos="709"/>
        </w:tabs>
        <w:spacing w:before="360" w:after="360"/>
        <w:ind w:left="567" w:right="284"/>
        <w:jc w:val="both"/>
      </w:pPr>
      <w:r w:rsidRPr="00A803AD">
        <w:rPr>
          <w:b/>
          <w:bCs/>
        </w:rPr>
        <w:t>Question 1</w:t>
      </w:r>
      <w:r w:rsidR="003B5B91">
        <w:rPr>
          <w:b/>
          <w:bCs/>
        </w:rPr>
        <w:t xml:space="preserve">: </w:t>
      </w:r>
      <w:r w:rsidR="00686C22" w:rsidRPr="00530D57">
        <w:t xml:space="preserve">Is there </w:t>
      </w:r>
      <w:r w:rsidR="00686C22" w:rsidRPr="00CA6E2F">
        <w:rPr>
          <w:rFonts w:eastAsia="Metropolis Light" w:cs="Times New Roman"/>
          <w:color w:val="000000"/>
          <w:szCs w:val="24"/>
          <w:lang w:eastAsia="en-AU"/>
        </w:rPr>
        <w:t>anything</w:t>
      </w:r>
      <w:r w:rsidR="00686C22" w:rsidRPr="00530D57">
        <w:t xml:space="preserve"> you would like to tell us about what hate crime is occurring in Aotearoa New Zealand and its impacts? </w:t>
      </w:r>
    </w:p>
    <w:p w14:paraId="56EFF87F" w14:textId="0B91710E" w:rsidR="00345B15" w:rsidRPr="00530D57" w:rsidRDefault="00AD6DC5" w:rsidP="00FF547E">
      <w:pPr>
        <w:pStyle w:val="Heading3"/>
      </w:pPr>
      <w:r w:rsidRPr="00530D57">
        <w:t>R</w:t>
      </w:r>
      <w:r w:rsidR="0010582E" w:rsidRPr="00530D57">
        <w:t>eform considerations</w:t>
      </w:r>
    </w:p>
    <w:p w14:paraId="5E318765" w14:textId="7CBB8347" w:rsidR="005B5079" w:rsidRPr="00530D57" w:rsidRDefault="002024E5" w:rsidP="002F5E4F">
      <w:pPr>
        <w:pStyle w:val="Numberedpara"/>
      </w:pPr>
      <w:r w:rsidRPr="00530D57">
        <w:t>Chapter 3 identified some key considerations that will help us decide whether reform is needed and, if so, evaluate any options for reform</w:t>
      </w:r>
      <w:r w:rsidR="00337797" w:rsidRPr="00530D57">
        <w:t xml:space="preserve">. </w:t>
      </w:r>
      <w:r w:rsidR="00936267" w:rsidRPr="00530D57">
        <w:t xml:space="preserve">We asked submitters: </w:t>
      </w:r>
    </w:p>
    <w:p w14:paraId="3886D278" w14:textId="091DDA75" w:rsidR="00936267" w:rsidRPr="00530D57" w:rsidRDefault="003B5B91" w:rsidP="008A04CD">
      <w:pPr>
        <w:tabs>
          <w:tab w:val="left" w:pos="709"/>
        </w:tabs>
        <w:spacing w:before="360" w:after="240"/>
        <w:ind w:left="567" w:right="284"/>
        <w:jc w:val="both"/>
      </w:pPr>
      <w:r w:rsidRPr="002B5528">
        <w:rPr>
          <w:rFonts w:eastAsia="Metropolis Light"/>
          <w:noProof/>
          <w:lang w:eastAsia="en-AU"/>
        </w:rPr>
        <mc:AlternateContent>
          <mc:Choice Requires="wpg">
            <w:drawing>
              <wp:anchor distT="0" distB="0" distL="114300" distR="114300" simplePos="0" relativeHeight="251658246" behindDoc="1" locked="0" layoutInCell="1" allowOverlap="1" wp14:anchorId="595271BA" wp14:editId="3599FA5A">
                <wp:simplePos x="0" y="0"/>
                <wp:positionH relativeFrom="column">
                  <wp:posOffset>5715</wp:posOffset>
                </wp:positionH>
                <wp:positionV relativeFrom="paragraph">
                  <wp:posOffset>3811</wp:posOffset>
                </wp:positionV>
                <wp:extent cx="5760085" cy="1543050"/>
                <wp:effectExtent l="0" t="0" r="12065" b="19050"/>
                <wp:wrapNone/>
                <wp:docPr id="826479252"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543050"/>
                          <a:chOff x="1837" y="1791"/>
                          <a:chExt cx="9302" cy="20164"/>
                        </a:xfrm>
                      </wpg:grpSpPr>
                      <wps:wsp>
                        <wps:cNvPr id="787838055" name="Freeform 54"/>
                        <wps:cNvSpPr>
                          <a:spLocks/>
                        </wps:cNvSpPr>
                        <wps:spPr bwMode="auto">
                          <a:xfrm>
                            <a:off x="1837" y="1791"/>
                            <a:ext cx="9302" cy="20164"/>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w="9525">
                            <a:solidFill>
                              <a:srgbClr val="9BBB59">
                                <a:lumMod val="75000"/>
                              </a:srgbClr>
                            </a:solidFill>
                            <a:round/>
                            <a:headEnd/>
                            <a:tailEnd/>
                          </a:ln>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7B6E0540" id="Group 53" o:spid="_x0000_s1026" style="position:absolute;margin-left:.45pt;margin-top:.3pt;width:453.55pt;height:121.5pt;z-index:-251658234;mso-height-relative:margin" coordorigin="1837,1791" coordsize="9302,20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">
                <v:shape id="Freeform 54" o:spid="_x0000_s1027" style="position:absolute;left:1837;top:1791;width:9302;height:20164;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" path="m,l9354,r,7809l,7809,,e" fillcolor="#edf2ea" strokecolor="#77933c">
                  <v:path arrowok="t" o:connecttype="custom" o:connectlocs="0,2582;9302,2582;9302,22746;0,22746;0,2582" o:connectangles="0,0,0,0,0"/>
                </v:shape>
              </v:group>
            </w:pict>
          </mc:Fallback>
        </mc:AlternateContent>
      </w:r>
      <w:r w:rsidRPr="00A803AD">
        <w:rPr>
          <w:b/>
          <w:bCs/>
        </w:rPr>
        <w:t xml:space="preserve">Question </w:t>
      </w:r>
      <w:r>
        <w:rPr>
          <w:b/>
          <w:bCs/>
        </w:rPr>
        <w:t xml:space="preserve">2: </w:t>
      </w:r>
      <w:r w:rsidR="00936267" w:rsidRPr="00530D57">
        <w:t xml:space="preserve">How can we best uphold the Crown’s obligations under Te Tiriti o Waitangi | Treaty of Waitangi in this review? </w:t>
      </w:r>
    </w:p>
    <w:p w14:paraId="27452787" w14:textId="4C307915" w:rsidR="00936267" w:rsidRPr="00530D57" w:rsidRDefault="003B5B91" w:rsidP="008A04CD">
      <w:pPr>
        <w:tabs>
          <w:tab w:val="left" w:pos="709"/>
        </w:tabs>
        <w:spacing w:before="240" w:after="240"/>
        <w:ind w:left="567" w:right="284"/>
        <w:jc w:val="both"/>
      </w:pPr>
      <w:r w:rsidRPr="00A803AD">
        <w:rPr>
          <w:b/>
          <w:bCs/>
        </w:rPr>
        <w:t xml:space="preserve">Question </w:t>
      </w:r>
      <w:r>
        <w:rPr>
          <w:b/>
          <w:bCs/>
        </w:rPr>
        <w:t xml:space="preserve">3: </w:t>
      </w:r>
      <w:r w:rsidR="00936267" w:rsidRPr="003B5B91">
        <w:rPr>
          <w:rFonts w:eastAsia="Metropolis Light" w:cs="Times New Roman"/>
          <w:color w:val="000000"/>
          <w:szCs w:val="24"/>
          <w:lang w:eastAsia="en-AU"/>
        </w:rPr>
        <w:t>What characteristics should be protected by hate crime laws? Why?</w:t>
      </w:r>
    </w:p>
    <w:p w14:paraId="230A2908" w14:textId="7EFE5134" w:rsidR="00936267" w:rsidRPr="00530D57" w:rsidRDefault="003B5B91" w:rsidP="008A04CD">
      <w:pPr>
        <w:tabs>
          <w:tab w:val="left" w:pos="709"/>
        </w:tabs>
        <w:spacing w:before="240" w:after="360"/>
        <w:ind w:left="567" w:right="284"/>
        <w:jc w:val="both"/>
      </w:pPr>
      <w:r w:rsidRPr="00A803AD">
        <w:rPr>
          <w:b/>
          <w:bCs/>
        </w:rPr>
        <w:t xml:space="preserve">Question </w:t>
      </w:r>
      <w:r>
        <w:rPr>
          <w:b/>
          <w:bCs/>
        </w:rPr>
        <w:t xml:space="preserve">4: </w:t>
      </w:r>
      <w:r w:rsidR="00936267" w:rsidRPr="003B5B91">
        <w:rPr>
          <w:rFonts w:eastAsia="Metropolis Light" w:cs="Times New Roman"/>
          <w:color w:val="000000"/>
          <w:szCs w:val="24"/>
          <w:lang w:eastAsia="en-AU"/>
        </w:rPr>
        <w:t xml:space="preserve">What </w:t>
      </w:r>
      <w:r w:rsidR="00936267" w:rsidRPr="00530D57">
        <w:t>do you think about the key reform considerations we have identified for this review?</w:t>
      </w:r>
    </w:p>
    <w:p w14:paraId="09D6E54B" w14:textId="69B6868C" w:rsidR="00AA1444" w:rsidRPr="00530D57" w:rsidRDefault="00B90377" w:rsidP="00A47959">
      <w:pPr>
        <w:pStyle w:val="Heading3"/>
      </w:pPr>
      <w:r w:rsidRPr="00530D57">
        <w:lastRenderedPageBreak/>
        <w:t>Sentence aggravation mode</w:t>
      </w:r>
      <w:r w:rsidR="00FD4C3D" w:rsidRPr="00530D57">
        <w:t>l</w:t>
      </w:r>
      <w:r w:rsidR="00F85949" w:rsidRPr="00530D57">
        <w:t xml:space="preserve"> —</w:t>
      </w:r>
      <w:r w:rsidRPr="00530D57">
        <w:t xml:space="preserve"> problems and </w:t>
      </w:r>
      <w:r w:rsidR="003E7839" w:rsidRPr="00530D57">
        <w:t>options for reform</w:t>
      </w:r>
    </w:p>
    <w:p w14:paraId="6BDE04FD" w14:textId="22DE26B3" w:rsidR="00A35A05" w:rsidRPr="00530D57" w:rsidRDefault="00E17CD8" w:rsidP="002F5E4F">
      <w:pPr>
        <w:pStyle w:val="Numberedpara"/>
      </w:pPr>
      <w:r w:rsidRPr="00530D57">
        <w:t xml:space="preserve">Chapter </w:t>
      </w:r>
      <w:r w:rsidR="009B2A96" w:rsidRPr="00530D57">
        <w:t>4</w:t>
      </w:r>
      <w:r w:rsidR="00A35A05" w:rsidRPr="00530D57">
        <w:t xml:space="preserve"> explained that the current law requires judges to take an offender’s hate motivation into account as an aggravating factor when they are sentenced</w:t>
      </w:r>
      <w:r w:rsidR="00671C85" w:rsidRPr="00530D57">
        <w:t xml:space="preserve"> (section 9(1)(h) of the Sentencing Act 2002)</w:t>
      </w:r>
      <w:r w:rsidR="00A35A05" w:rsidRPr="00530D57">
        <w:t>. We referred to this as the ‘sentence aggravation model’ of hate crime law. We also discussed how the current law is working in practice, from police investigations through to the sentencing and rehabilitation of offenders.</w:t>
      </w:r>
    </w:p>
    <w:p w14:paraId="3F725545" w14:textId="4A902E98" w:rsidR="00A35A05" w:rsidRPr="00530D57" w:rsidRDefault="008A04CD" w:rsidP="002F5E4F">
      <w:pPr>
        <w:pStyle w:val="Numberedpara"/>
      </w:pPr>
      <w:r w:rsidRPr="002B5528">
        <w:rPr>
          <w:rFonts w:eastAsia="Metropolis Light"/>
          <w:noProof/>
          <w:lang w:eastAsia="en-AU"/>
        </w:rPr>
        <mc:AlternateContent>
          <mc:Choice Requires="wpg">
            <w:drawing>
              <wp:anchor distT="0" distB="0" distL="114300" distR="114300" simplePos="0" relativeHeight="251658247" behindDoc="1" locked="0" layoutInCell="1" allowOverlap="1" wp14:anchorId="6E7D2602" wp14:editId="46101706">
                <wp:simplePos x="0" y="0"/>
                <wp:positionH relativeFrom="column">
                  <wp:posOffset>5715</wp:posOffset>
                </wp:positionH>
                <wp:positionV relativeFrom="paragraph">
                  <wp:posOffset>807086</wp:posOffset>
                </wp:positionV>
                <wp:extent cx="5760085" cy="1371600"/>
                <wp:effectExtent l="0" t="0" r="12065" b="19050"/>
                <wp:wrapNone/>
                <wp:docPr id="588526596"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371600"/>
                          <a:chOff x="1837" y="1791"/>
                          <a:chExt cx="9302" cy="20164"/>
                        </a:xfrm>
                      </wpg:grpSpPr>
                      <wps:wsp>
                        <wps:cNvPr id="510893643" name="Freeform 54"/>
                        <wps:cNvSpPr>
                          <a:spLocks/>
                        </wps:cNvSpPr>
                        <wps:spPr bwMode="auto">
                          <a:xfrm>
                            <a:off x="1837" y="1791"/>
                            <a:ext cx="9302" cy="20164"/>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w="9525">
                            <a:solidFill>
                              <a:srgbClr val="9BBB59">
                                <a:lumMod val="75000"/>
                              </a:srgbClr>
                            </a:solidFill>
                            <a:round/>
                            <a:headEnd/>
                            <a:tailEnd/>
                          </a:ln>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0A9BDE10" id="Group 53" o:spid="_x0000_s1026" style="position:absolute;margin-left:.45pt;margin-top:63.55pt;width:453.55pt;height:108pt;z-index:-251658233;mso-height-relative:margin" coordorigin="1837,1791" coordsize="9302,20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">
                <v:shape id="Freeform 54" o:spid="_x0000_s1027" style="position:absolute;left:1837;top:1791;width:9302;height:20164;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" path="m,l9354,r,7809l,7809,,e" fillcolor="#edf2ea" strokecolor="#77933c">
                  <v:path arrowok="t" o:connecttype="custom" o:connectlocs="0,2582;9302,2582;9302,22746;0,22746;0,2582" o:connectangles="0,0,0,0,0"/>
                </v:shape>
              </v:group>
            </w:pict>
          </mc:Fallback>
        </mc:AlternateContent>
      </w:r>
      <w:r w:rsidR="00A35A05" w:rsidRPr="00530D57">
        <w:t xml:space="preserve">Chapters 5 and 7 discussed whether there are problems with how the current law is working and, if so, whether they can be addressed without changing the legal model. </w:t>
      </w:r>
      <w:r w:rsidR="00B411C2" w:rsidRPr="00530D57">
        <w:t xml:space="preserve">We </w:t>
      </w:r>
      <w:r w:rsidR="007D556B" w:rsidRPr="00530D57">
        <w:t xml:space="preserve">outlined </w:t>
      </w:r>
      <w:r w:rsidR="000A4D76" w:rsidRPr="00530D57">
        <w:t xml:space="preserve">potential </w:t>
      </w:r>
      <w:r w:rsidR="007D556B" w:rsidRPr="00530D57">
        <w:t xml:space="preserve">advantages of keeping the </w:t>
      </w:r>
      <w:r w:rsidR="00116084" w:rsidRPr="00530D57">
        <w:t>sentence aggravation model</w:t>
      </w:r>
      <w:r w:rsidR="007D556B" w:rsidRPr="00530D57">
        <w:t xml:space="preserve"> and </w:t>
      </w:r>
      <w:r w:rsidR="00B411C2" w:rsidRPr="00530D57">
        <w:t>suggest</w:t>
      </w:r>
      <w:r w:rsidR="007D556B" w:rsidRPr="00530D57">
        <w:t>ed</w:t>
      </w:r>
      <w:r w:rsidR="00B411C2" w:rsidRPr="00530D57">
        <w:t xml:space="preserve"> </w:t>
      </w:r>
      <w:r w:rsidR="007D556B" w:rsidRPr="00530D57">
        <w:t>ways in which</w:t>
      </w:r>
      <w:r w:rsidR="0014755D" w:rsidRPr="00530D57">
        <w:t xml:space="preserve"> the operation of the current law could be improved</w:t>
      </w:r>
      <w:r w:rsidR="001A2B3A" w:rsidRPr="00530D57">
        <w:t>.</w:t>
      </w:r>
      <w:r w:rsidR="0014755D" w:rsidRPr="00530D57">
        <w:t xml:space="preserve"> </w:t>
      </w:r>
      <w:r w:rsidR="00A35A05" w:rsidRPr="00530D57">
        <w:t>We asked submitters:</w:t>
      </w:r>
    </w:p>
    <w:p w14:paraId="203E1F8B" w14:textId="4FE62116" w:rsidR="00A35A05" w:rsidRPr="00530D57" w:rsidRDefault="003B5B91" w:rsidP="008A04CD">
      <w:pPr>
        <w:tabs>
          <w:tab w:val="left" w:pos="709"/>
        </w:tabs>
        <w:spacing w:before="360" w:after="240"/>
        <w:ind w:left="567" w:right="284"/>
        <w:jc w:val="both"/>
      </w:pPr>
      <w:r w:rsidRPr="00A803AD">
        <w:rPr>
          <w:b/>
          <w:bCs/>
        </w:rPr>
        <w:t xml:space="preserve">Question </w:t>
      </w:r>
      <w:r>
        <w:rPr>
          <w:b/>
          <w:bCs/>
        </w:rPr>
        <w:t xml:space="preserve">5: </w:t>
      </w:r>
      <w:r w:rsidR="00A35A05" w:rsidRPr="00530D57">
        <w:t xml:space="preserve">Do you think there are problems with how Aotearoa New Zealand’s current hate crime law is working? If so, what are those problems? </w:t>
      </w:r>
    </w:p>
    <w:p w14:paraId="0A4CEB6B" w14:textId="3F92A111" w:rsidR="00A35A05" w:rsidRPr="00530D57" w:rsidRDefault="003B5B91" w:rsidP="008A04CD">
      <w:pPr>
        <w:tabs>
          <w:tab w:val="left" w:pos="709"/>
        </w:tabs>
        <w:spacing w:before="240" w:after="360"/>
        <w:ind w:left="567" w:right="284"/>
        <w:jc w:val="both"/>
      </w:pPr>
      <w:r w:rsidRPr="00A803AD">
        <w:rPr>
          <w:b/>
          <w:bCs/>
        </w:rPr>
        <w:t xml:space="preserve">Question </w:t>
      </w:r>
      <w:r>
        <w:rPr>
          <w:b/>
          <w:bCs/>
        </w:rPr>
        <w:t xml:space="preserve">6: </w:t>
      </w:r>
      <w:r w:rsidR="00A35A05" w:rsidRPr="003B5B91">
        <w:rPr>
          <w:rFonts w:eastAsia="Metropolis Light" w:cs="Times New Roman"/>
          <w:color w:val="000000"/>
          <w:szCs w:val="24"/>
          <w:lang w:eastAsia="en-AU"/>
        </w:rPr>
        <w:t>If there are problems with how Aotearoa New Zealand’s hate crime law is working, can they be addressed while keeping the current legal model (sentence aggravation)? If so, how</w:t>
      </w:r>
      <w:r w:rsidR="00A35A05" w:rsidRPr="00530D57">
        <w:t>?</w:t>
      </w:r>
    </w:p>
    <w:p w14:paraId="1F937A88" w14:textId="2D624F99" w:rsidR="00444B69" w:rsidRPr="00530D57" w:rsidRDefault="00FD4C3D" w:rsidP="00A47959">
      <w:pPr>
        <w:pStyle w:val="Heading3"/>
      </w:pPr>
      <w:r w:rsidRPr="00530D57">
        <w:t xml:space="preserve">Other legal models </w:t>
      </w:r>
      <w:r w:rsidR="00C50B6C" w:rsidRPr="00530D57">
        <w:t>to address</w:t>
      </w:r>
      <w:r w:rsidRPr="00530D57">
        <w:t xml:space="preserve"> hate crime</w:t>
      </w:r>
    </w:p>
    <w:p w14:paraId="3C2361ED" w14:textId="3AEF1214" w:rsidR="00747851" w:rsidRPr="00530D57" w:rsidRDefault="00A24FF8" w:rsidP="00747851">
      <w:pPr>
        <w:pStyle w:val="Numberedpara"/>
      </w:pPr>
      <w:r w:rsidRPr="00530D57">
        <w:t xml:space="preserve">Chapter 8 discussed </w:t>
      </w:r>
      <w:r w:rsidR="00B508DE" w:rsidRPr="00530D57">
        <w:t xml:space="preserve">whether to adopt </w:t>
      </w:r>
      <w:r w:rsidRPr="00530D57">
        <w:t>a different legal model to the current sentenc</w:t>
      </w:r>
      <w:r w:rsidR="00CE62E2" w:rsidRPr="00530D57">
        <w:t>e</w:t>
      </w:r>
      <w:r w:rsidRPr="00530D57">
        <w:t xml:space="preserve"> aggravation model. We outlined the potential advantages and disadvantages two other legal models and sought feedback on whether either one of them should be adopted. The alternative models are:</w:t>
      </w:r>
    </w:p>
    <w:p w14:paraId="2231A556" w14:textId="5E6373BB" w:rsidR="00483FB2" w:rsidRPr="00530D57" w:rsidRDefault="00A24FF8" w:rsidP="00197568">
      <w:pPr>
        <w:pStyle w:val="Numberedpara"/>
        <w:numPr>
          <w:ilvl w:val="1"/>
          <w:numId w:val="26"/>
        </w:numPr>
      </w:pPr>
      <w:r w:rsidRPr="00530D57">
        <w:t>specific hate crime offence</w:t>
      </w:r>
      <w:r w:rsidR="00821BBA" w:rsidRPr="00530D57">
        <w:t>s</w:t>
      </w:r>
      <w:r w:rsidR="00C518CD" w:rsidRPr="00530D57">
        <w:t>,</w:t>
      </w:r>
      <w:r w:rsidRPr="00530D57">
        <w:t xml:space="preserve"> as recommended by the Royal Commission; and</w:t>
      </w:r>
    </w:p>
    <w:p w14:paraId="12479FB8" w14:textId="4D1BB9BE" w:rsidR="00A24FF8" w:rsidRPr="00530D57" w:rsidRDefault="00A24FF8" w:rsidP="00197568">
      <w:pPr>
        <w:pStyle w:val="Numberedpara"/>
        <w:numPr>
          <w:ilvl w:val="1"/>
          <w:numId w:val="26"/>
        </w:numPr>
      </w:pPr>
      <w:r w:rsidRPr="00530D57">
        <w:t>the Scottish hybrid model, which combines aspects of the sentence aggravation model and the specific offence model.</w:t>
      </w:r>
    </w:p>
    <w:p w14:paraId="7AF07CAD" w14:textId="44E2F13A" w:rsidR="00A46DEC" w:rsidRPr="00530D57" w:rsidRDefault="00A46DEC" w:rsidP="00A46DEC">
      <w:pPr>
        <w:pStyle w:val="Numberedpara"/>
      </w:pPr>
      <w:r w:rsidRPr="00530D57">
        <w:t xml:space="preserve">We also explained that, </w:t>
      </w:r>
      <w:r w:rsidR="000D45FB" w:rsidRPr="00530D57">
        <w:t>if</w:t>
      </w:r>
      <w:r w:rsidRPr="00530D57">
        <w:t xml:space="preserve"> </w:t>
      </w:r>
      <w:r w:rsidR="00EA26AE" w:rsidRPr="00530D57">
        <w:t>we recommended adopting</w:t>
      </w:r>
      <w:r w:rsidRPr="00530D57">
        <w:t xml:space="preserve"> the specific offence model, </w:t>
      </w:r>
      <w:r w:rsidR="00EA26AE" w:rsidRPr="00530D57">
        <w:t>we would need</w:t>
      </w:r>
      <w:r w:rsidRPr="00530D57">
        <w:t xml:space="preserve"> to decide what offences should be covered by it</w:t>
      </w:r>
      <w:r w:rsidR="00EA26AE" w:rsidRPr="00530D57">
        <w:t>. In addition</w:t>
      </w:r>
      <w:r w:rsidRPr="00530D57">
        <w:t xml:space="preserve">, </w:t>
      </w:r>
      <w:r w:rsidR="00EA26AE" w:rsidRPr="00530D57">
        <w:t>if we recommended adopting</w:t>
      </w:r>
      <w:r w:rsidRPr="00530D57">
        <w:t xml:space="preserve"> either </w:t>
      </w:r>
      <w:r w:rsidR="00494E51" w:rsidRPr="00530D57">
        <w:t xml:space="preserve">of the </w:t>
      </w:r>
      <w:r w:rsidRPr="00530D57">
        <w:t>alternative model</w:t>
      </w:r>
      <w:r w:rsidR="00494E51" w:rsidRPr="00530D57">
        <w:t>s</w:t>
      </w:r>
      <w:r w:rsidRPr="00530D57">
        <w:t xml:space="preserve">, </w:t>
      </w:r>
      <w:r w:rsidR="00EA26AE" w:rsidRPr="00530D57">
        <w:t xml:space="preserve">we would need to decide </w:t>
      </w:r>
      <w:r w:rsidRPr="00530D57">
        <w:t>whether the current sentence aggravation model should be retained</w:t>
      </w:r>
      <w:r w:rsidR="001033F2" w:rsidRPr="00530D57">
        <w:t xml:space="preserve"> as well</w:t>
      </w:r>
      <w:r w:rsidRPr="00530D57">
        <w:t>. We asked submitters:</w:t>
      </w:r>
    </w:p>
    <w:p w14:paraId="043DBBC0" w14:textId="5015B92F" w:rsidR="00252CCB" w:rsidRPr="00530D57" w:rsidRDefault="003B5B91" w:rsidP="003B5B91">
      <w:pPr>
        <w:tabs>
          <w:tab w:val="left" w:pos="709"/>
        </w:tabs>
        <w:spacing w:before="360" w:after="360"/>
        <w:ind w:left="567" w:right="284"/>
        <w:jc w:val="both"/>
      </w:pPr>
      <w:r w:rsidRPr="002B5528">
        <w:rPr>
          <w:rFonts w:eastAsia="Metropolis Light"/>
          <w:noProof/>
          <w:lang w:eastAsia="en-AU"/>
        </w:rPr>
        <mc:AlternateContent>
          <mc:Choice Requires="wpg">
            <w:drawing>
              <wp:anchor distT="0" distB="0" distL="114300" distR="114300" simplePos="0" relativeHeight="251658248" behindDoc="1" locked="0" layoutInCell="1" allowOverlap="1" wp14:anchorId="46F13793" wp14:editId="143EDBBE">
                <wp:simplePos x="0" y="0"/>
                <wp:positionH relativeFrom="column">
                  <wp:posOffset>4386</wp:posOffset>
                </wp:positionH>
                <wp:positionV relativeFrom="paragraph">
                  <wp:posOffset>-5050</wp:posOffset>
                </wp:positionV>
                <wp:extent cx="5760085" cy="1945758"/>
                <wp:effectExtent l="0" t="0" r="12065" b="16510"/>
                <wp:wrapNone/>
                <wp:docPr id="55596255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945758"/>
                          <a:chOff x="1837" y="1791"/>
                          <a:chExt cx="9302" cy="20164"/>
                        </a:xfrm>
                      </wpg:grpSpPr>
                      <wps:wsp>
                        <wps:cNvPr id="663511497" name="Freeform 54"/>
                        <wps:cNvSpPr>
                          <a:spLocks/>
                        </wps:cNvSpPr>
                        <wps:spPr bwMode="auto">
                          <a:xfrm>
                            <a:off x="1837" y="1791"/>
                            <a:ext cx="9302" cy="20164"/>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w="9525">
                            <a:solidFill>
                              <a:srgbClr val="9BBB59">
                                <a:lumMod val="75000"/>
                              </a:srgbClr>
                            </a:solidFill>
                            <a:round/>
                            <a:headEnd/>
                            <a:tailEnd/>
                          </a:ln>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399DDC67" id="Group 53" o:spid="_x0000_s1026" style="position:absolute;margin-left:.35pt;margin-top:-.4pt;width:453.55pt;height:153.2pt;z-index:-251658232;mso-height-relative:margin" coordorigin="1837,1791" coordsize="9302,20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">
                <v:shape id="Freeform 54" o:spid="_x0000_s1027" style="position:absolute;left:1837;top:1791;width:9302;height:20164;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" path="m,l9354,r,7809l,7809,,e" fillcolor="#edf2ea" strokecolor="#77933c">
                  <v:path arrowok="t" o:connecttype="custom" o:connectlocs="0,2582;9302,2582;9302,22746;0,22746;0,2582" o:connectangles="0,0,0,0,0"/>
                </v:shape>
              </v:group>
            </w:pict>
          </mc:Fallback>
        </mc:AlternateContent>
      </w:r>
      <w:r w:rsidRPr="00A803AD">
        <w:rPr>
          <w:b/>
          <w:bCs/>
        </w:rPr>
        <w:t xml:space="preserve">Question </w:t>
      </w:r>
      <w:r>
        <w:rPr>
          <w:b/>
          <w:bCs/>
        </w:rPr>
        <w:t xml:space="preserve">7: </w:t>
      </w:r>
      <w:r w:rsidR="00252CCB" w:rsidRPr="00530D57">
        <w:t>If specific hate crime offences are adopted, what offences should they cover? Why?</w:t>
      </w:r>
    </w:p>
    <w:p w14:paraId="101E5745" w14:textId="5C0CDC93" w:rsidR="001C1D2A" w:rsidRPr="00530D57" w:rsidRDefault="003B5B91" w:rsidP="003B5B91">
      <w:pPr>
        <w:tabs>
          <w:tab w:val="left" w:pos="709"/>
        </w:tabs>
        <w:spacing w:before="360" w:after="360"/>
        <w:ind w:left="567" w:right="284"/>
        <w:jc w:val="both"/>
      </w:pPr>
      <w:r w:rsidRPr="00A803AD">
        <w:rPr>
          <w:b/>
          <w:bCs/>
        </w:rPr>
        <w:t xml:space="preserve">Question </w:t>
      </w:r>
      <w:r>
        <w:rPr>
          <w:b/>
          <w:bCs/>
        </w:rPr>
        <w:t xml:space="preserve">8: </w:t>
      </w:r>
      <w:r w:rsidR="001C1D2A" w:rsidRPr="003B5B91">
        <w:rPr>
          <w:rFonts w:eastAsia="Metropolis Light" w:cs="Times New Roman"/>
          <w:color w:val="000000"/>
          <w:szCs w:val="24"/>
          <w:lang w:eastAsia="en-AU"/>
        </w:rPr>
        <w:t>Should a different legal model, such as specific hate crime offences or the Scottish hybrid model, be introduced in Aotearoa New Zealand?</w:t>
      </w:r>
    </w:p>
    <w:p w14:paraId="0D4A10FE" w14:textId="4F47CFD0" w:rsidR="00A24FF8" w:rsidRPr="00530D57" w:rsidRDefault="003B5B91" w:rsidP="003B5B91">
      <w:pPr>
        <w:tabs>
          <w:tab w:val="left" w:pos="709"/>
        </w:tabs>
        <w:spacing w:before="360" w:after="360"/>
        <w:ind w:left="567" w:right="284"/>
        <w:jc w:val="both"/>
      </w:pPr>
      <w:r w:rsidRPr="00A803AD">
        <w:rPr>
          <w:b/>
          <w:bCs/>
        </w:rPr>
        <w:t xml:space="preserve">Question </w:t>
      </w:r>
      <w:r>
        <w:rPr>
          <w:b/>
          <w:bCs/>
        </w:rPr>
        <w:t xml:space="preserve">9: </w:t>
      </w:r>
      <w:r w:rsidR="00A24FF8" w:rsidRPr="003B5B91">
        <w:rPr>
          <w:rFonts w:eastAsia="Metropolis Light" w:cs="Times New Roman"/>
          <w:color w:val="000000"/>
          <w:szCs w:val="24"/>
          <w:lang w:eastAsia="en-AU"/>
        </w:rPr>
        <w:t>If spec</w:t>
      </w:r>
      <w:r w:rsidR="00A24FF8" w:rsidRPr="00530D57">
        <w:t>ific hate crime offences or the Scottish hybrid model are introduced, should the sentence aggravation model be kept as well?</w:t>
      </w:r>
    </w:p>
    <w:p w14:paraId="7C4A2367" w14:textId="77777777" w:rsidR="00E42365" w:rsidRDefault="00E42365">
      <w:pPr>
        <w:spacing w:before="0" w:after="0" w:line="240" w:lineRule="auto"/>
        <w:rPr>
          <w:rFonts w:ascii="Metropolis" w:eastAsia="Times New Roman" w:hAnsi="Metropolis" w:cs="Times New Roman"/>
          <w:b/>
          <w:caps/>
          <w:color w:val="73AB6E"/>
          <w:sz w:val="22"/>
          <w:szCs w:val="24"/>
          <w:lang w:eastAsia="en-AU"/>
        </w:rPr>
      </w:pPr>
      <w:r>
        <w:br w:type="page"/>
      </w:r>
    </w:p>
    <w:p w14:paraId="1FA0376B" w14:textId="4991DFF9" w:rsidR="00DB27D4" w:rsidRPr="00530D57" w:rsidRDefault="00E92BDB" w:rsidP="003302F2">
      <w:pPr>
        <w:pStyle w:val="Heading2"/>
      </w:pPr>
      <w:bookmarkStart w:id="24" w:name="_Toc207093250"/>
      <w:r w:rsidRPr="00530D57">
        <w:lastRenderedPageBreak/>
        <w:t xml:space="preserve">The </w:t>
      </w:r>
      <w:r w:rsidR="009C0C46" w:rsidRPr="00530D57">
        <w:t>s</w:t>
      </w:r>
      <w:r w:rsidR="00D029C7" w:rsidRPr="00530D57">
        <w:t>ubmission</w:t>
      </w:r>
      <w:r w:rsidR="00C64415" w:rsidRPr="00530D57">
        <w:t>s</w:t>
      </w:r>
      <w:bookmarkEnd w:id="24"/>
      <w:r w:rsidR="00984EB4" w:rsidRPr="00530D57">
        <w:t xml:space="preserve"> </w:t>
      </w:r>
    </w:p>
    <w:p w14:paraId="3B2EEC33" w14:textId="685FA786" w:rsidR="00BD6267" w:rsidRPr="00530D57" w:rsidRDefault="00791ED5" w:rsidP="00732B16">
      <w:pPr>
        <w:pStyle w:val="Numberedpara"/>
      </w:pPr>
      <w:r w:rsidRPr="00530D57">
        <w:t>W</w:t>
      </w:r>
      <w:r w:rsidR="00813301" w:rsidRPr="00530D57">
        <w:t>e received 96</w:t>
      </w:r>
      <w:r w:rsidR="00296288" w:rsidRPr="00530D57">
        <w:t xml:space="preserve"> submissions</w:t>
      </w:r>
      <w:r w:rsidR="000A067B" w:rsidRPr="00530D57">
        <w:t xml:space="preserve"> in total</w:t>
      </w:r>
      <w:r w:rsidR="00296288" w:rsidRPr="00530D57">
        <w:t>.</w:t>
      </w:r>
      <w:r w:rsidR="002402AD" w:rsidRPr="00530D57">
        <w:t xml:space="preserve"> </w:t>
      </w:r>
      <w:r w:rsidR="005610A2" w:rsidRPr="00530D57">
        <w:t>These</w:t>
      </w:r>
      <w:r w:rsidR="002402AD" w:rsidRPr="00530D57">
        <w:t xml:space="preserve"> are available on our website.</w:t>
      </w:r>
    </w:p>
    <w:p w14:paraId="4792B95A" w14:textId="7FB8DE09" w:rsidR="00716BA3" w:rsidRPr="00530D57" w:rsidRDefault="00FF2F96" w:rsidP="00732B16">
      <w:pPr>
        <w:pStyle w:val="Numberedpara"/>
      </w:pPr>
      <w:r w:rsidRPr="00530D57">
        <w:t>In this document, w</w:t>
      </w:r>
      <w:r w:rsidR="00B5202B" w:rsidRPr="00530D57">
        <w:t xml:space="preserve">e refer to submitters by name unless they requested that their name not be </w:t>
      </w:r>
      <w:r w:rsidR="00D16DDF" w:rsidRPr="00530D57">
        <w:t>published</w:t>
      </w:r>
      <w:r w:rsidR="00AA32EB" w:rsidRPr="00530D57">
        <w:t>.</w:t>
      </w:r>
      <w:r w:rsidR="00631C0D" w:rsidRPr="00530D57">
        <w:rPr>
          <w:rStyle w:val="FootnoteReference"/>
        </w:rPr>
        <w:footnoteReference w:id="2"/>
      </w:r>
      <w:r w:rsidR="00AA32EB" w:rsidRPr="00530D57">
        <w:t xml:space="preserve"> </w:t>
      </w:r>
      <w:r w:rsidR="00C5521E" w:rsidRPr="00530D57">
        <w:t xml:space="preserve">When referring to </w:t>
      </w:r>
      <w:r w:rsidR="00455028" w:rsidRPr="00530D57">
        <w:t xml:space="preserve">submitters </w:t>
      </w:r>
      <w:r w:rsidR="009A0440">
        <w:t xml:space="preserve">who made such a request </w:t>
      </w:r>
      <w:r w:rsidR="00455028" w:rsidRPr="00530D57">
        <w:t xml:space="preserve">we </w:t>
      </w:r>
      <w:r w:rsidR="007F20B4" w:rsidRPr="00530D57">
        <w:t>use</w:t>
      </w:r>
      <w:r w:rsidR="00455028" w:rsidRPr="00530D57">
        <w:t xml:space="preserve"> the submission number.</w:t>
      </w:r>
    </w:p>
    <w:tbl>
      <w:tblPr>
        <w:tblStyle w:val="LCReportTable"/>
        <w:tblW w:w="7650" w:type="dxa"/>
        <w:tblInd w:w="704" w:type="dxa"/>
        <w:tblLook w:val="0620" w:firstRow="1" w:lastRow="0" w:firstColumn="0" w:lastColumn="0" w:noHBand="1" w:noVBand="1"/>
      </w:tblPr>
      <w:tblGrid>
        <w:gridCol w:w="3738"/>
        <w:gridCol w:w="3912"/>
      </w:tblGrid>
      <w:tr w:rsidR="00396900" w:rsidRPr="00530D57" w14:paraId="63EBB747" w14:textId="77777777" w:rsidTr="00E42365">
        <w:trPr>
          <w:cnfStyle w:val="100000000000" w:firstRow="1" w:lastRow="0" w:firstColumn="0" w:lastColumn="0" w:oddVBand="0" w:evenVBand="0" w:oddHBand="0" w:evenHBand="0" w:firstRowFirstColumn="0" w:firstRowLastColumn="0" w:lastRowFirstColumn="0" w:lastRowLastColumn="0"/>
        </w:trPr>
        <w:tc>
          <w:tcPr>
            <w:tcW w:w="7650" w:type="dxa"/>
            <w:gridSpan w:val="2"/>
            <w:shd w:val="clear" w:color="auto" w:fill="73AB6E"/>
          </w:tcPr>
          <w:p w14:paraId="12E12F99" w14:textId="40A02DA4" w:rsidR="00396900" w:rsidRPr="00E42365" w:rsidRDefault="001D5A00" w:rsidP="006A7B73">
            <w:pPr>
              <w:keepNext/>
              <w:jc w:val="left"/>
              <w:rPr>
                <w:rStyle w:val="TableSubheadingWhite"/>
                <w:b w:val="0"/>
                <w:bCs/>
                <w:color w:val="FFFFFF" w:themeColor="background1"/>
                <w:sz w:val="20"/>
                <w:szCs w:val="20"/>
              </w:rPr>
            </w:pPr>
            <w:r w:rsidRPr="00E42365">
              <w:rPr>
                <w:rFonts w:ascii="Metropolis" w:hAnsi="Metropolis"/>
                <w:bCs/>
                <w:caps w:val="0"/>
                <w:color w:val="FFFFFF" w:themeColor="background1"/>
                <w:szCs w:val="20"/>
              </w:rPr>
              <w:t>SUBMISSION TYPES</w:t>
            </w:r>
          </w:p>
        </w:tc>
      </w:tr>
      <w:tr w:rsidR="00A75998" w:rsidRPr="00530D57" w14:paraId="21DC2426" w14:textId="77777777" w:rsidTr="003B5B91">
        <w:tc>
          <w:tcPr>
            <w:tcW w:w="3738" w:type="dxa"/>
          </w:tcPr>
          <w:p w14:paraId="286083B7" w14:textId="145AB04D" w:rsidR="00A75998" w:rsidRPr="00E42365" w:rsidRDefault="005620EB" w:rsidP="00F3373C">
            <w:pPr>
              <w:pStyle w:val="TableSubheadingGreen"/>
              <w:keepNext/>
              <w:rPr>
                <w:rFonts w:ascii="Metropolis" w:hAnsi="Metropolis"/>
                <w:color w:val="73AB6E"/>
                <w:szCs w:val="20"/>
              </w:rPr>
            </w:pPr>
            <w:r w:rsidRPr="00E42365">
              <w:rPr>
                <w:rFonts w:ascii="Metropolis" w:hAnsi="Metropolis"/>
                <w:color w:val="73AB6E"/>
                <w:szCs w:val="20"/>
              </w:rPr>
              <w:t>On behalf of organisations</w:t>
            </w:r>
          </w:p>
        </w:tc>
        <w:tc>
          <w:tcPr>
            <w:tcW w:w="3912" w:type="dxa"/>
          </w:tcPr>
          <w:p w14:paraId="19A9CAF7" w14:textId="4F974A0C" w:rsidR="00A75998" w:rsidRPr="00E42365" w:rsidRDefault="007C7B54" w:rsidP="7E52F027">
            <w:pPr>
              <w:pStyle w:val="TableSubheadingGreen"/>
              <w:keepNext/>
              <w:rPr>
                <w:rFonts w:ascii="Metropolis" w:hAnsi="Metropolis"/>
                <w:color w:val="73AB6E"/>
                <w:szCs w:val="20"/>
              </w:rPr>
            </w:pPr>
            <w:r w:rsidRPr="00E42365">
              <w:rPr>
                <w:rFonts w:ascii="Metropolis" w:hAnsi="Metropolis"/>
                <w:color w:val="73AB6E"/>
                <w:szCs w:val="20"/>
              </w:rPr>
              <w:t xml:space="preserve">By </w:t>
            </w:r>
            <w:r w:rsidR="00F903F6" w:rsidRPr="00E42365">
              <w:rPr>
                <w:rFonts w:ascii="Metropolis" w:hAnsi="Metropolis"/>
                <w:color w:val="73AB6E"/>
                <w:szCs w:val="20"/>
              </w:rPr>
              <w:t>i</w:t>
            </w:r>
            <w:r w:rsidRPr="00E42365">
              <w:rPr>
                <w:rFonts w:ascii="Metropolis" w:hAnsi="Metropolis"/>
                <w:color w:val="73AB6E"/>
                <w:szCs w:val="20"/>
              </w:rPr>
              <w:t>ndividuals</w:t>
            </w:r>
          </w:p>
        </w:tc>
      </w:tr>
      <w:tr w:rsidR="00A75998" w:rsidRPr="00530D57" w14:paraId="770C90AA" w14:textId="77777777" w:rsidTr="003B5B91">
        <w:tc>
          <w:tcPr>
            <w:tcW w:w="3738" w:type="dxa"/>
          </w:tcPr>
          <w:p w14:paraId="67258499" w14:textId="284033D9" w:rsidR="00A75998" w:rsidRPr="00530D57" w:rsidRDefault="00B430FC" w:rsidP="00F3373C">
            <w:pPr>
              <w:keepNext/>
              <w:rPr>
                <w:rFonts w:ascii="Metropolis" w:hAnsi="Metropolis"/>
                <w:sz w:val="18"/>
              </w:rPr>
            </w:pPr>
            <w:r w:rsidRPr="00530D57">
              <w:rPr>
                <w:szCs w:val="20"/>
              </w:rPr>
              <w:t>26</w:t>
            </w:r>
          </w:p>
        </w:tc>
        <w:tc>
          <w:tcPr>
            <w:tcW w:w="3912" w:type="dxa"/>
          </w:tcPr>
          <w:p w14:paraId="255CE010" w14:textId="74206370" w:rsidR="00A75998" w:rsidRPr="00530D57" w:rsidRDefault="00B430FC" w:rsidP="00F3373C">
            <w:pPr>
              <w:keepNext/>
              <w:rPr>
                <w:rFonts w:ascii="Metropolis" w:hAnsi="Metropolis"/>
                <w:sz w:val="18"/>
              </w:rPr>
            </w:pPr>
            <w:r w:rsidRPr="00530D57">
              <w:rPr>
                <w:rFonts w:ascii="Metropolis" w:hAnsi="Metropolis"/>
                <w:sz w:val="18"/>
              </w:rPr>
              <w:t>70</w:t>
            </w:r>
          </w:p>
        </w:tc>
      </w:tr>
    </w:tbl>
    <w:p w14:paraId="461481F7" w14:textId="77777777" w:rsidR="00E42365" w:rsidRDefault="00E42365" w:rsidP="00E42365">
      <w:pPr>
        <w:pStyle w:val="Numberedpara"/>
        <w:numPr>
          <w:ilvl w:val="0"/>
          <w:numId w:val="0"/>
        </w:numPr>
        <w:ind w:left="567"/>
      </w:pPr>
    </w:p>
    <w:p w14:paraId="34F26E98" w14:textId="5C265840" w:rsidR="00DA5E07" w:rsidRPr="00530D57" w:rsidRDefault="00D27717" w:rsidP="00E42365">
      <w:pPr>
        <w:pStyle w:val="Numberedpara"/>
      </w:pPr>
      <w:r w:rsidRPr="00530D57">
        <w:t xml:space="preserve">Our </w:t>
      </w:r>
      <w:r w:rsidR="00205389" w:rsidRPr="00530D57">
        <w:t>summary</w:t>
      </w:r>
      <w:r w:rsidRPr="00530D57">
        <w:t xml:space="preserve"> of the feedback received is </w:t>
      </w:r>
      <w:r w:rsidR="00DA5E07" w:rsidRPr="00530D57">
        <w:t>organised</w:t>
      </w:r>
      <w:r w:rsidRPr="00530D57">
        <w:t xml:space="preserve"> into </w:t>
      </w:r>
      <w:r w:rsidR="00F53E52" w:rsidRPr="00530D57">
        <w:t>four</w:t>
      </w:r>
      <w:r w:rsidRPr="00530D57">
        <w:t xml:space="preserve"> sections</w:t>
      </w:r>
      <w:r w:rsidR="00DA5E07" w:rsidRPr="00530D57">
        <w:t>:</w:t>
      </w:r>
    </w:p>
    <w:p w14:paraId="1BA1FCEC" w14:textId="2D36F51D" w:rsidR="00DA5E07" w:rsidRPr="00530D57" w:rsidRDefault="00FA3827" w:rsidP="00197568">
      <w:pPr>
        <w:pStyle w:val="Numberedpara"/>
        <w:numPr>
          <w:ilvl w:val="1"/>
          <w:numId w:val="26"/>
        </w:numPr>
      </w:pPr>
      <w:r w:rsidRPr="00530D57">
        <w:t>Hate crime and its impacts</w:t>
      </w:r>
      <w:r w:rsidR="008C5321" w:rsidRPr="00530D57">
        <w:t>.</w:t>
      </w:r>
    </w:p>
    <w:p w14:paraId="76A4B8BC" w14:textId="585E231F" w:rsidR="00FA3827" w:rsidRPr="00530D57" w:rsidRDefault="00FA3827" w:rsidP="00197568">
      <w:pPr>
        <w:pStyle w:val="Numberedpara"/>
        <w:numPr>
          <w:ilvl w:val="1"/>
          <w:numId w:val="26"/>
        </w:numPr>
      </w:pPr>
      <w:r w:rsidRPr="00530D57">
        <w:t>Reform considerations</w:t>
      </w:r>
      <w:r w:rsidR="008C5321" w:rsidRPr="00530D57">
        <w:t>.</w:t>
      </w:r>
    </w:p>
    <w:p w14:paraId="06D54AE7" w14:textId="07375E6F" w:rsidR="00FA3827" w:rsidRPr="00530D57" w:rsidRDefault="00B62EF8" w:rsidP="00197568">
      <w:pPr>
        <w:pStyle w:val="Numberedpara"/>
        <w:numPr>
          <w:ilvl w:val="1"/>
          <w:numId w:val="26"/>
        </w:numPr>
      </w:pPr>
      <w:r w:rsidRPr="00530D57">
        <w:t>Sentence aggravation model</w:t>
      </w:r>
      <w:r w:rsidR="008C5321" w:rsidRPr="00530D57">
        <w:t xml:space="preserve"> —</w:t>
      </w:r>
      <w:r w:rsidRPr="00530D57">
        <w:t xml:space="preserve"> problems and </w:t>
      </w:r>
      <w:r w:rsidR="008C5321" w:rsidRPr="00530D57">
        <w:t>options for reform.</w:t>
      </w:r>
    </w:p>
    <w:p w14:paraId="651A162C" w14:textId="4FE0F427" w:rsidR="00B62EF8" w:rsidRPr="00530D57" w:rsidRDefault="00F53E52" w:rsidP="00197568">
      <w:pPr>
        <w:pStyle w:val="Numberedpara"/>
        <w:numPr>
          <w:ilvl w:val="1"/>
          <w:numId w:val="26"/>
        </w:numPr>
      </w:pPr>
      <w:r w:rsidRPr="00530D57">
        <w:t>Other legal models to address hate crime</w:t>
      </w:r>
      <w:r w:rsidR="00316F66" w:rsidRPr="00530D57">
        <w:t>.</w:t>
      </w:r>
    </w:p>
    <w:p w14:paraId="115A51BF" w14:textId="50C7DB97" w:rsidR="00357AB4" w:rsidRPr="00530D57" w:rsidRDefault="00E84926" w:rsidP="00832E4B">
      <w:pPr>
        <w:pStyle w:val="Numberedpara"/>
      </w:pPr>
      <w:r w:rsidRPr="00530D57">
        <w:t>The s</w:t>
      </w:r>
      <w:r w:rsidR="00A7614B" w:rsidRPr="00530D57">
        <w:t>ubm</w:t>
      </w:r>
      <w:r w:rsidRPr="00530D57">
        <w:t>issions we received</w:t>
      </w:r>
      <w:r w:rsidR="008062DD" w:rsidRPr="00530D57">
        <w:t xml:space="preserve"> represent a range of views</w:t>
      </w:r>
      <w:r w:rsidR="00A619DC" w:rsidRPr="00530D57">
        <w:t xml:space="preserve">, affected communities and interest groups. </w:t>
      </w:r>
      <w:r w:rsidR="00CE30D4" w:rsidRPr="00530D57">
        <w:t xml:space="preserve">Many submitters </w:t>
      </w:r>
      <w:r w:rsidR="00DE0C29" w:rsidRPr="00530D57">
        <w:t>told us that hate crime causes</w:t>
      </w:r>
      <w:r w:rsidR="00CE30D4" w:rsidRPr="00530D57">
        <w:t xml:space="preserve"> serious social harm</w:t>
      </w:r>
      <w:r w:rsidR="00D755DD" w:rsidRPr="00530D57">
        <w:t xml:space="preserve">. </w:t>
      </w:r>
      <w:r w:rsidR="000730A9" w:rsidRPr="00530D57">
        <w:t>S</w:t>
      </w:r>
      <w:r w:rsidR="00806A25" w:rsidRPr="00530D57">
        <w:t xml:space="preserve">ubmitters also generally agreed </w:t>
      </w:r>
      <w:r w:rsidR="00090285" w:rsidRPr="00530D57">
        <w:t xml:space="preserve">that </w:t>
      </w:r>
      <w:r w:rsidR="00177A95" w:rsidRPr="00530D57">
        <w:t>several</w:t>
      </w:r>
      <w:r w:rsidR="00090285" w:rsidRPr="00530D57">
        <w:t xml:space="preserve"> factors need to be </w:t>
      </w:r>
      <w:r w:rsidR="003800E1" w:rsidRPr="00530D57">
        <w:t>weighed</w:t>
      </w:r>
      <w:r w:rsidR="00090285" w:rsidRPr="00530D57">
        <w:t xml:space="preserve"> in </w:t>
      </w:r>
      <w:r w:rsidR="00B962BC" w:rsidRPr="00530D57">
        <w:t xml:space="preserve">deciding whether reform is needed, although </w:t>
      </w:r>
      <w:r w:rsidR="006952F8" w:rsidRPr="00530D57">
        <w:t>there were some differences among submitters</w:t>
      </w:r>
      <w:r w:rsidR="00B962BC" w:rsidRPr="00530D57">
        <w:t xml:space="preserve"> on what those factors should be</w:t>
      </w:r>
      <w:r w:rsidR="00DB1BED" w:rsidRPr="00530D57">
        <w:t xml:space="preserve"> or how they should be applied</w:t>
      </w:r>
      <w:r w:rsidR="00B962BC" w:rsidRPr="00530D57">
        <w:t xml:space="preserve">. </w:t>
      </w:r>
      <w:r w:rsidR="008626EB" w:rsidRPr="00530D57">
        <w:t xml:space="preserve">Submitters were evenly divided on whether there are problems with the current law. </w:t>
      </w:r>
      <w:r w:rsidR="00A35B02" w:rsidRPr="00530D57">
        <w:t xml:space="preserve">Likewise, there was no consensus among submitters </w:t>
      </w:r>
      <w:r w:rsidR="00EB4C38" w:rsidRPr="00530D57">
        <w:t xml:space="preserve">on whether to adopt a new legal model for responding to hate crime. </w:t>
      </w:r>
      <w:r w:rsidR="004A1924" w:rsidRPr="00530D57">
        <w:t xml:space="preserve">In particular, there was no clear consensus among affected communities </w:t>
      </w:r>
      <w:r w:rsidR="009A1518" w:rsidRPr="00530D57">
        <w:t xml:space="preserve">that creating new hate crime offences would be the best approach. </w:t>
      </w:r>
    </w:p>
    <w:p w14:paraId="38DCBD48" w14:textId="2988DCED" w:rsidR="005B668E" w:rsidRPr="00530D57" w:rsidRDefault="00C32B6C" w:rsidP="005A2C0D">
      <w:pPr>
        <w:pStyle w:val="Heading2"/>
      </w:pPr>
      <w:bookmarkStart w:id="25" w:name="_Toc207093251"/>
      <w:r w:rsidRPr="00530D57">
        <w:t xml:space="preserve">Other </w:t>
      </w:r>
      <w:r w:rsidR="009C0C46" w:rsidRPr="00530D57">
        <w:t>issues raised by submitters</w:t>
      </w:r>
      <w:bookmarkEnd w:id="25"/>
    </w:p>
    <w:p w14:paraId="506FD43E" w14:textId="2932FF54" w:rsidR="0061162A" w:rsidRDefault="006E7C21" w:rsidP="00C6715F">
      <w:pPr>
        <w:pStyle w:val="Numberedpara"/>
      </w:pPr>
      <w:r w:rsidRPr="00530D57">
        <w:t xml:space="preserve">In addition to responses on the questions we asked, many submitters </w:t>
      </w:r>
      <w:r w:rsidR="0061162A" w:rsidRPr="00530D57">
        <w:t xml:space="preserve">commented on matters about the review more generally. </w:t>
      </w:r>
      <w:r w:rsidR="008C12D0" w:rsidRPr="00530D57">
        <w:t>This</w:t>
      </w:r>
      <w:r w:rsidR="0061162A" w:rsidRPr="00530D57">
        <w:t xml:space="preserve"> included:</w:t>
      </w:r>
    </w:p>
    <w:p w14:paraId="38994DF5" w14:textId="4A6DDA11" w:rsidR="00C6715F" w:rsidRPr="00530D57" w:rsidRDefault="072AAA7E" w:rsidP="00197568">
      <w:pPr>
        <w:pStyle w:val="Numberedpara"/>
        <w:numPr>
          <w:ilvl w:val="1"/>
          <w:numId w:val="26"/>
        </w:numPr>
      </w:pPr>
      <w:r w:rsidRPr="00530D57">
        <w:t>C</w:t>
      </w:r>
      <w:r w:rsidR="0B5B19B5" w:rsidRPr="00530D57">
        <w:t>oncern</w:t>
      </w:r>
      <w:r w:rsidRPr="00530D57">
        <w:t xml:space="preserve">s </w:t>
      </w:r>
      <w:r w:rsidR="006F5614" w:rsidRPr="00530D57">
        <w:t xml:space="preserve">that </w:t>
      </w:r>
      <w:r w:rsidR="55A30330" w:rsidRPr="00530D57">
        <w:t xml:space="preserve">the scope of our review </w:t>
      </w:r>
      <w:r w:rsidRPr="00530D57">
        <w:t>is</w:t>
      </w:r>
      <w:r w:rsidR="55A30330" w:rsidRPr="00530D57">
        <w:t xml:space="preserve"> too narrow </w:t>
      </w:r>
      <w:r w:rsidR="59D478B7" w:rsidRPr="00530D57">
        <w:t>because</w:t>
      </w:r>
      <w:r w:rsidRPr="00530D57">
        <w:t xml:space="preserve"> it does not</w:t>
      </w:r>
      <w:r w:rsidR="55A30330" w:rsidRPr="00530D57">
        <w:t xml:space="preserve"> include hate speech.</w:t>
      </w:r>
      <w:r w:rsidR="00C6715F" w:rsidRPr="00530D57">
        <w:rPr>
          <w:rStyle w:val="FootnoteReference"/>
        </w:rPr>
        <w:footnoteReference w:id="3"/>
      </w:r>
      <w:r w:rsidR="55A30330" w:rsidRPr="00530D57">
        <w:t xml:space="preserve"> Some </w:t>
      </w:r>
      <w:r w:rsidR="1112C0DC" w:rsidRPr="00530D57">
        <w:t>submitters</w:t>
      </w:r>
      <w:r w:rsidR="55A30330" w:rsidRPr="00530D57">
        <w:t xml:space="preserve"> emphasised that hate speech, including online hate, can lead to hate crimes. They felt that separating out hate speech and hate crime would leave a gap in the legal response.</w:t>
      </w:r>
    </w:p>
    <w:p w14:paraId="17759A55" w14:textId="337033AE" w:rsidR="00D42D4D" w:rsidRPr="00530D57" w:rsidRDefault="7748BD39" w:rsidP="00896331">
      <w:pPr>
        <w:pStyle w:val="Numberedpara"/>
        <w:numPr>
          <w:ilvl w:val="1"/>
          <w:numId w:val="71"/>
        </w:numPr>
      </w:pPr>
      <w:r w:rsidRPr="00530D57">
        <w:lastRenderedPageBreak/>
        <w:t>O</w:t>
      </w:r>
      <w:r w:rsidR="7587C1DD" w:rsidRPr="00530D57">
        <w:t xml:space="preserve">pposition </w:t>
      </w:r>
      <w:r w:rsidRPr="00530D57">
        <w:t>to hate crime laws in general</w:t>
      </w:r>
      <w:r w:rsidR="657BCCCF" w:rsidRPr="00530D57">
        <w:t>.</w:t>
      </w:r>
      <w:r w:rsidR="00D85462" w:rsidRPr="00530D57">
        <w:rPr>
          <w:rStyle w:val="FootnoteReference"/>
        </w:rPr>
        <w:footnoteReference w:id="4"/>
      </w:r>
      <w:r w:rsidRPr="00530D57">
        <w:t xml:space="preserve"> </w:t>
      </w:r>
      <w:r w:rsidR="7F97D981" w:rsidRPr="00530D57">
        <w:t>In many cases i</w:t>
      </w:r>
      <w:r w:rsidRPr="00530D57">
        <w:t>t was unclear whether these submitters opposed new hate crime laws, the existing aggravating factor in the Sentencing Act and/or hate speech laws.</w:t>
      </w:r>
    </w:p>
    <w:p w14:paraId="7CCD164F" w14:textId="1149B2BD" w:rsidR="00D85462" w:rsidRPr="00530D57" w:rsidRDefault="006A2965" w:rsidP="00896331">
      <w:pPr>
        <w:pStyle w:val="Numberedpara"/>
        <w:numPr>
          <w:ilvl w:val="1"/>
          <w:numId w:val="71"/>
        </w:numPr>
      </w:pPr>
      <w:r w:rsidRPr="00530D57">
        <w:t>Comments on</w:t>
      </w:r>
      <w:r w:rsidR="1C180B87" w:rsidRPr="00530D57">
        <w:t xml:space="preserve"> the subjectivity of the concept of ‘hate’ or the difficult</w:t>
      </w:r>
      <w:r w:rsidR="3F422C85" w:rsidRPr="00530D57">
        <w:t>y</w:t>
      </w:r>
      <w:r w:rsidR="1C180B87" w:rsidRPr="00530D57">
        <w:t xml:space="preserve"> o</w:t>
      </w:r>
      <w:r w:rsidR="3F422C85" w:rsidRPr="00530D57">
        <w:t>f</w:t>
      </w:r>
      <w:r w:rsidR="1C180B87" w:rsidRPr="00530D57">
        <w:t xml:space="preserve"> </w:t>
      </w:r>
      <w:r w:rsidR="3F422C85" w:rsidRPr="00530D57">
        <w:t>defining it</w:t>
      </w:r>
      <w:r w:rsidR="1C180B87" w:rsidRPr="00530D57">
        <w:t>.</w:t>
      </w:r>
      <w:r w:rsidR="00852482" w:rsidRPr="00530D57">
        <w:rPr>
          <w:rStyle w:val="FootnoteReference"/>
        </w:rPr>
        <w:footnoteReference w:id="5"/>
      </w:r>
      <w:r w:rsidR="1C180B87" w:rsidRPr="00530D57">
        <w:t xml:space="preserve"> Many saw this as a reason not to create hate crime offences, as the</w:t>
      </w:r>
      <w:r w:rsidR="3F422C85" w:rsidRPr="00530D57">
        <w:t xml:space="preserve"> offences</w:t>
      </w:r>
      <w:r w:rsidR="1C180B87" w:rsidRPr="00530D57">
        <w:t xml:space="preserve"> would likely be applied inconsistently and be open to misuse. Others suggested alternative language should be used instead of ‘hate’, such as hostility or prejudice.</w:t>
      </w:r>
    </w:p>
    <w:p w14:paraId="0E27CE10" w14:textId="542114BD" w:rsidR="00E126AA" w:rsidRPr="00530D57" w:rsidRDefault="008E1F6D" w:rsidP="00896331">
      <w:pPr>
        <w:pStyle w:val="Numberedpara"/>
        <w:numPr>
          <w:ilvl w:val="1"/>
          <w:numId w:val="71"/>
        </w:numPr>
      </w:pPr>
      <w:r w:rsidRPr="00530D57">
        <w:t>Comments on the need to address broader issues around social cohesion.</w:t>
      </w:r>
      <w:r w:rsidRPr="00530D57">
        <w:rPr>
          <w:rStyle w:val="FootnoteReference"/>
        </w:rPr>
        <w:footnoteReference w:id="6"/>
      </w:r>
      <w:r w:rsidR="00955EB4" w:rsidRPr="00530D57">
        <w:t xml:space="preserve"> </w:t>
      </w:r>
    </w:p>
    <w:p w14:paraId="04CCB7F0" w14:textId="4D2EBF8D" w:rsidR="008E1F6D" w:rsidRPr="00530D57" w:rsidRDefault="3EA8884D" w:rsidP="00896331">
      <w:pPr>
        <w:pStyle w:val="Numberedpara"/>
        <w:numPr>
          <w:ilvl w:val="1"/>
          <w:numId w:val="71"/>
        </w:numPr>
      </w:pPr>
      <w:r w:rsidRPr="00530D57">
        <w:t>The suggestion that the Royal Commission’s recommendation to create hate crime offences should not be given too much weight, given the narrow focus of the Royal Commission’s inquiry on the March 15 terrorist attacks.</w:t>
      </w:r>
      <w:r w:rsidR="008E1F6D" w:rsidRPr="00530D57">
        <w:rPr>
          <w:rStyle w:val="FootnoteReference"/>
        </w:rPr>
        <w:footnoteReference w:id="7"/>
      </w:r>
    </w:p>
    <w:p w14:paraId="50500DA8" w14:textId="55C099D8" w:rsidR="005B668E" w:rsidRPr="00530D57" w:rsidRDefault="00F812E8" w:rsidP="00294392">
      <w:pPr>
        <w:pStyle w:val="Heading2"/>
      </w:pPr>
      <w:bookmarkStart w:id="26" w:name="_Toc207093252"/>
      <w:r w:rsidRPr="00530D57">
        <w:t>Other feedback</w:t>
      </w:r>
      <w:r w:rsidR="006B5B99">
        <w:t xml:space="preserve"> collated by the free speech union</w:t>
      </w:r>
      <w:bookmarkEnd w:id="26"/>
    </w:p>
    <w:p w14:paraId="136471EF" w14:textId="40B20DD5" w:rsidR="00357AB4" w:rsidRPr="00530D57" w:rsidRDefault="00056A5D" w:rsidP="002F5E4F">
      <w:pPr>
        <w:pStyle w:val="Numberedpara"/>
        <w:sectPr w:rsidR="00357AB4" w:rsidRPr="00530D57" w:rsidSect="002D6D9B">
          <w:headerReference w:type="default" r:id="rId23"/>
          <w:footerReference w:type="default" r:id="rId24"/>
          <w:pgSz w:w="11906" w:h="16838" w:code="9"/>
          <w:pgMar w:top="1134" w:right="1134" w:bottom="1134" w:left="1701" w:header="499" w:footer="499" w:gutter="0"/>
          <w:cols w:space="720"/>
          <w:noEndnote/>
        </w:sectPr>
      </w:pPr>
      <w:r w:rsidRPr="00530D57">
        <w:t>W</w:t>
      </w:r>
      <w:r w:rsidR="00357AB4" w:rsidRPr="00530D57">
        <w:t xml:space="preserve">e </w:t>
      </w:r>
      <w:r w:rsidR="00244859" w:rsidRPr="00530D57">
        <w:t xml:space="preserve">also </w:t>
      </w:r>
      <w:r w:rsidRPr="00530D57">
        <w:t>received</w:t>
      </w:r>
      <w:r w:rsidR="00357AB4" w:rsidRPr="00530D57">
        <w:t xml:space="preserve"> </w:t>
      </w:r>
      <w:r w:rsidR="0041473E" w:rsidRPr="00530D57">
        <w:t xml:space="preserve">other </w:t>
      </w:r>
      <w:r w:rsidR="00357AB4" w:rsidRPr="00530D57">
        <w:t>feedback</w:t>
      </w:r>
      <w:r w:rsidR="00666798" w:rsidRPr="00530D57">
        <w:t xml:space="preserve"> in the form of template </w:t>
      </w:r>
      <w:r w:rsidR="00087115" w:rsidRPr="00530D57">
        <w:t xml:space="preserve">responses </w:t>
      </w:r>
      <w:r w:rsidR="00357AB4" w:rsidRPr="00530D57">
        <w:t xml:space="preserve">collated by </w:t>
      </w:r>
      <w:r w:rsidR="00432371" w:rsidRPr="00530D57">
        <w:t>the Free Speech Union</w:t>
      </w:r>
      <w:r w:rsidR="00357AB4" w:rsidRPr="00530D57">
        <w:t>.</w:t>
      </w:r>
      <w:r w:rsidR="00F41259" w:rsidRPr="00530D57">
        <w:t xml:space="preserve"> </w:t>
      </w:r>
      <w:r w:rsidR="00706271" w:rsidRPr="00530D57">
        <w:t>We</w:t>
      </w:r>
      <w:r w:rsidR="00706271" w:rsidRPr="00530D57" w:rsidDel="007D6AE5">
        <w:t xml:space="preserve"> </w:t>
      </w:r>
      <w:r w:rsidR="007D6AE5" w:rsidRPr="00530D57">
        <w:t xml:space="preserve">summarise </w:t>
      </w:r>
      <w:r w:rsidR="004A4AC2" w:rsidRPr="00530D57">
        <w:t>this feedback</w:t>
      </w:r>
      <w:r w:rsidR="00706271" w:rsidRPr="00530D57">
        <w:t xml:space="preserve"> separately in </w:t>
      </w:r>
      <w:r w:rsidR="006C3552" w:rsidRPr="00530D57">
        <w:t xml:space="preserve">Appendix </w:t>
      </w:r>
      <w:r w:rsidR="008708CD" w:rsidRPr="00530D57">
        <w:t>2</w:t>
      </w:r>
      <w:r w:rsidR="00E311E8" w:rsidRPr="00530D57">
        <w:t xml:space="preserve">. </w:t>
      </w:r>
    </w:p>
    <w:bookmarkStart w:id="27" w:name="_Toc207093253"/>
    <w:p w14:paraId="5CBF54F2" w14:textId="0C1FE8E8" w:rsidR="00A727A9" w:rsidRPr="00530D57" w:rsidRDefault="00E42365" w:rsidP="00E42365">
      <w:pPr>
        <w:pStyle w:val="Heading1"/>
        <w:spacing w:before="480"/>
      </w:pPr>
      <w:r w:rsidRPr="00530D57">
        <w:rPr>
          <w:rFonts w:asciiTheme="minorHAnsi" w:hAnsiTheme="minorHAnsi"/>
          <w:noProof/>
          <w:lang w:eastAsia="en-NZ"/>
        </w:rPr>
        <w:lastRenderedPageBreak/>
        <mc:AlternateContent>
          <mc:Choice Requires="wpg">
            <w:drawing>
              <wp:anchor distT="0" distB="0" distL="114300" distR="114300" simplePos="0" relativeHeight="251658249" behindDoc="1" locked="0" layoutInCell="1" allowOverlap="1" wp14:anchorId="4881AB05" wp14:editId="3C1FFD9D">
                <wp:simplePos x="0" y="0"/>
                <wp:positionH relativeFrom="page">
                  <wp:posOffset>1080135</wp:posOffset>
                </wp:positionH>
                <wp:positionV relativeFrom="paragraph">
                  <wp:posOffset>957996</wp:posOffset>
                </wp:positionV>
                <wp:extent cx="1332230" cy="1270"/>
                <wp:effectExtent l="0" t="19050" r="20320" b="17780"/>
                <wp:wrapNone/>
                <wp:docPr id="1526865130" name="Group 1526865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417" y="535"/>
                          <a:chExt cx="2098" cy="2"/>
                        </a:xfrm>
                      </wpg:grpSpPr>
                      <wps:wsp>
                        <wps:cNvPr id="1864930799" name="Freeform 3"/>
                        <wps:cNvSpPr>
                          <a:spLocks/>
                        </wps:cNvSpPr>
                        <wps:spPr bwMode="auto">
                          <a:xfrm>
                            <a:off x="1417" y="535"/>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73AB6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CA59BB" id="Group 1526865130" o:spid="_x0000_s1026" style="position:absolute;margin-left:85.05pt;margin-top:75.45pt;width:104.9pt;height:.1pt;z-index:-251658231;mso-position-horizontal-relative:page" coordorigin="1417,535"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">
                <v:shape id="Freeform 3" o:spid="_x0000_s1027" style="position:absolute;left:1417;top:535;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" path="m,l2098,e" filled="f" strokecolor="#73ab6e" strokeweight="3pt">
                  <v:path arrowok="t" o:connecttype="custom" o:connectlocs="0,0;2098,0" o:connectangles="0,0"/>
                </v:shape>
                <w10:wrap anchorx="page"/>
              </v:group>
            </w:pict>
          </mc:Fallback>
        </mc:AlternateContent>
      </w:r>
      <w:r w:rsidR="00F7137F" w:rsidRPr="00530D57">
        <w:t>H</w:t>
      </w:r>
      <w:r w:rsidR="00A727A9" w:rsidRPr="00530D57">
        <w:t>ate crime and its impacts</w:t>
      </w:r>
      <w:bookmarkEnd w:id="27"/>
    </w:p>
    <w:p w14:paraId="476542D8" w14:textId="310D3406" w:rsidR="00E42365" w:rsidRDefault="00E42365" w:rsidP="00E42365">
      <w:pPr>
        <w:rPr>
          <w:rFonts w:eastAsia="Times New Roman"/>
          <w:lang w:eastAsia="en-AU"/>
        </w:rPr>
      </w:pPr>
    </w:p>
    <w:p w14:paraId="271A7B8F" w14:textId="70AD676A" w:rsidR="00420123" w:rsidRPr="00530D57" w:rsidRDefault="007A2415" w:rsidP="00420123">
      <w:pPr>
        <w:keepNext/>
        <w:spacing w:before="360" w:after="200"/>
        <w:outlineLvl w:val="1"/>
        <w:rPr>
          <w:rFonts w:ascii="Metropolis" w:eastAsia="Times New Roman" w:hAnsi="Metropolis" w:cs="Times New Roman"/>
          <w:b/>
          <w:caps/>
          <w:color w:val="73AB6E"/>
          <w:sz w:val="22"/>
          <w:szCs w:val="24"/>
          <w:lang w:eastAsia="en-AU"/>
        </w:rPr>
      </w:pPr>
      <w:bookmarkStart w:id="28" w:name="_Toc206755177"/>
      <w:bookmarkStart w:id="29" w:name="_Toc207093254"/>
      <w:r w:rsidRPr="00530D57">
        <w:rPr>
          <w:rFonts w:ascii="Metropolis" w:eastAsia="Times New Roman" w:hAnsi="Metropolis" w:cs="Times New Roman"/>
          <w:b/>
          <w:caps/>
          <w:color w:val="73AB6E"/>
          <w:sz w:val="22"/>
          <w:szCs w:val="24"/>
          <w:lang w:eastAsia="en-AU"/>
        </w:rPr>
        <w:t>Overview</w:t>
      </w:r>
      <w:bookmarkEnd w:id="28"/>
      <w:bookmarkEnd w:id="29"/>
    </w:p>
    <w:p w14:paraId="0B46C36D" w14:textId="77777777" w:rsidR="00A639FD" w:rsidRPr="00530D57" w:rsidRDefault="007A2415" w:rsidP="00E04E60">
      <w:pPr>
        <w:pStyle w:val="Numberedpara"/>
        <w:rPr>
          <w:rFonts w:ascii="Metropolis" w:eastAsia="Times New Roman" w:hAnsi="Metropolis" w:cs="Times New Roman"/>
          <w:b/>
          <w:color w:val="73AB6E"/>
          <w:sz w:val="22"/>
          <w:szCs w:val="24"/>
          <w:lang w:eastAsia="en-AU"/>
        </w:rPr>
      </w:pPr>
      <w:r w:rsidRPr="00530D57">
        <w:rPr>
          <w:rFonts w:eastAsia="Times New Roman"/>
          <w:lang w:eastAsia="en-AU"/>
        </w:rPr>
        <w:t>In this section we summarise responses to Question 1</w:t>
      </w:r>
      <w:r w:rsidR="00975C82" w:rsidRPr="00530D57">
        <w:rPr>
          <w:rFonts w:eastAsia="Times New Roman"/>
          <w:lang w:eastAsia="en-AU"/>
        </w:rPr>
        <w:t>, which</w:t>
      </w:r>
      <w:r w:rsidRPr="00530D57">
        <w:rPr>
          <w:rFonts w:eastAsia="Times New Roman"/>
          <w:lang w:eastAsia="en-AU"/>
        </w:rPr>
        <w:t xml:space="preserve"> </w:t>
      </w:r>
      <w:r w:rsidR="001D58A3" w:rsidRPr="00530D57">
        <w:rPr>
          <w:rFonts w:eastAsia="Times New Roman"/>
          <w:lang w:eastAsia="en-AU"/>
        </w:rPr>
        <w:t xml:space="preserve">sought general feedback about hate crime occurring in Aotearoa New Zealand and its impacts. </w:t>
      </w:r>
      <w:r w:rsidR="00420123" w:rsidRPr="00530D57">
        <w:t>Fifty-three submi</w:t>
      </w:r>
      <w:r w:rsidR="009D3296" w:rsidRPr="00530D57">
        <w:t>tters</w:t>
      </w:r>
      <w:r w:rsidR="00420123" w:rsidRPr="00530D57">
        <w:t xml:space="preserve"> discussed </w:t>
      </w:r>
      <w:r w:rsidR="00A34CE9" w:rsidRPr="00530D57">
        <w:t>this topic</w:t>
      </w:r>
      <w:r w:rsidR="00420123" w:rsidRPr="00530D57">
        <w:t>.</w:t>
      </w:r>
    </w:p>
    <w:p w14:paraId="1033128B" w14:textId="75745751" w:rsidR="00420123" w:rsidRPr="00530D57" w:rsidRDefault="00845D22" w:rsidP="00295858">
      <w:pPr>
        <w:keepNext/>
        <w:spacing w:before="200" w:after="200"/>
        <w:outlineLvl w:val="2"/>
        <w:rPr>
          <w:rFonts w:ascii="Metropolis" w:eastAsia="Times New Roman" w:hAnsi="Metropolis" w:cs="Times New Roman"/>
          <w:b/>
          <w:color w:val="73AB6E"/>
          <w:sz w:val="22"/>
          <w:szCs w:val="24"/>
          <w:lang w:eastAsia="en-AU"/>
        </w:rPr>
      </w:pPr>
      <w:r w:rsidRPr="00530D57">
        <w:rPr>
          <w:rFonts w:ascii="Metropolis" w:eastAsia="Times New Roman" w:hAnsi="Metropolis" w:cs="Times New Roman"/>
          <w:b/>
          <w:color w:val="73AB6E"/>
          <w:sz w:val="22"/>
          <w:szCs w:val="24"/>
          <w:lang w:eastAsia="en-AU"/>
        </w:rPr>
        <w:t>Nature of hate crime</w:t>
      </w:r>
    </w:p>
    <w:p w14:paraId="3F60BF95" w14:textId="3B60B46D" w:rsidR="00420123" w:rsidRPr="00530D57" w:rsidRDefault="56C05F68" w:rsidP="00EF71D7">
      <w:pPr>
        <w:pStyle w:val="Numberedpara"/>
      </w:pPr>
      <w:r w:rsidRPr="00530D57">
        <w:t>Eleven</w:t>
      </w:r>
      <w:r w:rsidR="122D5ED8" w:rsidRPr="00530D57">
        <w:t xml:space="preserve"> submitters discussed the nature of hate crime.</w:t>
      </w:r>
      <w:r w:rsidR="00420123" w:rsidRPr="00530D57">
        <w:rPr>
          <w:color w:val="262626" w:themeColor="text1" w:themeTint="D9"/>
          <w:sz w:val="18"/>
          <w:szCs w:val="18"/>
          <w:vertAlign w:val="superscript"/>
        </w:rPr>
        <w:footnoteReference w:id="8"/>
      </w:r>
      <w:r w:rsidR="122D5ED8" w:rsidRPr="00530D57">
        <w:t xml:space="preserve"> </w:t>
      </w:r>
      <w:r w:rsidR="374E5093" w:rsidRPr="00530D57">
        <w:t>S</w:t>
      </w:r>
      <w:r w:rsidR="2D36FB58" w:rsidRPr="00530D57">
        <w:t>ome s</w:t>
      </w:r>
      <w:r w:rsidR="374E5093" w:rsidRPr="00530D57">
        <w:t xml:space="preserve">ubmitters commented </w:t>
      </w:r>
      <w:r w:rsidR="7A2F75F8" w:rsidRPr="00530D57">
        <w:t xml:space="preserve">that </w:t>
      </w:r>
      <w:r w:rsidR="122D5ED8" w:rsidRPr="00530D57">
        <w:t xml:space="preserve">hate crimes are unique in </w:t>
      </w:r>
      <w:r w:rsidR="50CBB4ED" w:rsidRPr="00530D57">
        <w:t>their</w:t>
      </w:r>
      <w:r w:rsidR="122D5ED8" w:rsidRPr="00530D57">
        <w:t xml:space="preserve"> target</w:t>
      </w:r>
      <w:r w:rsidR="50CBB4ED" w:rsidRPr="00530D57">
        <w:t>ing of</w:t>
      </w:r>
      <w:r w:rsidR="122D5ED8" w:rsidRPr="00530D57">
        <w:t xml:space="preserve"> a particular group or community</w:t>
      </w:r>
      <w:r w:rsidR="5195D8B5" w:rsidRPr="00530D57">
        <w:t>,</w:t>
      </w:r>
      <w:r w:rsidR="00420123" w:rsidRPr="00530D57">
        <w:rPr>
          <w:color w:val="262626" w:themeColor="text1" w:themeTint="D9"/>
          <w:sz w:val="18"/>
          <w:szCs w:val="18"/>
          <w:vertAlign w:val="superscript"/>
        </w:rPr>
        <w:footnoteReference w:id="9"/>
      </w:r>
      <w:r w:rsidR="122D5ED8" w:rsidRPr="00530D57">
        <w:t xml:space="preserve"> </w:t>
      </w:r>
      <w:r w:rsidR="7A2F75F8" w:rsidRPr="00530D57">
        <w:t xml:space="preserve">and </w:t>
      </w:r>
      <w:r w:rsidR="122D5ED8" w:rsidRPr="00530D57">
        <w:t xml:space="preserve">that </w:t>
      </w:r>
      <w:r w:rsidR="147CCCE1" w:rsidRPr="00530D57">
        <w:t>they</w:t>
      </w:r>
      <w:r w:rsidR="122D5ED8" w:rsidRPr="00530D57">
        <w:t xml:space="preserve"> are about power and putting vulnerable people in their place.</w:t>
      </w:r>
      <w:r w:rsidR="00420123" w:rsidRPr="00530D57">
        <w:rPr>
          <w:color w:val="262626" w:themeColor="text1" w:themeTint="D9"/>
          <w:sz w:val="18"/>
          <w:szCs w:val="18"/>
          <w:vertAlign w:val="superscript"/>
        </w:rPr>
        <w:footnoteReference w:id="10"/>
      </w:r>
      <w:r w:rsidR="122D5ED8" w:rsidRPr="00530D57">
        <w:t xml:space="preserve"> </w:t>
      </w:r>
      <w:r w:rsidR="0DBD2AA8" w:rsidRPr="00530D57">
        <w:t>Submitters also said that</w:t>
      </w:r>
      <w:r w:rsidR="0B2DCEFA" w:rsidRPr="00530D57">
        <w:t xml:space="preserve"> </w:t>
      </w:r>
      <w:r w:rsidR="00773521" w:rsidRPr="00773521">
        <w:t>Nga Pirihimana O Aotearoa</w:t>
      </w:r>
      <w:r w:rsidR="00773521">
        <w:t xml:space="preserve"> </w:t>
      </w:r>
      <w:r w:rsidR="00773521" w:rsidRPr="00773521">
        <w:t>| New Zealand</w:t>
      </w:r>
      <w:r w:rsidR="00773521">
        <w:t xml:space="preserve"> </w:t>
      </w:r>
      <w:r w:rsidR="122D5ED8" w:rsidRPr="00530D57">
        <w:t xml:space="preserve">Police statistics on hate crime are useful to understand the nature of hate crime </w:t>
      </w:r>
      <w:r w:rsidR="4C58737E" w:rsidRPr="00530D57">
        <w:t xml:space="preserve">occurring </w:t>
      </w:r>
      <w:r w:rsidR="122D5ED8" w:rsidRPr="00530D57">
        <w:t>in Aotearoa New Zealand.</w:t>
      </w:r>
      <w:r w:rsidR="00420123" w:rsidRPr="00530D57">
        <w:rPr>
          <w:color w:val="262626" w:themeColor="text1" w:themeTint="D9"/>
          <w:sz w:val="18"/>
          <w:szCs w:val="18"/>
          <w:vertAlign w:val="superscript"/>
        </w:rPr>
        <w:footnoteReference w:id="11"/>
      </w:r>
    </w:p>
    <w:p w14:paraId="7DA29F6D" w14:textId="7DD76FA7" w:rsidR="00420123" w:rsidRPr="00530D57" w:rsidRDefault="005A5204" w:rsidP="00420123">
      <w:pPr>
        <w:keepNext/>
        <w:spacing w:before="200" w:after="200"/>
        <w:outlineLvl w:val="2"/>
        <w:rPr>
          <w:rFonts w:ascii="Metropolis" w:eastAsia="Times New Roman" w:hAnsi="Metropolis" w:cs="Times New Roman"/>
          <w:b/>
          <w:color w:val="73AB6E"/>
          <w:sz w:val="22"/>
          <w:szCs w:val="24"/>
          <w:lang w:eastAsia="en-AU"/>
        </w:rPr>
      </w:pPr>
      <w:r w:rsidRPr="00530D57">
        <w:rPr>
          <w:rFonts w:ascii="Metropolis" w:eastAsia="Times New Roman" w:hAnsi="Metropolis" w:cs="Times New Roman"/>
          <w:b/>
          <w:color w:val="73AB6E"/>
          <w:sz w:val="22"/>
          <w:szCs w:val="24"/>
          <w:lang w:eastAsia="en-AU"/>
        </w:rPr>
        <w:t>I</w:t>
      </w:r>
      <w:r w:rsidR="00420123" w:rsidRPr="00530D57">
        <w:rPr>
          <w:rFonts w:ascii="Metropolis" w:eastAsia="Times New Roman" w:hAnsi="Metropolis" w:cs="Times New Roman"/>
          <w:b/>
          <w:color w:val="73AB6E"/>
          <w:sz w:val="22"/>
          <w:szCs w:val="24"/>
          <w:lang w:eastAsia="en-AU"/>
        </w:rPr>
        <w:t>mpact</w:t>
      </w:r>
      <w:r w:rsidR="009F3843" w:rsidRPr="00530D57">
        <w:rPr>
          <w:rFonts w:ascii="Metropolis" w:eastAsia="Times New Roman" w:hAnsi="Metropolis" w:cs="Times New Roman"/>
          <w:b/>
          <w:color w:val="73AB6E"/>
          <w:sz w:val="22"/>
          <w:szCs w:val="24"/>
          <w:lang w:eastAsia="en-AU"/>
        </w:rPr>
        <w:t>s</w:t>
      </w:r>
      <w:r w:rsidR="00420123" w:rsidRPr="00530D57">
        <w:rPr>
          <w:rFonts w:ascii="Metropolis" w:eastAsia="Times New Roman" w:hAnsi="Metropolis" w:cs="Times New Roman"/>
          <w:b/>
          <w:color w:val="73AB6E"/>
          <w:sz w:val="22"/>
          <w:szCs w:val="24"/>
          <w:lang w:eastAsia="en-AU"/>
        </w:rPr>
        <w:t xml:space="preserve"> of hate crimes </w:t>
      </w:r>
    </w:p>
    <w:p w14:paraId="239D4C91" w14:textId="3CCEFF0B" w:rsidR="00420123" w:rsidRPr="00530D57" w:rsidRDefault="122D5ED8" w:rsidP="002F5E4F">
      <w:pPr>
        <w:pStyle w:val="Numberedpara"/>
      </w:pPr>
      <w:r w:rsidRPr="00530D57">
        <w:t>Nineteen submi</w:t>
      </w:r>
      <w:r w:rsidR="5E52499D" w:rsidRPr="00530D57">
        <w:t>tters</w:t>
      </w:r>
      <w:r w:rsidRPr="00530D57">
        <w:t xml:space="preserve"> discussed the impact of hate crimes</w:t>
      </w:r>
      <w:r w:rsidR="54F786A6" w:rsidRPr="00530D57">
        <w:t>, commenting</w:t>
      </w:r>
      <w:r w:rsidRPr="00530D57">
        <w:t xml:space="preserve"> that</w:t>
      </w:r>
      <w:r w:rsidR="54F786A6" w:rsidRPr="00530D57">
        <w:t>:</w:t>
      </w:r>
      <w:r w:rsidR="00420123" w:rsidRPr="00530D57">
        <w:rPr>
          <w:color w:val="262626" w:themeColor="text1" w:themeTint="D9"/>
          <w:sz w:val="18"/>
          <w:szCs w:val="18"/>
          <w:vertAlign w:val="superscript"/>
        </w:rPr>
        <w:footnoteReference w:id="12"/>
      </w:r>
    </w:p>
    <w:p w14:paraId="648F2772" w14:textId="1EAAA163" w:rsidR="00420123" w:rsidRPr="00530D57" w:rsidRDefault="00420123" w:rsidP="00896331">
      <w:pPr>
        <w:pStyle w:val="Numberedpara"/>
        <w:numPr>
          <w:ilvl w:val="1"/>
          <w:numId w:val="71"/>
        </w:numPr>
      </w:pPr>
      <w:r w:rsidRPr="00530D57">
        <w:t>Hate crimes harm individual victim</w:t>
      </w:r>
      <w:r w:rsidR="00AA59B9" w:rsidRPr="00530D57">
        <w:t>s</w:t>
      </w:r>
      <w:r w:rsidRPr="00530D57">
        <w:t>.</w:t>
      </w:r>
      <w:r w:rsidRPr="00530D57">
        <w:rPr>
          <w:color w:val="262626" w:themeColor="text1" w:themeTint="D9"/>
          <w:sz w:val="18"/>
          <w:szCs w:val="18"/>
          <w:vertAlign w:val="superscript"/>
        </w:rPr>
        <w:footnoteReference w:id="13"/>
      </w:r>
      <w:r w:rsidRPr="00530D57">
        <w:t xml:space="preserve"> This might be physical, emotional or economic harm.</w:t>
      </w:r>
      <w:r w:rsidRPr="00530D57">
        <w:rPr>
          <w:color w:val="262626" w:themeColor="text1" w:themeTint="D9"/>
          <w:sz w:val="18"/>
          <w:szCs w:val="18"/>
          <w:vertAlign w:val="superscript"/>
        </w:rPr>
        <w:footnoteReference w:id="14"/>
      </w:r>
      <w:r w:rsidRPr="00530D57">
        <w:t xml:space="preserve"> </w:t>
      </w:r>
      <w:r w:rsidR="00146CD4" w:rsidRPr="00530D57">
        <w:t>V</w:t>
      </w:r>
      <w:r w:rsidRPr="00530D57">
        <w:t>ictim</w:t>
      </w:r>
      <w:r w:rsidR="00146CD4" w:rsidRPr="00530D57">
        <w:t>s</w:t>
      </w:r>
      <w:r w:rsidRPr="00530D57">
        <w:t xml:space="preserve"> may feel unsafe in the future</w:t>
      </w:r>
      <w:r w:rsidRPr="00530D57">
        <w:rPr>
          <w:color w:val="262626" w:themeColor="text1" w:themeTint="D9"/>
          <w:sz w:val="18"/>
          <w:szCs w:val="18"/>
          <w:vertAlign w:val="superscript"/>
        </w:rPr>
        <w:footnoteReference w:id="15"/>
      </w:r>
      <w:r w:rsidRPr="00530D57">
        <w:t xml:space="preserve"> or modify their behaviour</w:t>
      </w:r>
      <w:r w:rsidR="00280003" w:rsidRPr="00530D57">
        <w:t xml:space="preserve"> in response to </w:t>
      </w:r>
      <w:r w:rsidR="006139F2" w:rsidRPr="00530D57">
        <w:t>hate crime</w:t>
      </w:r>
      <w:r w:rsidRPr="00530D57">
        <w:t>.</w:t>
      </w:r>
      <w:r w:rsidRPr="00530D57">
        <w:rPr>
          <w:color w:val="262626" w:themeColor="text1" w:themeTint="D9"/>
          <w:sz w:val="18"/>
          <w:szCs w:val="18"/>
          <w:vertAlign w:val="superscript"/>
        </w:rPr>
        <w:footnoteReference w:id="16"/>
      </w:r>
      <w:r w:rsidRPr="00530D57">
        <w:t xml:space="preserve">  </w:t>
      </w:r>
    </w:p>
    <w:p w14:paraId="62E93946" w14:textId="7B357AD5" w:rsidR="00420123" w:rsidRPr="00530D57" w:rsidRDefault="3FF010E6" w:rsidP="00896331">
      <w:pPr>
        <w:pStyle w:val="Numberedpara"/>
        <w:numPr>
          <w:ilvl w:val="1"/>
          <w:numId w:val="71"/>
        </w:numPr>
      </w:pPr>
      <w:r w:rsidRPr="00530D57">
        <w:lastRenderedPageBreak/>
        <w:t xml:space="preserve">Hate crimes </w:t>
      </w:r>
      <w:r w:rsidR="42F830A4" w:rsidRPr="00530D57">
        <w:t>affect</w:t>
      </w:r>
      <w:r w:rsidR="63CED1F8" w:rsidRPr="00530D57">
        <w:t xml:space="preserve"> the </w:t>
      </w:r>
      <w:r w:rsidR="39BE2428" w:rsidRPr="00530D57">
        <w:t>community to which an individual victim belongs</w:t>
      </w:r>
      <w:r w:rsidR="42F830A4" w:rsidRPr="00530D57">
        <w:t>.</w:t>
      </w:r>
      <w:r w:rsidR="00420123" w:rsidRPr="00530D57">
        <w:rPr>
          <w:color w:val="262626" w:themeColor="text1" w:themeTint="D9"/>
          <w:sz w:val="18"/>
          <w:szCs w:val="18"/>
          <w:vertAlign w:val="superscript"/>
        </w:rPr>
        <w:footnoteReference w:id="17"/>
      </w:r>
      <w:r w:rsidR="122D5ED8" w:rsidRPr="00530D57">
        <w:t xml:space="preserve"> Hate crimes cause the targeted community to feel fearful, anxious and angry.</w:t>
      </w:r>
      <w:r w:rsidR="00420123" w:rsidRPr="00530D57">
        <w:rPr>
          <w:color w:val="262626" w:themeColor="text1" w:themeTint="D9"/>
          <w:sz w:val="18"/>
          <w:szCs w:val="18"/>
          <w:vertAlign w:val="superscript"/>
        </w:rPr>
        <w:footnoteReference w:id="18"/>
      </w:r>
      <w:r w:rsidR="122D5ED8" w:rsidRPr="00530D57">
        <w:t xml:space="preserve"> This can cause the community to decrease their public presence and their voice.</w:t>
      </w:r>
      <w:r w:rsidR="00420123" w:rsidRPr="00530D57">
        <w:rPr>
          <w:color w:val="262626" w:themeColor="text1" w:themeTint="D9"/>
          <w:sz w:val="18"/>
          <w:szCs w:val="18"/>
          <w:vertAlign w:val="superscript"/>
        </w:rPr>
        <w:footnoteReference w:id="19"/>
      </w:r>
      <w:r w:rsidR="122D5ED8" w:rsidRPr="00530D57">
        <w:t xml:space="preserve"> It can erode the community’s ability to safely practice their culture and religion.</w:t>
      </w:r>
      <w:r w:rsidR="00420123" w:rsidRPr="00530D57">
        <w:rPr>
          <w:color w:val="262626" w:themeColor="text1" w:themeTint="D9"/>
          <w:sz w:val="18"/>
          <w:szCs w:val="18"/>
          <w:vertAlign w:val="superscript"/>
        </w:rPr>
        <w:footnoteReference w:id="20"/>
      </w:r>
      <w:r w:rsidR="122D5ED8" w:rsidRPr="00530D57">
        <w:t xml:space="preserve"> From a</w:t>
      </w:r>
      <w:r w:rsidR="394D2197" w:rsidRPr="00530D57">
        <w:t>n</w:t>
      </w:r>
      <w:r w:rsidR="122D5ED8" w:rsidRPr="00530D57">
        <w:t xml:space="preserve"> ao Māori perspective, hate crimes are a serious transgression of tikanga that has spiritual and wellbeing impacts </w:t>
      </w:r>
      <w:r w:rsidR="394D2197" w:rsidRPr="00530D57">
        <w:t xml:space="preserve">on </w:t>
      </w:r>
      <w:r w:rsidR="122D5ED8" w:rsidRPr="00530D57">
        <w:t>the wider whānau, hapū, iwi and hapori.</w:t>
      </w:r>
      <w:r w:rsidR="00420123" w:rsidRPr="00530D57">
        <w:rPr>
          <w:color w:val="262626" w:themeColor="text1" w:themeTint="D9"/>
          <w:sz w:val="18"/>
          <w:szCs w:val="18"/>
          <w:vertAlign w:val="superscript"/>
        </w:rPr>
        <w:footnoteReference w:id="21"/>
      </w:r>
    </w:p>
    <w:p w14:paraId="28470BBF" w14:textId="13B29E66" w:rsidR="00420123" w:rsidRPr="00530D57" w:rsidRDefault="122D5ED8" w:rsidP="00896331">
      <w:pPr>
        <w:pStyle w:val="Numberedpara"/>
        <w:numPr>
          <w:ilvl w:val="1"/>
          <w:numId w:val="71"/>
        </w:numPr>
      </w:pPr>
      <w:r w:rsidRPr="00530D57">
        <w:t>Hate crimes can cause wider social harm.</w:t>
      </w:r>
      <w:r w:rsidR="00420123" w:rsidRPr="00530D57">
        <w:rPr>
          <w:color w:val="262626" w:themeColor="text1" w:themeTint="D9"/>
          <w:sz w:val="18"/>
          <w:szCs w:val="18"/>
          <w:vertAlign w:val="superscript"/>
        </w:rPr>
        <w:footnoteReference w:id="22"/>
      </w:r>
      <w:r w:rsidRPr="00530D57">
        <w:t xml:space="preserve"> They can undermine liberal democracy and the participation of minority groups in society.</w:t>
      </w:r>
      <w:r w:rsidR="00420123" w:rsidRPr="00530D57">
        <w:rPr>
          <w:color w:val="262626" w:themeColor="text1" w:themeTint="D9"/>
          <w:sz w:val="18"/>
          <w:szCs w:val="18"/>
          <w:vertAlign w:val="superscript"/>
        </w:rPr>
        <w:footnoteReference w:id="23"/>
      </w:r>
      <w:r w:rsidRPr="00530D57">
        <w:t xml:space="preserve"> They can cause minority groups to disengage in civic participation.</w:t>
      </w:r>
      <w:r w:rsidR="00420123" w:rsidRPr="00530D57">
        <w:rPr>
          <w:color w:val="262626" w:themeColor="text1" w:themeTint="D9"/>
          <w:sz w:val="18"/>
          <w:szCs w:val="18"/>
          <w:vertAlign w:val="superscript"/>
        </w:rPr>
        <w:footnoteReference w:id="24"/>
      </w:r>
      <w:r w:rsidRPr="00530D57">
        <w:t xml:space="preserve"> They can also undermine people’s confidence in Police and legal institutions.</w:t>
      </w:r>
      <w:r w:rsidR="00420123" w:rsidRPr="00530D57">
        <w:rPr>
          <w:color w:val="262626" w:themeColor="text1" w:themeTint="D9"/>
          <w:sz w:val="18"/>
          <w:szCs w:val="18"/>
          <w:vertAlign w:val="superscript"/>
        </w:rPr>
        <w:footnoteReference w:id="25"/>
      </w:r>
      <w:r w:rsidRPr="00530D57">
        <w:t xml:space="preserve"> </w:t>
      </w:r>
      <w:r w:rsidR="0B1B555F" w:rsidRPr="00530D57">
        <w:t>Hate crimes attack or call into question our diverse and inclusive society.</w:t>
      </w:r>
      <w:r w:rsidR="00B8240B" w:rsidRPr="00530D57">
        <w:rPr>
          <w:color w:val="262626" w:themeColor="text1" w:themeTint="D9"/>
          <w:sz w:val="18"/>
          <w:szCs w:val="18"/>
          <w:vertAlign w:val="superscript"/>
        </w:rPr>
        <w:footnoteReference w:id="26"/>
      </w:r>
      <w:r w:rsidR="0B1B555F" w:rsidRPr="00530D57">
        <w:t xml:space="preserve"> They can divide communities and exacerbate tensions between groups.</w:t>
      </w:r>
      <w:r w:rsidR="00B8240B" w:rsidRPr="00530D57">
        <w:rPr>
          <w:color w:val="262626" w:themeColor="text1" w:themeTint="D9"/>
          <w:sz w:val="18"/>
          <w:szCs w:val="18"/>
          <w:vertAlign w:val="superscript"/>
        </w:rPr>
        <w:footnoteReference w:id="27"/>
      </w:r>
      <w:r w:rsidR="0B1B555F" w:rsidRPr="00530D57">
        <w:t xml:space="preserve"> </w:t>
      </w:r>
    </w:p>
    <w:p w14:paraId="663A3AD0" w14:textId="77777777" w:rsidR="00420123" w:rsidRPr="00530D57" w:rsidRDefault="00420123" w:rsidP="00420123">
      <w:pPr>
        <w:keepNext/>
        <w:spacing w:before="200" w:after="200"/>
        <w:outlineLvl w:val="2"/>
        <w:rPr>
          <w:rFonts w:ascii="Metropolis" w:eastAsia="Times New Roman" w:hAnsi="Metropolis" w:cs="Times New Roman"/>
          <w:b/>
          <w:color w:val="73AB6E"/>
          <w:sz w:val="22"/>
          <w:szCs w:val="24"/>
          <w:lang w:eastAsia="en-AU"/>
        </w:rPr>
      </w:pPr>
      <w:r w:rsidRPr="00530D57">
        <w:rPr>
          <w:rFonts w:ascii="Metropolis" w:eastAsia="Times New Roman" w:hAnsi="Metropolis" w:cs="Times New Roman"/>
          <w:b/>
          <w:color w:val="73AB6E"/>
          <w:sz w:val="22"/>
          <w:szCs w:val="24"/>
          <w:lang w:eastAsia="en-AU"/>
        </w:rPr>
        <w:t>Hate crime in Aotearoa New Zealand</w:t>
      </w:r>
    </w:p>
    <w:p w14:paraId="62EF2F87" w14:textId="366BC7D4" w:rsidR="00420123" w:rsidRPr="00530D57" w:rsidRDefault="00420123" w:rsidP="00420123">
      <w:pPr>
        <w:keepNext/>
        <w:spacing w:before="200" w:after="200"/>
        <w:outlineLvl w:val="3"/>
        <w:rPr>
          <w:rFonts w:ascii="Metropolis" w:eastAsia="Times New Roman" w:hAnsi="Metropolis" w:cs="Times New Roman"/>
          <w:b/>
          <w:i/>
          <w:color w:val="73AB6E"/>
          <w:szCs w:val="24"/>
          <w:lang w:eastAsia="en-AU"/>
        </w:rPr>
      </w:pPr>
      <w:r w:rsidRPr="00530D57">
        <w:rPr>
          <w:rFonts w:ascii="Metropolis" w:eastAsia="Times New Roman" w:hAnsi="Metropolis" w:cs="Times New Roman"/>
          <w:b/>
          <w:i/>
          <w:color w:val="73AB6E"/>
          <w:szCs w:val="24"/>
          <w:lang w:eastAsia="en-AU"/>
        </w:rPr>
        <w:t>Prevalence of hate crime</w:t>
      </w:r>
      <w:r w:rsidR="0029616C" w:rsidRPr="00530D57">
        <w:rPr>
          <w:rFonts w:ascii="Metropolis" w:eastAsia="Times New Roman" w:hAnsi="Metropolis" w:cs="Times New Roman"/>
          <w:b/>
          <w:i/>
          <w:color w:val="73AB6E"/>
          <w:szCs w:val="24"/>
          <w:lang w:eastAsia="en-AU"/>
        </w:rPr>
        <w:t>s</w:t>
      </w:r>
    </w:p>
    <w:p w14:paraId="0CFF3273" w14:textId="43E994FC" w:rsidR="00420123" w:rsidRPr="00530D57" w:rsidRDefault="31BEB713" w:rsidP="002F5E4F">
      <w:pPr>
        <w:pStyle w:val="Numberedpara"/>
      </w:pPr>
      <w:r w:rsidRPr="00530D57">
        <w:t xml:space="preserve">Fourteen </w:t>
      </w:r>
      <w:r w:rsidR="1F3AA0F5" w:rsidRPr="00530D57">
        <w:t xml:space="preserve">submitters </w:t>
      </w:r>
      <w:r w:rsidRPr="00530D57">
        <w:t>discussed the prevalence of hate crimes in Aotearoa New Zealand.</w:t>
      </w:r>
      <w:r w:rsidR="002C3DC0" w:rsidRPr="00530D57">
        <w:rPr>
          <w:rStyle w:val="FootnoteReference"/>
        </w:rPr>
        <w:footnoteReference w:id="28"/>
      </w:r>
      <w:r w:rsidRPr="00530D57">
        <w:t xml:space="preserve"> Of these:</w:t>
      </w:r>
    </w:p>
    <w:p w14:paraId="353F288A" w14:textId="199FE6D5" w:rsidR="00420123" w:rsidRPr="00530D57" w:rsidRDefault="00420123" w:rsidP="00896331">
      <w:pPr>
        <w:pStyle w:val="Numberedpara"/>
        <w:numPr>
          <w:ilvl w:val="1"/>
          <w:numId w:val="71"/>
        </w:numPr>
      </w:pPr>
      <w:r w:rsidRPr="00530D57">
        <w:t xml:space="preserve">Two submitters </w:t>
      </w:r>
      <w:r w:rsidR="00B76795" w:rsidRPr="00530D57">
        <w:t>said</w:t>
      </w:r>
      <w:r w:rsidRPr="00530D57">
        <w:t xml:space="preserve"> hate crimes </w:t>
      </w:r>
      <w:r w:rsidR="00E93810" w:rsidRPr="00530D57">
        <w:t>are</w:t>
      </w:r>
      <w:r w:rsidR="00944C85" w:rsidRPr="00530D57">
        <w:t xml:space="preserve"> increasing</w:t>
      </w:r>
      <w:r w:rsidRPr="00530D57">
        <w:t xml:space="preserve"> or </w:t>
      </w:r>
      <w:r w:rsidR="00E93810" w:rsidRPr="00530D57">
        <w:t>more prevalent</w:t>
      </w:r>
      <w:r w:rsidRPr="00530D57">
        <w:t xml:space="preserve"> than expected.</w:t>
      </w:r>
      <w:r w:rsidRPr="00530D57">
        <w:rPr>
          <w:color w:val="262626" w:themeColor="text1" w:themeTint="D9"/>
          <w:sz w:val="18"/>
          <w:szCs w:val="18"/>
          <w:vertAlign w:val="superscript"/>
        </w:rPr>
        <w:footnoteReference w:id="29"/>
      </w:r>
      <w:r w:rsidRPr="00530D57">
        <w:t xml:space="preserve"> </w:t>
      </w:r>
    </w:p>
    <w:p w14:paraId="530309E7" w14:textId="433835C4" w:rsidR="00420123" w:rsidRPr="00530D57" w:rsidRDefault="31BEB713" w:rsidP="00896331">
      <w:pPr>
        <w:pStyle w:val="Numberedpara"/>
        <w:numPr>
          <w:ilvl w:val="1"/>
          <w:numId w:val="71"/>
        </w:numPr>
      </w:pPr>
      <w:r w:rsidRPr="00530D57">
        <w:t xml:space="preserve">Six submitters thought hate crimes </w:t>
      </w:r>
      <w:r w:rsidR="007F6138" w:rsidRPr="00530D57">
        <w:t>are</w:t>
      </w:r>
      <w:r w:rsidRPr="00530D57">
        <w:t xml:space="preserve"> not a widespread problem.</w:t>
      </w:r>
      <w:r w:rsidR="00420123" w:rsidRPr="00530D57">
        <w:rPr>
          <w:color w:val="262626" w:themeColor="text1" w:themeTint="D9"/>
          <w:sz w:val="18"/>
          <w:szCs w:val="18"/>
          <w:vertAlign w:val="superscript"/>
        </w:rPr>
        <w:footnoteReference w:id="30"/>
      </w:r>
      <w:r w:rsidRPr="00530D57">
        <w:t xml:space="preserve">  </w:t>
      </w:r>
    </w:p>
    <w:p w14:paraId="29866B3C" w14:textId="708E0CBB" w:rsidR="00420123" w:rsidRPr="00530D57" w:rsidRDefault="31BEB713" w:rsidP="00896331">
      <w:pPr>
        <w:pStyle w:val="Numberedpara"/>
        <w:numPr>
          <w:ilvl w:val="1"/>
          <w:numId w:val="71"/>
        </w:numPr>
      </w:pPr>
      <w:r w:rsidRPr="00530D57">
        <w:t xml:space="preserve">Two submitters </w:t>
      </w:r>
      <w:r w:rsidR="42209D4C" w:rsidRPr="00530D57">
        <w:t>noted that</w:t>
      </w:r>
      <w:r w:rsidRPr="00530D57">
        <w:t xml:space="preserve"> prosecutions of hate crimes</w:t>
      </w:r>
      <w:r w:rsidR="706BB5DE" w:rsidRPr="00530D57">
        <w:t xml:space="preserve"> </w:t>
      </w:r>
      <w:r w:rsidR="60D5DBB0" w:rsidRPr="00530D57">
        <w:t xml:space="preserve">are </w:t>
      </w:r>
      <w:r w:rsidRPr="00530D57">
        <w:t>not common.</w:t>
      </w:r>
      <w:r w:rsidR="00420123" w:rsidRPr="00530D57">
        <w:rPr>
          <w:color w:val="262626" w:themeColor="text1" w:themeTint="D9"/>
          <w:sz w:val="18"/>
          <w:szCs w:val="18"/>
          <w:vertAlign w:val="superscript"/>
        </w:rPr>
        <w:footnoteReference w:id="31"/>
      </w:r>
      <w:r w:rsidRPr="00530D57">
        <w:t xml:space="preserve"> </w:t>
      </w:r>
    </w:p>
    <w:p w14:paraId="24CCB30B" w14:textId="26674462" w:rsidR="00420123" w:rsidRPr="00530D57" w:rsidRDefault="00420123" w:rsidP="00896331">
      <w:pPr>
        <w:pStyle w:val="Numberedpara"/>
        <w:numPr>
          <w:ilvl w:val="1"/>
          <w:numId w:val="71"/>
        </w:numPr>
      </w:pPr>
      <w:r w:rsidRPr="00530D57">
        <w:t>One submitter observed</w:t>
      </w:r>
      <w:r w:rsidR="004B6B50" w:rsidRPr="00530D57">
        <w:t xml:space="preserve"> </w:t>
      </w:r>
      <w:r w:rsidRPr="00530D57">
        <w:t>little is known about hate crimes in Aotearoa New Zealand.</w:t>
      </w:r>
      <w:r w:rsidRPr="00530D57">
        <w:rPr>
          <w:color w:val="262626" w:themeColor="text1" w:themeTint="D9"/>
          <w:sz w:val="18"/>
          <w:szCs w:val="18"/>
          <w:vertAlign w:val="superscript"/>
        </w:rPr>
        <w:footnoteReference w:id="32"/>
      </w:r>
    </w:p>
    <w:p w14:paraId="5BFD6318" w14:textId="426A1412" w:rsidR="00420123" w:rsidRPr="00530D57" w:rsidRDefault="00521FAB" w:rsidP="00420123">
      <w:pPr>
        <w:keepNext/>
        <w:spacing w:before="200" w:after="200"/>
        <w:outlineLvl w:val="3"/>
        <w:rPr>
          <w:rFonts w:ascii="Metropolis" w:eastAsia="Times New Roman" w:hAnsi="Metropolis" w:cs="Times New Roman"/>
          <w:b/>
          <w:i/>
          <w:color w:val="73AB6E"/>
          <w:szCs w:val="24"/>
          <w:lang w:eastAsia="en-AU"/>
        </w:rPr>
      </w:pPr>
      <w:r w:rsidRPr="00530D57">
        <w:rPr>
          <w:rFonts w:ascii="Metropolis" w:eastAsia="Times New Roman" w:hAnsi="Metropolis" w:cs="Times New Roman"/>
          <w:b/>
          <w:i/>
          <w:color w:val="73AB6E"/>
          <w:szCs w:val="24"/>
          <w:lang w:eastAsia="en-AU"/>
        </w:rPr>
        <w:lastRenderedPageBreak/>
        <w:t>Affected groups</w:t>
      </w:r>
      <w:r w:rsidR="00420123" w:rsidRPr="00530D57">
        <w:rPr>
          <w:rFonts w:ascii="Metropolis" w:eastAsia="Times New Roman" w:hAnsi="Metropolis" w:cs="Times New Roman"/>
          <w:b/>
          <w:i/>
          <w:color w:val="73AB6E"/>
          <w:szCs w:val="24"/>
          <w:lang w:eastAsia="en-AU"/>
        </w:rPr>
        <w:t xml:space="preserve"> </w:t>
      </w:r>
    </w:p>
    <w:p w14:paraId="22CF6F1B" w14:textId="02ACC017" w:rsidR="00420123" w:rsidRPr="00530D57" w:rsidRDefault="344FA084" w:rsidP="002F5E4F">
      <w:pPr>
        <w:pStyle w:val="Numberedpara"/>
      </w:pPr>
      <w:r w:rsidRPr="00530D57">
        <w:t xml:space="preserve">Twenty-eight </w:t>
      </w:r>
      <w:r w:rsidR="28AB3734" w:rsidRPr="00530D57">
        <w:t>submitters</w:t>
      </w:r>
      <w:r w:rsidRPr="00530D57">
        <w:t xml:space="preserve"> discussed the targeting of particular groups</w:t>
      </w:r>
      <w:r w:rsidR="1A086192" w:rsidRPr="00530D57">
        <w:t xml:space="preserve">, although it </w:t>
      </w:r>
      <w:r w:rsidR="008B104C" w:rsidRPr="00530D57">
        <w:t>wa</w:t>
      </w:r>
      <w:r w:rsidR="1E447A9F" w:rsidRPr="00530D57">
        <w:t xml:space="preserve">s not always clear if </w:t>
      </w:r>
      <w:r w:rsidR="5423EBD2" w:rsidRPr="00530D57">
        <w:t xml:space="preserve">submitters were referring to </w:t>
      </w:r>
      <w:r w:rsidR="00BC06FF" w:rsidRPr="00530D57">
        <w:t>instances</w:t>
      </w:r>
      <w:r w:rsidR="5423EBD2" w:rsidRPr="00530D57">
        <w:t xml:space="preserve"> of hate crime</w:t>
      </w:r>
      <w:r w:rsidRPr="00530D57">
        <w:t>.</w:t>
      </w:r>
      <w:r w:rsidR="00420123" w:rsidRPr="00530D57">
        <w:rPr>
          <w:color w:val="262626" w:themeColor="text1" w:themeTint="D9"/>
          <w:sz w:val="18"/>
          <w:szCs w:val="18"/>
          <w:vertAlign w:val="superscript"/>
        </w:rPr>
        <w:footnoteReference w:id="33"/>
      </w:r>
      <w:r w:rsidRPr="00530D57">
        <w:t xml:space="preserve"> Some of these submitters refer</w:t>
      </w:r>
      <w:r w:rsidR="7735687D" w:rsidRPr="00530D57">
        <w:t>red</w:t>
      </w:r>
      <w:r w:rsidRPr="00530D57">
        <w:t xml:space="preserve"> to </w:t>
      </w:r>
      <w:r w:rsidR="7735687D" w:rsidRPr="00530D57">
        <w:t>specific</w:t>
      </w:r>
      <w:r w:rsidRPr="00530D57">
        <w:t xml:space="preserve"> incidents, which we </w:t>
      </w:r>
      <w:r w:rsidR="4C51E46A" w:rsidRPr="00530D57">
        <w:t>list</w:t>
      </w:r>
      <w:r w:rsidRPr="00530D57">
        <w:t xml:space="preserve"> below.</w:t>
      </w:r>
    </w:p>
    <w:p w14:paraId="0AE61B0E" w14:textId="43572B9E" w:rsidR="00420123" w:rsidRPr="00530D57" w:rsidRDefault="344FA084" w:rsidP="002F5E4F">
      <w:pPr>
        <w:pStyle w:val="Numberedpara"/>
      </w:pPr>
      <w:r w:rsidRPr="00530D57">
        <w:t>Eight submitters discussed misogyny and violence against women.</w:t>
      </w:r>
      <w:r w:rsidR="00420123" w:rsidRPr="00530D57">
        <w:rPr>
          <w:color w:val="262626" w:themeColor="text1" w:themeTint="D9"/>
          <w:sz w:val="18"/>
          <w:szCs w:val="18"/>
          <w:vertAlign w:val="superscript"/>
        </w:rPr>
        <w:footnoteReference w:id="34"/>
      </w:r>
      <w:r w:rsidRPr="00530D57">
        <w:t xml:space="preserve"> Most of these submitters were concerned that misogyny (including offending motivated by misogyny) is an issue in Aotearoa New Zealand, and </w:t>
      </w:r>
      <w:r w:rsidR="008B104C" w:rsidRPr="00530D57">
        <w:t xml:space="preserve">that </w:t>
      </w:r>
      <w:r w:rsidRPr="00530D57">
        <w:t xml:space="preserve">misogynistic hate is rising. </w:t>
      </w:r>
    </w:p>
    <w:p w14:paraId="38A89D10" w14:textId="563A0A18" w:rsidR="00420123" w:rsidRPr="00530D57" w:rsidRDefault="00420123" w:rsidP="002F5E4F">
      <w:pPr>
        <w:pStyle w:val="Numberedpara"/>
      </w:pPr>
      <w:r w:rsidRPr="00530D57">
        <w:t xml:space="preserve">Seven submitters told us about </w:t>
      </w:r>
      <w:r w:rsidR="00B81893" w:rsidRPr="00530D57">
        <w:t xml:space="preserve">hate directed at </w:t>
      </w:r>
      <w:r w:rsidRPr="00530D57">
        <w:t xml:space="preserve">particular religions. </w:t>
      </w:r>
      <w:r w:rsidR="008837CE" w:rsidRPr="00530D57">
        <w:t>They said</w:t>
      </w:r>
      <w:r w:rsidRPr="00530D57">
        <w:t>:</w:t>
      </w:r>
    </w:p>
    <w:p w14:paraId="379E3266" w14:textId="02E7487E" w:rsidR="00420123" w:rsidRPr="00530D57" w:rsidRDefault="2D0CC69E" w:rsidP="00896331">
      <w:pPr>
        <w:pStyle w:val="Numberedpara"/>
        <w:numPr>
          <w:ilvl w:val="1"/>
          <w:numId w:val="71"/>
        </w:numPr>
      </w:pPr>
      <w:r w:rsidRPr="00530D57">
        <w:t>T</w:t>
      </w:r>
      <w:r w:rsidR="31BEB713" w:rsidRPr="00530D57">
        <w:t>here has been a rise in antisemitism</w:t>
      </w:r>
      <w:r w:rsidRPr="00530D57">
        <w:t xml:space="preserve"> recently</w:t>
      </w:r>
      <w:r w:rsidR="31BEB713" w:rsidRPr="00530D57">
        <w:t>.</w:t>
      </w:r>
      <w:r w:rsidR="00420123" w:rsidRPr="00530D57">
        <w:rPr>
          <w:color w:val="262626" w:themeColor="text1" w:themeTint="D9"/>
          <w:sz w:val="18"/>
          <w:szCs w:val="18"/>
          <w:vertAlign w:val="superscript"/>
        </w:rPr>
        <w:footnoteReference w:id="35"/>
      </w:r>
      <w:r w:rsidR="31BEB713" w:rsidRPr="00530D57">
        <w:t xml:space="preserve"> </w:t>
      </w:r>
      <w:r w:rsidR="77ED3B4E" w:rsidRPr="00530D57">
        <w:t xml:space="preserve">One submitter discussed </w:t>
      </w:r>
      <w:r w:rsidR="2B09310F" w:rsidRPr="00530D57">
        <w:t xml:space="preserve">experiences of </w:t>
      </w:r>
      <w:r w:rsidR="4A8389C7" w:rsidRPr="00530D57">
        <w:t xml:space="preserve">specific </w:t>
      </w:r>
      <w:r w:rsidR="31BEB713" w:rsidRPr="00530D57">
        <w:t>antisemitic attacks.</w:t>
      </w:r>
      <w:r w:rsidR="00420123" w:rsidRPr="00530D57">
        <w:rPr>
          <w:color w:val="262626" w:themeColor="text1" w:themeTint="D9"/>
          <w:sz w:val="18"/>
          <w:szCs w:val="18"/>
          <w:vertAlign w:val="superscript"/>
        </w:rPr>
        <w:footnoteReference w:id="36"/>
      </w:r>
    </w:p>
    <w:p w14:paraId="4B0046C0" w14:textId="7C1236E8" w:rsidR="00420123" w:rsidRPr="00530D57" w:rsidRDefault="00420123" w:rsidP="00896331">
      <w:pPr>
        <w:pStyle w:val="Numberedpara"/>
        <w:numPr>
          <w:ilvl w:val="1"/>
          <w:numId w:val="71"/>
        </w:numPr>
      </w:pPr>
      <w:r w:rsidRPr="00530D57">
        <w:t>The Hindu community experiences hate crime</w:t>
      </w:r>
      <w:r w:rsidR="00F15349" w:rsidRPr="00530D57">
        <w:t>.</w:t>
      </w:r>
      <w:r w:rsidR="008F2151" w:rsidRPr="00530D57">
        <w:rPr>
          <w:color w:val="262626" w:themeColor="text1" w:themeTint="D9"/>
          <w:sz w:val="18"/>
          <w:szCs w:val="18"/>
          <w:vertAlign w:val="superscript"/>
        </w:rPr>
        <w:footnoteReference w:id="37"/>
      </w:r>
      <w:r w:rsidR="00F15349" w:rsidRPr="00530D57">
        <w:t xml:space="preserve"> </w:t>
      </w:r>
      <w:r w:rsidR="00AC337C" w:rsidRPr="00530D57">
        <w:t>Hindus are</w:t>
      </w:r>
      <w:r w:rsidR="00F15349" w:rsidRPr="00530D57">
        <w:t xml:space="preserve"> </w:t>
      </w:r>
      <w:r w:rsidRPr="00530D57">
        <w:t xml:space="preserve">frequently </w:t>
      </w:r>
      <w:r w:rsidR="00F51060" w:rsidRPr="00530D57">
        <w:t xml:space="preserve">characterised </w:t>
      </w:r>
      <w:r w:rsidRPr="00530D57">
        <w:t>and treated as a threat to community safety or national security.</w:t>
      </w:r>
    </w:p>
    <w:p w14:paraId="64A70977" w14:textId="61D14E2D" w:rsidR="00420123" w:rsidRPr="00530D57" w:rsidRDefault="00420123" w:rsidP="00896331">
      <w:pPr>
        <w:pStyle w:val="Numberedpara"/>
        <w:numPr>
          <w:ilvl w:val="1"/>
          <w:numId w:val="71"/>
        </w:numPr>
      </w:pPr>
      <w:r w:rsidRPr="00530D57">
        <w:t>The Sikh community is concerned about deliberate interference from Indian State agencies and their proxies in New Zealand, including incitement of violence.</w:t>
      </w:r>
      <w:r w:rsidRPr="00530D57">
        <w:rPr>
          <w:color w:val="262626" w:themeColor="text1" w:themeTint="D9"/>
          <w:sz w:val="18"/>
          <w:szCs w:val="18"/>
          <w:vertAlign w:val="superscript"/>
        </w:rPr>
        <w:footnoteReference w:id="38"/>
      </w:r>
    </w:p>
    <w:p w14:paraId="772312A3" w14:textId="7236DB86" w:rsidR="00420123" w:rsidRPr="00530D57" w:rsidRDefault="00420123" w:rsidP="00896331">
      <w:pPr>
        <w:pStyle w:val="Numberedpara"/>
        <w:numPr>
          <w:ilvl w:val="1"/>
          <w:numId w:val="71"/>
        </w:numPr>
      </w:pPr>
      <w:r w:rsidRPr="00530D57">
        <w:t xml:space="preserve">Globally, Christian and Jewish communities suffer some of the highest levels of </w:t>
      </w:r>
      <w:r w:rsidR="002D1343" w:rsidRPr="00530D57">
        <w:t>persecution</w:t>
      </w:r>
      <w:r w:rsidRPr="00530D57">
        <w:t>.</w:t>
      </w:r>
      <w:r w:rsidRPr="00530D57">
        <w:rPr>
          <w:color w:val="262626" w:themeColor="text1" w:themeTint="D9"/>
          <w:sz w:val="18"/>
          <w:szCs w:val="18"/>
          <w:vertAlign w:val="superscript"/>
        </w:rPr>
        <w:footnoteReference w:id="39"/>
      </w:r>
    </w:p>
    <w:p w14:paraId="178EF373" w14:textId="386C1A97" w:rsidR="00420123" w:rsidRPr="00530D57" w:rsidRDefault="00420123" w:rsidP="00896331">
      <w:pPr>
        <w:pStyle w:val="Numberedpara"/>
        <w:numPr>
          <w:ilvl w:val="1"/>
          <w:numId w:val="71"/>
        </w:numPr>
      </w:pPr>
      <w:r w:rsidRPr="00530D57">
        <w:t xml:space="preserve">Christianity </w:t>
      </w:r>
      <w:r w:rsidR="007C2462" w:rsidRPr="00530D57">
        <w:t xml:space="preserve">is </w:t>
      </w:r>
      <w:r w:rsidRPr="00530D57">
        <w:t>often ridiculed and derided.</w:t>
      </w:r>
      <w:r w:rsidRPr="00530D57">
        <w:rPr>
          <w:color w:val="262626" w:themeColor="text1" w:themeTint="D9"/>
          <w:sz w:val="18"/>
          <w:szCs w:val="18"/>
          <w:vertAlign w:val="superscript"/>
        </w:rPr>
        <w:footnoteReference w:id="40"/>
      </w:r>
    </w:p>
    <w:p w14:paraId="621E3C8C" w14:textId="77777777" w:rsidR="00420123" w:rsidRPr="00530D57" w:rsidRDefault="00420123" w:rsidP="002F5E4F">
      <w:pPr>
        <w:pStyle w:val="Numberedpara"/>
      </w:pPr>
      <w:r w:rsidRPr="00530D57">
        <w:t>Three submitters told us there has been an increase in violence against the rainbow community.</w:t>
      </w:r>
      <w:r w:rsidRPr="00530D57">
        <w:rPr>
          <w:color w:val="262626" w:themeColor="text1" w:themeTint="D9"/>
          <w:sz w:val="18"/>
          <w:szCs w:val="18"/>
          <w:vertAlign w:val="superscript"/>
        </w:rPr>
        <w:footnoteReference w:id="41"/>
      </w:r>
      <w:r w:rsidRPr="00530D57">
        <w:t xml:space="preserve"> </w:t>
      </w:r>
    </w:p>
    <w:p w14:paraId="3D05A26C" w14:textId="3AE96188" w:rsidR="00420123" w:rsidRPr="00530D57" w:rsidRDefault="7BB41B18" w:rsidP="002F5E4F">
      <w:pPr>
        <w:pStyle w:val="Numberedpara"/>
      </w:pPr>
      <w:r w:rsidRPr="00530D57">
        <w:t xml:space="preserve">Seven submitters discussed violence or hostility against particular ethnicities. </w:t>
      </w:r>
      <w:r w:rsidR="0DED8A23" w:rsidRPr="00530D57">
        <w:t>Submitters said</w:t>
      </w:r>
      <w:r w:rsidRPr="00530D57">
        <w:t xml:space="preserve"> hate crime in Aotearoa New Zealand is part of a wider socio-historical context of white supremacy and racism</w:t>
      </w:r>
      <w:r w:rsidR="0E7B6954" w:rsidRPr="00530D57">
        <w:t>,</w:t>
      </w:r>
      <w:r w:rsidRPr="00530D57">
        <w:t xml:space="preserve"> which impacts Māori and communities of colour.</w:t>
      </w:r>
      <w:r w:rsidR="00420123" w:rsidRPr="00530D57">
        <w:rPr>
          <w:color w:val="262626" w:themeColor="text1" w:themeTint="D9"/>
          <w:sz w:val="18"/>
          <w:szCs w:val="18"/>
          <w:vertAlign w:val="superscript"/>
        </w:rPr>
        <w:footnoteReference w:id="42"/>
      </w:r>
      <w:r w:rsidRPr="00530D57">
        <w:t xml:space="preserve"> </w:t>
      </w:r>
      <w:r w:rsidR="165A96B4" w:rsidRPr="00530D57">
        <w:t xml:space="preserve">These submitters </w:t>
      </w:r>
      <w:r w:rsidR="27D403C7" w:rsidRPr="00530D57">
        <w:lastRenderedPageBreak/>
        <w:t>also said</w:t>
      </w:r>
      <w:r w:rsidRPr="00530D57">
        <w:t xml:space="preserve"> the majority of reported hate crimes target race/ethnicity</w:t>
      </w:r>
      <w:r w:rsidR="00420123" w:rsidRPr="00530D57">
        <w:rPr>
          <w:color w:val="262626" w:themeColor="text1" w:themeTint="D9"/>
          <w:sz w:val="18"/>
          <w:szCs w:val="18"/>
          <w:vertAlign w:val="superscript"/>
        </w:rPr>
        <w:footnoteReference w:id="43"/>
      </w:r>
      <w:r w:rsidRPr="00530D57">
        <w:t xml:space="preserve"> and hate crimes against race/ethnicity are rising.</w:t>
      </w:r>
      <w:r w:rsidR="00420123" w:rsidRPr="00530D57">
        <w:rPr>
          <w:color w:val="262626" w:themeColor="text1" w:themeTint="D9"/>
          <w:sz w:val="18"/>
          <w:szCs w:val="18"/>
          <w:vertAlign w:val="superscript"/>
        </w:rPr>
        <w:footnoteReference w:id="44"/>
      </w:r>
      <w:r w:rsidRPr="00530D57">
        <w:t xml:space="preserve"> </w:t>
      </w:r>
    </w:p>
    <w:p w14:paraId="1C34E1BA" w14:textId="0F6561E4" w:rsidR="00420123" w:rsidRPr="00530D57" w:rsidRDefault="122D5ED8" w:rsidP="002F5E4F">
      <w:pPr>
        <w:pStyle w:val="Numberedpara"/>
      </w:pPr>
      <w:r w:rsidRPr="00530D57">
        <w:t xml:space="preserve">Some submitters told us about </w:t>
      </w:r>
      <w:r w:rsidR="5CDDB3D9" w:rsidRPr="00530D57">
        <w:t xml:space="preserve">specific </w:t>
      </w:r>
      <w:r w:rsidRPr="00530D57">
        <w:t xml:space="preserve">incidents </w:t>
      </w:r>
      <w:r w:rsidR="5CDDB3D9" w:rsidRPr="00530D57">
        <w:t xml:space="preserve">directed </w:t>
      </w:r>
      <w:r w:rsidRPr="00530D57">
        <w:t xml:space="preserve">against Māori </w:t>
      </w:r>
      <w:r w:rsidR="2111CF9A" w:rsidRPr="00530D57">
        <w:t xml:space="preserve">and members of the </w:t>
      </w:r>
      <w:r w:rsidRPr="00530D57">
        <w:t xml:space="preserve">Muslim </w:t>
      </w:r>
      <w:r w:rsidR="2ACC7C2A" w:rsidRPr="00530D57">
        <w:t>and</w:t>
      </w:r>
      <w:r w:rsidRPr="00530D57">
        <w:t xml:space="preserve"> Palestinian </w:t>
      </w:r>
      <w:r w:rsidR="2ACC7C2A" w:rsidRPr="00530D57">
        <w:t>communities</w:t>
      </w:r>
      <w:r w:rsidRPr="00530D57">
        <w:t>.</w:t>
      </w:r>
      <w:r w:rsidR="00420123" w:rsidRPr="00530D57">
        <w:rPr>
          <w:color w:val="262626" w:themeColor="text1" w:themeTint="D9"/>
          <w:sz w:val="18"/>
          <w:szCs w:val="18"/>
          <w:vertAlign w:val="superscript"/>
        </w:rPr>
        <w:footnoteReference w:id="45"/>
      </w:r>
      <w:r w:rsidRPr="00530D57">
        <w:t xml:space="preserve"> </w:t>
      </w:r>
      <w:r w:rsidR="1CD43D1A" w:rsidRPr="00530D57">
        <w:t>Some discussed</w:t>
      </w:r>
      <w:r w:rsidRPr="00530D57">
        <w:t xml:space="preserve"> racist comments and concern </w:t>
      </w:r>
      <w:r w:rsidR="1CD43D1A" w:rsidRPr="00530D57">
        <w:t xml:space="preserve">about </w:t>
      </w:r>
      <w:r w:rsidRPr="00530D57">
        <w:t>racial division in New Zealand.</w:t>
      </w:r>
      <w:r w:rsidR="00420123" w:rsidRPr="00530D57">
        <w:rPr>
          <w:color w:val="262626" w:themeColor="text1" w:themeTint="D9"/>
          <w:sz w:val="18"/>
          <w:szCs w:val="18"/>
          <w:vertAlign w:val="superscript"/>
        </w:rPr>
        <w:footnoteReference w:id="46"/>
      </w:r>
      <w:r w:rsidRPr="00530D57">
        <w:t xml:space="preserve"> </w:t>
      </w:r>
      <w:r w:rsidR="1461BA99" w:rsidRPr="00530D57">
        <w:t xml:space="preserve">One submitter </w:t>
      </w:r>
      <w:r w:rsidR="7CEC883D" w:rsidRPr="00530D57">
        <w:t>said</w:t>
      </w:r>
      <w:r w:rsidRPr="00530D57">
        <w:t xml:space="preserve"> there is no evidence Māori face significant hate crimes that justify radical legal reform.</w:t>
      </w:r>
      <w:r w:rsidR="00420123" w:rsidRPr="00530D57">
        <w:rPr>
          <w:color w:val="262626" w:themeColor="text1" w:themeTint="D9"/>
          <w:sz w:val="18"/>
          <w:szCs w:val="18"/>
          <w:vertAlign w:val="superscript"/>
        </w:rPr>
        <w:footnoteReference w:id="47"/>
      </w:r>
      <w:r w:rsidR="1461BA99" w:rsidRPr="00530D57">
        <w:t xml:space="preserve"> Conversely, another submitter expressed concern that immigrants and Māori experience a lack of safety.</w:t>
      </w:r>
      <w:r w:rsidR="00F17E2D" w:rsidRPr="00530D57">
        <w:rPr>
          <w:color w:val="262626" w:themeColor="text1" w:themeTint="D9"/>
          <w:sz w:val="18"/>
          <w:szCs w:val="18"/>
          <w:vertAlign w:val="superscript"/>
        </w:rPr>
        <w:footnoteReference w:id="48"/>
      </w:r>
    </w:p>
    <w:p w14:paraId="33C463E7" w14:textId="23CFC939" w:rsidR="00420123" w:rsidRPr="00530D57" w:rsidRDefault="31BEB713" w:rsidP="002F5E4F">
      <w:pPr>
        <w:pStyle w:val="Numberedpara"/>
      </w:pPr>
      <w:r w:rsidRPr="00530D57">
        <w:t>Four submitters discussed violence against disabled people. Three submitters told us disabled people are over-represented as victims of crime.</w:t>
      </w:r>
      <w:r w:rsidR="00420123" w:rsidRPr="00530D57">
        <w:rPr>
          <w:color w:val="262626" w:themeColor="text1" w:themeTint="D9"/>
          <w:sz w:val="18"/>
          <w:szCs w:val="18"/>
          <w:vertAlign w:val="superscript"/>
        </w:rPr>
        <w:footnoteReference w:id="49"/>
      </w:r>
      <w:r w:rsidRPr="00530D57">
        <w:t xml:space="preserve"> One submitter told us that discrimination towards disabled people is common, </w:t>
      </w:r>
      <w:r w:rsidR="001E4E2C" w:rsidRPr="00530D57">
        <w:t>while</w:t>
      </w:r>
      <w:r w:rsidRPr="00530D57">
        <w:t xml:space="preserve"> violence towards someone who is visibly disabled is less common</w:t>
      </w:r>
      <w:r w:rsidR="001E4E2C" w:rsidRPr="00530D57">
        <w:t xml:space="preserve"> but still happens</w:t>
      </w:r>
      <w:r w:rsidRPr="00530D57">
        <w:t>.</w:t>
      </w:r>
      <w:r w:rsidR="00420123" w:rsidRPr="00530D57">
        <w:rPr>
          <w:color w:val="262626" w:themeColor="text1" w:themeTint="D9"/>
          <w:sz w:val="18"/>
          <w:szCs w:val="18"/>
          <w:vertAlign w:val="superscript"/>
        </w:rPr>
        <w:footnoteReference w:id="50"/>
      </w:r>
    </w:p>
    <w:p w14:paraId="10396BC3" w14:textId="6B1A03F6" w:rsidR="00420123" w:rsidRPr="00530D57" w:rsidRDefault="00420123" w:rsidP="00420123">
      <w:pPr>
        <w:keepNext/>
        <w:spacing w:before="200" w:after="200"/>
        <w:outlineLvl w:val="3"/>
        <w:rPr>
          <w:rFonts w:ascii="Metropolis" w:eastAsia="Times New Roman" w:hAnsi="Metropolis" w:cs="Times New Roman"/>
          <w:b/>
          <w:i/>
          <w:color w:val="73AB6E"/>
          <w:szCs w:val="24"/>
          <w:lang w:eastAsia="en-AU"/>
        </w:rPr>
      </w:pPr>
      <w:r w:rsidRPr="00530D57">
        <w:rPr>
          <w:rFonts w:ascii="Metropolis" w:eastAsia="Times New Roman" w:hAnsi="Metropolis" w:cs="Times New Roman"/>
          <w:b/>
          <w:i/>
          <w:color w:val="73AB6E"/>
          <w:szCs w:val="24"/>
          <w:lang w:eastAsia="en-AU"/>
        </w:rPr>
        <w:t xml:space="preserve">Reference to </w:t>
      </w:r>
      <w:r w:rsidR="00185091" w:rsidRPr="00530D57">
        <w:rPr>
          <w:rFonts w:ascii="Metropolis" w:eastAsia="Times New Roman" w:hAnsi="Metropolis" w:cs="Times New Roman"/>
          <w:b/>
          <w:i/>
          <w:color w:val="73AB6E"/>
          <w:szCs w:val="24"/>
          <w:lang w:eastAsia="en-AU"/>
        </w:rPr>
        <w:t>specific</w:t>
      </w:r>
      <w:r w:rsidRPr="00530D57">
        <w:rPr>
          <w:rFonts w:ascii="Metropolis" w:eastAsia="Times New Roman" w:hAnsi="Metropolis" w:cs="Times New Roman"/>
          <w:b/>
          <w:i/>
          <w:color w:val="73AB6E"/>
          <w:szCs w:val="24"/>
          <w:lang w:eastAsia="en-AU"/>
        </w:rPr>
        <w:t xml:space="preserve"> incidents and personal experience</w:t>
      </w:r>
    </w:p>
    <w:p w14:paraId="05E7DF53" w14:textId="3646A33B" w:rsidR="00420123" w:rsidRPr="00530D57" w:rsidRDefault="477D3876" w:rsidP="002F5E4F">
      <w:pPr>
        <w:pStyle w:val="Numberedpara"/>
      </w:pPr>
      <w:r w:rsidRPr="00530D57">
        <w:t xml:space="preserve">Sixteen </w:t>
      </w:r>
      <w:r w:rsidR="122D5ED8" w:rsidRPr="00530D57">
        <w:t xml:space="preserve">submitters told us about particular incidents or personal experience of </w:t>
      </w:r>
      <w:r w:rsidR="4A15D413" w:rsidRPr="00530D57">
        <w:t xml:space="preserve">perceived </w:t>
      </w:r>
      <w:r w:rsidR="122D5ED8" w:rsidRPr="00530D57">
        <w:t>hate crimes or hostility.</w:t>
      </w:r>
      <w:r w:rsidR="00420123" w:rsidRPr="00530D57">
        <w:rPr>
          <w:color w:val="262626" w:themeColor="text1" w:themeTint="D9"/>
          <w:sz w:val="18"/>
          <w:szCs w:val="18"/>
          <w:vertAlign w:val="superscript"/>
        </w:rPr>
        <w:footnoteReference w:id="51"/>
      </w:r>
      <w:r w:rsidR="122D5ED8" w:rsidRPr="00530D57">
        <w:t xml:space="preserve"> These included: </w:t>
      </w:r>
    </w:p>
    <w:p w14:paraId="2B6F3192" w14:textId="4FEE7720" w:rsidR="00420123" w:rsidRPr="00530D57" w:rsidRDefault="00420123" w:rsidP="00896331">
      <w:pPr>
        <w:pStyle w:val="Numberedpara"/>
        <w:numPr>
          <w:ilvl w:val="1"/>
          <w:numId w:val="71"/>
        </w:numPr>
      </w:pPr>
      <w:r w:rsidRPr="00530D57">
        <w:t xml:space="preserve">The arson of the Rainbow Youth Centre in Tauranga in </w:t>
      </w:r>
      <w:r w:rsidR="001B65CF" w:rsidRPr="00530D57">
        <w:t xml:space="preserve">June </w:t>
      </w:r>
      <w:r w:rsidRPr="00530D57">
        <w:t>2022.</w:t>
      </w:r>
    </w:p>
    <w:p w14:paraId="63CD6D47" w14:textId="0C9A115F" w:rsidR="00420123" w:rsidRPr="00530D57" w:rsidRDefault="00420123" w:rsidP="00896331">
      <w:pPr>
        <w:pStyle w:val="Numberedpara"/>
        <w:numPr>
          <w:ilvl w:val="1"/>
          <w:numId w:val="71"/>
        </w:numPr>
      </w:pPr>
      <w:r w:rsidRPr="00530D57">
        <w:t xml:space="preserve">The </w:t>
      </w:r>
      <w:r w:rsidR="00341D62" w:rsidRPr="00530D57">
        <w:t>protest at Albert Park involving British activist Posie Parker</w:t>
      </w:r>
      <w:r w:rsidR="00C575EC" w:rsidRPr="00530D57">
        <w:t xml:space="preserve"> in </w:t>
      </w:r>
      <w:r w:rsidR="000A42E7" w:rsidRPr="00530D57">
        <w:t xml:space="preserve">March </w:t>
      </w:r>
      <w:r w:rsidR="00C575EC" w:rsidRPr="00530D57">
        <w:t>2023</w:t>
      </w:r>
      <w:r w:rsidRPr="00530D57">
        <w:t>.</w:t>
      </w:r>
    </w:p>
    <w:p w14:paraId="5AE62252" w14:textId="018B8869" w:rsidR="00420123" w:rsidRPr="00530D57" w:rsidRDefault="00785AD9" w:rsidP="00896331">
      <w:pPr>
        <w:pStyle w:val="Numberedpara"/>
        <w:numPr>
          <w:ilvl w:val="1"/>
          <w:numId w:val="71"/>
        </w:numPr>
      </w:pPr>
      <w:r w:rsidRPr="00530D57">
        <w:t>T</w:t>
      </w:r>
      <w:r w:rsidR="00965CBE" w:rsidRPr="00530D57">
        <w:t>hreats of violence</w:t>
      </w:r>
      <w:r w:rsidR="0036482A" w:rsidRPr="00530D57">
        <w:t xml:space="preserve"> </w:t>
      </w:r>
      <w:r w:rsidR="001828C9" w:rsidRPr="00530D57">
        <w:t xml:space="preserve">directed at </w:t>
      </w:r>
      <w:r w:rsidR="002F3155" w:rsidRPr="00530D57">
        <w:t xml:space="preserve">members of </w:t>
      </w:r>
      <w:r w:rsidR="00420123" w:rsidRPr="00530D57">
        <w:t>the An Nur Mosque that resulted in Police action</w:t>
      </w:r>
      <w:r w:rsidR="00031579" w:rsidRPr="00530D57">
        <w:t xml:space="preserve"> since the mass shooting event </w:t>
      </w:r>
      <w:r w:rsidR="00CF4E6C" w:rsidRPr="00530D57">
        <w:t>on 15 March 2019</w:t>
      </w:r>
      <w:r w:rsidR="00420123" w:rsidRPr="00530D57">
        <w:t>.</w:t>
      </w:r>
    </w:p>
    <w:p w14:paraId="49BF8259" w14:textId="27D93B26" w:rsidR="00420123" w:rsidRPr="00530D57" w:rsidRDefault="001E64EB" w:rsidP="00896331">
      <w:pPr>
        <w:pStyle w:val="Numberedpara"/>
        <w:numPr>
          <w:ilvl w:val="1"/>
          <w:numId w:val="71"/>
        </w:numPr>
      </w:pPr>
      <w:r w:rsidRPr="00530D57">
        <w:t>Assaults on</w:t>
      </w:r>
      <w:r w:rsidR="00420123" w:rsidRPr="00530D57">
        <w:t xml:space="preserve"> school children wearing hijab</w:t>
      </w:r>
      <w:r w:rsidR="00270185" w:rsidRPr="00530D57">
        <w:t>s</w:t>
      </w:r>
      <w:r w:rsidR="00420123" w:rsidRPr="00530D57">
        <w:t>.</w:t>
      </w:r>
    </w:p>
    <w:p w14:paraId="52F87303" w14:textId="57C6BBA0" w:rsidR="00420123" w:rsidRPr="00530D57" w:rsidRDefault="00325129" w:rsidP="00896331">
      <w:pPr>
        <w:pStyle w:val="Numberedpara"/>
        <w:numPr>
          <w:ilvl w:val="1"/>
          <w:numId w:val="71"/>
        </w:numPr>
      </w:pPr>
      <w:r w:rsidRPr="00530D57">
        <w:t>P</w:t>
      </w:r>
      <w:r w:rsidR="006E412D" w:rsidRPr="00530D57">
        <w:t>rotest</w:t>
      </w:r>
      <w:r w:rsidRPr="00530D57">
        <w:t xml:space="preserve"> action</w:t>
      </w:r>
      <w:r w:rsidR="006E412D" w:rsidRPr="00530D57">
        <w:t xml:space="preserve"> by members of </w:t>
      </w:r>
      <w:r w:rsidR="00420123" w:rsidRPr="00530D57">
        <w:t xml:space="preserve">Destiny Church </w:t>
      </w:r>
      <w:r w:rsidR="009561E2" w:rsidRPr="00530D57">
        <w:t xml:space="preserve">that interrupted </w:t>
      </w:r>
      <w:r w:rsidRPr="00530D57">
        <w:t xml:space="preserve">a </w:t>
      </w:r>
      <w:r w:rsidR="00D07609" w:rsidRPr="00530D57">
        <w:t>d</w:t>
      </w:r>
      <w:r w:rsidR="00420123" w:rsidRPr="00530D57">
        <w:t xml:space="preserve">rag </w:t>
      </w:r>
      <w:r w:rsidR="00D07609" w:rsidRPr="00530D57">
        <w:t>s</w:t>
      </w:r>
      <w:r w:rsidR="00420123" w:rsidRPr="00530D57">
        <w:t xml:space="preserve">torytime </w:t>
      </w:r>
      <w:r w:rsidR="00D07609" w:rsidRPr="00530D57">
        <w:t xml:space="preserve">event at Te Atatū Library </w:t>
      </w:r>
      <w:r w:rsidR="00420123" w:rsidRPr="00530D57">
        <w:t>in Auckland</w:t>
      </w:r>
      <w:r w:rsidR="00E25E4B" w:rsidRPr="00530D57">
        <w:t xml:space="preserve"> in 2025</w:t>
      </w:r>
      <w:r w:rsidR="00420123" w:rsidRPr="00530D57">
        <w:t>.</w:t>
      </w:r>
    </w:p>
    <w:p w14:paraId="20611C66" w14:textId="7E50BD57" w:rsidR="00420123" w:rsidRPr="00530D57" w:rsidRDefault="00420123" w:rsidP="00896331">
      <w:pPr>
        <w:pStyle w:val="Numberedpara"/>
        <w:numPr>
          <w:ilvl w:val="1"/>
          <w:numId w:val="71"/>
        </w:numPr>
      </w:pPr>
      <w:r w:rsidRPr="00530D57">
        <w:t xml:space="preserve">The vandalism of the Gloria </w:t>
      </w:r>
      <w:r w:rsidR="00C2745D" w:rsidRPr="00530D57">
        <w:t xml:space="preserve">of Greymouth </w:t>
      </w:r>
      <w:r w:rsidR="00AB6F18" w:rsidRPr="00530D57">
        <w:t xml:space="preserve">church </w:t>
      </w:r>
      <w:r w:rsidRPr="00530D57">
        <w:t>with antisemitic and homophobic messages</w:t>
      </w:r>
      <w:r w:rsidR="00AB6F18" w:rsidRPr="00530D57">
        <w:t xml:space="preserve"> in June 2022</w:t>
      </w:r>
      <w:r w:rsidRPr="00530D57">
        <w:t>.</w:t>
      </w:r>
    </w:p>
    <w:p w14:paraId="488B3485" w14:textId="5BFE6935" w:rsidR="00420123" w:rsidRPr="00530D57" w:rsidRDefault="00090D99" w:rsidP="00896331">
      <w:pPr>
        <w:pStyle w:val="Numberedpara"/>
        <w:numPr>
          <w:ilvl w:val="1"/>
          <w:numId w:val="71"/>
        </w:numPr>
      </w:pPr>
      <w:r w:rsidRPr="00530D57">
        <w:t>Abuse and intimidation of</w:t>
      </w:r>
      <w:r w:rsidR="00420123" w:rsidRPr="00530D57">
        <w:t xml:space="preserve"> disabled people</w:t>
      </w:r>
      <w:r w:rsidRPr="00530D57">
        <w:t xml:space="preserve"> who were</w:t>
      </w:r>
      <w:r w:rsidR="00420123" w:rsidRPr="00530D57">
        <w:t xml:space="preserve"> exempted from the mask mandate during </w:t>
      </w:r>
      <w:r w:rsidR="00F055FE" w:rsidRPr="00530D57">
        <w:t xml:space="preserve">the </w:t>
      </w:r>
      <w:r w:rsidR="00420123" w:rsidRPr="00530D57">
        <w:t xml:space="preserve">COVID 19 </w:t>
      </w:r>
      <w:r w:rsidR="00F055FE" w:rsidRPr="00530D57">
        <w:t>pandemic</w:t>
      </w:r>
      <w:r w:rsidRPr="00530D57">
        <w:t>.</w:t>
      </w:r>
    </w:p>
    <w:p w14:paraId="1F6AA663" w14:textId="0CDE1017" w:rsidR="00420123" w:rsidRPr="00530D57" w:rsidRDefault="00420123" w:rsidP="00896331">
      <w:pPr>
        <w:pStyle w:val="Numberedpara"/>
        <w:numPr>
          <w:ilvl w:val="1"/>
          <w:numId w:val="71"/>
        </w:numPr>
      </w:pPr>
      <w:r w:rsidRPr="00530D57">
        <w:t xml:space="preserve">The murder of </w:t>
      </w:r>
      <w:r w:rsidR="00322DC8" w:rsidRPr="00530D57">
        <w:t xml:space="preserve">Lena </w:t>
      </w:r>
      <w:r w:rsidRPr="00530D57">
        <w:t xml:space="preserve">Zhang </w:t>
      </w:r>
      <w:r w:rsidR="00FC0EE0" w:rsidRPr="00530D57">
        <w:t>Harrap</w:t>
      </w:r>
      <w:r w:rsidR="00996C9B" w:rsidRPr="00530D57">
        <w:t xml:space="preserve">, </w:t>
      </w:r>
      <w:r w:rsidR="0036414C" w:rsidRPr="00530D57">
        <w:t>a woman with Down syndrome,</w:t>
      </w:r>
      <w:r w:rsidR="00FC0EE0" w:rsidRPr="00530D57">
        <w:t xml:space="preserve"> </w:t>
      </w:r>
      <w:r w:rsidRPr="00530D57">
        <w:t xml:space="preserve">in </w:t>
      </w:r>
      <w:r w:rsidR="00FC0EE0" w:rsidRPr="00530D57">
        <w:t>September 2021</w:t>
      </w:r>
      <w:r w:rsidRPr="00530D57">
        <w:t>.</w:t>
      </w:r>
    </w:p>
    <w:p w14:paraId="4C8864C2" w14:textId="5EA7D0E1" w:rsidR="00F06A3B" w:rsidRPr="00530D57" w:rsidRDefault="00420123" w:rsidP="00896331">
      <w:pPr>
        <w:pStyle w:val="Numberedpara"/>
        <w:numPr>
          <w:ilvl w:val="1"/>
          <w:numId w:val="71"/>
        </w:numPr>
        <w:sectPr w:rsidR="00F06A3B" w:rsidRPr="00530D57" w:rsidSect="004E3A8E">
          <w:footerReference w:type="default" r:id="rId25"/>
          <w:pgSz w:w="11906" w:h="16838" w:code="9"/>
          <w:pgMar w:top="1134" w:right="1134" w:bottom="1134" w:left="1701" w:header="499" w:footer="499" w:gutter="0"/>
          <w:cols w:space="720"/>
          <w:noEndnote/>
        </w:sectPr>
      </w:pPr>
      <w:r w:rsidRPr="00530D57">
        <w:t xml:space="preserve">The arson of </w:t>
      </w:r>
      <w:r w:rsidR="00571850" w:rsidRPr="00530D57">
        <w:t>several</w:t>
      </w:r>
      <w:r w:rsidR="00BD7DA7" w:rsidRPr="00530D57">
        <w:t xml:space="preserve"> </w:t>
      </w:r>
      <w:r w:rsidR="001335A3" w:rsidRPr="00530D57">
        <w:t>marae</w:t>
      </w:r>
      <w:r w:rsidRPr="00530D57">
        <w:t>.</w:t>
      </w:r>
    </w:p>
    <w:bookmarkStart w:id="33" w:name="_Toc207093255"/>
    <w:p w14:paraId="4B7671A4" w14:textId="55799330" w:rsidR="00940ECF" w:rsidRPr="00530D57" w:rsidRDefault="00E42365" w:rsidP="00E42365">
      <w:pPr>
        <w:pStyle w:val="Heading1"/>
        <w:spacing w:before="480"/>
      </w:pPr>
      <w:r w:rsidRPr="00530D57">
        <w:rPr>
          <w:rFonts w:asciiTheme="minorHAnsi" w:hAnsiTheme="minorHAnsi"/>
          <w:noProof/>
          <w:lang w:eastAsia="en-NZ"/>
        </w:rPr>
        <w:lastRenderedPageBreak/>
        <mc:AlternateContent>
          <mc:Choice Requires="wpg">
            <w:drawing>
              <wp:anchor distT="0" distB="0" distL="114300" distR="114300" simplePos="0" relativeHeight="251658250" behindDoc="1" locked="0" layoutInCell="1" allowOverlap="1" wp14:anchorId="7BF81CB7" wp14:editId="126A1473">
                <wp:simplePos x="0" y="0"/>
                <wp:positionH relativeFrom="page">
                  <wp:posOffset>1080135</wp:posOffset>
                </wp:positionH>
                <wp:positionV relativeFrom="paragraph">
                  <wp:posOffset>981142</wp:posOffset>
                </wp:positionV>
                <wp:extent cx="1332230" cy="1270"/>
                <wp:effectExtent l="0" t="19050" r="20320" b="17780"/>
                <wp:wrapNone/>
                <wp:docPr id="1560937204" name="Group 1560937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417" y="535"/>
                          <a:chExt cx="2098" cy="2"/>
                        </a:xfrm>
                      </wpg:grpSpPr>
                      <wps:wsp>
                        <wps:cNvPr id="281433220" name="Freeform 3"/>
                        <wps:cNvSpPr>
                          <a:spLocks/>
                        </wps:cNvSpPr>
                        <wps:spPr bwMode="auto">
                          <a:xfrm>
                            <a:off x="1417" y="535"/>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73AB6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48D581" id="Group 1560937204" o:spid="_x0000_s1026" style="position:absolute;margin-left:85.05pt;margin-top:77.25pt;width:104.9pt;height:.1pt;z-index:-251658230;mso-position-horizontal-relative:page" coordorigin="1417,535"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">
                <v:shape id="Freeform 3" o:spid="_x0000_s1027" style="position:absolute;left:1417;top:535;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" path="m,l2098,e" filled="f" strokecolor="#73ab6e" strokeweight="3pt">
                  <v:path arrowok="t" o:connecttype="custom" o:connectlocs="0,0;2098,0" o:connectangles="0,0"/>
                </v:shape>
                <w10:wrap anchorx="page"/>
              </v:group>
            </w:pict>
          </mc:Fallback>
        </mc:AlternateContent>
      </w:r>
      <w:r w:rsidR="00AC5D78" w:rsidRPr="00530D57">
        <w:t>Reform considerations</w:t>
      </w:r>
      <w:bookmarkEnd w:id="33"/>
    </w:p>
    <w:p w14:paraId="4F376CC4" w14:textId="76A9B6A9" w:rsidR="00E42365" w:rsidRDefault="00E42365" w:rsidP="00E42365">
      <w:pPr>
        <w:rPr>
          <w:rFonts w:eastAsia="Times New Roman"/>
          <w:lang w:eastAsia="en-AU"/>
        </w:rPr>
      </w:pPr>
    </w:p>
    <w:p w14:paraId="68362F42" w14:textId="283D356D" w:rsidR="00145ED5" w:rsidRPr="00530D57" w:rsidRDefault="00145ED5" w:rsidP="00145ED5">
      <w:pPr>
        <w:keepNext/>
        <w:spacing w:before="360" w:after="200"/>
        <w:outlineLvl w:val="1"/>
        <w:rPr>
          <w:rFonts w:ascii="Metropolis" w:eastAsia="Times New Roman" w:hAnsi="Metropolis" w:cs="Times New Roman"/>
          <w:b/>
          <w:caps/>
          <w:color w:val="73AB6E"/>
          <w:sz w:val="22"/>
          <w:szCs w:val="24"/>
          <w:lang w:eastAsia="en-AU"/>
        </w:rPr>
      </w:pPr>
      <w:bookmarkStart w:id="34" w:name="_Toc207093256"/>
      <w:r w:rsidRPr="00530D57">
        <w:rPr>
          <w:rFonts w:ascii="Metropolis" w:eastAsia="Times New Roman" w:hAnsi="Metropolis" w:cs="Times New Roman"/>
          <w:b/>
          <w:caps/>
          <w:color w:val="73AB6E"/>
          <w:sz w:val="22"/>
          <w:szCs w:val="24"/>
          <w:lang w:eastAsia="en-AU"/>
        </w:rPr>
        <w:t>Overview</w:t>
      </w:r>
      <w:bookmarkEnd w:id="34"/>
    </w:p>
    <w:p w14:paraId="30DB82B9" w14:textId="77777777" w:rsidR="00B208C5" w:rsidRPr="00530D57" w:rsidRDefault="5AE4F440" w:rsidP="003B377A">
      <w:pPr>
        <w:pStyle w:val="Numberedpara"/>
      </w:pPr>
      <w:r w:rsidRPr="00530D57">
        <w:t xml:space="preserve">In this section, we summarise </w:t>
      </w:r>
      <w:r w:rsidR="7410E3AC" w:rsidRPr="00530D57">
        <w:t xml:space="preserve">responses to Questions 2, 3 </w:t>
      </w:r>
      <w:r w:rsidR="4558FBA6" w:rsidRPr="00530D57">
        <w:t>and 4</w:t>
      </w:r>
      <w:r w:rsidR="037E5609" w:rsidRPr="00530D57">
        <w:t>. These questions</w:t>
      </w:r>
      <w:r w:rsidR="2E9327F4" w:rsidRPr="00530D57">
        <w:t xml:space="preserve"> </w:t>
      </w:r>
      <w:r w:rsidR="2D16B68E" w:rsidRPr="00530D57">
        <w:t xml:space="preserve">sought </w:t>
      </w:r>
      <w:r w:rsidR="1F2C64B6" w:rsidRPr="00530D57">
        <w:t>feedback</w:t>
      </w:r>
      <w:r w:rsidR="4B35B26D" w:rsidRPr="00530D57">
        <w:t xml:space="preserve"> about </w:t>
      </w:r>
      <w:r w:rsidR="04666A69" w:rsidRPr="00530D57">
        <w:t xml:space="preserve">the </w:t>
      </w:r>
      <w:r w:rsidR="78076116" w:rsidRPr="00530D57">
        <w:t>considerations</w:t>
      </w:r>
      <w:r w:rsidR="3B9A3FC4" w:rsidRPr="00530D57">
        <w:t xml:space="preserve"> that that </w:t>
      </w:r>
      <w:r w:rsidR="50A6F271" w:rsidRPr="00530D57">
        <w:t>will help us decide whether reform is needed and, if so, eva</w:t>
      </w:r>
      <w:r w:rsidR="3A8E4BE5" w:rsidRPr="00530D57">
        <w:t xml:space="preserve">luate any options for reform. </w:t>
      </w:r>
    </w:p>
    <w:p w14:paraId="52A29ED8" w14:textId="77F7066C" w:rsidR="003B377A" w:rsidRPr="00530D57" w:rsidRDefault="24A2B9F0" w:rsidP="003B377A">
      <w:pPr>
        <w:pStyle w:val="Numberedpara"/>
      </w:pPr>
      <w:r w:rsidRPr="00530D57">
        <w:t xml:space="preserve">In </w:t>
      </w:r>
      <w:r w:rsidR="42D3DF0C" w:rsidRPr="00530D57">
        <w:t>our</w:t>
      </w:r>
      <w:r w:rsidRPr="00530D57">
        <w:t xml:space="preserve"> Consultation Paper, we identified some key reform considerations. </w:t>
      </w:r>
      <w:r w:rsidR="71E9DC09" w:rsidRPr="00530D57">
        <w:t xml:space="preserve">Eighty-one submitters </w:t>
      </w:r>
      <w:r w:rsidR="76AD0A2F" w:rsidRPr="00530D57">
        <w:t>commented on</w:t>
      </w:r>
      <w:r w:rsidRPr="00530D57">
        <w:t xml:space="preserve"> </w:t>
      </w:r>
      <w:r w:rsidR="0A0A034D" w:rsidRPr="00530D57">
        <w:t xml:space="preserve">one or more of </w:t>
      </w:r>
      <w:r w:rsidRPr="00530D57">
        <w:t>these</w:t>
      </w:r>
      <w:r w:rsidR="74952D02" w:rsidRPr="00530D57">
        <w:t xml:space="preserve"> considerations</w:t>
      </w:r>
      <w:r w:rsidRPr="00530D57">
        <w:t xml:space="preserve">. </w:t>
      </w:r>
      <w:r w:rsidR="00E306F0">
        <w:t>Of th</w:t>
      </w:r>
      <w:r w:rsidR="00402AA7">
        <w:t>ose</w:t>
      </w:r>
      <w:r w:rsidR="4AAD3750" w:rsidRPr="00530D57">
        <w:t xml:space="preserve"> </w:t>
      </w:r>
      <w:r w:rsidR="677DB2A4" w:rsidRPr="00530D57">
        <w:t>subm</w:t>
      </w:r>
      <w:r w:rsidR="0131E6F6" w:rsidRPr="00530D57">
        <w:t>itters</w:t>
      </w:r>
      <w:r w:rsidR="00402AA7">
        <w:t>, six</w:t>
      </w:r>
      <w:r w:rsidR="0131E6F6" w:rsidRPr="00530D57">
        <w:t xml:space="preserve"> </w:t>
      </w:r>
      <w:r w:rsidR="53FD3634" w:rsidRPr="00530D57">
        <w:t xml:space="preserve">expressed general agreement </w:t>
      </w:r>
      <w:r w:rsidR="00402AA7">
        <w:t xml:space="preserve">with the </w:t>
      </w:r>
      <w:r w:rsidR="00CA0985">
        <w:t>reform considerations we identified.</w:t>
      </w:r>
      <w:r w:rsidR="00CA0985">
        <w:rPr>
          <w:rStyle w:val="FootnoteReference"/>
        </w:rPr>
        <w:footnoteReference w:id="52"/>
      </w:r>
      <w:r w:rsidR="00CA0985">
        <w:t xml:space="preserve"> A further six </w:t>
      </w:r>
      <w:r w:rsidR="001C779F">
        <w:t>submitters expressed general</w:t>
      </w:r>
      <w:r w:rsidR="53FD3634" w:rsidRPr="00530D57">
        <w:t xml:space="preserve"> disagreement </w:t>
      </w:r>
      <w:r w:rsidR="2AAA4067" w:rsidRPr="00530D57">
        <w:t xml:space="preserve">with </w:t>
      </w:r>
      <w:r w:rsidR="7FA06B47" w:rsidRPr="00530D57">
        <w:t xml:space="preserve">the </w:t>
      </w:r>
      <w:r w:rsidR="0652F5B8" w:rsidRPr="00530D57">
        <w:t>considerations</w:t>
      </w:r>
      <w:r w:rsidR="7FD6F325" w:rsidRPr="00530D57">
        <w:t xml:space="preserve"> presented.</w:t>
      </w:r>
      <w:r w:rsidR="00AA6C89" w:rsidRPr="00530D57">
        <w:rPr>
          <w:rStyle w:val="FootnoteReference"/>
        </w:rPr>
        <w:footnoteReference w:id="53"/>
      </w:r>
      <w:r w:rsidR="7FD6F325" w:rsidRPr="00530D57">
        <w:t xml:space="preserve"> </w:t>
      </w:r>
      <w:r w:rsidR="6925A0C4" w:rsidRPr="00530D57">
        <w:t>Some of these submitters comment</w:t>
      </w:r>
      <w:r w:rsidR="2DDDA4C2" w:rsidRPr="00530D57">
        <w:t>ed</w:t>
      </w:r>
      <w:r w:rsidR="6925A0C4" w:rsidRPr="00530D57">
        <w:t xml:space="preserve"> about individual considerations as well</w:t>
      </w:r>
      <w:r w:rsidR="5D110ED9" w:rsidRPr="00530D57">
        <w:t>. W</w:t>
      </w:r>
      <w:r w:rsidR="62B0AD5D" w:rsidRPr="00530D57">
        <w:t>e</w:t>
      </w:r>
      <w:r w:rsidR="5C1955A8" w:rsidRPr="00530D57">
        <w:t xml:space="preserve"> </w:t>
      </w:r>
      <w:r w:rsidR="62B0AD5D" w:rsidRPr="00530D57">
        <w:t xml:space="preserve">summarise </w:t>
      </w:r>
      <w:r w:rsidRPr="00530D57">
        <w:t xml:space="preserve">what submitters said about each </w:t>
      </w:r>
      <w:r w:rsidR="5C1955A8" w:rsidRPr="00530D57">
        <w:t>consideration</w:t>
      </w:r>
      <w:r w:rsidRPr="00530D57">
        <w:t xml:space="preserve"> below. </w:t>
      </w:r>
    </w:p>
    <w:p w14:paraId="1982F53B" w14:textId="198C1547" w:rsidR="00145ED5" w:rsidRPr="00530D57" w:rsidRDefault="00B024FB" w:rsidP="00421A17">
      <w:pPr>
        <w:pStyle w:val="Numberedpara"/>
      </w:pPr>
      <w:r w:rsidRPr="00530D57">
        <w:t>Some</w:t>
      </w:r>
      <w:r w:rsidR="00145ED5" w:rsidRPr="00530D57">
        <w:t xml:space="preserve"> submitters suggested </w:t>
      </w:r>
      <w:r w:rsidR="00EC2F11" w:rsidRPr="00530D57">
        <w:t xml:space="preserve">additional </w:t>
      </w:r>
      <w:r w:rsidR="007F13BC" w:rsidRPr="00530D57">
        <w:t xml:space="preserve">reform </w:t>
      </w:r>
      <w:r w:rsidR="009E7294" w:rsidRPr="00530D57">
        <w:t xml:space="preserve">considerations to the ones we </w:t>
      </w:r>
      <w:r w:rsidR="00124F88" w:rsidRPr="00530D57">
        <w:t>discussed</w:t>
      </w:r>
      <w:r w:rsidR="009E7294" w:rsidRPr="00530D57">
        <w:t xml:space="preserve"> in </w:t>
      </w:r>
      <w:r w:rsidR="00824D65" w:rsidRPr="00530D57">
        <w:t>our</w:t>
      </w:r>
      <w:r w:rsidR="009E7294" w:rsidRPr="00530D57">
        <w:t xml:space="preserve"> </w:t>
      </w:r>
      <w:r w:rsidR="006434C6" w:rsidRPr="00530D57">
        <w:t xml:space="preserve">Consultation </w:t>
      </w:r>
      <w:r w:rsidR="009E7294" w:rsidRPr="00530D57">
        <w:t>Paper</w:t>
      </w:r>
      <w:r w:rsidR="005143FA" w:rsidRPr="00530D57">
        <w:t>.</w:t>
      </w:r>
      <w:r w:rsidR="00145ED5" w:rsidRPr="00530D57">
        <w:t xml:space="preserve"> </w:t>
      </w:r>
      <w:r w:rsidR="005143FA" w:rsidRPr="00530D57">
        <w:t>T</w:t>
      </w:r>
      <w:r w:rsidR="006434C6" w:rsidRPr="00530D57">
        <w:t>he</w:t>
      </w:r>
      <w:r w:rsidR="005143FA" w:rsidRPr="00530D57">
        <w:t>se</w:t>
      </w:r>
      <w:r w:rsidR="006434C6" w:rsidRPr="00530D57">
        <w:t xml:space="preserve"> were</w:t>
      </w:r>
      <w:r w:rsidR="00842BAE" w:rsidRPr="00530D57">
        <w:t>:</w:t>
      </w:r>
      <w:r w:rsidR="00145ED5" w:rsidRPr="00530D57">
        <w:t xml:space="preserve"> </w:t>
      </w:r>
    </w:p>
    <w:p w14:paraId="2A3D0CC3" w14:textId="77777777" w:rsidR="00145ED5" w:rsidRPr="00530D57" w:rsidRDefault="00145ED5" w:rsidP="00896331">
      <w:pPr>
        <w:pStyle w:val="Numberedpara"/>
        <w:numPr>
          <w:ilvl w:val="1"/>
          <w:numId w:val="71"/>
        </w:numPr>
        <w:rPr>
          <w:rFonts w:eastAsia="Times New Roman" w:cs="Times New Roman"/>
          <w:szCs w:val="24"/>
          <w:lang w:eastAsia="en-AU"/>
        </w:rPr>
      </w:pPr>
      <w:r w:rsidRPr="001D5A00">
        <w:t>online</w:t>
      </w:r>
      <w:r w:rsidRPr="00530D57">
        <w:rPr>
          <w:rFonts w:eastAsia="Times New Roman" w:cs="Times New Roman"/>
          <w:lang w:eastAsia="en-AU"/>
        </w:rPr>
        <w:t xml:space="preserve"> hate or hate speech;</w:t>
      </w:r>
      <w:r w:rsidRPr="00530D57">
        <w:rPr>
          <w:rFonts w:cs="Times New Roman"/>
          <w:color w:val="262626" w:themeColor="text1" w:themeTint="D9"/>
          <w:sz w:val="18"/>
          <w:szCs w:val="18"/>
          <w:vertAlign w:val="superscript"/>
          <w:lang w:eastAsia="en-AU"/>
        </w:rPr>
        <w:footnoteReference w:id="54"/>
      </w:r>
    </w:p>
    <w:p w14:paraId="031F5475" w14:textId="77777777" w:rsidR="00145ED5" w:rsidRPr="00530D57" w:rsidRDefault="00145ED5"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the existence of overly victimised groups within society;</w:t>
      </w:r>
      <w:r w:rsidRPr="00530D57">
        <w:rPr>
          <w:rFonts w:cs="Times New Roman"/>
          <w:color w:val="262626" w:themeColor="text1" w:themeTint="D9"/>
          <w:sz w:val="18"/>
          <w:szCs w:val="18"/>
          <w:vertAlign w:val="superscript"/>
          <w:lang w:eastAsia="en-AU"/>
        </w:rPr>
        <w:footnoteReference w:id="55"/>
      </w:r>
    </w:p>
    <w:p w14:paraId="63F7C825" w14:textId="77777777" w:rsidR="00145ED5" w:rsidRPr="00530D57" w:rsidRDefault="00145ED5"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the State’s interest in social cohesion;</w:t>
      </w:r>
      <w:r w:rsidRPr="00530D57">
        <w:rPr>
          <w:rFonts w:cs="Times New Roman"/>
          <w:color w:val="262626" w:themeColor="text1" w:themeTint="D9"/>
          <w:sz w:val="18"/>
          <w:szCs w:val="18"/>
          <w:vertAlign w:val="superscript"/>
          <w:lang w:eastAsia="en-AU"/>
        </w:rPr>
        <w:footnoteReference w:id="56"/>
      </w:r>
    </w:p>
    <w:p w14:paraId="33C623C3" w14:textId="77777777" w:rsidR="00145ED5" w:rsidRPr="00530D57" w:rsidRDefault="3E62BD6B"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the importance of accurate data collection;</w:t>
      </w:r>
      <w:r w:rsidR="00145ED5" w:rsidRPr="00530D57">
        <w:rPr>
          <w:rFonts w:cs="Times New Roman"/>
          <w:color w:val="262626" w:themeColor="text1" w:themeTint="D9"/>
          <w:sz w:val="18"/>
          <w:szCs w:val="18"/>
          <w:vertAlign w:val="superscript"/>
          <w:lang w:eastAsia="en-AU"/>
        </w:rPr>
        <w:footnoteReference w:id="57"/>
      </w:r>
    </w:p>
    <w:p w14:paraId="5356C508" w14:textId="77777777" w:rsidR="00145ED5" w:rsidRPr="00530D57" w:rsidRDefault="00145ED5" w:rsidP="00896331">
      <w:pPr>
        <w:pStyle w:val="Numberedpara"/>
        <w:numPr>
          <w:ilvl w:val="1"/>
          <w:numId w:val="71"/>
        </w:numPr>
        <w:rPr>
          <w:rFonts w:eastAsia="Times New Roman" w:cs="Times New Roman"/>
          <w:szCs w:val="24"/>
          <w:lang w:eastAsia="en-AU"/>
        </w:rPr>
      </w:pPr>
      <w:r w:rsidRPr="001D5A00">
        <w:t>intersectionality</w:t>
      </w:r>
      <w:r w:rsidRPr="00530D57">
        <w:rPr>
          <w:rFonts w:eastAsia="Times New Roman" w:cs="Times New Roman"/>
          <w:lang w:eastAsia="en-AU"/>
        </w:rPr>
        <w:t xml:space="preserve"> of hate crimes;</w:t>
      </w:r>
      <w:r w:rsidRPr="00530D57">
        <w:rPr>
          <w:rFonts w:cs="Times New Roman"/>
          <w:color w:val="262626" w:themeColor="text1" w:themeTint="D9"/>
          <w:sz w:val="18"/>
          <w:szCs w:val="18"/>
          <w:vertAlign w:val="superscript"/>
          <w:lang w:eastAsia="en-AU"/>
        </w:rPr>
        <w:footnoteReference w:id="58"/>
      </w:r>
      <w:r w:rsidRPr="00530D57">
        <w:rPr>
          <w:rFonts w:eastAsia="Times New Roman" w:cs="Times New Roman"/>
          <w:lang w:eastAsia="en-AU"/>
        </w:rPr>
        <w:t xml:space="preserve"> and </w:t>
      </w:r>
    </w:p>
    <w:p w14:paraId="42D1B1E7" w14:textId="77777777" w:rsidR="00145ED5" w:rsidRPr="00530D57" w:rsidRDefault="00145ED5" w:rsidP="00896331">
      <w:pPr>
        <w:pStyle w:val="Numberedpara"/>
        <w:numPr>
          <w:ilvl w:val="1"/>
          <w:numId w:val="71"/>
        </w:numPr>
        <w:rPr>
          <w:rFonts w:eastAsia="Times New Roman" w:cs="Times New Roman"/>
          <w:szCs w:val="24"/>
          <w:lang w:eastAsia="en-AU"/>
        </w:rPr>
      </w:pPr>
      <w:r w:rsidRPr="001D5A00">
        <w:t>clear</w:t>
      </w:r>
      <w:r w:rsidRPr="00530D57">
        <w:rPr>
          <w:rFonts w:eastAsia="Times New Roman" w:cs="Times New Roman"/>
          <w:lang w:eastAsia="en-AU"/>
        </w:rPr>
        <w:t xml:space="preserve"> definitions of a hate crime.</w:t>
      </w:r>
      <w:r w:rsidRPr="00530D57">
        <w:rPr>
          <w:rFonts w:cs="Times New Roman"/>
          <w:color w:val="262626" w:themeColor="text1" w:themeTint="D9"/>
          <w:sz w:val="18"/>
          <w:szCs w:val="18"/>
          <w:vertAlign w:val="superscript"/>
          <w:lang w:eastAsia="en-AU"/>
        </w:rPr>
        <w:footnoteReference w:id="59"/>
      </w:r>
    </w:p>
    <w:p w14:paraId="01A2B746" w14:textId="77777777" w:rsidR="00145ED5" w:rsidRPr="00530D57" w:rsidRDefault="00145ED5" w:rsidP="00145ED5">
      <w:pPr>
        <w:keepNext/>
        <w:spacing w:before="360" w:after="200"/>
        <w:outlineLvl w:val="1"/>
        <w:rPr>
          <w:rFonts w:ascii="Metropolis" w:eastAsia="Times New Roman" w:hAnsi="Metropolis" w:cs="Times New Roman"/>
          <w:b/>
          <w:caps/>
          <w:color w:val="73AB6E"/>
          <w:sz w:val="22"/>
          <w:szCs w:val="24"/>
          <w:lang w:eastAsia="en-AU"/>
        </w:rPr>
      </w:pPr>
      <w:bookmarkStart w:id="35" w:name="_Toc207093257"/>
      <w:r w:rsidRPr="00530D57">
        <w:rPr>
          <w:rFonts w:ascii="Metropolis" w:eastAsia="Times New Roman" w:hAnsi="Metropolis" w:cs="Times New Roman"/>
          <w:b/>
          <w:caps/>
          <w:color w:val="73AB6E"/>
          <w:sz w:val="22"/>
          <w:szCs w:val="24"/>
          <w:lang w:eastAsia="en-AU"/>
        </w:rPr>
        <w:lastRenderedPageBreak/>
        <w:t>The need to treat hate crime more seriously</w:t>
      </w:r>
      <w:bookmarkEnd w:id="35"/>
    </w:p>
    <w:p w14:paraId="42F10566" w14:textId="7B75C6BC" w:rsidR="00145ED5" w:rsidRPr="00530D57" w:rsidRDefault="00B413D2" w:rsidP="002F5E4F">
      <w:pPr>
        <w:pStyle w:val="Numberedpara"/>
      </w:pPr>
      <w:r w:rsidRPr="00530D57">
        <w:rPr>
          <w:rFonts w:eastAsia="Aptos"/>
        </w:rPr>
        <w:t xml:space="preserve">In </w:t>
      </w:r>
      <w:r w:rsidR="00555A44" w:rsidRPr="00530D57">
        <w:rPr>
          <w:rFonts w:eastAsia="Aptos"/>
        </w:rPr>
        <w:t>our</w:t>
      </w:r>
      <w:r w:rsidRPr="00530D57">
        <w:rPr>
          <w:rFonts w:eastAsia="Aptos"/>
        </w:rPr>
        <w:t xml:space="preserve"> Consultation Paper, we explained that hate crime laws treat hate crime more seriously than other types of offending. </w:t>
      </w:r>
      <w:r w:rsidR="002961FF">
        <w:t>Twenty</w:t>
      </w:r>
      <w:r w:rsidR="00145ED5" w:rsidRPr="00530D57">
        <w:t>-</w:t>
      </w:r>
      <w:r w:rsidR="00DA71DC">
        <w:t>three</w:t>
      </w:r>
      <w:r w:rsidR="00145ED5" w:rsidRPr="00530D57">
        <w:t xml:space="preserve"> </w:t>
      </w:r>
      <w:r w:rsidR="00ED7047" w:rsidRPr="00530D57">
        <w:t xml:space="preserve">submitters </w:t>
      </w:r>
      <w:r w:rsidR="00145ED5" w:rsidRPr="00530D57">
        <w:t>discussed the need to treat hate crimes more seriously.</w:t>
      </w:r>
      <w:r w:rsidR="00626FD3" w:rsidRPr="00530D57" w:rsidDel="00C670FC">
        <w:rPr>
          <w:rStyle w:val="FootnoteReference"/>
        </w:rPr>
        <w:footnoteReference w:id="60"/>
      </w:r>
      <w:r w:rsidR="00145ED5" w:rsidRPr="00530D57">
        <w:t xml:space="preserve"> </w:t>
      </w:r>
    </w:p>
    <w:p w14:paraId="3368F9AA" w14:textId="16719D20" w:rsidR="00CA36CB" w:rsidRPr="00530D57" w:rsidRDefault="59F3B08C" w:rsidP="00CA36CB">
      <w:pPr>
        <w:pStyle w:val="Numberedpara"/>
      </w:pPr>
      <w:r w:rsidRPr="00530D57">
        <w:t xml:space="preserve">Eighteen </w:t>
      </w:r>
      <w:r w:rsidR="764B1F1B" w:rsidRPr="00530D57">
        <w:t>submitters discussed the harm hate crimes can cause.</w:t>
      </w:r>
      <w:r w:rsidR="00145ED5" w:rsidRPr="00530D57">
        <w:rPr>
          <w:color w:val="262626" w:themeColor="text1" w:themeTint="D9"/>
          <w:sz w:val="18"/>
          <w:szCs w:val="18"/>
          <w:vertAlign w:val="superscript"/>
        </w:rPr>
        <w:footnoteReference w:id="61"/>
      </w:r>
      <w:r w:rsidR="764B1F1B" w:rsidRPr="00530D57">
        <w:t xml:space="preserve"> </w:t>
      </w:r>
      <w:r w:rsidR="007328E0" w:rsidRPr="00530D57">
        <w:t>They gave the following e</w:t>
      </w:r>
      <w:r w:rsidR="764B1F1B" w:rsidRPr="00530D57">
        <w:t>xamples of the additional harm caused by hate crimes:</w:t>
      </w:r>
    </w:p>
    <w:p w14:paraId="5D3EBFE7" w14:textId="0A293CD6" w:rsidR="00CA36CB" w:rsidRPr="00530D57" w:rsidRDefault="00145ED5"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Harm to the victim, including physical harm, psychological or emotional harm, and economic harm.</w:t>
      </w:r>
      <w:r w:rsidRPr="00530D57">
        <w:rPr>
          <w:color w:val="262626" w:themeColor="text1" w:themeTint="D9"/>
          <w:sz w:val="18"/>
          <w:szCs w:val="18"/>
          <w:vertAlign w:val="superscript"/>
          <w:lang w:eastAsia="en-AU"/>
        </w:rPr>
        <w:footnoteReference w:id="62"/>
      </w:r>
    </w:p>
    <w:p w14:paraId="4B54F641" w14:textId="77777777" w:rsidR="00CA36CB" w:rsidRPr="00530D57" w:rsidRDefault="764B1F1B"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Harm to the targeted community, such as causing the community to feel fear or decrease their public presence.</w:t>
      </w:r>
      <w:r w:rsidR="00145ED5" w:rsidRPr="00530D57">
        <w:rPr>
          <w:color w:val="262626" w:themeColor="text1" w:themeTint="D9"/>
          <w:sz w:val="18"/>
          <w:szCs w:val="18"/>
          <w:vertAlign w:val="superscript"/>
          <w:lang w:eastAsia="en-AU"/>
        </w:rPr>
        <w:footnoteReference w:id="63"/>
      </w:r>
      <w:r w:rsidRPr="00530D57">
        <w:rPr>
          <w:rFonts w:eastAsia="Times New Roman" w:cs="Times New Roman"/>
          <w:lang w:eastAsia="en-AU"/>
        </w:rPr>
        <w:t xml:space="preserve"> </w:t>
      </w:r>
    </w:p>
    <w:p w14:paraId="157806B0" w14:textId="229364F9" w:rsidR="00145ED5" w:rsidRPr="00530D57" w:rsidRDefault="00C17C68" w:rsidP="00896331">
      <w:pPr>
        <w:pStyle w:val="Numberedpara"/>
        <w:numPr>
          <w:ilvl w:val="1"/>
          <w:numId w:val="71"/>
        </w:numPr>
        <w:rPr>
          <w:rFonts w:eastAsia="Times New Roman" w:cs="Times New Roman"/>
          <w:szCs w:val="24"/>
          <w:lang w:eastAsia="en-AU"/>
        </w:rPr>
      </w:pPr>
      <w:r w:rsidRPr="001D5A00">
        <w:t>W</w:t>
      </w:r>
      <w:r w:rsidR="00145ED5" w:rsidRPr="00530D57">
        <w:rPr>
          <w:rFonts w:eastAsia="Times New Roman" w:cs="Times New Roman"/>
          <w:lang w:eastAsia="en-AU"/>
        </w:rPr>
        <w:t>ider social harm, such as attack</w:t>
      </w:r>
      <w:r w:rsidR="005E7277" w:rsidRPr="00530D57">
        <w:rPr>
          <w:rFonts w:eastAsia="Times New Roman" w:cs="Times New Roman"/>
          <w:lang w:eastAsia="en-AU"/>
        </w:rPr>
        <w:t>ing</w:t>
      </w:r>
      <w:r w:rsidR="00145ED5" w:rsidRPr="00530D57">
        <w:rPr>
          <w:rFonts w:eastAsia="Times New Roman" w:cs="Times New Roman"/>
          <w:lang w:eastAsia="en-AU"/>
        </w:rPr>
        <w:t xml:space="preserve"> the fabric of our diverse and inclusive society and exacerbating tensions between groups.</w:t>
      </w:r>
      <w:r w:rsidR="00145ED5" w:rsidRPr="00530D57">
        <w:rPr>
          <w:rFonts w:cs="Times New Roman"/>
          <w:color w:val="262626" w:themeColor="text1" w:themeTint="D9"/>
          <w:sz w:val="18"/>
          <w:szCs w:val="18"/>
          <w:vertAlign w:val="superscript"/>
          <w:lang w:eastAsia="en-AU"/>
        </w:rPr>
        <w:footnoteReference w:id="64"/>
      </w:r>
    </w:p>
    <w:p w14:paraId="3A0A0BCE" w14:textId="7BE8B3DA" w:rsidR="00145ED5" w:rsidRPr="00530D57" w:rsidRDefault="3E62BD6B" w:rsidP="002F5E4F">
      <w:pPr>
        <w:pStyle w:val="Numberedpara"/>
      </w:pPr>
      <w:r w:rsidRPr="00530D57">
        <w:t xml:space="preserve">Four submitters discussed whether hate crime offenders </w:t>
      </w:r>
      <w:r w:rsidR="41D8BE0D" w:rsidRPr="00530D57">
        <w:t>are</w:t>
      </w:r>
      <w:r w:rsidRPr="00530D57">
        <w:t xml:space="preserve"> more morally blameworthy.</w:t>
      </w:r>
      <w:r w:rsidR="00145ED5" w:rsidRPr="00530D57">
        <w:rPr>
          <w:color w:val="262626" w:themeColor="text1" w:themeTint="D9"/>
          <w:sz w:val="18"/>
          <w:szCs w:val="18"/>
          <w:vertAlign w:val="superscript"/>
        </w:rPr>
        <w:footnoteReference w:id="65"/>
      </w:r>
      <w:r w:rsidRPr="00530D57">
        <w:t xml:space="preserve"> Two submitters did not think hate crime offenders </w:t>
      </w:r>
      <w:r w:rsidR="00D05A2B" w:rsidRPr="00530D57">
        <w:t>are</w:t>
      </w:r>
      <w:r w:rsidRPr="00530D57">
        <w:t xml:space="preserve"> more morally blameworthy</w:t>
      </w:r>
      <w:r w:rsidR="00145ED5" w:rsidRPr="00530D57">
        <w:rPr>
          <w:color w:val="262626" w:themeColor="text1" w:themeTint="D9"/>
          <w:sz w:val="18"/>
          <w:szCs w:val="18"/>
          <w:vertAlign w:val="superscript"/>
        </w:rPr>
        <w:footnoteReference w:id="66"/>
      </w:r>
      <w:r w:rsidRPr="00530D57">
        <w:t xml:space="preserve"> and one did not think the law should be a vehicle for “enforcing moral orthodoxy”.</w:t>
      </w:r>
      <w:r w:rsidR="00145ED5" w:rsidRPr="00530D57">
        <w:rPr>
          <w:color w:val="262626" w:themeColor="text1" w:themeTint="D9"/>
          <w:sz w:val="18"/>
          <w:szCs w:val="18"/>
          <w:vertAlign w:val="superscript"/>
        </w:rPr>
        <w:footnoteReference w:id="67"/>
      </w:r>
      <w:r w:rsidRPr="00530D57">
        <w:t xml:space="preserve"> One submitter said that if moral blameworthiness is to be considered, it is relevant to sentencing.</w:t>
      </w:r>
      <w:r w:rsidR="00145ED5" w:rsidRPr="00530D57">
        <w:rPr>
          <w:color w:val="262626" w:themeColor="text1" w:themeTint="D9"/>
          <w:sz w:val="18"/>
          <w:szCs w:val="18"/>
          <w:vertAlign w:val="superscript"/>
        </w:rPr>
        <w:footnoteReference w:id="68"/>
      </w:r>
    </w:p>
    <w:p w14:paraId="1CCB9446" w14:textId="77777777" w:rsidR="001D5A00" w:rsidRDefault="001D5A00">
      <w:pPr>
        <w:spacing w:before="0" w:after="0" w:line="240" w:lineRule="auto"/>
        <w:rPr>
          <w:color w:val="000000" w:themeColor="text1"/>
        </w:rPr>
      </w:pPr>
      <w:r>
        <w:br w:type="page"/>
      </w:r>
    </w:p>
    <w:p w14:paraId="2E73B581" w14:textId="4FBCE5E0" w:rsidR="00CA36CB" w:rsidRPr="00530D57" w:rsidRDefault="3E62BD6B" w:rsidP="00CA36CB">
      <w:pPr>
        <w:pStyle w:val="Numberedpara"/>
      </w:pPr>
      <w:r w:rsidRPr="00530D57">
        <w:lastRenderedPageBreak/>
        <w:t>Seven submitters considered whether hate crime</w:t>
      </w:r>
      <w:r w:rsidR="41D8BE0D" w:rsidRPr="00530D57">
        <w:t>s</w:t>
      </w:r>
      <w:r w:rsidRPr="00530D57">
        <w:t xml:space="preserve"> require extra denunciation.</w:t>
      </w:r>
      <w:r w:rsidR="00145ED5" w:rsidRPr="00530D57">
        <w:rPr>
          <w:color w:val="262626" w:themeColor="text1" w:themeTint="D9"/>
          <w:sz w:val="18"/>
          <w:szCs w:val="18"/>
          <w:vertAlign w:val="superscript"/>
        </w:rPr>
        <w:footnoteReference w:id="69"/>
      </w:r>
      <w:r w:rsidRPr="00530D57">
        <w:t xml:space="preserve"> </w:t>
      </w:r>
      <w:r w:rsidR="079951AB" w:rsidRPr="00530D57">
        <w:t>They said</w:t>
      </w:r>
      <w:r w:rsidRPr="00530D57">
        <w:t>:</w:t>
      </w:r>
    </w:p>
    <w:p w14:paraId="2806DD46" w14:textId="77777777" w:rsidR="00CA36CB" w:rsidRPr="00530D57" w:rsidRDefault="3E62BD6B" w:rsidP="00896331">
      <w:pPr>
        <w:pStyle w:val="Numberedpara"/>
        <w:numPr>
          <w:ilvl w:val="1"/>
          <w:numId w:val="71"/>
        </w:numPr>
        <w:rPr>
          <w:rFonts w:eastAsia="Times New Roman" w:cs="Times New Roman"/>
          <w:szCs w:val="24"/>
          <w:lang w:eastAsia="en-AU"/>
        </w:rPr>
      </w:pPr>
      <w:r w:rsidRPr="001D5A00">
        <w:t>Denunciation</w:t>
      </w:r>
      <w:r w:rsidRPr="00530D57">
        <w:rPr>
          <w:rFonts w:eastAsia="Times New Roman" w:cs="Times New Roman"/>
          <w:lang w:eastAsia="en-AU"/>
        </w:rPr>
        <w:t xml:space="preserve"> of hate crimes is important</w:t>
      </w:r>
      <w:r w:rsidR="00145ED5" w:rsidRPr="00530D57">
        <w:rPr>
          <w:color w:val="262626" w:themeColor="text1" w:themeTint="D9"/>
          <w:sz w:val="18"/>
          <w:szCs w:val="18"/>
          <w:vertAlign w:val="superscript"/>
          <w:lang w:eastAsia="en-AU"/>
        </w:rPr>
        <w:footnoteReference w:id="70"/>
      </w:r>
      <w:r w:rsidRPr="00530D57">
        <w:rPr>
          <w:rFonts w:eastAsia="Times New Roman" w:cs="Times New Roman"/>
          <w:lang w:eastAsia="en-AU"/>
        </w:rPr>
        <w:t xml:space="preserve"> and there may be symbolic benefits to labelling certain offending as hate-motivated.</w:t>
      </w:r>
      <w:r w:rsidR="00145ED5" w:rsidRPr="00530D57">
        <w:rPr>
          <w:color w:val="262626" w:themeColor="text1" w:themeTint="D9"/>
          <w:sz w:val="18"/>
          <w:szCs w:val="18"/>
          <w:vertAlign w:val="superscript"/>
          <w:lang w:eastAsia="en-AU"/>
        </w:rPr>
        <w:footnoteReference w:id="71"/>
      </w:r>
    </w:p>
    <w:p w14:paraId="2A637DE1" w14:textId="77777777" w:rsidR="00CA36CB" w:rsidRPr="00530D57" w:rsidRDefault="00145ED5"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Hate crime laws reassure vulnerable groups that hate crimes are wrong.</w:t>
      </w:r>
      <w:r w:rsidRPr="00530D57">
        <w:rPr>
          <w:color w:val="262626" w:themeColor="text1" w:themeTint="D9"/>
          <w:sz w:val="18"/>
          <w:szCs w:val="18"/>
          <w:vertAlign w:val="superscript"/>
          <w:lang w:eastAsia="en-AU"/>
        </w:rPr>
        <w:footnoteReference w:id="72"/>
      </w:r>
    </w:p>
    <w:p w14:paraId="45E0E419" w14:textId="77777777" w:rsidR="00CA36CB" w:rsidRPr="00530D57" w:rsidRDefault="00145ED5"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The criminal law should not be used for symbolic purposes.</w:t>
      </w:r>
      <w:r w:rsidRPr="00530D57">
        <w:rPr>
          <w:color w:val="262626" w:themeColor="text1" w:themeTint="D9"/>
          <w:sz w:val="18"/>
          <w:szCs w:val="18"/>
          <w:vertAlign w:val="superscript"/>
          <w:lang w:eastAsia="en-AU"/>
        </w:rPr>
        <w:footnoteReference w:id="73"/>
      </w:r>
    </w:p>
    <w:p w14:paraId="5F9B783C" w14:textId="13AE7BD7" w:rsidR="00CA36CB" w:rsidRPr="00530D57" w:rsidRDefault="3E62BD6B" w:rsidP="00896331">
      <w:pPr>
        <w:pStyle w:val="Numberedpara"/>
        <w:numPr>
          <w:ilvl w:val="1"/>
          <w:numId w:val="71"/>
        </w:numPr>
        <w:rPr>
          <w:rFonts w:eastAsia="Times New Roman" w:cs="Times New Roman"/>
          <w:szCs w:val="24"/>
          <w:lang w:eastAsia="en-AU"/>
        </w:rPr>
      </w:pPr>
      <w:r w:rsidRPr="001D5A00">
        <w:t>Denunciation</w:t>
      </w:r>
      <w:r w:rsidRPr="00530D57">
        <w:rPr>
          <w:rFonts w:eastAsia="Times New Roman" w:cs="Times New Roman"/>
          <w:lang w:eastAsia="en-AU"/>
        </w:rPr>
        <w:t xml:space="preserve"> is a matter for sentencing.</w:t>
      </w:r>
      <w:r w:rsidR="00145ED5" w:rsidRPr="00530D57">
        <w:rPr>
          <w:color w:val="262626" w:themeColor="text1" w:themeTint="D9"/>
          <w:sz w:val="18"/>
          <w:szCs w:val="18"/>
          <w:vertAlign w:val="superscript"/>
          <w:lang w:eastAsia="en-AU"/>
        </w:rPr>
        <w:footnoteReference w:id="74"/>
      </w:r>
      <w:r w:rsidRPr="00530D57">
        <w:rPr>
          <w:rFonts w:eastAsia="Times New Roman" w:cs="Times New Roman"/>
          <w:lang w:eastAsia="en-AU"/>
        </w:rPr>
        <w:t xml:space="preserve"> </w:t>
      </w:r>
    </w:p>
    <w:p w14:paraId="11E3C3AA" w14:textId="52E78893" w:rsidR="00145ED5" w:rsidRPr="00530D57" w:rsidRDefault="3E62BD6B" w:rsidP="002F5E4F">
      <w:pPr>
        <w:pStyle w:val="Numberedpara"/>
      </w:pPr>
      <w:r w:rsidRPr="00530D57">
        <w:t xml:space="preserve">Eight submitters discussed </w:t>
      </w:r>
      <w:r w:rsidR="2BF4DF87" w:rsidRPr="00530D57">
        <w:t>the deterrent effect of hate c</w:t>
      </w:r>
      <w:r w:rsidR="5AC3FDFA" w:rsidRPr="00530D57">
        <w:t>rime laws</w:t>
      </w:r>
      <w:r w:rsidRPr="00530D57">
        <w:t>.</w:t>
      </w:r>
      <w:r w:rsidR="00145ED5" w:rsidRPr="00530D57">
        <w:rPr>
          <w:color w:val="262626" w:themeColor="text1" w:themeTint="D9"/>
          <w:sz w:val="18"/>
          <w:szCs w:val="18"/>
          <w:vertAlign w:val="superscript"/>
        </w:rPr>
        <w:footnoteReference w:id="75"/>
      </w:r>
      <w:r w:rsidRPr="00530D57">
        <w:t xml:space="preserve"> Most were sceptical that more punitive sentences act as a deterrent or that hate crime laws </w:t>
      </w:r>
      <w:r w:rsidR="759F54C6" w:rsidRPr="00530D57">
        <w:t>make</w:t>
      </w:r>
      <w:r w:rsidRPr="00530D57">
        <w:t xml:space="preserve"> Aotearoa New Zealand safer.</w:t>
      </w:r>
      <w:r w:rsidR="00145ED5" w:rsidRPr="00530D57">
        <w:rPr>
          <w:color w:val="262626" w:themeColor="text1" w:themeTint="D9"/>
          <w:sz w:val="18"/>
          <w:szCs w:val="18"/>
          <w:vertAlign w:val="superscript"/>
        </w:rPr>
        <w:footnoteReference w:id="76"/>
      </w:r>
      <w:r w:rsidRPr="00530D57">
        <w:t xml:space="preserve"> Two submitters thought treating hate crimes seriously may have a deterrent effect.</w:t>
      </w:r>
      <w:r w:rsidR="00145ED5" w:rsidRPr="00530D57">
        <w:rPr>
          <w:color w:val="262626" w:themeColor="text1" w:themeTint="D9"/>
          <w:sz w:val="18"/>
          <w:szCs w:val="18"/>
          <w:vertAlign w:val="superscript"/>
        </w:rPr>
        <w:footnoteReference w:id="77"/>
      </w:r>
      <w:r w:rsidRPr="00530D57">
        <w:t xml:space="preserve"> </w:t>
      </w:r>
    </w:p>
    <w:p w14:paraId="69D60AD3" w14:textId="56E17095" w:rsidR="00CA36CB" w:rsidRPr="00530D57" w:rsidRDefault="531616FE" w:rsidP="00CA36CB">
      <w:pPr>
        <w:pStyle w:val="Numberedpara"/>
      </w:pPr>
      <w:r w:rsidRPr="00530D57">
        <w:t>S</w:t>
      </w:r>
      <w:r w:rsidR="3E62BD6B" w:rsidRPr="00530D57">
        <w:t xml:space="preserve">ubmitters </w:t>
      </w:r>
      <w:r w:rsidRPr="00530D57">
        <w:t xml:space="preserve">also </w:t>
      </w:r>
      <w:r w:rsidR="3E62BD6B" w:rsidRPr="00530D57">
        <w:t xml:space="preserve">raised other points. One submitter did not think hate crimes </w:t>
      </w:r>
      <w:r w:rsidR="00C50AE7" w:rsidRPr="00530D57">
        <w:t>are</w:t>
      </w:r>
      <w:r w:rsidR="3E62BD6B" w:rsidRPr="00530D57">
        <w:t xml:space="preserve"> more serious.</w:t>
      </w:r>
      <w:r w:rsidR="00145ED5" w:rsidRPr="00530D57">
        <w:rPr>
          <w:color w:val="262626" w:themeColor="text1" w:themeTint="D9"/>
          <w:sz w:val="18"/>
          <w:szCs w:val="18"/>
          <w:vertAlign w:val="superscript"/>
        </w:rPr>
        <w:footnoteReference w:id="78"/>
      </w:r>
      <w:r w:rsidR="3E62BD6B" w:rsidRPr="00530D57">
        <w:t xml:space="preserve"> </w:t>
      </w:r>
      <w:r w:rsidR="15D1EF31" w:rsidRPr="00530D57">
        <w:t xml:space="preserve">Some </w:t>
      </w:r>
      <w:r w:rsidR="0E548876" w:rsidRPr="00530D57">
        <w:t>emphasised</w:t>
      </w:r>
      <w:r w:rsidR="15D1EF31" w:rsidRPr="00530D57">
        <w:t xml:space="preserve"> </w:t>
      </w:r>
      <w:r w:rsidR="0E548876" w:rsidRPr="00530D57">
        <w:t>the</w:t>
      </w:r>
      <w:r w:rsidR="21731D9A" w:rsidRPr="00530D57">
        <w:t xml:space="preserve"> positive effects of treating hate crime more seriously</w:t>
      </w:r>
      <w:r w:rsidR="11E349A3" w:rsidRPr="00530D57">
        <w:t>, suggesting</w:t>
      </w:r>
      <w:r w:rsidR="21731D9A" w:rsidRPr="00530D57">
        <w:t xml:space="preserve"> </w:t>
      </w:r>
      <w:r w:rsidR="0E548876" w:rsidRPr="00530D57">
        <w:t>P</w:t>
      </w:r>
      <w:r w:rsidR="21731D9A" w:rsidRPr="00530D57">
        <w:t>olice would take victims more seriously</w:t>
      </w:r>
      <w:r w:rsidR="008B6F99" w:rsidRPr="00530D57">
        <w:rPr>
          <w:color w:val="262626" w:themeColor="text1" w:themeTint="D9"/>
          <w:sz w:val="18"/>
          <w:szCs w:val="18"/>
          <w:vertAlign w:val="superscript"/>
          <w:lang w:eastAsia="en-AU"/>
        </w:rPr>
        <w:footnoteReference w:id="79"/>
      </w:r>
      <w:r w:rsidR="4786D832" w:rsidRPr="00530D57">
        <w:t xml:space="preserve"> or it would help combat racism and promote social cohesion.</w:t>
      </w:r>
      <w:r w:rsidR="008B6F99" w:rsidRPr="00530D57">
        <w:rPr>
          <w:rFonts w:cs="Times New Roman"/>
          <w:color w:val="262626" w:themeColor="text1" w:themeTint="D9"/>
          <w:sz w:val="18"/>
          <w:szCs w:val="18"/>
          <w:vertAlign w:val="superscript"/>
          <w:lang w:eastAsia="en-AU"/>
        </w:rPr>
        <w:footnoteReference w:id="80"/>
      </w:r>
      <w:r w:rsidR="4786D832" w:rsidRPr="00530D57">
        <w:t xml:space="preserve"> </w:t>
      </w:r>
      <w:r w:rsidR="05C23CE4" w:rsidRPr="00530D57">
        <w:t xml:space="preserve">Others emphasised </w:t>
      </w:r>
      <w:r w:rsidR="15D1EF31" w:rsidRPr="00530D57">
        <w:t>negative effect</w:t>
      </w:r>
      <w:r w:rsidR="7C0D73B8" w:rsidRPr="00530D57">
        <w:t>s</w:t>
      </w:r>
      <w:r w:rsidR="4EAEAAD9" w:rsidRPr="00530D57">
        <w:t>, saying</w:t>
      </w:r>
      <w:r w:rsidR="15D1EF31" w:rsidRPr="00530D57">
        <w:t xml:space="preserve"> </w:t>
      </w:r>
      <w:r w:rsidR="7C0D73B8" w:rsidRPr="00530D57">
        <w:t>it could fuel resentment and exacerbate social tensions</w:t>
      </w:r>
      <w:r w:rsidR="008B6F99" w:rsidRPr="00530D57">
        <w:rPr>
          <w:color w:val="262626" w:themeColor="text1" w:themeTint="D9"/>
          <w:sz w:val="18"/>
          <w:szCs w:val="18"/>
          <w:vertAlign w:val="superscript"/>
          <w:lang w:eastAsia="en-AU"/>
        </w:rPr>
        <w:footnoteReference w:id="81"/>
      </w:r>
      <w:r w:rsidR="7C0D73B8" w:rsidRPr="00530D57">
        <w:t xml:space="preserve"> or create double standards in the justice system.</w:t>
      </w:r>
      <w:r w:rsidR="008B6F99" w:rsidRPr="00530D57">
        <w:rPr>
          <w:color w:val="262626" w:themeColor="text1" w:themeTint="D9"/>
          <w:sz w:val="18"/>
          <w:szCs w:val="18"/>
          <w:vertAlign w:val="superscript"/>
          <w:lang w:eastAsia="en-AU"/>
        </w:rPr>
        <w:footnoteReference w:id="82"/>
      </w:r>
    </w:p>
    <w:p w14:paraId="0388F053" w14:textId="77777777" w:rsidR="00145ED5" w:rsidRPr="00530D57" w:rsidRDefault="00145ED5" w:rsidP="00145ED5">
      <w:pPr>
        <w:keepNext/>
        <w:spacing w:before="360" w:after="200"/>
        <w:outlineLvl w:val="1"/>
        <w:rPr>
          <w:rFonts w:ascii="Metropolis" w:eastAsia="Times New Roman" w:hAnsi="Metropolis" w:cs="Times New Roman"/>
          <w:b/>
          <w:caps/>
          <w:color w:val="73AB6E"/>
          <w:sz w:val="22"/>
          <w:szCs w:val="24"/>
          <w:lang w:eastAsia="en-AU"/>
        </w:rPr>
      </w:pPr>
      <w:bookmarkStart w:id="36" w:name="_Toc207093258"/>
      <w:r w:rsidRPr="00530D57">
        <w:rPr>
          <w:rFonts w:ascii="Metropolis" w:eastAsia="Times New Roman" w:hAnsi="Metropolis" w:cs="Times New Roman"/>
          <w:b/>
          <w:caps/>
          <w:color w:val="73AB6E"/>
          <w:sz w:val="22"/>
          <w:szCs w:val="24"/>
          <w:lang w:eastAsia="en-AU"/>
        </w:rPr>
        <w:t>Guidance on when it is appropriate to create new offences</w:t>
      </w:r>
      <w:bookmarkEnd w:id="36"/>
    </w:p>
    <w:p w14:paraId="121A74F6" w14:textId="637BC2A6" w:rsidR="00145ED5" w:rsidRPr="00530D57" w:rsidRDefault="2F3D4653" w:rsidP="002F5E4F">
      <w:pPr>
        <w:pStyle w:val="Numberedpara"/>
      </w:pPr>
      <w:r w:rsidRPr="00530D57">
        <w:rPr>
          <w:rFonts w:eastAsia="Aptos"/>
        </w:rPr>
        <w:t xml:space="preserve">In </w:t>
      </w:r>
      <w:r w:rsidR="78724288" w:rsidRPr="00530D57">
        <w:rPr>
          <w:rFonts w:eastAsia="Aptos"/>
        </w:rPr>
        <w:t>our</w:t>
      </w:r>
      <w:r w:rsidRPr="00530D57">
        <w:rPr>
          <w:rFonts w:eastAsia="Aptos"/>
        </w:rPr>
        <w:t xml:space="preserve"> Consultation Paper, we explained </w:t>
      </w:r>
      <w:r w:rsidR="4CE396F1" w:rsidRPr="00530D57">
        <w:rPr>
          <w:rFonts w:eastAsia="Aptos"/>
        </w:rPr>
        <w:t>this</w:t>
      </w:r>
      <w:r w:rsidRPr="00530D57">
        <w:rPr>
          <w:rFonts w:eastAsia="Aptos"/>
        </w:rPr>
        <w:t xml:space="preserve"> review must consider guidance on when it is appropriate to create new offences</w:t>
      </w:r>
      <w:r w:rsidR="00FF448B" w:rsidRPr="00530D57">
        <w:rPr>
          <w:rFonts w:eastAsia="Aptos"/>
        </w:rPr>
        <w:t xml:space="preserve"> —</w:t>
      </w:r>
      <w:r w:rsidR="7A72642E" w:rsidRPr="00530D57">
        <w:rPr>
          <w:rFonts w:eastAsia="Aptos"/>
        </w:rPr>
        <w:t xml:space="preserve"> in particular, the </w:t>
      </w:r>
      <w:r w:rsidR="0118B1CE" w:rsidRPr="00530D57">
        <w:rPr>
          <w:rFonts w:eastAsia="Aptos"/>
        </w:rPr>
        <w:t>Legislation Design and Advisory Committee’s</w:t>
      </w:r>
      <w:r w:rsidR="7A72642E" w:rsidRPr="00530D57">
        <w:rPr>
          <w:rFonts w:eastAsia="Aptos"/>
        </w:rPr>
        <w:t xml:space="preserve"> </w:t>
      </w:r>
      <w:r w:rsidR="7A72642E" w:rsidRPr="00530D57">
        <w:rPr>
          <w:rFonts w:eastAsia="Aptos"/>
          <w:i/>
          <w:iCs/>
        </w:rPr>
        <w:t>Legislation Guidelines</w:t>
      </w:r>
      <w:r w:rsidRPr="00530D57">
        <w:rPr>
          <w:rFonts w:eastAsia="Aptos"/>
        </w:rPr>
        <w:t xml:space="preserve">. </w:t>
      </w:r>
      <w:r w:rsidR="007712AF">
        <w:t>Seventeen</w:t>
      </w:r>
      <w:r w:rsidR="043649D7" w:rsidRPr="00530D57">
        <w:t xml:space="preserve"> </w:t>
      </w:r>
      <w:r w:rsidR="684F0A28" w:rsidRPr="00530D57">
        <w:t xml:space="preserve">submitters </w:t>
      </w:r>
      <w:r w:rsidR="043649D7" w:rsidRPr="00530D57">
        <w:t xml:space="preserve">discussed </w:t>
      </w:r>
      <w:r w:rsidR="75BD2B7B" w:rsidRPr="00530D57">
        <w:t>this</w:t>
      </w:r>
      <w:r w:rsidR="039F8475" w:rsidRPr="00530D57">
        <w:t>.</w:t>
      </w:r>
      <w:r w:rsidR="00145ED5" w:rsidRPr="00530D57">
        <w:rPr>
          <w:color w:val="262626" w:themeColor="text1" w:themeTint="D9"/>
          <w:sz w:val="18"/>
          <w:szCs w:val="18"/>
          <w:vertAlign w:val="superscript"/>
        </w:rPr>
        <w:footnoteReference w:id="83"/>
      </w:r>
      <w:r w:rsidR="043649D7" w:rsidRPr="00530D57">
        <w:t xml:space="preserve"> </w:t>
      </w:r>
    </w:p>
    <w:p w14:paraId="1C05BEA9" w14:textId="77D77B90" w:rsidR="003A0EBA" w:rsidRPr="00530D57" w:rsidRDefault="00885141" w:rsidP="003A0EBA">
      <w:pPr>
        <w:pStyle w:val="Numberedpara"/>
      </w:pPr>
      <w:r w:rsidRPr="00530D57">
        <w:lastRenderedPageBreak/>
        <w:t>Submitters said</w:t>
      </w:r>
      <w:r w:rsidR="00145ED5" w:rsidRPr="00530D57">
        <w:t xml:space="preserve"> new offences should only be created if:</w:t>
      </w:r>
    </w:p>
    <w:p w14:paraId="23702333" w14:textId="5AD567E5" w:rsidR="003A0EBA" w:rsidRPr="00530D57" w:rsidRDefault="3E62BD6B"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there is a clear rationale or need;</w:t>
      </w:r>
      <w:r w:rsidR="00145ED5" w:rsidRPr="00530D57">
        <w:rPr>
          <w:color w:val="262626" w:themeColor="text1" w:themeTint="D9"/>
          <w:sz w:val="18"/>
          <w:szCs w:val="18"/>
          <w:vertAlign w:val="superscript"/>
          <w:lang w:eastAsia="en-AU"/>
        </w:rPr>
        <w:footnoteReference w:id="84"/>
      </w:r>
    </w:p>
    <w:p w14:paraId="20033226" w14:textId="77777777" w:rsidR="003A0EBA" w:rsidRPr="00530D57" w:rsidRDefault="3E62BD6B"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they would meet a purpose not achieved by the current law;</w:t>
      </w:r>
      <w:r w:rsidR="00145ED5" w:rsidRPr="00530D57">
        <w:rPr>
          <w:color w:val="262626" w:themeColor="text1" w:themeTint="D9"/>
          <w:sz w:val="18"/>
          <w:szCs w:val="18"/>
          <w:vertAlign w:val="superscript"/>
          <w:lang w:eastAsia="en-AU"/>
        </w:rPr>
        <w:footnoteReference w:id="85"/>
      </w:r>
    </w:p>
    <w:p w14:paraId="35A78E62" w14:textId="1556872E" w:rsidR="003A0EBA" w:rsidRPr="00530D57" w:rsidRDefault="3E62BD6B"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there are not less restrictive ways to achieve the same policy goal;</w:t>
      </w:r>
      <w:r w:rsidR="00145ED5" w:rsidRPr="00530D57">
        <w:rPr>
          <w:color w:val="262626" w:themeColor="text1" w:themeTint="D9"/>
          <w:sz w:val="18"/>
          <w:szCs w:val="18"/>
          <w:vertAlign w:val="superscript"/>
          <w:lang w:eastAsia="en-AU"/>
        </w:rPr>
        <w:footnoteReference w:id="86"/>
      </w:r>
      <w:r w:rsidR="620CF326" w:rsidRPr="00530D57">
        <w:rPr>
          <w:rFonts w:eastAsia="Times New Roman" w:cs="Times New Roman"/>
          <w:lang w:eastAsia="en-AU"/>
        </w:rPr>
        <w:t xml:space="preserve"> and</w:t>
      </w:r>
    </w:p>
    <w:p w14:paraId="780E1060" w14:textId="77777777" w:rsidR="00145ED5" w:rsidRPr="00530D57" w:rsidRDefault="00145ED5"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there is clear evidence for how a new offence will reduce hate crime.</w:t>
      </w:r>
      <w:r w:rsidRPr="00530D57">
        <w:rPr>
          <w:rFonts w:cs="Times New Roman"/>
          <w:color w:val="262626" w:themeColor="text1" w:themeTint="D9"/>
          <w:sz w:val="18"/>
          <w:szCs w:val="18"/>
          <w:vertAlign w:val="superscript"/>
          <w:lang w:eastAsia="en-AU"/>
        </w:rPr>
        <w:footnoteReference w:id="87"/>
      </w:r>
    </w:p>
    <w:p w14:paraId="4E973DB7" w14:textId="50E2C567" w:rsidR="003A0EBA" w:rsidRPr="00530D57" w:rsidRDefault="00885141" w:rsidP="003A0EBA">
      <w:pPr>
        <w:pStyle w:val="Numberedpara"/>
      </w:pPr>
      <w:r w:rsidRPr="00530D57">
        <w:t>They</w:t>
      </w:r>
      <w:r w:rsidR="00145ED5" w:rsidRPr="00530D57">
        <w:t xml:space="preserve"> also </w:t>
      </w:r>
      <w:r w:rsidRPr="00530D57">
        <w:t>said</w:t>
      </w:r>
      <w:r w:rsidR="00145ED5" w:rsidRPr="00530D57">
        <w:t>:</w:t>
      </w:r>
    </w:p>
    <w:p w14:paraId="1B2785A7" w14:textId="77777777" w:rsidR="003A0EBA" w:rsidRPr="00530D57" w:rsidRDefault="3E62BD6B"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The principle of fair labelling is important.</w:t>
      </w:r>
      <w:r w:rsidR="00145ED5" w:rsidRPr="00530D57">
        <w:rPr>
          <w:color w:val="262626" w:themeColor="text1" w:themeTint="D9"/>
          <w:sz w:val="18"/>
          <w:szCs w:val="18"/>
          <w:vertAlign w:val="superscript"/>
          <w:lang w:eastAsia="en-AU"/>
        </w:rPr>
        <w:footnoteReference w:id="88"/>
      </w:r>
    </w:p>
    <w:p w14:paraId="563F07EC" w14:textId="77777777" w:rsidR="003A0EBA" w:rsidRPr="00530D57" w:rsidRDefault="3E62BD6B" w:rsidP="00896331">
      <w:pPr>
        <w:pStyle w:val="Numberedpara"/>
        <w:numPr>
          <w:ilvl w:val="1"/>
          <w:numId w:val="71"/>
        </w:numPr>
        <w:rPr>
          <w:rFonts w:eastAsia="Times New Roman" w:cs="Times New Roman"/>
          <w:szCs w:val="24"/>
          <w:lang w:eastAsia="en-AU"/>
        </w:rPr>
      </w:pPr>
      <w:r w:rsidRPr="001D5A00">
        <w:t>Offenders</w:t>
      </w:r>
      <w:r w:rsidRPr="00530D57">
        <w:rPr>
          <w:rFonts w:eastAsia="Times New Roman" w:cs="Times New Roman"/>
          <w:lang w:eastAsia="en-AU"/>
        </w:rPr>
        <w:t xml:space="preserve"> are entitled to clarity about the offence for which they are charged.</w:t>
      </w:r>
      <w:r w:rsidR="00145ED5" w:rsidRPr="00530D57">
        <w:rPr>
          <w:color w:val="262626" w:themeColor="text1" w:themeTint="D9"/>
          <w:sz w:val="18"/>
          <w:szCs w:val="18"/>
          <w:vertAlign w:val="superscript"/>
          <w:lang w:eastAsia="en-AU"/>
        </w:rPr>
        <w:footnoteReference w:id="89"/>
      </w:r>
    </w:p>
    <w:p w14:paraId="4B1FC1AD" w14:textId="77777777" w:rsidR="003A0EBA" w:rsidRPr="00530D57" w:rsidRDefault="043649D7"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The law must apply to everyone equally.</w:t>
      </w:r>
      <w:r w:rsidR="00145ED5" w:rsidRPr="00530D57">
        <w:rPr>
          <w:color w:val="262626" w:themeColor="text1" w:themeTint="D9"/>
          <w:sz w:val="18"/>
          <w:szCs w:val="18"/>
          <w:vertAlign w:val="superscript"/>
          <w:lang w:eastAsia="en-AU"/>
        </w:rPr>
        <w:footnoteReference w:id="90"/>
      </w:r>
      <w:r w:rsidRPr="00530D57">
        <w:rPr>
          <w:rFonts w:eastAsia="Times New Roman" w:cs="Times New Roman"/>
          <w:lang w:eastAsia="en-AU"/>
        </w:rPr>
        <w:t xml:space="preserve"> It must also be objective and clear for all.</w:t>
      </w:r>
      <w:r w:rsidR="00145ED5" w:rsidRPr="00530D57">
        <w:rPr>
          <w:color w:val="262626" w:themeColor="text1" w:themeTint="D9"/>
          <w:sz w:val="18"/>
          <w:szCs w:val="18"/>
          <w:vertAlign w:val="superscript"/>
          <w:lang w:eastAsia="en-AU"/>
        </w:rPr>
        <w:footnoteReference w:id="91"/>
      </w:r>
    </w:p>
    <w:p w14:paraId="1C55D4A1" w14:textId="111BEC9A" w:rsidR="003A0EBA" w:rsidRPr="00530D57" w:rsidRDefault="3E62BD6B" w:rsidP="00896331">
      <w:pPr>
        <w:pStyle w:val="Numberedpara"/>
        <w:numPr>
          <w:ilvl w:val="1"/>
          <w:numId w:val="71"/>
        </w:numPr>
        <w:rPr>
          <w:rFonts w:eastAsia="Times New Roman" w:cs="Times New Roman"/>
          <w:szCs w:val="24"/>
          <w:lang w:eastAsia="en-AU"/>
        </w:rPr>
      </w:pPr>
      <w:r w:rsidRPr="001D5A00">
        <w:t>Objective</w:t>
      </w:r>
      <w:r w:rsidRPr="00530D57">
        <w:rPr>
          <w:rFonts w:eastAsia="Times New Roman" w:cs="Times New Roman"/>
          <w:lang w:eastAsia="en-AU"/>
        </w:rPr>
        <w:t>, rather than emotive, terminology should be used.</w:t>
      </w:r>
      <w:r w:rsidR="00145ED5" w:rsidRPr="00530D57">
        <w:rPr>
          <w:color w:val="262626" w:themeColor="text1" w:themeTint="D9"/>
          <w:sz w:val="18"/>
          <w:szCs w:val="18"/>
          <w:vertAlign w:val="superscript"/>
          <w:lang w:eastAsia="en-AU"/>
        </w:rPr>
        <w:footnoteReference w:id="92"/>
      </w:r>
      <w:r w:rsidRPr="00530D57">
        <w:rPr>
          <w:rFonts w:eastAsia="Times New Roman" w:cs="Times New Roman"/>
          <w:lang w:eastAsia="en-AU"/>
        </w:rPr>
        <w:t xml:space="preserve"> </w:t>
      </w:r>
    </w:p>
    <w:p w14:paraId="23CAE29B" w14:textId="186B2230" w:rsidR="003A0EBA" w:rsidRPr="00530D57" w:rsidRDefault="3E62BD6B"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We should consider what effect any legislative change will have on policing and judicial practices.</w:t>
      </w:r>
      <w:r w:rsidR="00145ED5" w:rsidRPr="00530D57">
        <w:rPr>
          <w:color w:val="262626" w:themeColor="text1" w:themeTint="D9"/>
          <w:sz w:val="18"/>
          <w:szCs w:val="18"/>
          <w:vertAlign w:val="superscript"/>
          <w:lang w:eastAsia="en-AU"/>
        </w:rPr>
        <w:footnoteReference w:id="93"/>
      </w:r>
    </w:p>
    <w:p w14:paraId="39641E0A" w14:textId="77777777" w:rsidR="00145ED5" w:rsidRPr="00530D57" w:rsidRDefault="3E62BD6B"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The law should focus on addressing harm within existing frameworks.</w:t>
      </w:r>
      <w:r w:rsidR="00145ED5" w:rsidRPr="00530D57">
        <w:rPr>
          <w:rFonts w:cs="Times New Roman"/>
          <w:color w:val="262626" w:themeColor="text1" w:themeTint="D9"/>
          <w:sz w:val="18"/>
          <w:szCs w:val="18"/>
          <w:vertAlign w:val="superscript"/>
          <w:lang w:eastAsia="en-AU"/>
        </w:rPr>
        <w:footnoteReference w:id="94"/>
      </w:r>
    </w:p>
    <w:p w14:paraId="50E13548" w14:textId="23C4C758" w:rsidR="00145ED5" w:rsidRPr="00530D57" w:rsidRDefault="00AE66C4" w:rsidP="00145ED5">
      <w:pPr>
        <w:keepNext/>
        <w:spacing w:before="360" w:after="200"/>
        <w:outlineLvl w:val="1"/>
        <w:rPr>
          <w:rFonts w:ascii="Metropolis" w:eastAsia="Times New Roman" w:hAnsi="Metropolis" w:cs="Times New Roman"/>
          <w:b/>
          <w:caps/>
          <w:color w:val="73AB6E"/>
          <w:sz w:val="22"/>
          <w:szCs w:val="24"/>
          <w:lang w:eastAsia="en-AU"/>
        </w:rPr>
      </w:pPr>
      <w:bookmarkStart w:id="37" w:name="_Toc207093259"/>
      <w:r w:rsidRPr="00530D57">
        <w:rPr>
          <w:rFonts w:ascii="Metropolis" w:eastAsia="Times New Roman" w:hAnsi="Metropolis" w:cs="Times New Roman"/>
          <w:b/>
          <w:caps/>
          <w:color w:val="73AB6E"/>
          <w:sz w:val="22"/>
          <w:szCs w:val="24"/>
          <w:lang w:eastAsia="en-AU"/>
        </w:rPr>
        <w:t>T</w:t>
      </w:r>
      <w:r w:rsidR="00145ED5" w:rsidRPr="00530D57">
        <w:rPr>
          <w:rFonts w:ascii="Metropolis" w:eastAsia="Times New Roman" w:hAnsi="Metropolis" w:cs="Times New Roman"/>
          <w:b/>
          <w:caps/>
          <w:color w:val="73AB6E"/>
          <w:sz w:val="22"/>
          <w:szCs w:val="24"/>
          <w:lang w:eastAsia="en-AU"/>
        </w:rPr>
        <w:t>ikanga</w:t>
      </w:r>
      <w:bookmarkEnd w:id="37"/>
    </w:p>
    <w:p w14:paraId="42CDB34F" w14:textId="25811E50" w:rsidR="00145ED5" w:rsidRPr="00530D57" w:rsidRDefault="2F3D4653" w:rsidP="002F5E4F">
      <w:pPr>
        <w:pStyle w:val="Numberedpara"/>
      </w:pPr>
      <w:r w:rsidRPr="00530D57">
        <w:t xml:space="preserve">In the Consultation Paper, we explained that tikanga should be analysed as part of good law-making in Aotearoa New Zealand. </w:t>
      </w:r>
      <w:r w:rsidR="00A07BC0">
        <w:t>Eleven</w:t>
      </w:r>
      <w:r w:rsidR="043649D7" w:rsidRPr="00530D57">
        <w:t xml:space="preserve"> </w:t>
      </w:r>
      <w:r w:rsidR="684F0A28" w:rsidRPr="00530D57">
        <w:t xml:space="preserve">submitters </w:t>
      </w:r>
      <w:r w:rsidR="043649D7" w:rsidRPr="00530D57">
        <w:t xml:space="preserve">discussed </w:t>
      </w:r>
      <w:r w:rsidR="684F0A28" w:rsidRPr="00530D57">
        <w:t>this.</w:t>
      </w:r>
      <w:r w:rsidR="00145ED5" w:rsidRPr="00530D57">
        <w:rPr>
          <w:color w:val="262626" w:themeColor="text1" w:themeTint="D9"/>
          <w:sz w:val="18"/>
          <w:szCs w:val="18"/>
          <w:vertAlign w:val="superscript"/>
        </w:rPr>
        <w:footnoteReference w:id="95"/>
      </w:r>
      <w:r w:rsidR="043649D7" w:rsidRPr="00530D57">
        <w:t xml:space="preserve"> </w:t>
      </w:r>
    </w:p>
    <w:p w14:paraId="6864B5AA" w14:textId="6574A4D9" w:rsidR="00697104" w:rsidRPr="00530D57" w:rsidRDefault="004546A0" w:rsidP="00697104">
      <w:pPr>
        <w:pStyle w:val="Numberedpara"/>
      </w:pPr>
      <w:r>
        <w:t>Eight</w:t>
      </w:r>
      <w:r w:rsidR="043649D7" w:rsidRPr="00530D57">
        <w:t xml:space="preserve"> </w:t>
      </w:r>
      <w:r w:rsidR="0F6CF0D3" w:rsidRPr="00530D57">
        <w:t xml:space="preserve">submitters </w:t>
      </w:r>
      <w:r w:rsidR="043649D7" w:rsidRPr="00530D57">
        <w:t>expressly or impliedly agreed tikanga is relevant.</w:t>
      </w:r>
      <w:r w:rsidR="00145ED5" w:rsidRPr="00530D57">
        <w:rPr>
          <w:color w:val="262626" w:themeColor="text1" w:themeTint="D9"/>
          <w:sz w:val="18"/>
          <w:szCs w:val="18"/>
          <w:vertAlign w:val="superscript"/>
        </w:rPr>
        <w:footnoteReference w:id="96"/>
      </w:r>
      <w:r w:rsidR="043649D7" w:rsidRPr="00530D57">
        <w:t xml:space="preserve"> </w:t>
      </w:r>
      <w:r w:rsidR="6B8F5ABB" w:rsidRPr="00530D57">
        <w:t>Submitters said</w:t>
      </w:r>
      <w:r w:rsidR="043649D7" w:rsidRPr="00530D57">
        <w:t xml:space="preserve"> considering tikanga is important because:</w:t>
      </w:r>
    </w:p>
    <w:p w14:paraId="7A9A1E09" w14:textId="570A9A06" w:rsidR="00697104" w:rsidRPr="00530D57" w:rsidRDefault="3E62BD6B"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it fosters a more culturally responsive legal framework</w:t>
      </w:r>
      <w:r w:rsidR="620CF326" w:rsidRPr="00530D57">
        <w:rPr>
          <w:rFonts w:eastAsia="Times New Roman" w:cs="Times New Roman"/>
          <w:lang w:eastAsia="en-AU"/>
        </w:rPr>
        <w:t>;</w:t>
      </w:r>
      <w:r w:rsidR="00145ED5" w:rsidRPr="00530D57">
        <w:rPr>
          <w:color w:val="262626" w:themeColor="text1" w:themeTint="D9"/>
          <w:sz w:val="18"/>
          <w:szCs w:val="18"/>
          <w:vertAlign w:val="superscript"/>
          <w:lang w:eastAsia="en-AU"/>
        </w:rPr>
        <w:footnoteReference w:id="97"/>
      </w:r>
    </w:p>
    <w:p w14:paraId="057F32F6" w14:textId="285CA396" w:rsidR="00697104" w:rsidRPr="00530D57" w:rsidRDefault="3E62BD6B"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lastRenderedPageBreak/>
        <w:t>it reflects Aotearoa New Zealand’s commitment to honouring its indigenous people</w:t>
      </w:r>
      <w:r w:rsidR="620CF326" w:rsidRPr="00530D57">
        <w:rPr>
          <w:rFonts w:eastAsia="Times New Roman" w:cs="Times New Roman"/>
          <w:lang w:eastAsia="en-AU"/>
        </w:rPr>
        <w:t>; and</w:t>
      </w:r>
      <w:r w:rsidR="00145ED5" w:rsidRPr="00530D57">
        <w:rPr>
          <w:color w:val="262626" w:themeColor="text1" w:themeTint="D9"/>
          <w:sz w:val="18"/>
          <w:szCs w:val="18"/>
          <w:vertAlign w:val="superscript"/>
          <w:lang w:eastAsia="en-AU"/>
        </w:rPr>
        <w:footnoteReference w:id="98"/>
      </w:r>
    </w:p>
    <w:p w14:paraId="7BD2CC39" w14:textId="77777777" w:rsidR="00145ED5" w:rsidRPr="00530D57" w:rsidRDefault="3E62BD6B"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it is the first law of Aotearoa New Zealand.</w:t>
      </w:r>
      <w:r w:rsidR="00145ED5" w:rsidRPr="00530D57">
        <w:rPr>
          <w:rFonts w:cs="Times New Roman"/>
          <w:color w:val="262626" w:themeColor="text1" w:themeTint="D9"/>
          <w:sz w:val="18"/>
          <w:szCs w:val="18"/>
          <w:vertAlign w:val="superscript"/>
          <w:lang w:eastAsia="en-AU"/>
        </w:rPr>
        <w:footnoteReference w:id="99"/>
      </w:r>
      <w:r w:rsidRPr="00530D57">
        <w:rPr>
          <w:rFonts w:eastAsia="Times New Roman" w:cs="Times New Roman"/>
          <w:lang w:eastAsia="en-AU"/>
        </w:rPr>
        <w:t xml:space="preserve"> </w:t>
      </w:r>
    </w:p>
    <w:p w14:paraId="60F1A423" w14:textId="44DAA9ED" w:rsidR="00145ED5" w:rsidRPr="00530D57" w:rsidRDefault="00145ED5" w:rsidP="002F5E4F">
      <w:pPr>
        <w:pStyle w:val="Numberedpara"/>
      </w:pPr>
      <w:r w:rsidRPr="00530D57">
        <w:t xml:space="preserve">Two submitters discussed the intersection between hate crimes and tikanga. </w:t>
      </w:r>
      <w:r w:rsidR="00DE02E5" w:rsidRPr="00530D57">
        <w:t>Members of</w:t>
      </w:r>
      <w:r w:rsidRPr="00530D57">
        <w:t xml:space="preserve"> Te Hunga Rōia </w:t>
      </w:r>
      <w:r w:rsidR="009A11A5" w:rsidRPr="00530D57">
        <w:t xml:space="preserve">Māori o Aotearoa </w:t>
      </w:r>
      <w:r w:rsidRPr="00530D57">
        <w:t>noted that, from a</w:t>
      </w:r>
      <w:r w:rsidR="009D043E" w:rsidRPr="00530D57">
        <w:t>n</w:t>
      </w:r>
      <w:r w:rsidRPr="00530D57">
        <w:t xml:space="preserve"> ao Māori perspective, hate crimes may be considered a category of crime that </w:t>
      </w:r>
      <w:r w:rsidR="002C38B9" w:rsidRPr="00530D57">
        <w:t xml:space="preserve">requires </w:t>
      </w:r>
      <w:r w:rsidR="00C06E62" w:rsidRPr="00530D57">
        <w:t xml:space="preserve">a </w:t>
      </w:r>
      <w:r w:rsidRPr="00530D57">
        <w:t xml:space="preserve">higher </w:t>
      </w:r>
      <w:r w:rsidR="00C06E62" w:rsidRPr="00530D57">
        <w:t xml:space="preserve">level of </w:t>
      </w:r>
      <w:r w:rsidRPr="00530D57">
        <w:t xml:space="preserve">denunciation. </w:t>
      </w:r>
      <w:r w:rsidR="00C36EF6">
        <w:t>Te Kāhui o Ināia Tonu Nei Charitable Trust</w:t>
      </w:r>
      <w:r w:rsidRPr="00530D57" w:rsidDel="00BF4C26">
        <w:t xml:space="preserve"> </w:t>
      </w:r>
      <w:r w:rsidRPr="00530D57">
        <w:t xml:space="preserve">suggested we consider the concepts of tūkino and utua kia ea. They explained tūkino is a transgression that is unjust, unfair, violent, destructive, cruel and abusive. Utua kia ea is a process that is undertaken to account for tūkino. </w:t>
      </w:r>
    </w:p>
    <w:p w14:paraId="3132AF41" w14:textId="38C26CA5" w:rsidR="00145ED5" w:rsidRPr="00530D57" w:rsidRDefault="009921B0" w:rsidP="002F5E4F">
      <w:pPr>
        <w:pStyle w:val="Numberedpara"/>
      </w:pPr>
      <w:r>
        <w:t>Three</w:t>
      </w:r>
      <w:r w:rsidR="043649D7" w:rsidRPr="00530D57">
        <w:t xml:space="preserve"> submitters expressed concerns about the relevance of tikanga.</w:t>
      </w:r>
      <w:r w:rsidR="00145ED5" w:rsidRPr="00530D57">
        <w:rPr>
          <w:color w:val="262626" w:themeColor="text1" w:themeTint="D9"/>
          <w:sz w:val="18"/>
          <w:szCs w:val="18"/>
          <w:vertAlign w:val="superscript"/>
        </w:rPr>
        <w:footnoteReference w:id="100"/>
      </w:r>
      <w:r w:rsidR="043649D7" w:rsidRPr="00530D57">
        <w:t xml:space="preserve"> </w:t>
      </w:r>
      <w:r w:rsidR="25D72B82" w:rsidRPr="00530D57">
        <w:t>They said</w:t>
      </w:r>
      <w:r w:rsidR="043649D7" w:rsidRPr="00530D57">
        <w:t xml:space="preserve">: </w:t>
      </w:r>
    </w:p>
    <w:p w14:paraId="007A109B" w14:textId="12682728" w:rsidR="00145ED5" w:rsidRPr="00530D57" w:rsidRDefault="1A80D77F"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Tikanga must be underst</w:t>
      </w:r>
      <w:r w:rsidR="352C7B2A" w:rsidRPr="00530D57">
        <w:rPr>
          <w:rFonts w:eastAsia="Times New Roman" w:cs="Times New Roman"/>
          <w:lang w:eastAsia="en-AU"/>
        </w:rPr>
        <w:t>andable</w:t>
      </w:r>
      <w:r w:rsidRPr="00530D57">
        <w:rPr>
          <w:rFonts w:eastAsia="Times New Roman" w:cs="Times New Roman"/>
          <w:lang w:eastAsia="en-AU"/>
        </w:rPr>
        <w:t xml:space="preserve"> by all to be </w:t>
      </w:r>
      <w:r w:rsidR="3E62BD6B" w:rsidRPr="00530D57">
        <w:rPr>
          <w:rFonts w:eastAsia="Times New Roman" w:cs="Times New Roman"/>
          <w:lang w:eastAsia="en-AU"/>
        </w:rPr>
        <w:t>a useful basis for law</w:t>
      </w:r>
      <w:r w:rsidR="40446710" w:rsidRPr="00530D57">
        <w:rPr>
          <w:rFonts w:eastAsia="Times New Roman" w:cs="Times New Roman"/>
          <w:lang w:eastAsia="en-AU"/>
        </w:rPr>
        <w:t xml:space="preserve"> — i</w:t>
      </w:r>
      <w:r w:rsidR="3E62BD6B" w:rsidRPr="00530D57">
        <w:rPr>
          <w:rFonts w:eastAsia="Times New Roman" w:cs="Times New Roman"/>
          <w:lang w:eastAsia="en-AU"/>
        </w:rPr>
        <w:t>t is unhelpful to treat it as fundamentally different to a Western worldview.</w:t>
      </w:r>
      <w:r w:rsidR="00145ED5" w:rsidRPr="00530D57">
        <w:rPr>
          <w:rFonts w:cs="Times New Roman"/>
          <w:color w:val="262626" w:themeColor="text1" w:themeTint="D9"/>
          <w:sz w:val="18"/>
          <w:szCs w:val="18"/>
          <w:vertAlign w:val="superscript"/>
          <w:lang w:eastAsia="en-AU"/>
        </w:rPr>
        <w:footnoteReference w:id="101"/>
      </w:r>
    </w:p>
    <w:p w14:paraId="65DBC26E" w14:textId="17E4914C" w:rsidR="00145ED5" w:rsidRPr="00530D57" w:rsidRDefault="3E62BD6B" w:rsidP="00896331">
      <w:pPr>
        <w:pStyle w:val="Numberedpara"/>
        <w:numPr>
          <w:ilvl w:val="1"/>
          <w:numId w:val="71"/>
        </w:numPr>
        <w:rPr>
          <w:rFonts w:eastAsia="Times New Roman" w:cs="Times New Roman"/>
          <w:szCs w:val="24"/>
          <w:lang w:eastAsia="en-AU"/>
        </w:rPr>
      </w:pPr>
      <w:r w:rsidRPr="001D5A00">
        <w:t>Legal</w:t>
      </w:r>
      <w:r w:rsidRPr="00530D57">
        <w:rPr>
          <w:rFonts w:eastAsia="Times New Roman" w:cs="Times New Roman"/>
          <w:lang w:eastAsia="en-AU"/>
        </w:rPr>
        <w:t xml:space="preserve"> reasoning in a secular society should not invoke supernatural concepts like atua, tapu and mauri.</w:t>
      </w:r>
      <w:r w:rsidR="00145ED5" w:rsidRPr="00530D57">
        <w:rPr>
          <w:rFonts w:cs="Times New Roman"/>
          <w:color w:val="262626" w:themeColor="text1" w:themeTint="D9"/>
          <w:sz w:val="18"/>
          <w:szCs w:val="18"/>
          <w:vertAlign w:val="superscript"/>
          <w:lang w:eastAsia="en-AU"/>
        </w:rPr>
        <w:footnoteReference w:id="102"/>
      </w:r>
    </w:p>
    <w:p w14:paraId="3ABED1AD" w14:textId="39E7B1A0" w:rsidR="00145ED5" w:rsidRPr="00530D57" w:rsidRDefault="3E62BD6B"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 xml:space="preserve">The law </w:t>
      </w:r>
      <w:r w:rsidR="09B4590D" w:rsidRPr="00530D57">
        <w:rPr>
          <w:rFonts w:eastAsia="Times New Roman" w:cs="Times New Roman"/>
          <w:lang w:eastAsia="en-AU"/>
        </w:rPr>
        <w:t xml:space="preserve">should </w:t>
      </w:r>
      <w:r w:rsidRPr="00530D57">
        <w:rPr>
          <w:rFonts w:eastAsia="Times New Roman" w:cs="Times New Roman"/>
          <w:lang w:eastAsia="en-AU"/>
        </w:rPr>
        <w:t>apply equally to all citizens, regardless of identity or ancestry.</w:t>
      </w:r>
      <w:r w:rsidR="00145ED5" w:rsidRPr="00530D57">
        <w:rPr>
          <w:rFonts w:cs="Times New Roman"/>
          <w:color w:val="262626" w:themeColor="text1" w:themeTint="D9"/>
          <w:sz w:val="18"/>
          <w:szCs w:val="18"/>
          <w:vertAlign w:val="superscript"/>
          <w:lang w:eastAsia="en-AU"/>
        </w:rPr>
        <w:footnoteReference w:id="103"/>
      </w:r>
    </w:p>
    <w:p w14:paraId="457EA560" w14:textId="77777777" w:rsidR="00145ED5" w:rsidRPr="00530D57" w:rsidRDefault="3E62BD6B" w:rsidP="00896331">
      <w:pPr>
        <w:pStyle w:val="Numberedpara"/>
        <w:numPr>
          <w:ilvl w:val="1"/>
          <w:numId w:val="71"/>
        </w:numPr>
        <w:rPr>
          <w:rFonts w:eastAsia="Times New Roman" w:cs="Times New Roman"/>
          <w:szCs w:val="24"/>
          <w:lang w:eastAsia="en-AU"/>
        </w:rPr>
      </w:pPr>
      <w:r w:rsidRPr="001D5A00">
        <w:t>There</w:t>
      </w:r>
      <w:r w:rsidRPr="00530D57">
        <w:rPr>
          <w:rFonts w:eastAsia="Times New Roman" w:cs="Times New Roman"/>
          <w:lang w:eastAsia="en-AU"/>
        </w:rPr>
        <w:t xml:space="preserve"> is no concept of hate crime in tikanga.</w:t>
      </w:r>
      <w:r w:rsidR="00145ED5" w:rsidRPr="00530D57">
        <w:rPr>
          <w:rFonts w:cs="Times New Roman"/>
          <w:color w:val="262626" w:themeColor="text1" w:themeTint="D9"/>
          <w:sz w:val="18"/>
          <w:szCs w:val="18"/>
          <w:vertAlign w:val="superscript"/>
          <w:lang w:eastAsia="en-AU"/>
        </w:rPr>
        <w:footnoteReference w:id="104"/>
      </w:r>
    </w:p>
    <w:p w14:paraId="269B3150" w14:textId="13337A1A" w:rsidR="00697104" w:rsidRPr="00530D57" w:rsidRDefault="00145ED5" w:rsidP="00697104">
      <w:pPr>
        <w:pStyle w:val="Numberedpara"/>
      </w:pPr>
      <w:r w:rsidRPr="00530D57">
        <w:t>Some submitters made other points</w:t>
      </w:r>
      <w:r w:rsidR="00DC2F55" w:rsidRPr="00530D57">
        <w:t>, including</w:t>
      </w:r>
      <w:r w:rsidRPr="00530D57">
        <w:t>:</w:t>
      </w:r>
    </w:p>
    <w:p w14:paraId="2ABF90F2" w14:textId="77777777" w:rsidR="00145ED5" w:rsidRPr="00530D57" w:rsidRDefault="3E62BD6B"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Māori customs and perspectives should inform but not restrict legal fairness and equality.</w:t>
      </w:r>
      <w:r w:rsidR="00145ED5" w:rsidRPr="00530D57">
        <w:rPr>
          <w:rFonts w:cs="Times New Roman"/>
          <w:color w:val="262626" w:themeColor="text1" w:themeTint="D9"/>
          <w:sz w:val="18"/>
          <w:szCs w:val="18"/>
          <w:vertAlign w:val="superscript"/>
          <w:lang w:eastAsia="en-AU"/>
        </w:rPr>
        <w:footnoteReference w:id="105"/>
      </w:r>
      <w:r w:rsidRPr="00530D57">
        <w:rPr>
          <w:rFonts w:eastAsia="Times New Roman" w:cs="Times New Roman"/>
          <w:lang w:eastAsia="en-AU"/>
        </w:rPr>
        <w:t xml:space="preserve"> </w:t>
      </w:r>
    </w:p>
    <w:p w14:paraId="12286750" w14:textId="56D554DB" w:rsidR="00145ED5" w:rsidRPr="00530D57" w:rsidRDefault="3E62BD6B"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Our Consultation Paper did not explore what a tikanga-led model responding to hate crime might look like.</w:t>
      </w:r>
      <w:r w:rsidR="00145ED5" w:rsidRPr="00530D57">
        <w:rPr>
          <w:rFonts w:cs="Times New Roman"/>
          <w:color w:val="262626" w:themeColor="text1" w:themeTint="D9"/>
          <w:sz w:val="18"/>
          <w:szCs w:val="18"/>
          <w:vertAlign w:val="superscript"/>
          <w:lang w:eastAsia="en-AU"/>
        </w:rPr>
        <w:footnoteReference w:id="106"/>
      </w:r>
      <w:r w:rsidRPr="00530D57">
        <w:rPr>
          <w:rFonts w:eastAsia="Times New Roman" w:cs="Times New Roman"/>
          <w:lang w:eastAsia="en-AU"/>
        </w:rPr>
        <w:t xml:space="preserve"> </w:t>
      </w:r>
    </w:p>
    <w:p w14:paraId="331021E9" w14:textId="31B07E74" w:rsidR="00145ED5" w:rsidRPr="00530D57" w:rsidRDefault="3E62BD6B" w:rsidP="00896331">
      <w:pPr>
        <w:pStyle w:val="Numberedpara"/>
        <w:numPr>
          <w:ilvl w:val="1"/>
          <w:numId w:val="71"/>
        </w:numPr>
        <w:rPr>
          <w:rFonts w:eastAsia="Times New Roman" w:cs="Times New Roman"/>
          <w:szCs w:val="24"/>
          <w:lang w:eastAsia="en-AU"/>
        </w:rPr>
      </w:pPr>
      <w:r w:rsidRPr="001D5A00">
        <w:t>Tikanga</w:t>
      </w:r>
      <w:r w:rsidRPr="00530D57">
        <w:rPr>
          <w:rFonts w:eastAsia="Times New Roman" w:cs="Times New Roman"/>
          <w:lang w:eastAsia="en-AU"/>
        </w:rPr>
        <w:t xml:space="preserve"> is relevant to sentencing.</w:t>
      </w:r>
      <w:r w:rsidR="00145ED5" w:rsidRPr="00530D57">
        <w:rPr>
          <w:rFonts w:cs="Times New Roman"/>
          <w:color w:val="262626" w:themeColor="text1" w:themeTint="D9"/>
          <w:sz w:val="18"/>
          <w:szCs w:val="18"/>
          <w:vertAlign w:val="superscript"/>
          <w:lang w:eastAsia="en-AU"/>
        </w:rPr>
        <w:footnoteReference w:id="107"/>
      </w:r>
    </w:p>
    <w:p w14:paraId="0CF1A3D1" w14:textId="03CB3315" w:rsidR="00145ED5" w:rsidRPr="00530D57" w:rsidRDefault="00145ED5" w:rsidP="00145ED5">
      <w:pPr>
        <w:keepNext/>
        <w:spacing w:before="360" w:after="200"/>
        <w:outlineLvl w:val="1"/>
        <w:rPr>
          <w:rFonts w:ascii="Metropolis" w:eastAsia="Times New Roman" w:hAnsi="Metropolis" w:cs="Times New Roman"/>
          <w:b/>
          <w:caps/>
          <w:color w:val="73AB6E"/>
          <w:sz w:val="22"/>
          <w:szCs w:val="24"/>
          <w:lang w:eastAsia="en-AU"/>
        </w:rPr>
      </w:pPr>
      <w:bookmarkStart w:id="38" w:name="_Toc207093260"/>
      <w:r w:rsidRPr="00530D57">
        <w:rPr>
          <w:rFonts w:ascii="Metropolis" w:eastAsia="Times New Roman" w:hAnsi="Metropolis" w:cs="Times New Roman"/>
          <w:b/>
          <w:caps/>
          <w:color w:val="73AB6E"/>
          <w:sz w:val="22"/>
          <w:szCs w:val="24"/>
          <w:lang w:eastAsia="en-AU"/>
        </w:rPr>
        <w:t xml:space="preserve">Te Tiriti o Waitangi </w:t>
      </w:r>
      <w:r w:rsidR="00155949" w:rsidRPr="00530D57">
        <w:rPr>
          <w:rFonts w:ascii="Metropolis" w:eastAsia="Times New Roman" w:hAnsi="Metropolis" w:cs="Times New Roman"/>
          <w:b/>
          <w:caps/>
          <w:color w:val="73AB6E"/>
          <w:sz w:val="22"/>
          <w:szCs w:val="24"/>
          <w:lang w:eastAsia="en-AU"/>
        </w:rPr>
        <w:t>| Treaty of Waitangi</w:t>
      </w:r>
      <w:bookmarkEnd w:id="38"/>
    </w:p>
    <w:p w14:paraId="4DF67030" w14:textId="15CED1A8" w:rsidR="00145ED5" w:rsidRPr="00530D57" w:rsidRDefault="00FD71CD" w:rsidP="002F5E4F">
      <w:pPr>
        <w:pStyle w:val="Numberedpara"/>
      </w:pPr>
      <w:r w:rsidRPr="00530D57">
        <w:t xml:space="preserve">In </w:t>
      </w:r>
      <w:r w:rsidR="00EB3EA2" w:rsidRPr="00530D57">
        <w:t>our</w:t>
      </w:r>
      <w:r w:rsidRPr="00530D57">
        <w:t xml:space="preserve"> Consultation Paper, we </w:t>
      </w:r>
      <w:r w:rsidRPr="00530D57" w:rsidDel="00155949">
        <w:t xml:space="preserve">explained </w:t>
      </w:r>
      <w:r w:rsidRPr="00530D57" w:rsidDel="004851B9">
        <w:t>that we aim to give practical effect to</w:t>
      </w:r>
      <w:r w:rsidRPr="00530D57" w:rsidDel="00155949">
        <w:t xml:space="preserve"> </w:t>
      </w:r>
      <w:r w:rsidR="002207A3" w:rsidRPr="00530D57" w:rsidDel="00155949">
        <w:t xml:space="preserve">te Tiriti o Waitangi | </w:t>
      </w:r>
      <w:r w:rsidRPr="00530D57" w:rsidDel="00155949">
        <w:t>the Treaty</w:t>
      </w:r>
      <w:r w:rsidR="00946CFF" w:rsidRPr="00530D57">
        <w:t xml:space="preserve"> of Waitangi</w:t>
      </w:r>
      <w:r w:rsidRPr="00530D57" w:rsidDel="00155949">
        <w:t xml:space="preserve"> </w:t>
      </w:r>
      <w:r w:rsidRPr="00530D57" w:rsidDel="00B71ED2">
        <w:t xml:space="preserve">in our work </w:t>
      </w:r>
      <w:r w:rsidR="008D28D7" w:rsidRPr="00530D57">
        <w:t xml:space="preserve">and </w:t>
      </w:r>
      <w:r w:rsidR="00155949" w:rsidRPr="00530D57">
        <w:t xml:space="preserve">invited views on </w:t>
      </w:r>
      <w:r w:rsidR="001B1FAF" w:rsidRPr="00530D57">
        <w:t>ways to uphold the Crown’s obligations under the Treaty</w:t>
      </w:r>
      <w:r w:rsidR="00013465" w:rsidRPr="00530D57">
        <w:t xml:space="preserve"> in the context of this review</w:t>
      </w:r>
      <w:r w:rsidRPr="00530D57">
        <w:t xml:space="preserve">. </w:t>
      </w:r>
      <w:r w:rsidR="00145ED5" w:rsidRPr="00530D57">
        <w:t>Fifty-</w:t>
      </w:r>
      <w:r w:rsidR="009C2D70">
        <w:t>five</w:t>
      </w:r>
      <w:r w:rsidR="00145ED5" w:rsidRPr="00530D57">
        <w:t xml:space="preserve"> submissions discussed</w:t>
      </w:r>
      <w:r w:rsidR="00D3314C" w:rsidRPr="00530D57">
        <w:t xml:space="preserve"> this</w:t>
      </w:r>
      <w:r w:rsidR="00145ED5" w:rsidRPr="00530D57">
        <w:t xml:space="preserve">. </w:t>
      </w:r>
    </w:p>
    <w:p w14:paraId="023AD308" w14:textId="2DC696A4" w:rsidR="00145ED5" w:rsidRPr="00530D57" w:rsidRDefault="043649D7" w:rsidP="002F5E4F">
      <w:pPr>
        <w:pStyle w:val="Numberedpara"/>
      </w:pPr>
      <w:r w:rsidRPr="00530D57">
        <w:lastRenderedPageBreak/>
        <w:t>Twenty-</w:t>
      </w:r>
      <w:r w:rsidR="002502E7">
        <w:t>two</w:t>
      </w:r>
      <w:r w:rsidRPr="00530D57">
        <w:t xml:space="preserve"> submitters considered</w:t>
      </w:r>
      <w:r w:rsidR="3FE5A519" w:rsidRPr="00530D57">
        <w:t xml:space="preserve"> that</w:t>
      </w:r>
      <w:r w:rsidRPr="00530D57">
        <w:t xml:space="preserve"> </w:t>
      </w:r>
      <w:r w:rsidR="5891251C" w:rsidRPr="00530D57">
        <w:t>the Treaty</w:t>
      </w:r>
      <w:r w:rsidRPr="00530D57">
        <w:t xml:space="preserve"> is relevant to this review or discussed what Treaty</w:t>
      </w:r>
      <w:r w:rsidR="52793164" w:rsidRPr="00530D57">
        <w:t>-</w:t>
      </w:r>
      <w:r w:rsidRPr="00530D57">
        <w:t>consistent reform might look like.</w:t>
      </w:r>
      <w:r w:rsidR="00145ED5" w:rsidRPr="00530D57">
        <w:rPr>
          <w:color w:val="262626" w:themeColor="text1" w:themeTint="D9"/>
          <w:sz w:val="18"/>
          <w:szCs w:val="18"/>
          <w:vertAlign w:val="superscript"/>
        </w:rPr>
        <w:footnoteReference w:id="108"/>
      </w:r>
      <w:r w:rsidRPr="00530D57">
        <w:t xml:space="preserve"> </w:t>
      </w:r>
      <w:r w:rsidR="37F9E6A8" w:rsidRPr="00530D57">
        <w:t>They said</w:t>
      </w:r>
      <w:r w:rsidRPr="00530D57">
        <w:t>:</w:t>
      </w:r>
    </w:p>
    <w:p w14:paraId="25BE9B78" w14:textId="7E62BF0A" w:rsidR="00145ED5" w:rsidRPr="00530D57" w:rsidRDefault="64D3A2E0" w:rsidP="00896331">
      <w:pPr>
        <w:pStyle w:val="Numberedpara"/>
        <w:numPr>
          <w:ilvl w:val="1"/>
          <w:numId w:val="71"/>
        </w:numPr>
        <w:rPr>
          <w:rFonts w:eastAsia="Times New Roman" w:cs="Times New Roman"/>
          <w:szCs w:val="24"/>
          <w:lang w:eastAsia="en-AU"/>
        </w:rPr>
      </w:pPr>
      <w:r w:rsidRPr="001D5A00">
        <w:t>Different</w:t>
      </w:r>
      <w:r w:rsidR="3E62BD6B" w:rsidRPr="00530D57">
        <w:rPr>
          <w:rFonts w:eastAsia="Times New Roman" w:cs="Times New Roman"/>
          <w:lang w:eastAsia="en-AU"/>
        </w:rPr>
        <w:t xml:space="preserve"> models of dispute resolution, such as restorative justice approaches or access to education about Te Tiriti, </w:t>
      </w:r>
      <w:r w:rsidRPr="00530D57">
        <w:rPr>
          <w:rFonts w:eastAsia="Times New Roman" w:cs="Times New Roman"/>
          <w:lang w:eastAsia="en-AU"/>
        </w:rPr>
        <w:t>could be applied</w:t>
      </w:r>
      <w:r w:rsidR="3E62BD6B" w:rsidRPr="00530D57">
        <w:rPr>
          <w:rFonts w:eastAsia="Times New Roman" w:cs="Times New Roman"/>
          <w:lang w:eastAsia="en-AU"/>
        </w:rPr>
        <w:t>.</w:t>
      </w:r>
      <w:r w:rsidR="00145ED5" w:rsidRPr="00530D57">
        <w:rPr>
          <w:rFonts w:cs="Times New Roman"/>
          <w:color w:val="262626" w:themeColor="text1" w:themeTint="D9"/>
          <w:sz w:val="18"/>
          <w:szCs w:val="18"/>
          <w:vertAlign w:val="superscript"/>
          <w:lang w:eastAsia="en-AU"/>
        </w:rPr>
        <w:footnoteReference w:id="109"/>
      </w:r>
      <w:r w:rsidR="3E62BD6B" w:rsidRPr="00530D57">
        <w:rPr>
          <w:rFonts w:eastAsia="Times New Roman" w:cs="Times New Roman"/>
          <w:lang w:eastAsia="en-AU"/>
        </w:rPr>
        <w:t xml:space="preserve"> </w:t>
      </w:r>
    </w:p>
    <w:p w14:paraId="1C5F21F7" w14:textId="61930D0F" w:rsidR="00145ED5" w:rsidRPr="00530D57" w:rsidRDefault="043649D7" w:rsidP="00896331">
      <w:pPr>
        <w:pStyle w:val="Numberedpara"/>
        <w:numPr>
          <w:ilvl w:val="1"/>
          <w:numId w:val="71"/>
        </w:numPr>
        <w:rPr>
          <w:rFonts w:eastAsia="Times New Roman" w:cs="Times New Roman"/>
          <w:szCs w:val="24"/>
          <w:lang w:eastAsia="en-AU"/>
        </w:rPr>
      </w:pPr>
      <w:r w:rsidRPr="001D5A00">
        <w:t>Māori</w:t>
      </w:r>
      <w:r w:rsidRPr="00530D57">
        <w:rPr>
          <w:rFonts w:eastAsia="Times New Roman" w:cs="Times New Roman"/>
          <w:lang w:eastAsia="en-AU"/>
        </w:rPr>
        <w:t xml:space="preserve"> should be resourced and empowered to address hate crimes in accordance with tikanga.</w:t>
      </w:r>
      <w:r w:rsidR="00145ED5" w:rsidRPr="00530D57">
        <w:rPr>
          <w:rFonts w:cs="Times New Roman"/>
          <w:color w:val="262626" w:themeColor="text1" w:themeTint="D9"/>
          <w:sz w:val="18"/>
          <w:szCs w:val="18"/>
          <w:vertAlign w:val="superscript"/>
          <w:lang w:eastAsia="en-AU"/>
        </w:rPr>
        <w:footnoteReference w:id="110"/>
      </w:r>
      <w:r w:rsidRPr="00530D57">
        <w:rPr>
          <w:rFonts w:eastAsia="Times New Roman" w:cs="Times New Roman"/>
          <w:lang w:eastAsia="en-AU"/>
        </w:rPr>
        <w:t xml:space="preserve"> Investment should be made in whānau, hapū or community organisations to lead responses to hate crimes.</w:t>
      </w:r>
      <w:r w:rsidR="00145ED5" w:rsidRPr="00530D57">
        <w:rPr>
          <w:rFonts w:cs="Times New Roman"/>
          <w:color w:val="262626" w:themeColor="text1" w:themeTint="D9"/>
          <w:sz w:val="18"/>
          <w:szCs w:val="18"/>
          <w:vertAlign w:val="superscript"/>
          <w:lang w:eastAsia="en-AU"/>
        </w:rPr>
        <w:footnoteReference w:id="111"/>
      </w:r>
      <w:r w:rsidRPr="00530D57">
        <w:rPr>
          <w:rFonts w:eastAsia="Times New Roman" w:cs="Times New Roman"/>
          <w:lang w:eastAsia="en-AU"/>
        </w:rPr>
        <w:t xml:space="preserve"> Such initiatives could assist in restoring aspects of tino rangatiratanga.</w:t>
      </w:r>
      <w:r w:rsidR="00145ED5" w:rsidRPr="00530D57">
        <w:rPr>
          <w:rFonts w:cs="Times New Roman"/>
          <w:color w:val="262626" w:themeColor="text1" w:themeTint="D9"/>
          <w:sz w:val="18"/>
          <w:szCs w:val="18"/>
          <w:vertAlign w:val="superscript"/>
          <w:lang w:eastAsia="en-AU"/>
        </w:rPr>
        <w:footnoteReference w:id="112"/>
      </w:r>
    </w:p>
    <w:p w14:paraId="08A6C345" w14:textId="77777777" w:rsidR="00145ED5" w:rsidRPr="00530D57" w:rsidRDefault="764B1F1B" w:rsidP="00896331">
      <w:pPr>
        <w:pStyle w:val="Numberedpara"/>
        <w:numPr>
          <w:ilvl w:val="1"/>
          <w:numId w:val="71"/>
        </w:numPr>
        <w:rPr>
          <w:rFonts w:eastAsia="Times New Roman" w:cs="Times New Roman"/>
          <w:szCs w:val="24"/>
          <w:lang w:eastAsia="en-AU"/>
        </w:rPr>
      </w:pPr>
      <w:r w:rsidRPr="001D5A00">
        <w:t>There</w:t>
      </w:r>
      <w:r w:rsidRPr="00530D57">
        <w:rPr>
          <w:rFonts w:eastAsia="Times New Roman" w:cs="Times New Roman"/>
          <w:lang w:eastAsia="en-AU"/>
        </w:rPr>
        <w:t xml:space="preserve"> should be meaningful consultation with or involvement of Māori in any reform.</w:t>
      </w:r>
      <w:r w:rsidR="00145ED5" w:rsidRPr="00530D57">
        <w:rPr>
          <w:rFonts w:cs="Times New Roman"/>
          <w:color w:val="262626" w:themeColor="text1" w:themeTint="D9"/>
          <w:sz w:val="18"/>
          <w:szCs w:val="18"/>
          <w:vertAlign w:val="superscript"/>
          <w:lang w:eastAsia="en-AU"/>
        </w:rPr>
        <w:footnoteReference w:id="113"/>
      </w:r>
      <w:r w:rsidRPr="00530D57">
        <w:rPr>
          <w:rFonts w:eastAsia="Times New Roman" w:cs="Times New Roman"/>
          <w:lang w:eastAsia="en-AU"/>
        </w:rPr>
        <w:t xml:space="preserve"> </w:t>
      </w:r>
    </w:p>
    <w:p w14:paraId="009DECEF" w14:textId="77777777" w:rsidR="00145ED5" w:rsidRPr="00530D57" w:rsidRDefault="764B1F1B"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Wāhine Māori experience higher rates of violence and discrimination, and their safety should be a priority in legal reforms addressing hate crime.</w:t>
      </w:r>
      <w:r w:rsidR="00145ED5" w:rsidRPr="00530D57">
        <w:rPr>
          <w:rFonts w:cs="Times New Roman"/>
          <w:color w:val="262626" w:themeColor="text1" w:themeTint="D9"/>
          <w:sz w:val="18"/>
          <w:szCs w:val="18"/>
          <w:vertAlign w:val="superscript"/>
          <w:lang w:eastAsia="en-AU"/>
        </w:rPr>
        <w:footnoteReference w:id="114"/>
      </w:r>
    </w:p>
    <w:p w14:paraId="45974F83" w14:textId="77777777" w:rsidR="00145ED5" w:rsidRPr="00530D57" w:rsidRDefault="764B1F1B"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More information or better data keeping about how Māori are affected by hate crimes is needed.</w:t>
      </w:r>
      <w:r w:rsidR="00145ED5" w:rsidRPr="00530D57">
        <w:rPr>
          <w:rFonts w:cs="Times New Roman"/>
          <w:color w:val="262626" w:themeColor="text1" w:themeTint="D9"/>
          <w:sz w:val="18"/>
          <w:szCs w:val="18"/>
          <w:vertAlign w:val="superscript"/>
          <w:lang w:eastAsia="en-AU"/>
        </w:rPr>
        <w:footnoteReference w:id="115"/>
      </w:r>
      <w:r w:rsidRPr="00530D57">
        <w:rPr>
          <w:rFonts w:eastAsia="Times New Roman" w:cs="Times New Roman"/>
          <w:lang w:eastAsia="en-AU"/>
        </w:rPr>
        <w:t xml:space="preserve"> </w:t>
      </w:r>
    </w:p>
    <w:p w14:paraId="58D22164" w14:textId="48672FFA" w:rsidR="00145ED5" w:rsidRPr="00530D57" w:rsidRDefault="764B1F1B" w:rsidP="00896331">
      <w:pPr>
        <w:pStyle w:val="Numberedpara"/>
        <w:numPr>
          <w:ilvl w:val="1"/>
          <w:numId w:val="71"/>
        </w:numPr>
        <w:rPr>
          <w:rFonts w:eastAsia="Times New Roman" w:cs="Times New Roman"/>
          <w:szCs w:val="24"/>
          <w:lang w:eastAsia="en-AU"/>
        </w:rPr>
      </w:pPr>
      <w:r w:rsidRPr="001D5A00">
        <w:t>We</w:t>
      </w:r>
      <w:r w:rsidRPr="00530D57">
        <w:rPr>
          <w:rFonts w:eastAsia="Times New Roman" w:cs="Times New Roman"/>
          <w:lang w:eastAsia="en-AU"/>
        </w:rPr>
        <w:t xml:space="preserve"> should be cautious about introducing new offences</w:t>
      </w:r>
      <w:r w:rsidR="490511A6" w:rsidRPr="00530D57">
        <w:rPr>
          <w:rFonts w:eastAsia="Times New Roman" w:cs="Times New Roman"/>
          <w:lang w:eastAsia="en-AU"/>
        </w:rPr>
        <w:t xml:space="preserve"> because</w:t>
      </w:r>
      <w:r w:rsidRPr="00530D57">
        <w:rPr>
          <w:rFonts w:eastAsia="Times New Roman" w:cs="Times New Roman"/>
          <w:lang w:eastAsia="en-AU"/>
        </w:rPr>
        <w:t xml:space="preserve"> it risks over-criminalising Māori.</w:t>
      </w:r>
      <w:r w:rsidR="00145ED5" w:rsidRPr="00530D57">
        <w:rPr>
          <w:rFonts w:cs="Times New Roman"/>
          <w:color w:val="262626" w:themeColor="text1" w:themeTint="D9"/>
          <w:sz w:val="18"/>
          <w:szCs w:val="18"/>
          <w:vertAlign w:val="superscript"/>
          <w:lang w:eastAsia="en-AU"/>
        </w:rPr>
        <w:footnoteReference w:id="116"/>
      </w:r>
      <w:r w:rsidRPr="00530D57">
        <w:rPr>
          <w:rFonts w:eastAsia="Times New Roman" w:cs="Times New Roman"/>
          <w:lang w:eastAsia="en-AU"/>
        </w:rPr>
        <w:t xml:space="preserve"> </w:t>
      </w:r>
    </w:p>
    <w:p w14:paraId="1057E59A" w14:textId="77777777" w:rsidR="00145ED5" w:rsidRPr="00530D57" w:rsidRDefault="764B1F1B"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Anti-bias training for Police and prosecutors is needed to ensure Māori are not overrepresented in new offences.</w:t>
      </w:r>
      <w:r w:rsidR="00145ED5" w:rsidRPr="00530D57">
        <w:rPr>
          <w:rFonts w:cs="Times New Roman"/>
          <w:color w:val="262626" w:themeColor="text1" w:themeTint="D9"/>
          <w:sz w:val="18"/>
          <w:szCs w:val="18"/>
          <w:vertAlign w:val="superscript"/>
          <w:lang w:eastAsia="en-AU"/>
        </w:rPr>
        <w:footnoteReference w:id="117"/>
      </w:r>
    </w:p>
    <w:p w14:paraId="17100A7B" w14:textId="7A06B927" w:rsidR="00145ED5" w:rsidRPr="00530D57" w:rsidRDefault="764B1F1B" w:rsidP="002F5E4F">
      <w:pPr>
        <w:pStyle w:val="Numberedpara"/>
      </w:pPr>
      <w:r w:rsidRPr="00530D57">
        <w:t>Twenty-</w:t>
      </w:r>
      <w:r w:rsidR="002502E7">
        <w:t>seven</w:t>
      </w:r>
      <w:r w:rsidR="71EDD891" w:rsidRPr="00530D57">
        <w:t xml:space="preserve"> </w:t>
      </w:r>
      <w:r w:rsidR="29C47008" w:rsidRPr="00530D57">
        <w:t xml:space="preserve">submitters </w:t>
      </w:r>
      <w:r w:rsidRPr="00530D57">
        <w:t xml:space="preserve">disagreed that </w:t>
      </w:r>
      <w:r w:rsidR="00B8593E" w:rsidRPr="00530D57">
        <w:t>the Treaty</w:t>
      </w:r>
      <w:r w:rsidRPr="00530D57">
        <w:t xml:space="preserve"> is relevant to this review or disagreed with the Consultation Paper’s discussion of what </w:t>
      </w:r>
      <w:r w:rsidR="00B8593E" w:rsidRPr="00530D57">
        <w:t xml:space="preserve">the Treaty </w:t>
      </w:r>
      <w:r w:rsidRPr="00530D57">
        <w:t>means.</w:t>
      </w:r>
      <w:r w:rsidR="00145ED5" w:rsidRPr="00530D57">
        <w:rPr>
          <w:color w:val="262626" w:themeColor="text1" w:themeTint="D9"/>
          <w:sz w:val="18"/>
          <w:szCs w:val="18"/>
          <w:vertAlign w:val="superscript"/>
        </w:rPr>
        <w:footnoteReference w:id="118"/>
      </w:r>
      <w:r w:rsidRPr="00530D57">
        <w:t xml:space="preserve"> </w:t>
      </w:r>
      <w:r w:rsidR="04D314E3" w:rsidRPr="00530D57">
        <w:t>Comments</w:t>
      </w:r>
      <w:r w:rsidR="07564751" w:rsidRPr="00530D57">
        <w:t xml:space="preserve"> included</w:t>
      </w:r>
      <w:r w:rsidRPr="00530D57">
        <w:t>:</w:t>
      </w:r>
    </w:p>
    <w:p w14:paraId="00A40553" w14:textId="77777777" w:rsidR="00145ED5" w:rsidRPr="00530D57" w:rsidRDefault="764B1F1B"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Māori communities should not be tasked with monitoring hate crimes as this would create racial tensions.</w:t>
      </w:r>
      <w:r w:rsidR="00145ED5" w:rsidRPr="00530D57">
        <w:rPr>
          <w:rFonts w:cs="Times New Roman"/>
          <w:color w:val="262626" w:themeColor="text1" w:themeTint="D9"/>
          <w:sz w:val="18"/>
          <w:szCs w:val="18"/>
          <w:vertAlign w:val="superscript"/>
          <w:lang w:eastAsia="en-AU"/>
        </w:rPr>
        <w:footnoteReference w:id="119"/>
      </w:r>
    </w:p>
    <w:p w14:paraId="2F6CF694" w14:textId="2744C5ED" w:rsidR="00145ED5" w:rsidRPr="00530D57" w:rsidRDefault="764B1F1B"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lastRenderedPageBreak/>
        <w:t xml:space="preserve">The Treaty is not relevant </w:t>
      </w:r>
      <w:r w:rsidR="00530D57" w:rsidRPr="00530D57">
        <w:rPr>
          <w:rFonts w:eastAsia="Times New Roman" w:cs="Times New Roman"/>
          <w:lang w:eastAsia="en-AU"/>
        </w:rPr>
        <w:t>in</w:t>
      </w:r>
      <w:r w:rsidRPr="00530D57">
        <w:rPr>
          <w:rFonts w:eastAsia="Times New Roman" w:cs="Times New Roman"/>
          <w:lang w:eastAsia="en-AU"/>
        </w:rPr>
        <w:t xml:space="preserve"> today</w:t>
      </w:r>
      <w:r w:rsidR="00530D57" w:rsidRPr="00530D57">
        <w:rPr>
          <w:rFonts w:eastAsia="Times New Roman" w:cs="Times New Roman"/>
          <w:lang w:eastAsia="en-AU"/>
        </w:rPr>
        <w:t>’s society</w:t>
      </w:r>
      <w:r w:rsidRPr="00530D57">
        <w:rPr>
          <w:rFonts w:eastAsia="Times New Roman" w:cs="Times New Roman"/>
          <w:lang w:eastAsia="en-AU"/>
        </w:rPr>
        <w:t>.</w:t>
      </w:r>
      <w:r w:rsidR="00145ED5" w:rsidRPr="00530D57">
        <w:rPr>
          <w:rFonts w:cs="Times New Roman"/>
          <w:color w:val="262626" w:themeColor="text1" w:themeTint="D9"/>
          <w:sz w:val="18"/>
          <w:szCs w:val="18"/>
          <w:vertAlign w:val="superscript"/>
          <w:lang w:eastAsia="en-AU"/>
        </w:rPr>
        <w:footnoteReference w:id="120"/>
      </w:r>
    </w:p>
    <w:p w14:paraId="023C52CE" w14:textId="77777777" w:rsidR="00145ED5" w:rsidRPr="00530D57" w:rsidRDefault="764B1F1B"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The Treaty does not refer to hate or hate law.</w:t>
      </w:r>
      <w:r w:rsidR="00145ED5" w:rsidRPr="00530D57">
        <w:rPr>
          <w:rFonts w:cs="Times New Roman"/>
          <w:color w:val="262626" w:themeColor="text1" w:themeTint="D9"/>
          <w:sz w:val="18"/>
          <w:szCs w:val="18"/>
          <w:vertAlign w:val="superscript"/>
          <w:lang w:eastAsia="en-AU"/>
        </w:rPr>
        <w:footnoteReference w:id="121"/>
      </w:r>
    </w:p>
    <w:p w14:paraId="5F4148F1" w14:textId="77777777" w:rsidR="00145ED5" w:rsidRPr="00530D57" w:rsidRDefault="764B1F1B"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The texts of the Treaty in English and Te Reo are the same.</w:t>
      </w:r>
      <w:r w:rsidR="00145ED5" w:rsidRPr="00530D57">
        <w:rPr>
          <w:rFonts w:cs="Times New Roman"/>
          <w:color w:val="262626" w:themeColor="text1" w:themeTint="D9"/>
          <w:sz w:val="18"/>
          <w:szCs w:val="18"/>
          <w:vertAlign w:val="superscript"/>
          <w:lang w:eastAsia="en-AU"/>
        </w:rPr>
        <w:footnoteReference w:id="122"/>
      </w:r>
    </w:p>
    <w:p w14:paraId="66982C2A" w14:textId="77777777" w:rsidR="00145ED5" w:rsidRPr="00530D57" w:rsidRDefault="764B1F1B" w:rsidP="00896331">
      <w:pPr>
        <w:pStyle w:val="Numberedpara"/>
        <w:numPr>
          <w:ilvl w:val="1"/>
          <w:numId w:val="71"/>
        </w:numPr>
        <w:rPr>
          <w:rFonts w:eastAsia="Times New Roman" w:cs="Times New Roman"/>
          <w:szCs w:val="24"/>
          <w:lang w:eastAsia="en-AU"/>
        </w:rPr>
      </w:pPr>
      <w:r w:rsidRPr="001D5A00">
        <w:t>Article</w:t>
      </w:r>
      <w:r w:rsidRPr="00530D57">
        <w:rPr>
          <w:rFonts w:eastAsia="Times New Roman" w:cs="Times New Roman"/>
          <w:lang w:eastAsia="en-AU"/>
        </w:rPr>
        <w:t xml:space="preserve"> 3 does not refer to equity.</w:t>
      </w:r>
      <w:r w:rsidR="00145ED5" w:rsidRPr="00530D57">
        <w:rPr>
          <w:rFonts w:cs="Times New Roman"/>
          <w:color w:val="262626" w:themeColor="text1" w:themeTint="D9"/>
          <w:sz w:val="18"/>
          <w:szCs w:val="18"/>
          <w:vertAlign w:val="superscript"/>
          <w:lang w:eastAsia="en-AU"/>
        </w:rPr>
        <w:footnoteReference w:id="123"/>
      </w:r>
    </w:p>
    <w:p w14:paraId="76E341EA" w14:textId="77777777" w:rsidR="00145ED5" w:rsidRPr="00530D57" w:rsidRDefault="764B1F1B"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Prioritising the Māori language version of the Treaty marginalises viewpoints in the English text and risks discouraging open discussion.</w:t>
      </w:r>
      <w:r w:rsidR="00145ED5" w:rsidRPr="00530D57">
        <w:rPr>
          <w:rFonts w:cs="Times New Roman"/>
          <w:color w:val="262626" w:themeColor="text1" w:themeTint="D9"/>
          <w:sz w:val="18"/>
          <w:szCs w:val="18"/>
          <w:vertAlign w:val="superscript"/>
          <w:lang w:eastAsia="en-AU"/>
        </w:rPr>
        <w:footnoteReference w:id="124"/>
      </w:r>
    </w:p>
    <w:p w14:paraId="0764951D" w14:textId="77777777" w:rsidR="00145ED5" w:rsidRPr="00530D57" w:rsidRDefault="764B1F1B"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The argument that we should be cautious about introducing hate crime laws because Māori are overrepresented as offenders is flawed.</w:t>
      </w:r>
      <w:r w:rsidR="00145ED5" w:rsidRPr="00530D57">
        <w:rPr>
          <w:rFonts w:cs="Times New Roman"/>
          <w:color w:val="262626" w:themeColor="text1" w:themeTint="D9"/>
          <w:sz w:val="18"/>
          <w:szCs w:val="18"/>
          <w:vertAlign w:val="superscript"/>
          <w:lang w:eastAsia="en-AU"/>
        </w:rPr>
        <w:footnoteReference w:id="125"/>
      </w:r>
    </w:p>
    <w:p w14:paraId="38B92A9D" w14:textId="365BD97A" w:rsidR="00145ED5" w:rsidRPr="00530D57" w:rsidRDefault="764B1F1B" w:rsidP="002F5E4F">
      <w:pPr>
        <w:pStyle w:val="Numberedpara"/>
      </w:pPr>
      <w:r w:rsidRPr="00530D57">
        <w:t>Six submitters did not take a clear position</w:t>
      </w:r>
      <w:r w:rsidR="6AB2E5F9" w:rsidRPr="00530D57">
        <w:t xml:space="preserve"> about the Treaty’s relevance to the review</w:t>
      </w:r>
      <w:r w:rsidRPr="00530D57">
        <w:t>.</w:t>
      </w:r>
      <w:r w:rsidR="00145ED5" w:rsidRPr="00530D57">
        <w:rPr>
          <w:color w:val="262626" w:themeColor="text1" w:themeTint="D9"/>
          <w:sz w:val="18"/>
          <w:szCs w:val="18"/>
          <w:vertAlign w:val="superscript"/>
        </w:rPr>
        <w:footnoteReference w:id="126"/>
      </w:r>
      <w:r w:rsidRPr="00530D57">
        <w:t xml:space="preserve"> </w:t>
      </w:r>
      <w:r w:rsidR="6AB2E5F9" w:rsidRPr="00530D57">
        <w:t>Some submitters said all New Zealanders should be treated equall</w:t>
      </w:r>
      <w:r w:rsidR="36CCC757" w:rsidRPr="00530D57">
        <w:t>y</w:t>
      </w:r>
      <w:r w:rsidR="6AB2E5F9" w:rsidRPr="00530D57">
        <w:t>.</w:t>
      </w:r>
      <w:r w:rsidR="00EF33E1" w:rsidRPr="00530D57">
        <w:rPr>
          <w:rFonts w:cs="Times New Roman"/>
          <w:color w:val="262626" w:themeColor="text1" w:themeTint="D9"/>
          <w:sz w:val="18"/>
          <w:szCs w:val="18"/>
          <w:vertAlign w:val="superscript"/>
          <w:lang w:eastAsia="en-AU"/>
        </w:rPr>
        <w:footnoteReference w:id="127"/>
      </w:r>
    </w:p>
    <w:p w14:paraId="32A4A1E7" w14:textId="77777777" w:rsidR="00145ED5" w:rsidRPr="00530D57" w:rsidRDefault="00145ED5" w:rsidP="00145ED5">
      <w:pPr>
        <w:keepNext/>
        <w:spacing w:before="360" w:after="200"/>
        <w:outlineLvl w:val="1"/>
        <w:rPr>
          <w:rFonts w:ascii="Metropolis" w:eastAsia="Times New Roman" w:hAnsi="Metropolis" w:cs="Times New Roman"/>
          <w:b/>
          <w:caps/>
          <w:color w:val="73AB6E"/>
          <w:sz w:val="22"/>
          <w:szCs w:val="24"/>
          <w:lang w:eastAsia="en-AU"/>
        </w:rPr>
      </w:pPr>
      <w:bookmarkStart w:id="39" w:name="_Toc207093261"/>
      <w:r w:rsidRPr="00530D57">
        <w:rPr>
          <w:rFonts w:ascii="Metropolis" w:eastAsia="Times New Roman" w:hAnsi="Metropolis" w:cs="Times New Roman"/>
          <w:b/>
          <w:caps/>
          <w:color w:val="73AB6E"/>
          <w:sz w:val="22"/>
          <w:szCs w:val="24"/>
          <w:lang w:eastAsia="en-AU"/>
        </w:rPr>
        <w:t>Human Rights</w:t>
      </w:r>
      <w:bookmarkEnd w:id="39"/>
    </w:p>
    <w:p w14:paraId="533531FB" w14:textId="77962223" w:rsidR="00145ED5" w:rsidRPr="00530D57" w:rsidRDefault="00F414FB" w:rsidP="002F5E4F">
      <w:pPr>
        <w:pStyle w:val="Numberedpara"/>
      </w:pPr>
      <w:r w:rsidRPr="00530D57">
        <w:t xml:space="preserve">In </w:t>
      </w:r>
      <w:r w:rsidR="00501F62" w:rsidRPr="00530D57">
        <w:t>our</w:t>
      </w:r>
      <w:r w:rsidRPr="00530D57">
        <w:t xml:space="preserve"> Consultation Paper, we explained that law reform should be consistent with Aotearoa New Zealand’s human rights obligations.</w:t>
      </w:r>
      <w:r w:rsidR="0003554E" w:rsidRPr="00530D57">
        <w:t xml:space="preserve"> </w:t>
      </w:r>
      <w:r w:rsidR="00B469C6">
        <w:t>T</w:t>
      </w:r>
      <w:r w:rsidR="00DC231C">
        <w:t>hirty-</w:t>
      </w:r>
      <w:r w:rsidR="001F7A58">
        <w:t>four</w:t>
      </w:r>
      <w:r w:rsidR="00145ED5" w:rsidRPr="00530D57">
        <w:t xml:space="preserve"> </w:t>
      </w:r>
      <w:r w:rsidR="00AC312F" w:rsidRPr="00530D57">
        <w:t>submi</w:t>
      </w:r>
      <w:r w:rsidR="00AC312F">
        <w:t>tters</w:t>
      </w:r>
      <w:r w:rsidR="00AC312F" w:rsidRPr="00530D57">
        <w:t xml:space="preserve"> </w:t>
      </w:r>
      <w:r w:rsidR="00145ED5" w:rsidRPr="00530D57">
        <w:t xml:space="preserve">discussed </w:t>
      </w:r>
      <w:r w:rsidR="00455BAB" w:rsidRPr="00530D57">
        <w:t>this</w:t>
      </w:r>
      <w:r w:rsidR="00145ED5" w:rsidRPr="00530D57">
        <w:t>.</w:t>
      </w:r>
      <w:r w:rsidR="00DA71DC">
        <w:rPr>
          <w:rStyle w:val="FootnoteReference"/>
        </w:rPr>
        <w:footnoteReference w:id="128"/>
      </w:r>
      <w:r w:rsidR="00145ED5" w:rsidRPr="00530D57">
        <w:t xml:space="preserve"> </w:t>
      </w:r>
    </w:p>
    <w:p w14:paraId="3ACB5F4C" w14:textId="7FAE91D2" w:rsidR="00145ED5" w:rsidRPr="00530D57" w:rsidRDefault="764B1F1B" w:rsidP="002F5E4F">
      <w:pPr>
        <w:pStyle w:val="Numberedpara"/>
      </w:pPr>
      <w:r w:rsidRPr="00530D57">
        <w:t>Seven submitters discussed human rights at a general level.</w:t>
      </w:r>
      <w:r w:rsidR="00145ED5" w:rsidRPr="00530D57">
        <w:rPr>
          <w:color w:val="262626" w:themeColor="text1" w:themeTint="D9"/>
          <w:sz w:val="18"/>
          <w:szCs w:val="18"/>
          <w:vertAlign w:val="superscript"/>
        </w:rPr>
        <w:footnoteReference w:id="129"/>
      </w:r>
      <w:r w:rsidRPr="00530D57">
        <w:t xml:space="preserve"> </w:t>
      </w:r>
      <w:r w:rsidR="427EF513" w:rsidRPr="00530D57">
        <w:t>Comments included:</w:t>
      </w:r>
    </w:p>
    <w:p w14:paraId="2713BCC7" w14:textId="77777777" w:rsidR="00145ED5" w:rsidRPr="00530D57" w:rsidRDefault="764B1F1B" w:rsidP="00896331">
      <w:pPr>
        <w:pStyle w:val="Numberedpara"/>
        <w:numPr>
          <w:ilvl w:val="1"/>
          <w:numId w:val="71"/>
        </w:numPr>
        <w:rPr>
          <w:rFonts w:eastAsia="Times New Roman" w:cs="Times New Roman"/>
          <w:szCs w:val="24"/>
          <w:lang w:eastAsia="en-AU"/>
        </w:rPr>
      </w:pPr>
      <w:r w:rsidRPr="001D5A00">
        <w:t>Disagreement</w:t>
      </w:r>
      <w:r w:rsidRPr="00530D57">
        <w:rPr>
          <w:rFonts w:eastAsia="Times New Roman" w:cs="Times New Roman"/>
          <w:lang w:eastAsia="en-AU"/>
        </w:rPr>
        <w:t xml:space="preserve"> that hate crime laws infringe human rights.</w:t>
      </w:r>
      <w:r w:rsidR="00145ED5" w:rsidRPr="00530D57">
        <w:rPr>
          <w:rFonts w:cs="Times New Roman"/>
          <w:color w:val="262626" w:themeColor="text1" w:themeTint="D9"/>
          <w:sz w:val="18"/>
          <w:szCs w:val="18"/>
          <w:vertAlign w:val="superscript"/>
          <w:lang w:eastAsia="en-AU"/>
        </w:rPr>
        <w:footnoteReference w:id="130"/>
      </w:r>
    </w:p>
    <w:p w14:paraId="3B3DF3C9" w14:textId="77777777" w:rsidR="00145ED5" w:rsidRPr="00530D57" w:rsidRDefault="764B1F1B"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Both agreement and disagreement that there is a growing consensus international human rights obligations require hate crime laws.</w:t>
      </w:r>
      <w:r w:rsidR="00145ED5" w:rsidRPr="00530D57">
        <w:rPr>
          <w:rFonts w:cs="Times New Roman"/>
          <w:color w:val="262626" w:themeColor="text1" w:themeTint="D9"/>
          <w:sz w:val="18"/>
          <w:szCs w:val="18"/>
          <w:vertAlign w:val="superscript"/>
          <w:lang w:eastAsia="en-AU"/>
        </w:rPr>
        <w:footnoteReference w:id="131"/>
      </w:r>
    </w:p>
    <w:p w14:paraId="52BE4986" w14:textId="77777777" w:rsidR="00145ED5" w:rsidRPr="00530D57" w:rsidRDefault="764B1F1B" w:rsidP="00896331">
      <w:pPr>
        <w:pStyle w:val="Numberedpara"/>
        <w:numPr>
          <w:ilvl w:val="1"/>
          <w:numId w:val="71"/>
        </w:numPr>
        <w:rPr>
          <w:rFonts w:eastAsia="Times New Roman" w:cs="Times New Roman"/>
          <w:szCs w:val="24"/>
          <w:lang w:eastAsia="en-AU"/>
        </w:rPr>
      </w:pPr>
      <w:r w:rsidRPr="001D5A00">
        <w:t>Agreement</w:t>
      </w:r>
      <w:r w:rsidRPr="00530D57">
        <w:rPr>
          <w:rFonts w:eastAsia="Times New Roman" w:cs="Times New Roman"/>
          <w:lang w:eastAsia="en-AU"/>
        </w:rPr>
        <w:t xml:space="preserve"> that international law does not require a particular type of hate crime legislation.</w:t>
      </w:r>
      <w:r w:rsidR="00145ED5" w:rsidRPr="00530D57">
        <w:rPr>
          <w:rFonts w:cs="Times New Roman"/>
          <w:color w:val="262626" w:themeColor="text1" w:themeTint="D9"/>
          <w:sz w:val="18"/>
          <w:szCs w:val="18"/>
          <w:vertAlign w:val="superscript"/>
          <w:lang w:eastAsia="en-AU"/>
        </w:rPr>
        <w:footnoteReference w:id="132"/>
      </w:r>
      <w:r w:rsidRPr="00530D57">
        <w:rPr>
          <w:rFonts w:eastAsia="Times New Roman" w:cs="Times New Roman"/>
          <w:lang w:eastAsia="en-AU"/>
        </w:rPr>
        <w:t xml:space="preserve"> </w:t>
      </w:r>
    </w:p>
    <w:p w14:paraId="69177BE9" w14:textId="77777777" w:rsidR="00145ED5" w:rsidRPr="00530D57" w:rsidRDefault="764B1F1B" w:rsidP="00896331">
      <w:pPr>
        <w:pStyle w:val="Numberedpara"/>
        <w:numPr>
          <w:ilvl w:val="1"/>
          <w:numId w:val="71"/>
        </w:numPr>
        <w:rPr>
          <w:rFonts w:eastAsia="Times New Roman" w:cs="Times New Roman"/>
          <w:szCs w:val="24"/>
          <w:lang w:eastAsia="en-AU"/>
        </w:rPr>
      </w:pPr>
      <w:r w:rsidRPr="001D5A00">
        <w:lastRenderedPageBreak/>
        <w:t>Concern</w:t>
      </w:r>
      <w:r w:rsidRPr="00530D57">
        <w:rPr>
          <w:rFonts w:eastAsia="Times New Roman" w:cs="Times New Roman"/>
          <w:lang w:eastAsia="en-AU"/>
        </w:rPr>
        <w:t xml:space="preserve"> about whose interests international obligations serve.</w:t>
      </w:r>
      <w:r w:rsidR="00145ED5" w:rsidRPr="00530D57">
        <w:rPr>
          <w:rFonts w:cs="Times New Roman"/>
          <w:color w:val="262626" w:themeColor="text1" w:themeTint="D9"/>
          <w:sz w:val="18"/>
          <w:szCs w:val="18"/>
          <w:vertAlign w:val="superscript"/>
          <w:lang w:eastAsia="en-AU"/>
        </w:rPr>
        <w:footnoteReference w:id="133"/>
      </w:r>
    </w:p>
    <w:p w14:paraId="44F97881" w14:textId="443F8684" w:rsidR="00145ED5" w:rsidRPr="00530D57" w:rsidRDefault="764B1F1B" w:rsidP="002F5E4F">
      <w:pPr>
        <w:pStyle w:val="Numberedpara"/>
      </w:pPr>
      <w:r w:rsidRPr="00530D57">
        <w:t>Twenty-eight submitters discussed free speech and related rights.</w:t>
      </w:r>
      <w:r w:rsidR="00145ED5" w:rsidRPr="00530D57">
        <w:rPr>
          <w:color w:val="262626" w:themeColor="text1" w:themeTint="D9"/>
          <w:sz w:val="18"/>
          <w:szCs w:val="18"/>
          <w:vertAlign w:val="superscript"/>
        </w:rPr>
        <w:footnoteReference w:id="134"/>
      </w:r>
      <w:r w:rsidRPr="00530D57">
        <w:t xml:space="preserve"> </w:t>
      </w:r>
      <w:r w:rsidR="3C66AF27" w:rsidRPr="00530D57">
        <w:t>Comments included</w:t>
      </w:r>
      <w:r w:rsidRPr="00530D57">
        <w:t>:</w:t>
      </w:r>
    </w:p>
    <w:p w14:paraId="3190C50E" w14:textId="074626B2" w:rsidR="00145ED5" w:rsidRPr="00530D57" w:rsidRDefault="764B1F1B"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 xml:space="preserve">Care should be taken to ensure freedom of thought, conscience and religion and </w:t>
      </w:r>
      <w:r w:rsidR="3CF9B9CA" w:rsidRPr="00530D57">
        <w:rPr>
          <w:rFonts w:eastAsia="Times New Roman" w:cs="Times New Roman"/>
          <w:lang w:eastAsia="en-AU"/>
        </w:rPr>
        <w:t xml:space="preserve">freedom of </w:t>
      </w:r>
      <w:r w:rsidRPr="00530D57">
        <w:rPr>
          <w:rFonts w:eastAsia="Times New Roman" w:cs="Times New Roman"/>
          <w:lang w:eastAsia="en-AU"/>
        </w:rPr>
        <w:t>expression are not infringed.</w:t>
      </w:r>
      <w:r w:rsidR="00145ED5" w:rsidRPr="00530D57">
        <w:rPr>
          <w:rFonts w:cs="Times New Roman"/>
          <w:color w:val="262626" w:themeColor="text1" w:themeTint="D9"/>
          <w:sz w:val="18"/>
          <w:szCs w:val="18"/>
          <w:vertAlign w:val="superscript"/>
          <w:lang w:eastAsia="en-AU"/>
        </w:rPr>
        <w:footnoteReference w:id="135"/>
      </w:r>
      <w:r w:rsidRPr="00530D57">
        <w:rPr>
          <w:rFonts w:eastAsia="Times New Roman" w:cs="Times New Roman"/>
          <w:lang w:eastAsia="en-AU"/>
        </w:rPr>
        <w:t xml:space="preserve"> This needs to be balanced against the need to protect vulnerable groups.</w:t>
      </w:r>
      <w:r w:rsidR="00145ED5" w:rsidRPr="00530D57">
        <w:rPr>
          <w:rFonts w:cs="Times New Roman"/>
          <w:color w:val="262626" w:themeColor="text1" w:themeTint="D9"/>
          <w:sz w:val="18"/>
          <w:szCs w:val="18"/>
          <w:vertAlign w:val="superscript"/>
          <w:lang w:eastAsia="en-AU"/>
        </w:rPr>
        <w:footnoteReference w:id="136"/>
      </w:r>
    </w:p>
    <w:p w14:paraId="19E47BE9" w14:textId="65FBECB7" w:rsidR="00145ED5" w:rsidRPr="00530D57" w:rsidRDefault="764B1F1B"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Hate crimes restrict the victim</w:t>
      </w:r>
      <w:r w:rsidR="00D878EF">
        <w:rPr>
          <w:rFonts w:eastAsia="Times New Roman" w:cs="Times New Roman"/>
          <w:lang w:eastAsia="en-AU"/>
        </w:rPr>
        <w:t>’s</w:t>
      </w:r>
      <w:r w:rsidRPr="00530D57">
        <w:rPr>
          <w:rFonts w:eastAsia="Times New Roman" w:cs="Times New Roman"/>
          <w:lang w:eastAsia="en-AU"/>
        </w:rPr>
        <w:t xml:space="preserve"> and community’s free speech rights.</w:t>
      </w:r>
      <w:r w:rsidR="00145ED5" w:rsidRPr="00530D57">
        <w:rPr>
          <w:rFonts w:cs="Times New Roman"/>
          <w:color w:val="262626" w:themeColor="text1" w:themeTint="D9"/>
          <w:sz w:val="18"/>
          <w:szCs w:val="18"/>
          <w:vertAlign w:val="superscript"/>
          <w:lang w:eastAsia="en-AU"/>
        </w:rPr>
        <w:footnoteReference w:id="137"/>
      </w:r>
    </w:p>
    <w:p w14:paraId="6D725A9B" w14:textId="555CF5AA" w:rsidR="00145ED5" w:rsidRPr="00530D57" w:rsidRDefault="764B1F1B"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 xml:space="preserve">Hate crime legislation (including hate crime offences and the Scottish </w:t>
      </w:r>
      <w:r w:rsidR="717EB549" w:rsidRPr="00530D57">
        <w:rPr>
          <w:rFonts w:eastAsia="Times New Roman" w:cs="Times New Roman"/>
          <w:lang w:eastAsia="en-AU"/>
        </w:rPr>
        <w:t xml:space="preserve">hybrid </w:t>
      </w:r>
      <w:r w:rsidRPr="00530D57">
        <w:rPr>
          <w:rFonts w:eastAsia="Times New Roman" w:cs="Times New Roman"/>
          <w:lang w:eastAsia="en-AU"/>
        </w:rPr>
        <w:t>model) is likely to undermine freedom of speech and thought.</w:t>
      </w:r>
      <w:r w:rsidR="00145ED5" w:rsidRPr="00530D57">
        <w:rPr>
          <w:rFonts w:cs="Times New Roman"/>
          <w:color w:val="262626" w:themeColor="text1" w:themeTint="D9"/>
          <w:sz w:val="18"/>
          <w:szCs w:val="18"/>
          <w:vertAlign w:val="superscript"/>
          <w:lang w:eastAsia="en-AU"/>
        </w:rPr>
        <w:footnoteReference w:id="138"/>
      </w:r>
      <w:r w:rsidRPr="00530D57">
        <w:rPr>
          <w:rFonts w:eastAsia="Times New Roman" w:cs="Times New Roman"/>
          <w:lang w:eastAsia="en-AU"/>
        </w:rPr>
        <w:t xml:space="preserve"> The criminal law is designed to punish action not thoughts.</w:t>
      </w:r>
      <w:r w:rsidR="00145ED5" w:rsidRPr="00530D57">
        <w:rPr>
          <w:rFonts w:cs="Times New Roman"/>
          <w:color w:val="262626" w:themeColor="text1" w:themeTint="D9"/>
          <w:sz w:val="18"/>
          <w:szCs w:val="18"/>
          <w:vertAlign w:val="superscript"/>
          <w:lang w:eastAsia="en-AU"/>
        </w:rPr>
        <w:footnoteReference w:id="139"/>
      </w:r>
    </w:p>
    <w:p w14:paraId="570AD8A7" w14:textId="77777777" w:rsidR="00145ED5" w:rsidRPr="00530D57" w:rsidRDefault="764B1F1B"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Free speech is important in a democratic country.</w:t>
      </w:r>
      <w:r w:rsidR="00145ED5" w:rsidRPr="00530D57">
        <w:rPr>
          <w:rFonts w:cs="Times New Roman"/>
          <w:color w:val="262626" w:themeColor="text1" w:themeTint="D9"/>
          <w:sz w:val="18"/>
          <w:szCs w:val="18"/>
          <w:vertAlign w:val="superscript"/>
          <w:lang w:eastAsia="en-AU"/>
        </w:rPr>
        <w:footnoteReference w:id="140"/>
      </w:r>
    </w:p>
    <w:p w14:paraId="562671AF" w14:textId="7566D35A" w:rsidR="00145ED5" w:rsidRPr="00530D57" w:rsidRDefault="764B1F1B" w:rsidP="00896331">
      <w:pPr>
        <w:pStyle w:val="Numberedpara"/>
        <w:numPr>
          <w:ilvl w:val="1"/>
          <w:numId w:val="71"/>
        </w:numPr>
        <w:rPr>
          <w:rFonts w:eastAsia="Times New Roman" w:cs="Times New Roman"/>
          <w:szCs w:val="24"/>
          <w:lang w:eastAsia="en-AU"/>
        </w:rPr>
      </w:pPr>
      <w:r w:rsidRPr="001D5A00">
        <w:t>Courts</w:t>
      </w:r>
      <w:r w:rsidRPr="00530D57">
        <w:rPr>
          <w:rFonts w:eastAsia="Times New Roman" w:cs="Times New Roman"/>
          <w:lang w:eastAsia="en-AU"/>
        </w:rPr>
        <w:t xml:space="preserve"> have found the right to freedom of expression can be limited, including by the objectives of hate crime law.</w:t>
      </w:r>
      <w:r w:rsidR="00145ED5" w:rsidRPr="00530D57">
        <w:rPr>
          <w:rFonts w:cs="Times New Roman"/>
          <w:color w:val="262626" w:themeColor="text1" w:themeTint="D9"/>
          <w:sz w:val="18"/>
          <w:szCs w:val="18"/>
          <w:vertAlign w:val="superscript"/>
          <w:lang w:eastAsia="en-AU"/>
        </w:rPr>
        <w:footnoteReference w:id="141"/>
      </w:r>
    </w:p>
    <w:p w14:paraId="1BE41973" w14:textId="142CB087" w:rsidR="00145ED5" w:rsidRPr="00530D57" w:rsidRDefault="764B1F1B" w:rsidP="00896331">
      <w:pPr>
        <w:pStyle w:val="Numberedpara"/>
        <w:numPr>
          <w:ilvl w:val="1"/>
          <w:numId w:val="71"/>
        </w:numPr>
        <w:rPr>
          <w:rFonts w:eastAsia="Times New Roman" w:cs="Times New Roman"/>
          <w:szCs w:val="24"/>
          <w:lang w:eastAsia="en-AU"/>
        </w:rPr>
      </w:pPr>
      <w:r w:rsidRPr="001D5A00">
        <w:t>Given</w:t>
      </w:r>
      <w:r w:rsidRPr="00530D57">
        <w:rPr>
          <w:rFonts w:eastAsia="Times New Roman" w:cs="Times New Roman"/>
          <w:lang w:eastAsia="en-AU"/>
        </w:rPr>
        <w:t xml:space="preserve"> the underlying behaviour </w:t>
      </w:r>
      <w:r w:rsidR="00190C42">
        <w:rPr>
          <w:rFonts w:eastAsia="Times New Roman" w:cs="Times New Roman"/>
          <w:lang w:eastAsia="en-AU"/>
        </w:rPr>
        <w:t xml:space="preserve">in a hate crime </w:t>
      </w:r>
      <w:r w:rsidRPr="00530D57">
        <w:rPr>
          <w:rFonts w:eastAsia="Times New Roman" w:cs="Times New Roman"/>
          <w:lang w:eastAsia="en-AU"/>
        </w:rPr>
        <w:t>is already a criminal offence, freedom of expression concerns are not as strong.</w:t>
      </w:r>
      <w:r w:rsidR="00145ED5" w:rsidRPr="00530D57">
        <w:rPr>
          <w:rFonts w:cs="Times New Roman"/>
          <w:color w:val="262626" w:themeColor="text1" w:themeTint="D9"/>
          <w:sz w:val="18"/>
          <w:szCs w:val="18"/>
          <w:vertAlign w:val="superscript"/>
          <w:lang w:eastAsia="en-AU"/>
        </w:rPr>
        <w:footnoteReference w:id="142"/>
      </w:r>
    </w:p>
    <w:p w14:paraId="18B10036" w14:textId="77777777" w:rsidR="00145ED5" w:rsidRPr="00530D57" w:rsidRDefault="764B1F1B" w:rsidP="00896331">
      <w:pPr>
        <w:pStyle w:val="Numberedpara"/>
        <w:numPr>
          <w:ilvl w:val="1"/>
          <w:numId w:val="71"/>
        </w:numPr>
        <w:rPr>
          <w:rFonts w:eastAsia="Times New Roman" w:cs="Times New Roman"/>
          <w:szCs w:val="24"/>
          <w:lang w:eastAsia="en-AU"/>
        </w:rPr>
      </w:pPr>
      <w:r w:rsidRPr="001D5A00">
        <w:t>Free</w:t>
      </w:r>
      <w:r w:rsidRPr="00530D57">
        <w:rPr>
          <w:rFonts w:eastAsia="Times New Roman" w:cs="Times New Roman"/>
          <w:lang w:eastAsia="en-AU"/>
        </w:rPr>
        <w:t xml:space="preserve"> speech advocates give insufficient weight to the continuum between hostile speech and violence.</w:t>
      </w:r>
      <w:r w:rsidR="00145ED5" w:rsidRPr="00530D57">
        <w:rPr>
          <w:rFonts w:cs="Times New Roman"/>
          <w:color w:val="262626" w:themeColor="text1" w:themeTint="D9"/>
          <w:sz w:val="18"/>
          <w:szCs w:val="18"/>
          <w:vertAlign w:val="superscript"/>
          <w:lang w:eastAsia="en-AU"/>
        </w:rPr>
        <w:footnoteReference w:id="143"/>
      </w:r>
    </w:p>
    <w:p w14:paraId="5961CA44" w14:textId="61B3D3DC" w:rsidR="00145ED5" w:rsidRPr="00530D57" w:rsidRDefault="764B1F1B" w:rsidP="00C80B19">
      <w:pPr>
        <w:pStyle w:val="Numberedpara"/>
      </w:pPr>
      <w:r w:rsidRPr="00530D57">
        <w:t>Twelve submitters discussed the right to equality.</w:t>
      </w:r>
      <w:r w:rsidR="00145ED5" w:rsidRPr="00530D57">
        <w:rPr>
          <w:color w:val="262626" w:themeColor="text1" w:themeTint="D9"/>
          <w:sz w:val="18"/>
          <w:szCs w:val="18"/>
          <w:vertAlign w:val="superscript"/>
        </w:rPr>
        <w:footnoteReference w:id="144"/>
      </w:r>
      <w:r w:rsidRPr="00530D57" w:rsidDel="000A1D93">
        <w:t xml:space="preserve"> </w:t>
      </w:r>
      <w:r w:rsidR="26033EDF" w:rsidRPr="00530D57" w:rsidDel="00041750">
        <w:t xml:space="preserve">Some </w:t>
      </w:r>
      <w:r w:rsidR="7D32E8B0" w:rsidRPr="00530D57">
        <w:t>s</w:t>
      </w:r>
      <w:r w:rsidR="5434EF86" w:rsidRPr="00530D57">
        <w:t>ubmitter</w:t>
      </w:r>
      <w:r w:rsidR="7E9ECDF5" w:rsidRPr="00530D57">
        <w:t>s</w:t>
      </w:r>
      <w:r w:rsidR="5434EF86" w:rsidRPr="00530D57">
        <w:t xml:space="preserve"> </w:t>
      </w:r>
      <w:r w:rsidR="26033EDF" w:rsidRPr="00530D57">
        <w:t>said</w:t>
      </w:r>
      <w:r w:rsidRPr="00530D57">
        <w:t xml:space="preserve"> that hate crimes violate the rights to equality and non-discrimination</w:t>
      </w:r>
      <w:r w:rsidR="7D32E8B0" w:rsidRPr="00530D57">
        <w:t>,</w:t>
      </w:r>
      <w:r w:rsidR="00145ED5" w:rsidRPr="00530D57">
        <w:rPr>
          <w:color w:val="262626" w:themeColor="text1" w:themeTint="D9"/>
          <w:sz w:val="18"/>
          <w:szCs w:val="18"/>
          <w:vertAlign w:val="superscript"/>
        </w:rPr>
        <w:footnoteReference w:id="145"/>
      </w:r>
      <w:r w:rsidRPr="00530D57">
        <w:t xml:space="preserve"> </w:t>
      </w:r>
      <w:r w:rsidR="7D32E8B0" w:rsidRPr="00530D57">
        <w:t>h</w:t>
      </w:r>
      <w:r w:rsidRPr="00530D57">
        <w:t>ate crime legislation can help ensure people live free from discrimination,</w:t>
      </w:r>
      <w:r w:rsidR="00145ED5" w:rsidRPr="00530D57">
        <w:rPr>
          <w:color w:val="262626" w:themeColor="text1" w:themeTint="D9"/>
          <w:sz w:val="18"/>
          <w:szCs w:val="18"/>
          <w:vertAlign w:val="superscript"/>
        </w:rPr>
        <w:footnoteReference w:id="146"/>
      </w:r>
      <w:r w:rsidRPr="00530D57">
        <w:t xml:space="preserve"> and New Zealand’s non-discrimination obligations support treating hate crimes differently to other types of offences.</w:t>
      </w:r>
      <w:r w:rsidR="00145ED5" w:rsidRPr="00530D57">
        <w:rPr>
          <w:color w:val="262626" w:themeColor="text1" w:themeTint="D9"/>
          <w:sz w:val="18"/>
          <w:szCs w:val="18"/>
          <w:vertAlign w:val="superscript"/>
        </w:rPr>
        <w:footnoteReference w:id="147"/>
      </w:r>
      <w:r w:rsidRPr="00530D57">
        <w:t xml:space="preserve"> </w:t>
      </w:r>
      <w:r w:rsidR="01B3431E" w:rsidRPr="00530D57">
        <w:lastRenderedPageBreak/>
        <w:t>Conversely, o</w:t>
      </w:r>
      <w:r w:rsidR="60119ED8" w:rsidRPr="00530D57">
        <w:t xml:space="preserve">ther </w:t>
      </w:r>
      <w:r w:rsidR="78FDA77D" w:rsidRPr="00530D57">
        <w:t>submitters had</w:t>
      </w:r>
      <w:r w:rsidRPr="00530D57">
        <w:t xml:space="preserve"> concerns that hate crime legislation infringes the right to equality,</w:t>
      </w:r>
      <w:r w:rsidR="00145ED5" w:rsidRPr="00530D57">
        <w:rPr>
          <w:color w:val="262626" w:themeColor="text1" w:themeTint="D9"/>
          <w:sz w:val="18"/>
          <w:szCs w:val="18"/>
          <w:vertAlign w:val="superscript"/>
        </w:rPr>
        <w:footnoteReference w:id="148"/>
      </w:r>
      <w:r w:rsidRPr="00530D57">
        <w:t xml:space="preserve"> including because it treats some victims </w:t>
      </w:r>
      <w:r w:rsidR="00927ED5">
        <w:t>as</w:t>
      </w:r>
      <w:r w:rsidRPr="00530D57">
        <w:t xml:space="preserve"> more deserving than others.</w:t>
      </w:r>
      <w:r w:rsidR="00145ED5" w:rsidRPr="00530D57">
        <w:rPr>
          <w:color w:val="262626" w:themeColor="text1" w:themeTint="D9"/>
          <w:sz w:val="18"/>
          <w:szCs w:val="18"/>
          <w:vertAlign w:val="superscript"/>
        </w:rPr>
        <w:footnoteReference w:id="149"/>
      </w:r>
    </w:p>
    <w:p w14:paraId="17998AD1" w14:textId="6B3D8C7B" w:rsidR="00145ED5" w:rsidRPr="00530D57" w:rsidRDefault="06692BB4" w:rsidP="002F5E4F">
      <w:pPr>
        <w:pStyle w:val="Numberedpara"/>
      </w:pPr>
      <w:r w:rsidRPr="00530D57">
        <w:t>The</w:t>
      </w:r>
      <w:r w:rsidRPr="00530D57">
        <w:rPr>
          <w:rStyle w:val="CommentReference"/>
          <w:color w:val="auto"/>
        </w:rPr>
        <w:t xml:space="preserve"> </w:t>
      </w:r>
      <w:r w:rsidRPr="00530D57">
        <w:t xml:space="preserve">Disabled Persons Assembly </w:t>
      </w:r>
      <w:r w:rsidR="7573B969" w:rsidRPr="00530D57">
        <w:t xml:space="preserve">and VisAble (joint submission) </w:t>
      </w:r>
      <w:r w:rsidRPr="00530D57">
        <w:t xml:space="preserve">and the Donald Beasley Institute and People First New Zealand (joint submission) </w:t>
      </w:r>
      <w:r w:rsidR="74E065AD" w:rsidRPr="00530D57">
        <w:t xml:space="preserve">said </w:t>
      </w:r>
      <w:r w:rsidR="764B1F1B" w:rsidRPr="00530D57">
        <w:t>the rights in the Disability Convention</w:t>
      </w:r>
      <w:r w:rsidR="076CFFCE" w:rsidRPr="00530D57">
        <w:t xml:space="preserve"> are relevant</w:t>
      </w:r>
      <w:r w:rsidR="764B1F1B" w:rsidRPr="00530D57">
        <w:t>, including rights to awareness raising</w:t>
      </w:r>
      <w:r w:rsidR="00D32C61">
        <w:t>;</w:t>
      </w:r>
      <w:r w:rsidR="764B1F1B" w:rsidRPr="00530D57">
        <w:t xml:space="preserve"> access to justice</w:t>
      </w:r>
      <w:r w:rsidR="00D32C61">
        <w:t>;</w:t>
      </w:r>
      <w:r w:rsidR="764B1F1B" w:rsidRPr="00530D57">
        <w:t xml:space="preserve"> freedom from torture or cruel, inhuman or degrading punishment</w:t>
      </w:r>
      <w:r w:rsidR="00D32C61">
        <w:t>;</w:t>
      </w:r>
      <w:r w:rsidR="764B1F1B" w:rsidRPr="00530D57">
        <w:t xml:space="preserve"> and freedom from exploitation, violence and abuse.</w:t>
      </w:r>
      <w:r w:rsidR="00145ED5" w:rsidRPr="00530D57">
        <w:rPr>
          <w:color w:val="262626" w:themeColor="text1" w:themeTint="D9"/>
          <w:sz w:val="18"/>
          <w:szCs w:val="18"/>
          <w:vertAlign w:val="superscript"/>
        </w:rPr>
        <w:footnoteReference w:id="150"/>
      </w:r>
    </w:p>
    <w:p w14:paraId="786F2DEB" w14:textId="0418EC75" w:rsidR="00145ED5" w:rsidRPr="00530D57" w:rsidRDefault="00373761" w:rsidP="005F0D81">
      <w:pPr>
        <w:pStyle w:val="Heading2"/>
      </w:pPr>
      <w:bookmarkStart w:id="40" w:name="_Toc207093262"/>
      <w:r w:rsidRPr="00530D57">
        <w:t>Selecting p</w:t>
      </w:r>
      <w:r w:rsidR="00080DC9" w:rsidRPr="00530D57">
        <w:t xml:space="preserve">rotected </w:t>
      </w:r>
      <w:r w:rsidRPr="00530D57">
        <w:t>c</w:t>
      </w:r>
      <w:r w:rsidR="00145ED5" w:rsidRPr="00530D57">
        <w:t>haracteristics</w:t>
      </w:r>
      <w:bookmarkEnd w:id="40"/>
      <w:r w:rsidR="00145ED5" w:rsidRPr="00530D57">
        <w:t xml:space="preserve"> </w:t>
      </w:r>
    </w:p>
    <w:p w14:paraId="2AD9BBA0" w14:textId="507B445E" w:rsidR="00145ED5" w:rsidRPr="00530D57" w:rsidRDefault="00722E42" w:rsidP="001E3621">
      <w:pPr>
        <w:pStyle w:val="Numberedpara"/>
        <w:rPr>
          <w:rFonts w:eastAsia="Times New Roman" w:cs="Times New Roman"/>
          <w:szCs w:val="24"/>
          <w:lang w:eastAsia="en-AU"/>
        </w:rPr>
      </w:pPr>
      <w:r w:rsidRPr="00530D57">
        <w:t xml:space="preserve">In </w:t>
      </w:r>
      <w:r w:rsidR="00003AC8" w:rsidRPr="00530D57">
        <w:t>our</w:t>
      </w:r>
      <w:r w:rsidRPr="00530D57">
        <w:t xml:space="preserve"> Consultation Paper, we explained that we need to think about </w:t>
      </w:r>
      <w:r w:rsidR="00777E59">
        <w:t>which</w:t>
      </w:r>
      <w:r w:rsidRPr="00530D57">
        <w:t xml:space="preserve"> characteristics should be protected by Aotearoa New Zealand’s hate crime law. </w:t>
      </w:r>
      <w:r w:rsidR="00CB5559">
        <w:t>Forty-eight</w:t>
      </w:r>
      <w:r w:rsidR="00145ED5" w:rsidRPr="00530D57">
        <w:t xml:space="preserve"> submitters </w:t>
      </w:r>
      <w:r w:rsidR="000F5467">
        <w:t>commented on this issue</w:t>
      </w:r>
      <w:r w:rsidR="00145ED5" w:rsidRPr="00530D57">
        <w:rPr>
          <w:rFonts w:eastAsia="Times New Roman" w:cs="Times New Roman"/>
          <w:szCs w:val="24"/>
          <w:lang w:eastAsia="en-AU"/>
        </w:rPr>
        <w:t xml:space="preserve">. </w:t>
      </w:r>
    </w:p>
    <w:p w14:paraId="52DCA978" w14:textId="7D3BDAD4" w:rsidR="00145ED5" w:rsidRPr="00530D57" w:rsidRDefault="002D33A0" w:rsidP="006C1563">
      <w:pPr>
        <w:pStyle w:val="Heading3"/>
      </w:pPr>
      <w:r w:rsidRPr="00530D57">
        <w:t>Criteria to s</w:t>
      </w:r>
      <w:r w:rsidR="00145ED5" w:rsidRPr="00530D57">
        <w:t xml:space="preserve">elect protected </w:t>
      </w:r>
      <w:r w:rsidR="00B86730" w:rsidRPr="00530D57">
        <w:t>characteristics</w:t>
      </w:r>
    </w:p>
    <w:p w14:paraId="765E42F9" w14:textId="26FF87D8" w:rsidR="00145ED5" w:rsidRPr="00530D57" w:rsidRDefault="764B1F1B" w:rsidP="002F5E4F">
      <w:pPr>
        <w:pStyle w:val="Numberedpara"/>
      </w:pPr>
      <w:r w:rsidRPr="00530D57">
        <w:t>Eighteen submitters discussed the criteria that should be used to determine which characteristics should be protected.</w:t>
      </w:r>
      <w:r w:rsidR="00145ED5" w:rsidRPr="00530D57">
        <w:rPr>
          <w:color w:val="262626" w:themeColor="text1" w:themeTint="D9"/>
          <w:sz w:val="18"/>
          <w:szCs w:val="18"/>
          <w:vertAlign w:val="superscript"/>
        </w:rPr>
        <w:footnoteReference w:id="151"/>
      </w:r>
      <w:r w:rsidRPr="00530D57">
        <w:t xml:space="preserve"> </w:t>
      </w:r>
      <w:r w:rsidR="18A1B076" w:rsidRPr="00530D57">
        <w:t>Comments included</w:t>
      </w:r>
      <w:r w:rsidRPr="00530D57">
        <w:t xml:space="preserve">: </w:t>
      </w:r>
    </w:p>
    <w:p w14:paraId="193C3741" w14:textId="7A49FA24" w:rsidR="00145ED5" w:rsidRPr="00530D57" w:rsidRDefault="764B1F1B" w:rsidP="00896331">
      <w:pPr>
        <w:pStyle w:val="Numberedpara"/>
        <w:numPr>
          <w:ilvl w:val="1"/>
          <w:numId w:val="71"/>
        </w:numPr>
        <w:rPr>
          <w:rFonts w:eastAsia="Times New Roman" w:cs="Times New Roman"/>
          <w:szCs w:val="24"/>
          <w:lang w:eastAsia="en-AU"/>
        </w:rPr>
      </w:pPr>
      <w:r w:rsidRPr="001D5A00">
        <w:t>Groups</w:t>
      </w:r>
      <w:r w:rsidRPr="00530D57">
        <w:rPr>
          <w:rFonts w:eastAsia="Times New Roman" w:cs="Times New Roman"/>
          <w:lang w:eastAsia="en-AU"/>
        </w:rPr>
        <w:t xml:space="preserve"> of people with common features and less social power</w:t>
      </w:r>
      <w:r w:rsidR="00145ED5" w:rsidRPr="00530D57">
        <w:rPr>
          <w:rFonts w:cs="Times New Roman"/>
          <w:color w:val="262626" w:themeColor="text1" w:themeTint="D9"/>
          <w:sz w:val="18"/>
          <w:szCs w:val="18"/>
          <w:vertAlign w:val="superscript"/>
          <w:lang w:eastAsia="en-AU"/>
        </w:rPr>
        <w:footnoteReference w:id="152"/>
      </w:r>
      <w:r w:rsidRPr="00530D57">
        <w:rPr>
          <w:rFonts w:eastAsia="Times New Roman" w:cs="Times New Roman"/>
          <w:lang w:eastAsia="en-AU"/>
        </w:rPr>
        <w:t xml:space="preserve"> and vulnerable communities should be protected.</w:t>
      </w:r>
      <w:r w:rsidR="00145ED5" w:rsidRPr="00530D57">
        <w:rPr>
          <w:rFonts w:cs="Times New Roman"/>
          <w:color w:val="262626" w:themeColor="text1" w:themeTint="D9"/>
          <w:sz w:val="18"/>
          <w:szCs w:val="18"/>
          <w:vertAlign w:val="superscript"/>
          <w:lang w:eastAsia="en-AU"/>
        </w:rPr>
        <w:footnoteReference w:id="153"/>
      </w:r>
      <w:r w:rsidRPr="00530D57">
        <w:rPr>
          <w:rFonts w:eastAsia="Times New Roman" w:cs="Times New Roman"/>
          <w:lang w:eastAsia="en-AU"/>
        </w:rPr>
        <w:t xml:space="preserve"> We also heard concern about selecting protected characteristics based on marginalisation.</w:t>
      </w:r>
      <w:r w:rsidR="00145ED5" w:rsidRPr="00530D57">
        <w:rPr>
          <w:rFonts w:cs="Times New Roman"/>
          <w:color w:val="262626" w:themeColor="text1" w:themeTint="D9"/>
          <w:sz w:val="18"/>
          <w:szCs w:val="18"/>
          <w:vertAlign w:val="superscript"/>
          <w:lang w:eastAsia="en-AU"/>
        </w:rPr>
        <w:footnoteReference w:id="154"/>
      </w:r>
      <w:r w:rsidRPr="00530D57">
        <w:rPr>
          <w:rFonts w:eastAsia="Times New Roman" w:cs="Times New Roman"/>
          <w:lang w:eastAsia="en-AU"/>
        </w:rPr>
        <w:t xml:space="preserve"> </w:t>
      </w:r>
    </w:p>
    <w:p w14:paraId="36208890" w14:textId="77777777" w:rsidR="00145ED5" w:rsidRPr="00530D57" w:rsidRDefault="764B1F1B" w:rsidP="00896331">
      <w:pPr>
        <w:pStyle w:val="Numberedpara"/>
        <w:numPr>
          <w:ilvl w:val="1"/>
          <w:numId w:val="71"/>
        </w:numPr>
        <w:rPr>
          <w:rFonts w:eastAsia="Times New Roman" w:cs="Times New Roman"/>
          <w:szCs w:val="24"/>
          <w:lang w:eastAsia="en-AU"/>
        </w:rPr>
      </w:pPr>
      <w:r w:rsidRPr="001D5A00">
        <w:t>Hate</w:t>
      </w:r>
      <w:r w:rsidRPr="00530D57">
        <w:rPr>
          <w:rFonts w:eastAsia="Times New Roman" w:cs="Times New Roman"/>
          <w:lang w:eastAsia="en-AU"/>
        </w:rPr>
        <w:t xml:space="preserve"> crime laws should protect characteristics that define a person’s fundamental identity.</w:t>
      </w:r>
      <w:r w:rsidR="00145ED5" w:rsidRPr="00530D57">
        <w:rPr>
          <w:rFonts w:cs="Times New Roman"/>
          <w:color w:val="262626" w:themeColor="text1" w:themeTint="D9"/>
          <w:sz w:val="18"/>
          <w:szCs w:val="18"/>
          <w:vertAlign w:val="superscript"/>
          <w:lang w:eastAsia="en-AU"/>
        </w:rPr>
        <w:footnoteReference w:id="155"/>
      </w:r>
      <w:r w:rsidRPr="00530D57">
        <w:rPr>
          <w:rFonts w:eastAsia="Times New Roman" w:cs="Times New Roman"/>
          <w:lang w:eastAsia="en-AU"/>
        </w:rPr>
        <w:t xml:space="preserve"> </w:t>
      </w:r>
    </w:p>
    <w:p w14:paraId="1923CEE3" w14:textId="77777777" w:rsidR="00145ED5" w:rsidRPr="00530D57" w:rsidRDefault="764B1F1B" w:rsidP="00896331">
      <w:pPr>
        <w:pStyle w:val="Numberedpara"/>
        <w:numPr>
          <w:ilvl w:val="1"/>
          <w:numId w:val="71"/>
        </w:numPr>
        <w:rPr>
          <w:rFonts w:eastAsia="Times New Roman" w:cs="Times New Roman"/>
          <w:szCs w:val="24"/>
          <w:lang w:eastAsia="en-AU"/>
        </w:rPr>
      </w:pPr>
      <w:r w:rsidRPr="001D5A00">
        <w:t>Agreement</w:t>
      </w:r>
      <w:r w:rsidRPr="00530D57">
        <w:rPr>
          <w:rFonts w:eastAsia="Times New Roman" w:cs="Times New Roman"/>
          <w:lang w:eastAsia="en-AU"/>
        </w:rPr>
        <w:t xml:space="preserve"> with the criteria identified in the Consultation Paper.</w:t>
      </w:r>
      <w:r w:rsidR="00145ED5" w:rsidRPr="00530D57">
        <w:rPr>
          <w:rFonts w:cs="Times New Roman"/>
          <w:color w:val="262626" w:themeColor="text1" w:themeTint="D9"/>
          <w:sz w:val="18"/>
          <w:szCs w:val="18"/>
          <w:vertAlign w:val="superscript"/>
          <w:lang w:eastAsia="en-AU"/>
        </w:rPr>
        <w:footnoteReference w:id="156"/>
      </w:r>
    </w:p>
    <w:p w14:paraId="0DC49463" w14:textId="77777777" w:rsidR="00145ED5" w:rsidRPr="00530D57" w:rsidRDefault="764B1F1B"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Criteria are needed because otherwise the list will be overinclusive and the symbolic effect of hate crime legislation will be lost.</w:t>
      </w:r>
      <w:r w:rsidR="00145ED5" w:rsidRPr="00530D57">
        <w:rPr>
          <w:rFonts w:cs="Times New Roman"/>
          <w:color w:val="262626" w:themeColor="text1" w:themeTint="D9"/>
          <w:sz w:val="18"/>
          <w:szCs w:val="18"/>
          <w:vertAlign w:val="superscript"/>
          <w:lang w:eastAsia="en-AU"/>
        </w:rPr>
        <w:footnoteReference w:id="157"/>
      </w:r>
    </w:p>
    <w:p w14:paraId="497D5D1A" w14:textId="77777777" w:rsidR="00145ED5" w:rsidRPr="00530D57" w:rsidRDefault="764B1F1B"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The grounds in the Human Rights Act could be used to determine which characteristics should be protected.</w:t>
      </w:r>
      <w:r w:rsidR="00145ED5" w:rsidRPr="00530D57">
        <w:rPr>
          <w:rFonts w:cs="Times New Roman"/>
          <w:color w:val="262626" w:themeColor="text1" w:themeTint="D9"/>
          <w:sz w:val="18"/>
          <w:szCs w:val="18"/>
          <w:vertAlign w:val="superscript"/>
          <w:lang w:eastAsia="en-AU"/>
        </w:rPr>
        <w:footnoteReference w:id="158"/>
      </w:r>
    </w:p>
    <w:p w14:paraId="69697EB1" w14:textId="77777777" w:rsidR="00145ED5" w:rsidRPr="00530D57" w:rsidRDefault="00145ED5" w:rsidP="006C1563">
      <w:pPr>
        <w:pStyle w:val="Heading3"/>
      </w:pPr>
      <w:r w:rsidRPr="00530D57">
        <w:lastRenderedPageBreak/>
        <w:t>Views on the list of protected characteristics</w:t>
      </w:r>
    </w:p>
    <w:p w14:paraId="0F2E3AC0" w14:textId="245DB4E0" w:rsidR="00145ED5" w:rsidRPr="00530D57" w:rsidRDefault="00F34A55" w:rsidP="002F5E4F">
      <w:pPr>
        <w:pStyle w:val="Numberedpara"/>
      </w:pPr>
      <w:r w:rsidRPr="00530D57">
        <w:t>The current law has an open</w:t>
      </w:r>
      <w:r w:rsidR="00AC3FE3" w:rsidRPr="00530D57">
        <w:t xml:space="preserve"> list </w:t>
      </w:r>
      <w:r w:rsidR="00AE4093" w:rsidRPr="00530D57">
        <w:t xml:space="preserve">of characteristics </w:t>
      </w:r>
      <w:r w:rsidR="00832298" w:rsidRPr="00530D57">
        <w:t>and</w:t>
      </w:r>
      <w:r w:rsidR="00AC3FE3" w:rsidRPr="00530D57">
        <w:t xml:space="preserve"> </w:t>
      </w:r>
      <w:r w:rsidR="00AE4093" w:rsidRPr="00530D57">
        <w:t xml:space="preserve">a </w:t>
      </w:r>
      <w:r w:rsidRPr="00530D57">
        <w:t>residual category</w:t>
      </w:r>
      <w:r w:rsidR="00AE4093" w:rsidRPr="00530D57">
        <w:t>. This means</w:t>
      </w:r>
      <w:r w:rsidRPr="00530D57">
        <w:t xml:space="preserve"> </w:t>
      </w:r>
      <w:r w:rsidR="000233F7" w:rsidRPr="00530D57">
        <w:t xml:space="preserve">the protected </w:t>
      </w:r>
      <w:r w:rsidR="00855504" w:rsidRPr="00530D57">
        <w:t>characteristics</w:t>
      </w:r>
      <w:r w:rsidR="000233F7" w:rsidRPr="00530D57">
        <w:t xml:space="preserve"> include not just those mentioned in the Sentencing Act but </w:t>
      </w:r>
      <w:r w:rsidR="0097437C" w:rsidRPr="00530D57">
        <w:t xml:space="preserve">any “enduring common characteristic”. </w:t>
      </w:r>
      <w:r w:rsidR="00145ED5" w:rsidRPr="00530D57">
        <w:t>Thirteen submitters</w:t>
      </w:r>
      <w:r w:rsidR="00560358">
        <w:rPr>
          <w:rStyle w:val="CommentReference"/>
          <w:sz w:val="20"/>
          <w:szCs w:val="22"/>
        </w:rPr>
        <w:t xml:space="preserve"> </w:t>
      </w:r>
      <w:r w:rsidR="00CB4C6D" w:rsidRPr="00530D57">
        <w:t>comment</w:t>
      </w:r>
      <w:r w:rsidR="00267CE8" w:rsidRPr="00530D57">
        <w:t xml:space="preserve">ed </w:t>
      </w:r>
      <w:r w:rsidR="00560358">
        <w:t>on</w:t>
      </w:r>
      <w:r w:rsidR="00267CE8" w:rsidRPr="00530D57">
        <w:t xml:space="preserve"> this</w:t>
      </w:r>
      <w:r w:rsidR="007D114E" w:rsidRPr="00530D57">
        <w:t xml:space="preserve">. </w:t>
      </w:r>
    </w:p>
    <w:p w14:paraId="7B90812F" w14:textId="1B90A65B" w:rsidR="00145ED5" w:rsidRPr="00530D57" w:rsidRDefault="764B1F1B" w:rsidP="002F5E4F">
      <w:pPr>
        <w:pStyle w:val="Numberedpara"/>
      </w:pPr>
      <w:r w:rsidRPr="00530D57">
        <w:t xml:space="preserve">Nine submitters were in favour of a residual category. </w:t>
      </w:r>
      <w:r w:rsidR="234896D4" w:rsidRPr="00530D57">
        <w:t>They said</w:t>
      </w:r>
      <w:r w:rsidRPr="00530D57">
        <w:t>:</w:t>
      </w:r>
      <w:r w:rsidR="00145ED5" w:rsidRPr="00530D57">
        <w:rPr>
          <w:color w:val="262626" w:themeColor="text1" w:themeTint="D9"/>
          <w:sz w:val="18"/>
          <w:szCs w:val="18"/>
          <w:vertAlign w:val="superscript"/>
        </w:rPr>
        <w:footnoteReference w:id="159"/>
      </w:r>
    </w:p>
    <w:p w14:paraId="71B8D312" w14:textId="77777777" w:rsidR="00145ED5" w:rsidRPr="00530D57" w:rsidRDefault="764B1F1B"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It is not prescriptive and allows flexibility so other groups can be included in the future.</w:t>
      </w:r>
      <w:r w:rsidR="00145ED5" w:rsidRPr="00530D57">
        <w:rPr>
          <w:rFonts w:cs="Times New Roman"/>
          <w:color w:val="262626" w:themeColor="text1" w:themeTint="D9"/>
          <w:sz w:val="18"/>
          <w:szCs w:val="18"/>
          <w:vertAlign w:val="superscript"/>
          <w:lang w:eastAsia="en-AU"/>
        </w:rPr>
        <w:footnoteReference w:id="160"/>
      </w:r>
      <w:r w:rsidRPr="00530D57">
        <w:rPr>
          <w:rFonts w:eastAsia="Times New Roman" w:cs="Times New Roman"/>
          <w:lang w:eastAsia="en-AU"/>
        </w:rPr>
        <w:t xml:space="preserve"> An overly restrictive approach would fail to protect certain groups.</w:t>
      </w:r>
      <w:r w:rsidR="00145ED5" w:rsidRPr="00530D57">
        <w:rPr>
          <w:rFonts w:cs="Times New Roman"/>
          <w:color w:val="262626" w:themeColor="text1" w:themeTint="D9"/>
          <w:sz w:val="18"/>
          <w:szCs w:val="18"/>
          <w:vertAlign w:val="superscript"/>
          <w:lang w:eastAsia="en-AU"/>
        </w:rPr>
        <w:footnoteReference w:id="161"/>
      </w:r>
    </w:p>
    <w:p w14:paraId="5A864210" w14:textId="2C89CD7A" w:rsidR="00145ED5" w:rsidRPr="00530D57" w:rsidRDefault="764B1F1B"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 xml:space="preserve">Any uncertainty arising from an open list </w:t>
      </w:r>
      <w:r w:rsidR="0022107F">
        <w:rPr>
          <w:rFonts w:eastAsia="Times New Roman" w:cs="Times New Roman"/>
          <w:lang w:eastAsia="en-AU"/>
        </w:rPr>
        <w:t>would be</w:t>
      </w:r>
      <w:r w:rsidRPr="00530D57">
        <w:rPr>
          <w:rFonts w:eastAsia="Times New Roman" w:cs="Times New Roman"/>
          <w:lang w:eastAsia="en-AU"/>
        </w:rPr>
        <w:t xml:space="preserve"> mitigated if hate aggravation bec</w:t>
      </w:r>
      <w:r w:rsidR="00057D12">
        <w:rPr>
          <w:rFonts w:eastAsia="Times New Roman" w:cs="Times New Roman"/>
          <w:lang w:eastAsia="en-AU"/>
        </w:rPr>
        <w:t>ame</w:t>
      </w:r>
      <w:r w:rsidRPr="00530D57">
        <w:rPr>
          <w:rFonts w:eastAsia="Times New Roman" w:cs="Times New Roman"/>
          <w:lang w:eastAsia="en-AU"/>
        </w:rPr>
        <w:t xml:space="preserve"> an element of the offence, because it </w:t>
      </w:r>
      <w:r w:rsidR="00057D12">
        <w:rPr>
          <w:rFonts w:eastAsia="Times New Roman" w:cs="Times New Roman"/>
          <w:lang w:eastAsia="en-AU"/>
        </w:rPr>
        <w:t>could</w:t>
      </w:r>
      <w:r w:rsidRPr="00530D57">
        <w:rPr>
          <w:rFonts w:eastAsia="Times New Roman" w:cs="Times New Roman"/>
          <w:lang w:eastAsia="en-AU"/>
        </w:rPr>
        <w:t xml:space="preserve"> be dealt with as a pre-trial challenge.</w:t>
      </w:r>
      <w:r w:rsidR="00145ED5" w:rsidRPr="00530D57">
        <w:rPr>
          <w:rFonts w:cs="Times New Roman"/>
          <w:color w:val="262626" w:themeColor="text1" w:themeTint="D9"/>
          <w:sz w:val="18"/>
          <w:szCs w:val="18"/>
          <w:vertAlign w:val="superscript"/>
          <w:lang w:eastAsia="en-AU"/>
        </w:rPr>
        <w:footnoteReference w:id="162"/>
      </w:r>
    </w:p>
    <w:p w14:paraId="6BA148A3" w14:textId="5E38FD74" w:rsidR="00145ED5" w:rsidRPr="00530D57" w:rsidRDefault="764B1F1B"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A list of examples is useful to indicate the likely characteristics.</w:t>
      </w:r>
      <w:r w:rsidR="00145ED5" w:rsidRPr="00530D57">
        <w:rPr>
          <w:rFonts w:cs="Times New Roman"/>
          <w:color w:val="262626" w:themeColor="text1" w:themeTint="D9"/>
          <w:sz w:val="18"/>
          <w:szCs w:val="18"/>
          <w:vertAlign w:val="superscript"/>
          <w:lang w:eastAsia="en-AU"/>
        </w:rPr>
        <w:footnoteReference w:id="163"/>
      </w:r>
      <w:r w:rsidRPr="00530D57">
        <w:rPr>
          <w:rFonts w:eastAsia="Times New Roman" w:cs="Times New Roman"/>
          <w:lang w:eastAsia="en-AU"/>
        </w:rPr>
        <w:t xml:space="preserve"> Even with an open list, it needs to be specific enough to ensure groups are legal</w:t>
      </w:r>
      <w:r w:rsidR="672A4845" w:rsidRPr="00530D57">
        <w:rPr>
          <w:rFonts w:eastAsia="Times New Roman" w:cs="Times New Roman"/>
          <w:lang w:eastAsia="en-AU"/>
        </w:rPr>
        <w:t>ly</w:t>
      </w:r>
      <w:r w:rsidRPr="00530D57">
        <w:rPr>
          <w:rFonts w:eastAsia="Times New Roman" w:cs="Times New Roman"/>
          <w:lang w:eastAsia="en-AU"/>
        </w:rPr>
        <w:t xml:space="preserve"> recognised.</w:t>
      </w:r>
      <w:r w:rsidR="00145ED5" w:rsidRPr="00530D57">
        <w:rPr>
          <w:rFonts w:cs="Times New Roman"/>
          <w:color w:val="262626" w:themeColor="text1" w:themeTint="D9"/>
          <w:sz w:val="18"/>
          <w:szCs w:val="18"/>
          <w:vertAlign w:val="superscript"/>
          <w:lang w:eastAsia="en-AU"/>
        </w:rPr>
        <w:footnoteReference w:id="164"/>
      </w:r>
    </w:p>
    <w:p w14:paraId="4C96D647" w14:textId="05F8D698" w:rsidR="00145ED5" w:rsidRPr="00530D57" w:rsidRDefault="00613634" w:rsidP="002F5E4F">
      <w:pPr>
        <w:pStyle w:val="Numberedpara"/>
      </w:pPr>
      <w:bookmarkStart w:id="41" w:name="_Hlk201849245"/>
      <w:r w:rsidRPr="00530D57">
        <w:t>Eight</w:t>
      </w:r>
      <w:r w:rsidR="003008B0" w:rsidRPr="00530D57" w:rsidDel="0033027A">
        <w:t xml:space="preserve"> </w:t>
      </w:r>
      <w:r w:rsidR="003008B0" w:rsidRPr="00530D57">
        <w:t xml:space="preserve">submitters </w:t>
      </w:r>
      <w:r w:rsidR="00FB245B" w:rsidRPr="00530D57">
        <w:t>raised</w:t>
      </w:r>
      <w:r w:rsidR="008A2858" w:rsidRPr="00530D57" w:rsidDel="00910B26">
        <w:t xml:space="preserve"> concern</w:t>
      </w:r>
      <w:r w:rsidR="008A2858" w:rsidRPr="00530D57" w:rsidDel="0033027A">
        <w:t>s</w:t>
      </w:r>
      <w:r w:rsidR="008A2858" w:rsidRPr="00530D57" w:rsidDel="00910B26">
        <w:t xml:space="preserve"> </w:t>
      </w:r>
      <w:r w:rsidR="00145ED5" w:rsidRPr="00530D57" w:rsidDel="00910B26">
        <w:t>about</w:t>
      </w:r>
      <w:r w:rsidR="00FB245B" w:rsidRPr="00530D57">
        <w:t xml:space="preserve"> </w:t>
      </w:r>
      <w:r w:rsidR="00145ED5" w:rsidRPr="00530D57" w:rsidDel="0033027A">
        <w:t>an open list</w:t>
      </w:r>
      <w:r w:rsidR="00910B26" w:rsidRPr="00530D57">
        <w:t xml:space="preserve"> </w:t>
      </w:r>
      <w:r w:rsidR="00145ED5" w:rsidRPr="00530D57" w:rsidDel="0033027A">
        <w:t xml:space="preserve">and </w:t>
      </w:r>
      <w:r w:rsidR="00145ED5" w:rsidRPr="00530D57">
        <w:t xml:space="preserve">the “enduring common characteristic” </w:t>
      </w:r>
      <w:r w:rsidR="005928CE" w:rsidRPr="00530D57">
        <w:t>definition</w:t>
      </w:r>
      <w:r w:rsidR="00145ED5" w:rsidRPr="00530D57">
        <w:t>:</w:t>
      </w:r>
    </w:p>
    <w:p w14:paraId="51A73C28" w14:textId="057BB754" w:rsidR="00145ED5" w:rsidRPr="00530D57" w:rsidRDefault="3BA088D7"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 xml:space="preserve">Some </w:t>
      </w:r>
      <w:r w:rsidR="47A7F0A5" w:rsidRPr="00530D57">
        <w:rPr>
          <w:rFonts w:eastAsia="Times New Roman" w:cs="Times New Roman"/>
          <w:lang w:eastAsia="en-AU"/>
        </w:rPr>
        <w:t xml:space="preserve">submitters </w:t>
      </w:r>
      <w:r w:rsidR="00B56AAC">
        <w:rPr>
          <w:rFonts w:eastAsia="Times New Roman" w:cs="Times New Roman"/>
          <w:lang w:eastAsia="en-AU"/>
        </w:rPr>
        <w:t>said</w:t>
      </w:r>
      <w:r w:rsidR="4926827E" w:rsidRPr="00530D57">
        <w:rPr>
          <w:rFonts w:eastAsia="Times New Roman" w:cs="Times New Roman"/>
          <w:lang w:eastAsia="en-AU"/>
        </w:rPr>
        <w:t xml:space="preserve"> </w:t>
      </w:r>
      <w:r w:rsidR="1584F03C" w:rsidRPr="00530D57">
        <w:rPr>
          <w:rFonts w:eastAsia="Times New Roman" w:cs="Times New Roman"/>
          <w:lang w:eastAsia="en-AU"/>
        </w:rPr>
        <w:t>the</w:t>
      </w:r>
      <w:r w:rsidR="04E7E847" w:rsidRPr="00530D57">
        <w:rPr>
          <w:rFonts w:eastAsia="Times New Roman" w:cs="Times New Roman"/>
          <w:lang w:eastAsia="en-AU"/>
        </w:rPr>
        <w:t xml:space="preserve">re is uncertainty about </w:t>
      </w:r>
      <w:r w:rsidR="4A57E84D" w:rsidRPr="00530D57">
        <w:rPr>
          <w:rFonts w:eastAsia="Times New Roman" w:cs="Times New Roman"/>
          <w:lang w:eastAsia="en-AU"/>
        </w:rPr>
        <w:t>its</w:t>
      </w:r>
      <w:r w:rsidR="23E0A81B" w:rsidRPr="00530D57">
        <w:rPr>
          <w:rFonts w:eastAsia="Times New Roman" w:cs="Times New Roman"/>
          <w:lang w:eastAsia="en-AU"/>
        </w:rPr>
        <w:t xml:space="preserve"> appli</w:t>
      </w:r>
      <w:r w:rsidR="4A57E84D" w:rsidRPr="00530D57">
        <w:rPr>
          <w:rFonts w:eastAsia="Times New Roman" w:cs="Times New Roman"/>
          <w:lang w:eastAsia="en-AU"/>
        </w:rPr>
        <w:t>cation</w:t>
      </w:r>
      <w:r w:rsidR="23E0A81B" w:rsidRPr="00530D57">
        <w:rPr>
          <w:rFonts w:eastAsia="Times New Roman" w:cs="Times New Roman"/>
          <w:lang w:eastAsia="en-AU"/>
        </w:rPr>
        <w:t xml:space="preserve"> in practice</w:t>
      </w:r>
      <w:r w:rsidR="04E7E847" w:rsidRPr="00530D57">
        <w:rPr>
          <w:rFonts w:eastAsia="Times New Roman" w:cs="Times New Roman"/>
          <w:lang w:eastAsia="en-AU"/>
        </w:rPr>
        <w:t xml:space="preserve"> </w:t>
      </w:r>
      <w:r w:rsidR="4A57E84D" w:rsidRPr="00530D57">
        <w:rPr>
          <w:rFonts w:eastAsia="Times New Roman" w:cs="Times New Roman"/>
          <w:lang w:eastAsia="en-AU"/>
        </w:rPr>
        <w:t xml:space="preserve">and </w:t>
      </w:r>
      <w:r w:rsidR="38BBBDEE" w:rsidRPr="00530D57">
        <w:rPr>
          <w:rFonts w:eastAsia="Times New Roman" w:cs="Times New Roman"/>
          <w:lang w:eastAsia="en-AU"/>
        </w:rPr>
        <w:t xml:space="preserve">there </w:t>
      </w:r>
      <w:r w:rsidR="4971E8F9" w:rsidRPr="00530D57">
        <w:rPr>
          <w:rFonts w:eastAsia="Times New Roman" w:cs="Times New Roman"/>
          <w:lang w:eastAsia="en-AU"/>
        </w:rPr>
        <w:t>could be</w:t>
      </w:r>
      <w:r w:rsidR="38BBBDEE" w:rsidRPr="00530D57">
        <w:rPr>
          <w:rFonts w:eastAsia="Times New Roman" w:cs="Times New Roman"/>
          <w:lang w:eastAsia="en-AU"/>
        </w:rPr>
        <w:t xml:space="preserve"> </w:t>
      </w:r>
      <w:r w:rsidR="3B6221FC" w:rsidRPr="00530D57">
        <w:rPr>
          <w:rFonts w:eastAsia="Times New Roman" w:cs="Times New Roman"/>
          <w:lang w:eastAsia="en-AU"/>
        </w:rPr>
        <w:t xml:space="preserve">incongruous </w:t>
      </w:r>
      <w:r w:rsidR="62C6B53D" w:rsidRPr="00530D57">
        <w:rPr>
          <w:rFonts w:eastAsia="Times New Roman" w:cs="Times New Roman"/>
          <w:lang w:eastAsia="en-AU"/>
        </w:rPr>
        <w:t>out</w:t>
      </w:r>
      <w:r w:rsidR="3B6221FC" w:rsidRPr="00530D57">
        <w:rPr>
          <w:rFonts w:eastAsia="Times New Roman" w:cs="Times New Roman"/>
          <w:lang w:eastAsia="en-AU"/>
        </w:rPr>
        <w:t>comes regarding</w:t>
      </w:r>
      <w:r w:rsidR="099A8884" w:rsidRPr="00530D57">
        <w:rPr>
          <w:rFonts w:eastAsia="Times New Roman" w:cs="Times New Roman"/>
          <w:lang w:eastAsia="en-AU"/>
        </w:rPr>
        <w:t xml:space="preserve"> </w:t>
      </w:r>
      <w:r w:rsidR="3E816ED9" w:rsidRPr="00530D57">
        <w:rPr>
          <w:rFonts w:eastAsia="Times New Roman" w:cs="Times New Roman"/>
          <w:lang w:eastAsia="en-AU"/>
        </w:rPr>
        <w:t xml:space="preserve">which groups </w:t>
      </w:r>
      <w:r w:rsidR="09A50F8B" w:rsidRPr="00530D57">
        <w:rPr>
          <w:rFonts w:eastAsia="Times New Roman" w:cs="Times New Roman"/>
          <w:lang w:eastAsia="en-AU"/>
        </w:rPr>
        <w:t>are protected</w:t>
      </w:r>
      <w:r w:rsidR="764B1F1B" w:rsidRPr="00530D57">
        <w:rPr>
          <w:rFonts w:eastAsia="Times New Roman" w:cs="Times New Roman"/>
          <w:lang w:eastAsia="en-AU"/>
        </w:rPr>
        <w:t>.</w:t>
      </w:r>
      <w:r w:rsidR="00145ED5" w:rsidRPr="00530D57">
        <w:rPr>
          <w:rFonts w:cs="Times New Roman"/>
          <w:color w:val="262626" w:themeColor="text1" w:themeTint="D9"/>
          <w:sz w:val="18"/>
          <w:szCs w:val="18"/>
          <w:vertAlign w:val="superscript"/>
          <w:lang w:eastAsia="en-AU"/>
        </w:rPr>
        <w:footnoteReference w:id="165"/>
      </w:r>
      <w:r w:rsidR="764B1F1B" w:rsidRPr="00530D57">
        <w:rPr>
          <w:rFonts w:eastAsia="Times New Roman" w:cs="Times New Roman"/>
          <w:lang w:eastAsia="en-AU"/>
        </w:rPr>
        <w:t xml:space="preserve"> </w:t>
      </w:r>
      <w:r w:rsidR="250D25F8" w:rsidRPr="00530D57">
        <w:rPr>
          <w:rFonts w:eastAsia="Times New Roman" w:cs="Times New Roman"/>
          <w:lang w:eastAsia="en-AU"/>
        </w:rPr>
        <w:t>I</w:t>
      </w:r>
      <w:r w:rsidR="0D68CF17" w:rsidRPr="00530D57">
        <w:rPr>
          <w:rFonts w:eastAsia="Times New Roman" w:cs="Times New Roman"/>
          <w:lang w:eastAsia="en-AU"/>
        </w:rPr>
        <w:t>t</w:t>
      </w:r>
      <w:r w:rsidR="11E8412C" w:rsidRPr="00530D57">
        <w:rPr>
          <w:rFonts w:eastAsia="Times New Roman" w:cs="Times New Roman"/>
          <w:lang w:eastAsia="en-AU"/>
        </w:rPr>
        <w:t xml:space="preserve"> </w:t>
      </w:r>
      <w:r w:rsidR="0E8CFB88" w:rsidRPr="00530D57">
        <w:rPr>
          <w:rFonts w:eastAsia="Times New Roman" w:cs="Times New Roman"/>
          <w:lang w:eastAsia="en-AU"/>
        </w:rPr>
        <w:t xml:space="preserve">was viewed as </w:t>
      </w:r>
      <w:r w:rsidR="217F532A" w:rsidRPr="00530D57">
        <w:rPr>
          <w:rFonts w:eastAsia="Times New Roman" w:cs="Times New Roman"/>
          <w:lang w:eastAsia="en-AU"/>
        </w:rPr>
        <w:t xml:space="preserve">is </w:t>
      </w:r>
      <w:r w:rsidR="5ADF6B55" w:rsidRPr="00530D57">
        <w:rPr>
          <w:rFonts w:eastAsia="Times New Roman" w:cs="Times New Roman"/>
          <w:lang w:eastAsia="en-AU"/>
        </w:rPr>
        <w:t>problematic</w:t>
      </w:r>
      <w:r w:rsidR="75F26D1B" w:rsidRPr="00530D57">
        <w:rPr>
          <w:rFonts w:eastAsia="Times New Roman" w:cs="Times New Roman"/>
          <w:lang w:eastAsia="en-AU"/>
        </w:rPr>
        <w:t xml:space="preserve"> </w:t>
      </w:r>
      <w:r w:rsidR="217F532A" w:rsidRPr="00530D57">
        <w:rPr>
          <w:rFonts w:eastAsia="Times New Roman" w:cs="Times New Roman"/>
          <w:lang w:eastAsia="en-AU"/>
        </w:rPr>
        <w:t xml:space="preserve">that </w:t>
      </w:r>
      <w:r w:rsidR="6C34231F" w:rsidRPr="00530D57">
        <w:rPr>
          <w:rFonts w:eastAsia="Times New Roman" w:cs="Times New Roman"/>
          <w:lang w:eastAsia="en-AU"/>
        </w:rPr>
        <w:t xml:space="preserve">some groups </w:t>
      </w:r>
      <w:r w:rsidR="41D35DF4" w:rsidRPr="00530D57">
        <w:rPr>
          <w:rFonts w:eastAsia="Times New Roman" w:cs="Times New Roman"/>
          <w:lang w:eastAsia="en-AU"/>
        </w:rPr>
        <w:t>may</w:t>
      </w:r>
      <w:r w:rsidR="0DA9CE20" w:rsidRPr="00530D57">
        <w:rPr>
          <w:rFonts w:eastAsia="Times New Roman" w:cs="Times New Roman"/>
          <w:lang w:eastAsia="en-AU"/>
        </w:rPr>
        <w:t xml:space="preserve"> meet the test</w:t>
      </w:r>
      <w:r w:rsidR="41D35DF4" w:rsidRPr="00530D57">
        <w:rPr>
          <w:rFonts w:eastAsia="Times New Roman" w:cs="Times New Roman"/>
          <w:lang w:eastAsia="en-AU"/>
        </w:rPr>
        <w:t xml:space="preserve"> </w:t>
      </w:r>
      <w:r w:rsidR="6DA6FBA6" w:rsidRPr="00530D57">
        <w:rPr>
          <w:rFonts w:eastAsia="Times New Roman" w:cs="Times New Roman"/>
          <w:lang w:eastAsia="en-AU"/>
        </w:rPr>
        <w:t>even though</w:t>
      </w:r>
      <w:r w:rsidR="6CB3593F" w:rsidRPr="00530D57">
        <w:rPr>
          <w:rFonts w:eastAsia="Times New Roman" w:cs="Times New Roman"/>
          <w:lang w:eastAsia="en-AU"/>
        </w:rPr>
        <w:t xml:space="preserve"> society, in general</w:t>
      </w:r>
      <w:r w:rsidR="0F31FEFB" w:rsidRPr="00530D57">
        <w:rPr>
          <w:rFonts w:eastAsia="Times New Roman" w:cs="Times New Roman"/>
          <w:lang w:eastAsia="en-AU"/>
        </w:rPr>
        <w:t xml:space="preserve">, </w:t>
      </w:r>
      <w:r w:rsidR="0365BF97" w:rsidRPr="00530D57">
        <w:rPr>
          <w:rFonts w:eastAsia="Times New Roman" w:cs="Times New Roman"/>
          <w:lang w:eastAsia="en-AU"/>
        </w:rPr>
        <w:t>consider</w:t>
      </w:r>
      <w:r w:rsidR="00472935">
        <w:rPr>
          <w:rFonts w:eastAsia="Times New Roman" w:cs="Times New Roman"/>
          <w:lang w:eastAsia="en-AU"/>
        </w:rPr>
        <w:t>s</w:t>
      </w:r>
      <w:r w:rsidR="0F31FEFB" w:rsidRPr="00530D57">
        <w:rPr>
          <w:rFonts w:eastAsia="Times New Roman" w:cs="Times New Roman"/>
          <w:lang w:eastAsia="en-AU"/>
        </w:rPr>
        <w:t xml:space="preserve"> </w:t>
      </w:r>
      <w:r w:rsidR="6DA6FBA6" w:rsidRPr="00530D57">
        <w:rPr>
          <w:rFonts w:eastAsia="Times New Roman" w:cs="Times New Roman"/>
          <w:lang w:eastAsia="en-AU"/>
        </w:rPr>
        <w:t xml:space="preserve">they </w:t>
      </w:r>
      <w:r w:rsidR="2241A353" w:rsidRPr="00530D57">
        <w:rPr>
          <w:rFonts w:eastAsia="Times New Roman" w:cs="Times New Roman"/>
          <w:lang w:eastAsia="en-AU"/>
        </w:rPr>
        <w:t>should not be included</w:t>
      </w:r>
      <w:r w:rsidR="18656CAF" w:rsidRPr="00530D57">
        <w:rPr>
          <w:rFonts w:eastAsia="Times New Roman" w:cs="Times New Roman"/>
          <w:lang w:eastAsia="en-AU"/>
        </w:rPr>
        <w:t>.</w:t>
      </w:r>
      <w:r w:rsidR="000F6E3F" w:rsidRPr="00530D57">
        <w:rPr>
          <w:rStyle w:val="FootnoteReference"/>
          <w:rFonts w:eastAsia="Times New Roman" w:cs="Times New Roman"/>
          <w:lang w:eastAsia="en-AU"/>
        </w:rPr>
        <w:footnoteReference w:id="166"/>
      </w:r>
      <w:r w:rsidR="0D0B8AC8" w:rsidRPr="00530D57">
        <w:rPr>
          <w:rFonts w:eastAsia="Times New Roman" w:cs="Times New Roman"/>
          <w:lang w:eastAsia="en-AU"/>
        </w:rPr>
        <w:t xml:space="preserve"> </w:t>
      </w:r>
    </w:p>
    <w:p w14:paraId="17BBA69F" w14:textId="4C8D6E3B" w:rsidR="00145ED5" w:rsidRPr="00530D57" w:rsidRDefault="623097F1"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 xml:space="preserve">Some </w:t>
      </w:r>
      <w:r w:rsidR="1BD0E86A" w:rsidRPr="00530D57">
        <w:rPr>
          <w:rFonts w:eastAsia="Times New Roman" w:cs="Times New Roman"/>
          <w:lang w:eastAsia="en-AU"/>
        </w:rPr>
        <w:t>submitters said</w:t>
      </w:r>
      <w:r w:rsidRPr="00530D57">
        <w:rPr>
          <w:rFonts w:eastAsia="Times New Roman" w:cs="Times New Roman"/>
          <w:lang w:eastAsia="en-AU"/>
        </w:rPr>
        <w:t xml:space="preserve"> it</w:t>
      </w:r>
      <w:r w:rsidR="764B1F1B" w:rsidRPr="00530D57">
        <w:rPr>
          <w:rFonts w:eastAsia="Times New Roman" w:cs="Times New Roman"/>
          <w:lang w:eastAsia="en-AU"/>
        </w:rPr>
        <w:t xml:space="preserve"> is </w:t>
      </w:r>
      <w:r w:rsidR="2A4FF4B2" w:rsidRPr="00530D57">
        <w:rPr>
          <w:rFonts w:eastAsia="Times New Roman" w:cs="Times New Roman"/>
          <w:lang w:eastAsia="en-AU"/>
        </w:rPr>
        <w:t>un</w:t>
      </w:r>
      <w:r w:rsidR="764B1F1B" w:rsidRPr="00530D57">
        <w:rPr>
          <w:rFonts w:eastAsia="Times New Roman" w:cs="Times New Roman"/>
          <w:lang w:eastAsia="en-AU"/>
        </w:rPr>
        <w:t>clear why a characteristic must be “enduring”</w:t>
      </w:r>
      <w:r w:rsidR="00145ED5" w:rsidRPr="00530D57">
        <w:rPr>
          <w:rFonts w:cs="Times New Roman"/>
          <w:color w:val="262626" w:themeColor="text1" w:themeTint="D9"/>
          <w:sz w:val="18"/>
          <w:szCs w:val="18"/>
          <w:vertAlign w:val="superscript"/>
          <w:lang w:eastAsia="en-AU"/>
        </w:rPr>
        <w:footnoteReference w:id="167"/>
      </w:r>
      <w:r w:rsidR="764B1F1B" w:rsidRPr="00530D57">
        <w:rPr>
          <w:rFonts w:eastAsia="Times New Roman" w:cs="Times New Roman"/>
          <w:lang w:eastAsia="en-AU"/>
        </w:rPr>
        <w:t xml:space="preserve"> </w:t>
      </w:r>
      <w:r w:rsidR="4FC227F4" w:rsidRPr="00530D57">
        <w:rPr>
          <w:rFonts w:eastAsia="Times New Roman" w:cs="Times New Roman"/>
          <w:lang w:eastAsia="en-AU"/>
        </w:rPr>
        <w:t xml:space="preserve">or </w:t>
      </w:r>
      <w:r w:rsidR="1C8E785C" w:rsidRPr="00530D57">
        <w:rPr>
          <w:rFonts w:eastAsia="Times New Roman" w:cs="Times New Roman"/>
          <w:lang w:eastAsia="en-AU"/>
        </w:rPr>
        <w:t>obser</w:t>
      </w:r>
      <w:r w:rsidR="2991F749" w:rsidRPr="00530D57">
        <w:rPr>
          <w:rFonts w:eastAsia="Times New Roman" w:cs="Times New Roman"/>
          <w:lang w:eastAsia="en-AU"/>
        </w:rPr>
        <w:t>ved it is anomalous</w:t>
      </w:r>
      <w:r w:rsidR="4FC227F4" w:rsidRPr="00530D57">
        <w:rPr>
          <w:rFonts w:eastAsia="Times New Roman" w:cs="Times New Roman"/>
          <w:lang w:eastAsia="en-AU"/>
        </w:rPr>
        <w:t xml:space="preserve"> that s</w:t>
      </w:r>
      <w:r w:rsidR="764B1F1B" w:rsidRPr="00530D57">
        <w:rPr>
          <w:rFonts w:eastAsia="Times New Roman" w:cs="Times New Roman"/>
          <w:lang w:eastAsia="en-AU"/>
        </w:rPr>
        <w:t xml:space="preserve">ome </w:t>
      </w:r>
      <w:r w:rsidR="4FC227F4" w:rsidRPr="00530D57">
        <w:rPr>
          <w:rFonts w:eastAsia="Times New Roman" w:cs="Times New Roman"/>
          <w:lang w:eastAsia="en-AU"/>
        </w:rPr>
        <w:t>of the current</w:t>
      </w:r>
      <w:r w:rsidR="7895EF69" w:rsidRPr="00530D57">
        <w:rPr>
          <w:rFonts w:eastAsia="Times New Roman" w:cs="Times New Roman"/>
          <w:lang w:eastAsia="en-AU"/>
        </w:rPr>
        <w:t>ly listed</w:t>
      </w:r>
      <w:r w:rsidR="4FC227F4" w:rsidRPr="00530D57">
        <w:rPr>
          <w:rFonts w:eastAsia="Times New Roman" w:cs="Times New Roman"/>
          <w:lang w:eastAsia="en-AU"/>
        </w:rPr>
        <w:t xml:space="preserve"> </w:t>
      </w:r>
      <w:r w:rsidR="764B1F1B" w:rsidRPr="00530D57">
        <w:rPr>
          <w:rFonts w:eastAsia="Times New Roman" w:cs="Times New Roman"/>
          <w:lang w:eastAsia="en-AU"/>
        </w:rPr>
        <w:t>characteristics</w:t>
      </w:r>
      <w:r w:rsidR="00D23FAF">
        <w:rPr>
          <w:rFonts w:eastAsia="Times New Roman" w:cs="Times New Roman"/>
          <w:lang w:eastAsia="en-AU"/>
        </w:rPr>
        <w:t xml:space="preserve"> —</w:t>
      </w:r>
      <w:r w:rsidR="764B1F1B" w:rsidRPr="00530D57">
        <w:rPr>
          <w:rFonts w:eastAsia="Times New Roman" w:cs="Times New Roman"/>
          <w:lang w:eastAsia="en-AU"/>
        </w:rPr>
        <w:t xml:space="preserve"> such as religion, sexual orientation and gender identity </w:t>
      </w:r>
      <w:r w:rsidR="00D23FAF">
        <w:rPr>
          <w:rFonts w:eastAsia="Times New Roman" w:cs="Times New Roman"/>
          <w:lang w:eastAsia="en-AU"/>
        </w:rPr>
        <w:t xml:space="preserve">— </w:t>
      </w:r>
      <w:r w:rsidR="764B1F1B" w:rsidRPr="00530D57">
        <w:rPr>
          <w:rFonts w:eastAsia="Times New Roman" w:cs="Times New Roman"/>
          <w:lang w:eastAsia="en-AU"/>
        </w:rPr>
        <w:t xml:space="preserve">are not </w:t>
      </w:r>
      <w:r w:rsidR="0073358D">
        <w:rPr>
          <w:rFonts w:eastAsia="Times New Roman" w:cs="Times New Roman"/>
          <w:lang w:eastAsia="en-AU"/>
        </w:rPr>
        <w:t xml:space="preserve">necessarily </w:t>
      </w:r>
      <w:r w:rsidR="764B1F1B" w:rsidRPr="00530D57">
        <w:rPr>
          <w:rFonts w:eastAsia="Times New Roman" w:cs="Times New Roman"/>
          <w:lang w:eastAsia="en-AU"/>
        </w:rPr>
        <w:t>enduring.</w:t>
      </w:r>
      <w:r w:rsidR="00145ED5" w:rsidRPr="00530D57">
        <w:rPr>
          <w:rFonts w:cs="Times New Roman"/>
          <w:color w:val="262626" w:themeColor="text1" w:themeTint="D9"/>
          <w:sz w:val="18"/>
          <w:szCs w:val="18"/>
          <w:vertAlign w:val="superscript"/>
          <w:lang w:eastAsia="en-AU"/>
        </w:rPr>
        <w:footnoteReference w:id="168"/>
      </w:r>
    </w:p>
    <w:bookmarkEnd w:id="41"/>
    <w:p w14:paraId="6AA4272E" w14:textId="60174732" w:rsidR="00145ED5" w:rsidRPr="00530D57" w:rsidRDefault="00145ED5" w:rsidP="002F5E4F">
      <w:pPr>
        <w:pStyle w:val="Numberedpara"/>
      </w:pPr>
      <w:r w:rsidRPr="00530D57">
        <w:t xml:space="preserve">Some submitters made other points about the list of protected characteristics. </w:t>
      </w:r>
      <w:r w:rsidR="008A2858" w:rsidRPr="00530D57">
        <w:t>They said</w:t>
      </w:r>
      <w:r w:rsidRPr="00530D57">
        <w:t>:</w:t>
      </w:r>
    </w:p>
    <w:p w14:paraId="36800F8A" w14:textId="77777777" w:rsidR="00145ED5" w:rsidRPr="00530D57" w:rsidRDefault="764B1F1B"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The list of protected characteristics should be broad.</w:t>
      </w:r>
      <w:r w:rsidR="00145ED5" w:rsidRPr="00530D57">
        <w:rPr>
          <w:rFonts w:cs="Times New Roman"/>
          <w:color w:val="262626" w:themeColor="text1" w:themeTint="D9"/>
          <w:sz w:val="18"/>
          <w:szCs w:val="18"/>
          <w:vertAlign w:val="superscript"/>
          <w:lang w:eastAsia="en-AU"/>
        </w:rPr>
        <w:footnoteReference w:id="169"/>
      </w:r>
    </w:p>
    <w:p w14:paraId="69E0F653" w14:textId="5A5F3AFB" w:rsidR="00145ED5" w:rsidRPr="00530D57" w:rsidRDefault="764B1F1B"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lastRenderedPageBreak/>
        <w:t>The idea of defining protected characteristics raises issues of under and over inclusivity.</w:t>
      </w:r>
      <w:r w:rsidR="00145ED5" w:rsidRPr="00530D57">
        <w:rPr>
          <w:rFonts w:cs="Times New Roman"/>
          <w:color w:val="262626" w:themeColor="text1" w:themeTint="D9"/>
          <w:sz w:val="18"/>
          <w:szCs w:val="18"/>
          <w:vertAlign w:val="superscript"/>
          <w:lang w:eastAsia="en-AU"/>
        </w:rPr>
        <w:footnoteReference w:id="170"/>
      </w:r>
      <w:r w:rsidRPr="00530D57">
        <w:rPr>
          <w:rFonts w:eastAsia="Times New Roman" w:cs="Times New Roman"/>
          <w:lang w:eastAsia="en-AU"/>
        </w:rPr>
        <w:t xml:space="preserve"> If </w:t>
      </w:r>
      <w:r w:rsidR="70C0CF61" w:rsidRPr="00530D57">
        <w:rPr>
          <w:rFonts w:eastAsia="Times New Roman" w:cs="Times New Roman"/>
          <w:lang w:eastAsia="en-AU"/>
        </w:rPr>
        <w:t xml:space="preserve">the </w:t>
      </w:r>
      <w:r w:rsidR="631DDC7D" w:rsidRPr="00530D57">
        <w:rPr>
          <w:rFonts w:eastAsia="Times New Roman" w:cs="Times New Roman"/>
          <w:lang w:eastAsia="en-AU"/>
        </w:rPr>
        <w:t>list</w:t>
      </w:r>
      <w:r w:rsidR="70C0CF61" w:rsidRPr="00530D57">
        <w:rPr>
          <w:rFonts w:eastAsia="Times New Roman" w:cs="Times New Roman"/>
          <w:lang w:eastAsia="en-AU"/>
        </w:rPr>
        <w:t xml:space="preserve"> provides for</w:t>
      </w:r>
      <w:r w:rsidRPr="00530D57">
        <w:rPr>
          <w:rFonts w:eastAsia="Times New Roman" w:cs="Times New Roman"/>
          <w:lang w:eastAsia="en-AU"/>
        </w:rPr>
        <w:t xml:space="preserve"> </w:t>
      </w:r>
      <w:r w:rsidR="1C52B8E5" w:rsidRPr="00530D57">
        <w:rPr>
          <w:rFonts w:eastAsia="Times New Roman" w:cs="Times New Roman"/>
          <w:lang w:eastAsia="en-AU"/>
        </w:rPr>
        <w:t xml:space="preserve">a wide range of </w:t>
      </w:r>
      <w:r w:rsidRPr="00530D57">
        <w:rPr>
          <w:rFonts w:eastAsia="Times New Roman" w:cs="Times New Roman"/>
          <w:lang w:eastAsia="en-AU"/>
        </w:rPr>
        <w:t xml:space="preserve">identities the law is overly broad, but if some groups are </w:t>
      </w:r>
      <w:r w:rsidR="631DDC7D" w:rsidRPr="00530D57">
        <w:rPr>
          <w:rFonts w:eastAsia="Times New Roman" w:cs="Times New Roman"/>
          <w:lang w:eastAsia="en-AU"/>
        </w:rPr>
        <w:t>excluded</w:t>
      </w:r>
      <w:r w:rsidRPr="00530D57">
        <w:rPr>
          <w:rFonts w:eastAsia="Times New Roman" w:cs="Times New Roman"/>
          <w:lang w:eastAsia="en-AU"/>
        </w:rPr>
        <w:t xml:space="preserve"> it can look unfairly selective.</w:t>
      </w:r>
      <w:r w:rsidR="00145ED5" w:rsidRPr="00530D57">
        <w:rPr>
          <w:rFonts w:cs="Times New Roman"/>
          <w:color w:val="262626" w:themeColor="text1" w:themeTint="D9"/>
          <w:sz w:val="18"/>
          <w:szCs w:val="18"/>
          <w:vertAlign w:val="superscript"/>
          <w:lang w:eastAsia="en-AU"/>
        </w:rPr>
        <w:footnoteReference w:id="171"/>
      </w:r>
      <w:r w:rsidRPr="00530D57">
        <w:rPr>
          <w:rFonts w:eastAsia="Times New Roman" w:cs="Times New Roman"/>
          <w:lang w:eastAsia="en-AU"/>
        </w:rPr>
        <w:t xml:space="preserve"> </w:t>
      </w:r>
    </w:p>
    <w:p w14:paraId="7656BC25" w14:textId="3C12D9C9" w:rsidR="00145ED5" w:rsidRPr="00530D57" w:rsidRDefault="764B1F1B"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If hate crime laws encompass an increasing number of characteristics, they risk criminalising speech and behaviour.</w:t>
      </w:r>
      <w:r w:rsidR="00145ED5" w:rsidRPr="00530D57">
        <w:rPr>
          <w:rFonts w:cs="Times New Roman"/>
          <w:color w:val="262626" w:themeColor="text1" w:themeTint="D9"/>
          <w:sz w:val="18"/>
          <w:szCs w:val="18"/>
          <w:vertAlign w:val="superscript"/>
          <w:lang w:eastAsia="en-AU"/>
        </w:rPr>
        <w:footnoteReference w:id="172"/>
      </w:r>
    </w:p>
    <w:p w14:paraId="787CCA27" w14:textId="15632D5F" w:rsidR="00145ED5" w:rsidRPr="00530D57" w:rsidRDefault="764B1F1B"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The approach to protected characteristics depends on the model. A broad approach is appropriate for the sentenc</w:t>
      </w:r>
      <w:r w:rsidR="00B05B0C">
        <w:rPr>
          <w:rFonts w:eastAsia="Times New Roman" w:cs="Times New Roman"/>
          <w:lang w:eastAsia="en-AU"/>
        </w:rPr>
        <w:t>e aggravation</w:t>
      </w:r>
      <w:r w:rsidRPr="00530D57">
        <w:rPr>
          <w:rFonts w:eastAsia="Times New Roman" w:cs="Times New Roman"/>
          <w:lang w:eastAsia="en-AU"/>
        </w:rPr>
        <w:t xml:space="preserve"> model while a narrower approach is needed for offences.</w:t>
      </w:r>
      <w:r w:rsidR="00145ED5" w:rsidRPr="00530D57">
        <w:rPr>
          <w:rFonts w:cs="Times New Roman"/>
          <w:color w:val="262626" w:themeColor="text1" w:themeTint="D9"/>
          <w:sz w:val="18"/>
          <w:szCs w:val="18"/>
          <w:vertAlign w:val="superscript"/>
          <w:lang w:eastAsia="en-AU"/>
        </w:rPr>
        <w:footnoteReference w:id="173"/>
      </w:r>
    </w:p>
    <w:p w14:paraId="2EAA1A0D" w14:textId="77777777" w:rsidR="00145ED5" w:rsidRPr="00530D57" w:rsidRDefault="764B1F1B"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It is impossible to list the characteristics because hate is demonstrated in so many ways and against so many characteristics.</w:t>
      </w:r>
      <w:r w:rsidR="00145ED5" w:rsidRPr="00530D57">
        <w:rPr>
          <w:rFonts w:cs="Times New Roman"/>
          <w:color w:val="262626" w:themeColor="text1" w:themeTint="D9"/>
          <w:sz w:val="18"/>
          <w:szCs w:val="18"/>
          <w:vertAlign w:val="superscript"/>
          <w:lang w:eastAsia="en-AU"/>
        </w:rPr>
        <w:footnoteReference w:id="174"/>
      </w:r>
      <w:r w:rsidRPr="00530D57">
        <w:rPr>
          <w:rFonts w:eastAsia="Times New Roman" w:cs="Times New Roman"/>
          <w:lang w:eastAsia="en-AU"/>
        </w:rPr>
        <w:t xml:space="preserve"> No group deserves special protection more than any other.</w:t>
      </w:r>
      <w:r w:rsidR="00145ED5" w:rsidRPr="00530D57">
        <w:rPr>
          <w:rFonts w:cs="Times New Roman"/>
          <w:color w:val="262626" w:themeColor="text1" w:themeTint="D9"/>
          <w:sz w:val="18"/>
          <w:szCs w:val="18"/>
          <w:vertAlign w:val="superscript"/>
          <w:lang w:eastAsia="en-AU"/>
        </w:rPr>
        <w:footnoteReference w:id="175"/>
      </w:r>
    </w:p>
    <w:p w14:paraId="4EB63F16" w14:textId="19EAD5B0" w:rsidR="00145ED5" w:rsidRPr="00530D57" w:rsidRDefault="764B1F1B" w:rsidP="00896331">
      <w:pPr>
        <w:pStyle w:val="Numberedpara"/>
        <w:numPr>
          <w:ilvl w:val="1"/>
          <w:numId w:val="71"/>
        </w:numPr>
        <w:rPr>
          <w:rFonts w:eastAsia="Times New Roman" w:cs="Times New Roman"/>
          <w:szCs w:val="24"/>
          <w:lang w:eastAsia="en-AU"/>
        </w:rPr>
      </w:pPr>
      <w:r w:rsidRPr="001D5A00">
        <w:t>The</w:t>
      </w:r>
      <w:r w:rsidRPr="00530D57">
        <w:rPr>
          <w:rFonts w:eastAsia="Times New Roman" w:cs="Times New Roman"/>
          <w:lang w:eastAsia="en-AU"/>
        </w:rPr>
        <w:t xml:space="preserve"> division of categories is not always clear. For example, the Israel</w:t>
      </w:r>
      <w:r w:rsidR="007700EB">
        <w:rPr>
          <w:rFonts w:eastAsia="Times New Roman" w:cs="Times New Roman"/>
          <w:lang w:eastAsia="en-AU"/>
        </w:rPr>
        <w:t>-</w:t>
      </w:r>
      <w:r w:rsidRPr="00530D57">
        <w:rPr>
          <w:rFonts w:eastAsia="Times New Roman" w:cs="Times New Roman"/>
          <w:lang w:eastAsia="en-AU"/>
        </w:rPr>
        <w:t xml:space="preserve">Palestine </w:t>
      </w:r>
      <w:r w:rsidR="007700EB">
        <w:rPr>
          <w:rFonts w:eastAsia="Times New Roman" w:cs="Times New Roman"/>
          <w:lang w:eastAsia="en-AU"/>
        </w:rPr>
        <w:t>conflict</w:t>
      </w:r>
      <w:r w:rsidR="007700EB" w:rsidRPr="00530D57">
        <w:rPr>
          <w:rFonts w:eastAsia="Times New Roman" w:cs="Times New Roman"/>
          <w:lang w:eastAsia="en-AU"/>
        </w:rPr>
        <w:t xml:space="preserve"> </w:t>
      </w:r>
      <w:r w:rsidRPr="00530D57">
        <w:rPr>
          <w:rFonts w:eastAsia="Times New Roman" w:cs="Times New Roman"/>
          <w:lang w:eastAsia="en-AU"/>
        </w:rPr>
        <w:t>raises both religion and race.</w:t>
      </w:r>
      <w:r w:rsidR="00145ED5" w:rsidRPr="00530D57">
        <w:rPr>
          <w:rFonts w:cs="Times New Roman"/>
          <w:color w:val="262626" w:themeColor="text1" w:themeTint="D9"/>
          <w:sz w:val="18"/>
          <w:szCs w:val="18"/>
          <w:vertAlign w:val="superscript"/>
          <w:lang w:eastAsia="en-AU"/>
        </w:rPr>
        <w:footnoteReference w:id="176"/>
      </w:r>
    </w:p>
    <w:p w14:paraId="409F0B14" w14:textId="77777777" w:rsidR="00145ED5" w:rsidRPr="00530D57" w:rsidRDefault="764B1F1B" w:rsidP="00896331">
      <w:pPr>
        <w:pStyle w:val="Numberedpara"/>
        <w:numPr>
          <w:ilvl w:val="1"/>
          <w:numId w:val="71"/>
        </w:numPr>
        <w:rPr>
          <w:rFonts w:eastAsia="Times New Roman" w:cs="Times New Roman"/>
          <w:szCs w:val="24"/>
          <w:lang w:eastAsia="en-AU"/>
        </w:rPr>
      </w:pPr>
      <w:r w:rsidRPr="001D5A00">
        <w:t>People</w:t>
      </w:r>
      <w:r w:rsidRPr="00530D57">
        <w:rPr>
          <w:rFonts w:eastAsia="Times New Roman" w:cs="Times New Roman"/>
          <w:lang w:eastAsia="en-AU"/>
        </w:rPr>
        <w:t xml:space="preserve"> can experience hate crimes based on multiple characteristics.</w:t>
      </w:r>
      <w:r w:rsidR="00145ED5" w:rsidRPr="00530D57">
        <w:rPr>
          <w:rFonts w:cs="Times New Roman"/>
          <w:color w:val="262626" w:themeColor="text1" w:themeTint="D9"/>
          <w:sz w:val="18"/>
          <w:szCs w:val="18"/>
          <w:vertAlign w:val="superscript"/>
          <w:lang w:eastAsia="en-AU"/>
        </w:rPr>
        <w:footnoteReference w:id="177"/>
      </w:r>
      <w:r w:rsidRPr="00530D57">
        <w:rPr>
          <w:rFonts w:eastAsia="Times New Roman" w:cs="Times New Roman"/>
          <w:lang w:eastAsia="en-AU"/>
        </w:rPr>
        <w:t xml:space="preserve"> </w:t>
      </w:r>
    </w:p>
    <w:p w14:paraId="3078E12C" w14:textId="181D7A6A" w:rsidR="00145ED5" w:rsidRPr="00530D57" w:rsidRDefault="006A1629" w:rsidP="006C1563">
      <w:pPr>
        <w:pStyle w:val="Heading3"/>
      </w:pPr>
      <w:r w:rsidRPr="00530D57">
        <w:lastRenderedPageBreak/>
        <w:t>Views on k</w:t>
      </w:r>
      <w:r w:rsidR="00145ED5" w:rsidRPr="00530D57">
        <w:t xml:space="preserve">eeping, adding or removing </w:t>
      </w:r>
      <w:r w:rsidR="00C54185" w:rsidRPr="00530D57">
        <w:t xml:space="preserve">certain </w:t>
      </w:r>
      <w:r w:rsidR="00145ED5" w:rsidRPr="00530D57">
        <w:t>characteristics</w:t>
      </w:r>
    </w:p>
    <w:p w14:paraId="286325D5" w14:textId="4B883744" w:rsidR="00145ED5" w:rsidRPr="00530D57" w:rsidRDefault="764B1F1B" w:rsidP="002F5E4F">
      <w:pPr>
        <w:pStyle w:val="Numberedpara"/>
      </w:pPr>
      <w:r w:rsidRPr="00530D57">
        <w:t>Twelve submitters discussed the existing characteristics</w:t>
      </w:r>
      <w:r w:rsidR="6113AB97" w:rsidRPr="00530D57">
        <w:t xml:space="preserve"> mentioned in the Sentencing Act</w:t>
      </w:r>
      <w:r w:rsidRPr="00530D57">
        <w:t xml:space="preserve">. </w:t>
      </w:r>
      <w:r w:rsidR="7F89ABD6" w:rsidRPr="00530D57">
        <w:t>They said that</w:t>
      </w:r>
      <w:r w:rsidRPr="00530D57">
        <w:t xml:space="preserve"> the law should protect disabled people,</w:t>
      </w:r>
      <w:r w:rsidR="00145ED5" w:rsidRPr="00530D57">
        <w:rPr>
          <w:color w:val="262626" w:themeColor="text1" w:themeTint="D9"/>
          <w:sz w:val="18"/>
          <w:szCs w:val="18"/>
          <w:vertAlign w:val="superscript"/>
        </w:rPr>
        <w:footnoteReference w:id="178"/>
      </w:r>
      <w:r w:rsidRPr="00530D57">
        <w:t xml:space="preserve"> race/ethnicity,</w:t>
      </w:r>
      <w:r w:rsidR="00145ED5" w:rsidRPr="00530D57">
        <w:rPr>
          <w:color w:val="262626" w:themeColor="text1" w:themeTint="D9"/>
          <w:sz w:val="18"/>
          <w:szCs w:val="18"/>
          <w:vertAlign w:val="superscript"/>
        </w:rPr>
        <w:footnoteReference w:id="179"/>
      </w:r>
      <w:r w:rsidRPr="00530D57">
        <w:t xml:space="preserve"> colour,</w:t>
      </w:r>
      <w:r w:rsidR="00145ED5" w:rsidRPr="00530D57">
        <w:rPr>
          <w:color w:val="262626" w:themeColor="text1" w:themeTint="D9"/>
          <w:sz w:val="18"/>
          <w:szCs w:val="18"/>
          <w:vertAlign w:val="superscript"/>
        </w:rPr>
        <w:footnoteReference w:id="180"/>
      </w:r>
      <w:r w:rsidRPr="00530D57">
        <w:t xml:space="preserve"> nationality,</w:t>
      </w:r>
      <w:r w:rsidR="00145ED5" w:rsidRPr="00530D57">
        <w:rPr>
          <w:color w:val="262626" w:themeColor="text1" w:themeTint="D9"/>
          <w:sz w:val="18"/>
          <w:szCs w:val="18"/>
          <w:vertAlign w:val="superscript"/>
        </w:rPr>
        <w:footnoteReference w:id="181"/>
      </w:r>
      <w:r w:rsidRPr="00530D57">
        <w:t xml:space="preserve"> religion,</w:t>
      </w:r>
      <w:r w:rsidR="00145ED5" w:rsidRPr="00530D57">
        <w:rPr>
          <w:color w:val="262626" w:themeColor="text1" w:themeTint="D9"/>
          <w:sz w:val="18"/>
          <w:szCs w:val="18"/>
          <w:vertAlign w:val="superscript"/>
        </w:rPr>
        <w:footnoteReference w:id="182"/>
      </w:r>
      <w:r w:rsidRPr="00530D57">
        <w:t xml:space="preserve"> age,</w:t>
      </w:r>
      <w:r w:rsidR="00145ED5" w:rsidRPr="00530D57">
        <w:rPr>
          <w:color w:val="262626" w:themeColor="text1" w:themeTint="D9"/>
          <w:sz w:val="18"/>
          <w:szCs w:val="18"/>
          <w:vertAlign w:val="superscript"/>
        </w:rPr>
        <w:footnoteReference w:id="183"/>
      </w:r>
      <w:r w:rsidRPr="00530D57">
        <w:t xml:space="preserve"> sexual orientation</w:t>
      </w:r>
      <w:r w:rsidR="00145ED5" w:rsidRPr="00530D57">
        <w:rPr>
          <w:color w:val="262626" w:themeColor="text1" w:themeTint="D9"/>
          <w:sz w:val="18"/>
          <w:szCs w:val="18"/>
          <w:vertAlign w:val="superscript"/>
        </w:rPr>
        <w:footnoteReference w:id="184"/>
      </w:r>
      <w:r w:rsidRPr="00530D57">
        <w:t xml:space="preserve"> and gender identity.</w:t>
      </w:r>
      <w:r w:rsidR="00145ED5" w:rsidRPr="00530D57">
        <w:rPr>
          <w:color w:val="262626" w:themeColor="text1" w:themeTint="D9"/>
          <w:sz w:val="18"/>
          <w:szCs w:val="18"/>
          <w:vertAlign w:val="superscript"/>
        </w:rPr>
        <w:footnoteReference w:id="185"/>
      </w:r>
    </w:p>
    <w:p w14:paraId="7EAF35D7" w14:textId="2F64F2D0" w:rsidR="00145ED5" w:rsidRPr="00530D57" w:rsidRDefault="00145ED5" w:rsidP="002F5E4F">
      <w:pPr>
        <w:pStyle w:val="Numberedpara"/>
      </w:pPr>
      <w:r w:rsidRPr="00530D57">
        <w:t xml:space="preserve">Some submitters discussed </w:t>
      </w:r>
      <w:r w:rsidR="00DE2E1D" w:rsidRPr="00530D57">
        <w:t>whether</w:t>
      </w:r>
      <w:r w:rsidR="004516A8" w:rsidRPr="00530D57">
        <w:t xml:space="preserve"> </w:t>
      </w:r>
      <w:r w:rsidRPr="00530D57">
        <w:t>additional characteristics</w:t>
      </w:r>
      <w:r w:rsidR="00DE2E1D" w:rsidRPr="00530D57">
        <w:t xml:space="preserve"> should be protected</w:t>
      </w:r>
      <w:r w:rsidRPr="00530D57">
        <w:t xml:space="preserve">. </w:t>
      </w:r>
      <w:r w:rsidR="002353BB" w:rsidRPr="00530D57">
        <w:t>They said</w:t>
      </w:r>
      <w:r w:rsidRPr="00530D57">
        <w:t xml:space="preserve"> the following characteristics should be protected:</w:t>
      </w:r>
    </w:p>
    <w:p w14:paraId="23298798" w14:textId="56348157" w:rsidR="0067173D" w:rsidRDefault="0067173D" w:rsidP="00896331">
      <w:pPr>
        <w:pStyle w:val="Numberedpara"/>
        <w:numPr>
          <w:ilvl w:val="1"/>
          <w:numId w:val="71"/>
        </w:numPr>
        <w:rPr>
          <w:rFonts w:eastAsia="Times New Roman" w:cs="Times New Roman"/>
          <w:szCs w:val="24"/>
          <w:lang w:eastAsia="en-AU"/>
        </w:rPr>
      </w:pPr>
      <w:r>
        <w:rPr>
          <w:rFonts w:eastAsia="Times New Roman" w:cs="Times New Roman"/>
          <w:szCs w:val="24"/>
          <w:lang w:eastAsia="en-AU"/>
        </w:rPr>
        <w:t>sex;</w:t>
      </w:r>
      <w:r w:rsidRPr="00530D57">
        <w:rPr>
          <w:rFonts w:cs="Times New Roman"/>
          <w:color w:val="262626" w:themeColor="text1" w:themeTint="D9"/>
          <w:sz w:val="18"/>
          <w:szCs w:val="18"/>
          <w:vertAlign w:val="superscript"/>
          <w:lang w:eastAsia="en-AU"/>
        </w:rPr>
        <w:footnoteReference w:id="186"/>
      </w:r>
      <w:r w:rsidRPr="00530D57">
        <w:rPr>
          <w:rFonts w:eastAsia="Times New Roman" w:cs="Times New Roman"/>
          <w:szCs w:val="24"/>
          <w:lang w:eastAsia="en-AU"/>
        </w:rPr>
        <w:tab/>
      </w:r>
    </w:p>
    <w:p w14:paraId="3E3CA48B" w14:textId="1A9AA8BE" w:rsidR="0067173D" w:rsidRPr="0067173D" w:rsidRDefault="0067173D" w:rsidP="00896331">
      <w:pPr>
        <w:pStyle w:val="Numberedpara"/>
        <w:numPr>
          <w:ilvl w:val="1"/>
          <w:numId w:val="71"/>
        </w:numPr>
        <w:rPr>
          <w:rFonts w:eastAsia="Times New Roman" w:cs="Times New Roman"/>
          <w:szCs w:val="24"/>
          <w:lang w:eastAsia="en-AU"/>
        </w:rPr>
      </w:pPr>
      <w:r>
        <w:rPr>
          <w:rFonts w:eastAsia="Times New Roman" w:cs="Times New Roman"/>
          <w:szCs w:val="24"/>
          <w:lang w:eastAsia="en-AU"/>
        </w:rPr>
        <w:t>variations in sex characteristics;</w:t>
      </w:r>
      <w:r w:rsidRPr="00530D57">
        <w:rPr>
          <w:rFonts w:cs="Times New Roman"/>
          <w:color w:val="262626" w:themeColor="text1" w:themeTint="D9"/>
          <w:sz w:val="18"/>
          <w:szCs w:val="18"/>
          <w:vertAlign w:val="superscript"/>
          <w:lang w:eastAsia="en-AU"/>
        </w:rPr>
        <w:footnoteReference w:id="187"/>
      </w:r>
    </w:p>
    <w:p w14:paraId="51D8ED2F" w14:textId="146DA1C2" w:rsidR="00FB51F8" w:rsidRPr="00FB51F8" w:rsidRDefault="00FB51F8" w:rsidP="00896331">
      <w:pPr>
        <w:pStyle w:val="Numberedpara"/>
        <w:numPr>
          <w:ilvl w:val="1"/>
          <w:numId w:val="71"/>
        </w:numPr>
        <w:rPr>
          <w:rFonts w:eastAsia="Times New Roman" w:cs="Times New Roman"/>
          <w:szCs w:val="24"/>
          <w:lang w:eastAsia="en-AU"/>
        </w:rPr>
      </w:pPr>
      <w:r w:rsidRPr="001D5A00">
        <w:t>immigration</w:t>
      </w:r>
      <w:r w:rsidRPr="00530D57">
        <w:rPr>
          <w:rFonts w:eastAsia="Times New Roman" w:cs="Times New Roman"/>
          <w:lang w:eastAsia="en-AU"/>
        </w:rPr>
        <w:t xml:space="preserve"> status, and membership of migrant and refugee communities</w:t>
      </w:r>
      <w:r>
        <w:rPr>
          <w:rFonts w:eastAsia="Times New Roman" w:cs="Times New Roman"/>
          <w:lang w:eastAsia="en-AU"/>
        </w:rPr>
        <w:t>;</w:t>
      </w:r>
      <w:r w:rsidRPr="00530D57">
        <w:rPr>
          <w:rFonts w:cs="Times New Roman"/>
          <w:color w:val="262626" w:themeColor="text1" w:themeTint="D9"/>
          <w:sz w:val="18"/>
          <w:szCs w:val="18"/>
          <w:vertAlign w:val="superscript"/>
          <w:lang w:eastAsia="en-AU"/>
        </w:rPr>
        <w:footnoteReference w:id="188"/>
      </w:r>
    </w:p>
    <w:p w14:paraId="471F85F6" w14:textId="69551877" w:rsidR="00FB51F8" w:rsidRPr="00FB51F8" w:rsidRDefault="00FB51F8"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socioeconomic status</w:t>
      </w:r>
      <w:r>
        <w:rPr>
          <w:rFonts w:eastAsia="Times New Roman" w:cs="Times New Roman"/>
          <w:lang w:eastAsia="en-AU"/>
        </w:rPr>
        <w:t>;</w:t>
      </w:r>
      <w:r w:rsidRPr="00530D57">
        <w:rPr>
          <w:rFonts w:cs="Times New Roman"/>
          <w:color w:val="262626" w:themeColor="text1" w:themeTint="D9"/>
          <w:sz w:val="18"/>
          <w:szCs w:val="18"/>
          <w:vertAlign w:val="superscript"/>
          <w:lang w:eastAsia="en-AU"/>
        </w:rPr>
        <w:footnoteReference w:id="189"/>
      </w:r>
    </w:p>
    <w:p w14:paraId="22B174AA" w14:textId="35888812" w:rsidR="00145ED5" w:rsidRPr="00530D57" w:rsidRDefault="764B1F1B" w:rsidP="00896331">
      <w:pPr>
        <w:pStyle w:val="Numberedpara"/>
        <w:numPr>
          <w:ilvl w:val="1"/>
          <w:numId w:val="71"/>
        </w:numPr>
        <w:rPr>
          <w:rFonts w:eastAsia="Times New Roman" w:cs="Times New Roman"/>
          <w:szCs w:val="24"/>
          <w:lang w:eastAsia="en-AU"/>
        </w:rPr>
      </w:pPr>
      <w:r w:rsidRPr="001D5A00">
        <w:t>financial</w:t>
      </w:r>
      <w:r w:rsidRPr="00530D57">
        <w:rPr>
          <w:rFonts w:eastAsia="Times New Roman" w:cs="Times New Roman"/>
          <w:lang w:eastAsia="en-AU"/>
        </w:rPr>
        <w:t xml:space="preserve"> status;</w:t>
      </w:r>
      <w:r w:rsidR="00145ED5" w:rsidRPr="00530D57">
        <w:rPr>
          <w:rFonts w:cs="Times New Roman"/>
          <w:color w:val="262626" w:themeColor="text1" w:themeTint="D9"/>
          <w:sz w:val="18"/>
          <w:szCs w:val="18"/>
          <w:vertAlign w:val="superscript"/>
          <w:lang w:eastAsia="en-AU"/>
        </w:rPr>
        <w:footnoteReference w:id="190"/>
      </w:r>
    </w:p>
    <w:p w14:paraId="5150CA42" w14:textId="2B49534B" w:rsidR="00145ED5" w:rsidRPr="00530D57" w:rsidRDefault="764B1F1B" w:rsidP="00896331">
      <w:pPr>
        <w:pStyle w:val="Numberedpara"/>
        <w:numPr>
          <w:ilvl w:val="1"/>
          <w:numId w:val="71"/>
        </w:numPr>
        <w:rPr>
          <w:rFonts w:eastAsia="Times New Roman" w:cs="Times New Roman"/>
          <w:szCs w:val="24"/>
          <w:lang w:eastAsia="en-AU"/>
        </w:rPr>
      </w:pPr>
      <w:r w:rsidRPr="001D5A00">
        <w:t>ethical</w:t>
      </w:r>
      <w:r w:rsidRPr="00530D57">
        <w:rPr>
          <w:rFonts w:eastAsia="Times New Roman" w:cs="Times New Roman"/>
          <w:lang w:eastAsia="en-AU"/>
        </w:rPr>
        <w:t xml:space="preserve"> belief;</w:t>
      </w:r>
      <w:r w:rsidR="00145ED5" w:rsidRPr="00530D57">
        <w:rPr>
          <w:rFonts w:cs="Times New Roman"/>
          <w:color w:val="262626" w:themeColor="text1" w:themeTint="D9"/>
          <w:sz w:val="18"/>
          <w:szCs w:val="18"/>
          <w:vertAlign w:val="superscript"/>
          <w:lang w:eastAsia="en-AU"/>
        </w:rPr>
        <w:footnoteReference w:id="191"/>
      </w:r>
    </w:p>
    <w:p w14:paraId="236C1421" w14:textId="74311537" w:rsidR="00145ED5" w:rsidRPr="00530D57" w:rsidRDefault="764B1F1B" w:rsidP="00896331">
      <w:pPr>
        <w:pStyle w:val="Numberedpara"/>
        <w:numPr>
          <w:ilvl w:val="1"/>
          <w:numId w:val="71"/>
        </w:numPr>
        <w:rPr>
          <w:rFonts w:eastAsia="Times New Roman" w:cs="Times New Roman"/>
          <w:szCs w:val="24"/>
          <w:lang w:eastAsia="en-AU"/>
        </w:rPr>
      </w:pPr>
      <w:r w:rsidRPr="001D5A00">
        <w:t>pro</w:t>
      </w:r>
      <w:r w:rsidRPr="00530D57">
        <w:rPr>
          <w:rFonts w:eastAsia="Times New Roman" w:cs="Times New Roman"/>
          <w:lang w:eastAsia="en-AU"/>
        </w:rPr>
        <w:t>-</w:t>
      </w:r>
      <w:r w:rsidR="74CF20AB" w:rsidRPr="00530D57">
        <w:rPr>
          <w:rFonts w:eastAsia="Times New Roman" w:cs="Times New Roman"/>
          <w:lang w:eastAsia="en-AU"/>
        </w:rPr>
        <w:t>Palestinian</w:t>
      </w:r>
      <w:r w:rsidRPr="00530D57">
        <w:rPr>
          <w:rFonts w:eastAsia="Times New Roman" w:cs="Times New Roman"/>
          <w:lang w:eastAsia="en-AU"/>
        </w:rPr>
        <w:t xml:space="preserve"> and anti-Zionist views;</w:t>
      </w:r>
      <w:r w:rsidR="00145ED5" w:rsidRPr="00530D57">
        <w:rPr>
          <w:rFonts w:cs="Times New Roman"/>
          <w:color w:val="262626" w:themeColor="text1" w:themeTint="D9"/>
          <w:sz w:val="18"/>
          <w:szCs w:val="18"/>
          <w:vertAlign w:val="superscript"/>
          <w:lang w:eastAsia="en-AU"/>
        </w:rPr>
        <w:footnoteReference w:id="192"/>
      </w:r>
    </w:p>
    <w:p w14:paraId="044CFAC7" w14:textId="77777777" w:rsidR="00145ED5" w:rsidRPr="00530D57" w:rsidRDefault="764B1F1B"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lastRenderedPageBreak/>
        <w:t>people who lack an enduring characteristic (for example, in Europe most mass terrorism events involve strangers who are not necessarily protected).</w:t>
      </w:r>
      <w:r w:rsidR="00145ED5" w:rsidRPr="00530D57">
        <w:rPr>
          <w:rFonts w:cs="Times New Roman"/>
          <w:color w:val="262626" w:themeColor="text1" w:themeTint="D9"/>
          <w:sz w:val="18"/>
          <w:szCs w:val="18"/>
          <w:vertAlign w:val="superscript"/>
          <w:lang w:eastAsia="en-AU"/>
        </w:rPr>
        <w:footnoteReference w:id="193"/>
      </w:r>
    </w:p>
    <w:p w14:paraId="183D4E08" w14:textId="59790A31" w:rsidR="00145ED5" w:rsidRPr="00530D57" w:rsidRDefault="000C6A43" w:rsidP="002F5E4F">
      <w:pPr>
        <w:pStyle w:val="Numberedpara"/>
      </w:pPr>
      <w:r w:rsidRPr="00530D57">
        <w:t xml:space="preserve">Submitters also said </w:t>
      </w:r>
      <w:r w:rsidR="002E5EE7" w:rsidRPr="00530D57">
        <w:t xml:space="preserve">certain </w:t>
      </w:r>
      <w:r w:rsidR="00145ED5" w:rsidRPr="00530D57">
        <w:t>characteristics should not be protected:</w:t>
      </w:r>
    </w:p>
    <w:p w14:paraId="02E7430E" w14:textId="77777777" w:rsidR="00145ED5" w:rsidRPr="00530D57" w:rsidRDefault="764B1F1B" w:rsidP="00896331">
      <w:pPr>
        <w:pStyle w:val="Numberedpara"/>
        <w:numPr>
          <w:ilvl w:val="1"/>
          <w:numId w:val="71"/>
        </w:numPr>
        <w:rPr>
          <w:rFonts w:eastAsia="Times New Roman" w:cs="Times New Roman"/>
          <w:szCs w:val="24"/>
          <w:lang w:eastAsia="en-AU"/>
        </w:rPr>
      </w:pPr>
      <w:r w:rsidRPr="001D5A00">
        <w:t>sexuality</w:t>
      </w:r>
      <w:r w:rsidRPr="00530D57">
        <w:rPr>
          <w:rFonts w:eastAsia="Times New Roman" w:cs="Times New Roman"/>
          <w:lang w:eastAsia="en-AU"/>
        </w:rPr>
        <w:t>;</w:t>
      </w:r>
      <w:r w:rsidR="00145ED5" w:rsidRPr="00530D57">
        <w:rPr>
          <w:rFonts w:cs="Times New Roman"/>
          <w:color w:val="262626" w:themeColor="text1" w:themeTint="D9"/>
          <w:sz w:val="18"/>
          <w:szCs w:val="18"/>
          <w:vertAlign w:val="superscript"/>
          <w:lang w:eastAsia="en-AU"/>
        </w:rPr>
        <w:footnoteReference w:id="194"/>
      </w:r>
      <w:r w:rsidRPr="00530D57">
        <w:rPr>
          <w:rFonts w:eastAsia="Times New Roman" w:cs="Times New Roman"/>
          <w:lang w:eastAsia="en-AU"/>
        </w:rPr>
        <w:t xml:space="preserve"> </w:t>
      </w:r>
    </w:p>
    <w:p w14:paraId="7D0421C3" w14:textId="77777777" w:rsidR="00145ED5" w:rsidRPr="00530D57" w:rsidRDefault="764B1F1B" w:rsidP="00896331">
      <w:pPr>
        <w:pStyle w:val="Numberedpara"/>
        <w:numPr>
          <w:ilvl w:val="1"/>
          <w:numId w:val="71"/>
        </w:numPr>
        <w:rPr>
          <w:rFonts w:eastAsia="Times New Roman" w:cs="Times New Roman"/>
          <w:szCs w:val="24"/>
          <w:lang w:eastAsia="en-AU"/>
        </w:rPr>
      </w:pPr>
      <w:r w:rsidRPr="001D5A00">
        <w:t>gender</w:t>
      </w:r>
      <w:r w:rsidRPr="00530D57">
        <w:rPr>
          <w:rFonts w:eastAsia="Times New Roman" w:cs="Times New Roman"/>
          <w:lang w:eastAsia="en-AU"/>
        </w:rPr>
        <w:t xml:space="preserve"> identity;</w:t>
      </w:r>
      <w:r w:rsidR="00145ED5" w:rsidRPr="00530D57">
        <w:rPr>
          <w:rFonts w:cs="Times New Roman"/>
          <w:color w:val="262626" w:themeColor="text1" w:themeTint="D9"/>
          <w:sz w:val="18"/>
          <w:szCs w:val="18"/>
          <w:vertAlign w:val="superscript"/>
          <w:lang w:eastAsia="en-AU"/>
        </w:rPr>
        <w:footnoteReference w:id="195"/>
      </w:r>
    </w:p>
    <w:p w14:paraId="22902018" w14:textId="68A368D2" w:rsidR="00145ED5" w:rsidRPr="00530D57" w:rsidRDefault="764B1F1B" w:rsidP="00896331">
      <w:pPr>
        <w:pStyle w:val="Numberedpara"/>
        <w:numPr>
          <w:ilvl w:val="1"/>
          <w:numId w:val="71"/>
        </w:numPr>
        <w:rPr>
          <w:rFonts w:eastAsia="Times New Roman" w:cs="Times New Roman"/>
          <w:szCs w:val="24"/>
          <w:lang w:eastAsia="en-AU"/>
        </w:rPr>
      </w:pPr>
      <w:r w:rsidRPr="001D5A00">
        <w:t>certain</w:t>
      </w:r>
      <w:r w:rsidRPr="00530D57">
        <w:rPr>
          <w:rFonts w:eastAsia="Times New Roman" w:cs="Times New Roman"/>
          <w:lang w:eastAsia="en-AU"/>
        </w:rPr>
        <w:t xml:space="preserve"> religions</w:t>
      </w:r>
      <w:r w:rsidR="1B09CD9B" w:rsidRPr="00530D57">
        <w:rPr>
          <w:rFonts w:eastAsia="Times New Roman" w:cs="Times New Roman"/>
          <w:lang w:eastAsia="en-AU"/>
        </w:rPr>
        <w:t xml:space="preserve"> (</w:t>
      </w:r>
      <w:r w:rsidRPr="00530D57">
        <w:rPr>
          <w:rFonts w:eastAsia="Times New Roman" w:cs="Times New Roman"/>
          <w:lang w:eastAsia="en-AU"/>
        </w:rPr>
        <w:t>Islam</w:t>
      </w:r>
      <w:r w:rsidR="1B09CD9B" w:rsidRPr="00530D57">
        <w:rPr>
          <w:rFonts w:eastAsia="Times New Roman" w:cs="Times New Roman"/>
          <w:lang w:eastAsia="en-AU"/>
        </w:rPr>
        <w:t>)</w:t>
      </w:r>
      <w:r w:rsidRPr="00530D57">
        <w:rPr>
          <w:rFonts w:eastAsia="Times New Roman" w:cs="Times New Roman"/>
          <w:lang w:eastAsia="en-AU"/>
        </w:rPr>
        <w:t>;</w:t>
      </w:r>
      <w:r w:rsidR="00145ED5" w:rsidRPr="00530D57">
        <w:rPr>
          <w:rFonts w:cs="Times New Roman"/>
          <w:color w:val="262626" w:themeColor="text1" w:themeTint="D9"/>
          <w:sz w:val="18"/>
          <w:szCs w:val="18"/>
          <w:vertAlign w:val="superscript"/>
          <w:lang w:eastAsia="en-AU"/>
        </w:rPr>
        <w:footnoteReference w:id="196"/>
      </w:r>
    </w:p>
    <w:p w14:paraId="0E2BF2A4" w14:textId="77777777" w:rsidR="00145ED5" w:rsidRPr="00530D57" w:rsidRDefault="764B1F1B" w:rsidP="00896331">
      <w:pPr>
        <w:pStyle w:val="Numberedpara"/>
        <w:numPr>
          <w:ilvl w:val="1"/>
          <w:numId w:val="71"/>
        </w:numPr>
        <w:rPr>
          <w:rFonts w:eastAsia="Times New Roman" w:cs="Times New Roman"/>
          <w:szCs w:val="24"/>
          <w:lang w:eastAsia="en-AU"/>
        </w:rPr>
      </w:pPr>
      <w:r w:rsidRPr="001D5A00">
        <w:t>family</w:t>
      </w:r>
      <w:r w:rsidRPr="00530D57">
        <w:rPr>
          <w:rFonts w:eastAsia="Times New Roman" w:cs="Times New Roman"/>
          <w:lang w:eastAsia="en-AU"/>
        </w:rPr>
        <w:t xml:space="preserve"> status;</w:t>
      </w:r>
      <w:r w:rsidR="00145ED5" w:rsidRPr="00530D57">
        <w:rPr>
          <w:rFonts w:cs="Times New Roman"/>
          <w:color w:val="262626" w:themeColor="text1" w:themeTint="D9"/>
          <w:sz w:val="18"/>
          <w:szCs w:val="18"/>
          <w:vertAlign w:val="superscript"/>
          <w:lang w:eastAsia="en-AU"/>
        </w:rPr>
        <w:footnoteReference w:id="197"/>
      </w:r>
    </w:p>
    <w:p w14:paraId="470840B7" w14:textId="77777777" w:rsidR="00145ED5" w:rsidRPr="00530D57" w:rsidRDefault="764B1F1B" w:rsidP="00896331">
      <w:pPr>
        <w:pStyle w:val="Numberedpara"/>
        <w:numPr>
          <w:ilvl w:val="1"/>
          <w:numId w:val="71"/>
        </w:numPr>
        <w:rPr>
          <w:rFonts w:eastAsia="Times New Roman" w:cs="Times New Roman"/>
          <w:szCs w:val="24"/>
          <w:lang w:eastAsia="en-AU"/>
        </w:rPr>
      </w:pPr>
      <w:r w:rsidRPr="001D5A00">
        <w:t>age</w:t>
      </w:r>
      <w:r w:rsidRPr="00530D57">
        <w:rPr>
          <w:rFonts w:eastAsia="Times New Roman" w:cs="Times New Roman"/>
          <w:lang w:eastAsia="en-AU"/>
        </w:rPr>
        <w:t>; and</w:t>
      </w:r>
      <w:r w:rsidR="00145ED5" w:rsidRPr="00530D57">
        <w:rPr>
          <w:rFonts w:cs="Times New Roman"/>
          <w:color w:val="262626" w:themeColor="text1" w:themeTint="D9"/>
          <w:sz w:val="18"/>
          <w:szCs w:val="18"/>
          <w:vertAlign w:val="superscript"/>
          <w:lang w:eastAsia="en-AU"/>
        </w:rPr>
        <w:footnoteReference w:id="198"/>
      </w:r>
      <w:r w:rsidRPr="00530D57">
        <w:rPr>
          <w:rFonts w:eastAsia="Times New Roman" w:cs="Times New Roman"/>
          <w:lang w:eastAsia="en-AU"/>
        </w:rPr>
        <w:t xml:space="preserve"> </w:t>
      </w:r>
    </w:p>
    <w:p w14:paraId="22A77CBB" w14:textId="110AAFF1" w:rsidR="00145ED5" w:rsidRPr="00530D57" w:rsidRDefault="764B1F1B" w:rsidP="00896331">
      <w:pPr>
        <w:pStyle w:val="Numberedpara"/>
        <w:numPr>
          <w:ilvl w:val="1"/>
          <w:numId w:val="71"/>
        </w:numPr>
        <w:rPr>
          <w:rFonts w:eastAsia="Times New Roman" w:cs="Times New Roman"/>
          <w:szCs w:val="24"/>
          <w:lang w:eastAsia="en-AU"/>
        </w:rPr>
      </w:pPr>
      <w:r w:rsidRPr="001D5A00">
        <w:t>political</w:t>
      </w:r>
      <w:r w:rsidRPr="00530D57">
        <w:rPr>
          <w:rFonts w:eastAsia="Times New Roman" w:cs="Times New Roman"/>
          <w:lang w:eastAsia="en-AU"/>
        </w:rPr>
        <w:t xml:space="preserve"> views</w:t>
      </w:r>
      <w:r w:rsidR="7FA28A8D" w:rsidRPr="00530D57">
        <w:rPr>
          <w:rFonts w:eastAsia="Times New Roman" w:cs="Times New Roman"/>
          <w:lang w:eastAsia="en-AU"/>
        </w:rPr>
        <w:t>.</w:t>
      </w:r>
      <w:r w:rsidR="00145ED5" w:rsidRPr="00530D57">
        <w:rPr>
          <w:rFonts w:cs="Times New Roman"/>
          <w:color w:val="262626" w:themeColor="text1" w:themeTint="D9"/>
          <w:sz w:val="18"/>
          <w:szCs w:val="18"/>
          <w:vertAlign w:val="superscript"/>
          <w:lang w:eastAsia="en-AU"/>
        </w:rPr>
        <w:footnoteReference w:id="199"/>
      </w:r>
    </w:p>
    <w:p w14:paraId="0E68DA05" w14:textId="29FDDD92" w:rsidR="00145ED5" w:rsidRPr="00530D57" w:rsidRDefault="764B1F1B" w:rsidP="002F5E4F">
      <w:pPr>
        <w:pStyle w:val="Numberedpara"/>
      </w:pPr>
      <w:r w:rsidRPr="00530D57">
        <w:t>One submitter did not support any protected characteristics on the basis everyone deserves equal treatment under the law.</w:t>
      </w:r>
      <w:r w:rsidR="00145ED5" w:rsidRPr="00530D57">
        <w:rPr>
          <w:color w:val="262626" w:themeColor="text1" w:themeTint="D9"/>
          <w:sz w:val="18"/>
          <w:szCs w:val="18"/>
          <w:vertAlign w:val="superscript"/>
        </w:rPr>
        <w:footnoteReference w:id="200"/>
      </w:r>
      <w:r w:rsidRPr="00530D57">
        <w:t xml:space="preserve"> </w:t>
      </w:r>
    </w:p>
    <w:p w14:paraId="67809B40" w14:textId="7BCAE580" w:rsidR="00145ED5" w:rsidRPr="00530D57" w:rsidRDefault="006A1629" w:rsidP="006C1563">
      <w:pPr>
        <w:pStyle w:val="Heading3"/>
      </w:pPr>
      <w:r w:rsidRPr="00530D57">
        <w:t xml:space="preserve">Views about </w:t>
      </w:r>
      <w:r w:rsidR="00025AFA" w:rsidRPr="00530D57">
        <w:t>characteristics of s</w:t>
      </w:r>
      <w:r w:rsidR="00145ED5" w:rsidRPr="00530D57">
        <w:t>ex, age and disability</w:t>
      </w:r>
    </w:p>
    <w:p w14:paraId="4BD0D13F" w14:textId="2DAC975A" w:rsidR="00145ED5" w:rsidRPr="00530D57" w:rsidRDefault="00145ED5" w:rsidP="002F5E4F">
      <w:pPr>
        <w:pStyle w:val="Numberedpara"/>
      </w:pPr>
      <w:r w:rsidRPr="00530D57">
        <w:t>S</w:t>
      </w:r>
      <w:r w:rsidR="00283B05" w:rsidRPr="00530D57">
        <w:t>everal s</w:t>
      </w:r>
      <w:r w:rsidRPr="00530D57">
        <w:t>ubmitters discussed</w:t>
      </w:r>
      <w:r w:rsidR="007C1C10" w:rsidRPr="00530D57">
        <w:t xml:space="preserve"> the </w:t>
      </w:r>
      <w:r w:rsidR="005D6B08" w:rsidRPr="00530D57">
        <w:t>characteristics</w:t>
      </w:r>
      <w:r w:rsidRPr="00530D57">
        <w:t xml:space="preserve"> </w:t>
      </w:r>
      <w:r w:rsidR="00F24B0F">
        <w:t xml:space="preserve">of </w:t>
      </w:r>
      <w:r w:rsidRPr="00530D57">
        <w:t xml:space="preserve">sex, age and disability in more detail. </w:t>
      </w:r>
    </w:p>
    <w:p w14:paraId="24F8466A" w14:textId="107B3BBE" w:rsidR="00145ED5" w:rsidRPr="00530D57" w:rsidRDefault="00C224D9" w:rsidP="002F5E4F">
      <w:pPr>
        <w:pStyle w:val="Numberedpara"/>
      </w:pPr>
      <w:r>
        <w:t>S</w:t>
      </w:r>
      <w:r w:rsidR="36C04333" w:rsidRPr="00530D57">
        <w:t>even</w:t>
      </w:r>
      <w:r w:rsidR="18407B41" w:rsidRPr="00530D57">
        <w:t xml:space="preserve"> </w:t>
      </w:r>
      <w:r w:rsidR="33C8000A" w:rsidRPr="00530D57">
        <w:t xml:space="preserve">submitters </w:t>
      </w:r>
      <w:r w:rsidR="44870267" w:rsidRPr="00530D57">
        <w:t>supported including sex as a protected characteristic.</w:t>
      </w:r>
      <w:r w:rsidR="00CD330E" w:rsidRPr="00530D57">
        <w:rPr>
          <w:rStyle w:val="FootnoteReference"/>
        </w:rPr>
        <w:footnoteReference w:id="201"/>
      </w:r>
      <w:r w:rsidR="44870267" w:rsidRPr="00530D57">
        <w:t xml:space="preserve"> Reasons for that view include</w:t>
      </w:r>
      <w:r w:rsidR="4CE0E235" w:rsidRPr="00530D57">
        <w:t>d</w:t>
      </w:r>
      <w:r w:rsidR="764B1F1B" w:rsidRPr="00530D57">
        <w:t>:</w:t>
      </w:r>
    </w:p>
    <w:p w14:paraId="63B212E4" w14:textId="6681FBA5" w:rsidR="00145ED5" w:rsidRPr="00530D57" w:rsidRDefault="33C8000A"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I</w:t>
      </w:r>
      <w:r w:rsidR="282F2855" w:rsidRPr="00530D57">
        <w:rPr>
          <w:rFonts w:eastAsia="Times New Roman" w:cs="Times New Roman"/>
          <w:lang w:eastAsia="en-AU"/>
        </w:rPr>
        <w:t>t sends the wrong message to exclude</w:t>
      </w:r>
      <w:r w:rsidR="4B67825F" w:rsidRPr="00530D57">
        <w:rPr>
          <w:rFonts w:eastAsia="Times New Roman" w:cs="Times New Roman"/>
          <w:lang w:eastAsia="en-AU"/>
        </w:rPr>
        <w:t xml:space="preserve"> sex</w:t>
      </w:r>
      <w:r w:rsidR="764B1F1B" w:rsidRPr="00530D57">
        <w:rPr>
          <w:rFonts w:eastAsia="Times New Roman" w:cs="Times New Roman"/>
          <w:lang w:eastAsia="en-AU"/>
        </w:rPr>
        <w:t xml:space="preserve"> as a protected characteristic</w:t>
      </w:r>
      <w:r w:rsidR="2810FCAB" w:rsidRPr="00530D57">
        <w:rPr>
          <w:rFonts w:eastAsia="Times New Roman" w:cs="Times New Roman"/>
          <w:lang w:eastAsia="en-AU"/>
        </w:rPr>
        <w:t xml:space="preserve"> and it can be overlooked </w:t>
      </w:r>
      <w:r w:rsidR="602BA1C1" w:rsidRPr="00530D57">
        <w:rPr>
          <w:rFonts w:eastAsia="Times New Roman" w:cs="Times New Roman"/>
          <w:lang w:eastAsia="en-AU"/>
        </w:rPr>
        <w:t>by courts b</w:t>
      </w:r>
      <w:r w:rsidR="764B1F1B" w:rsidRPr="00530D57">
        <w:rPr>
          <w:rFonts w:eastAsia="Times New Roman" w:cs="Times New Roman"/>
          <w:lang w:eastAsia="en-AU"/>
        </w:rPr>
        <w:t xml:space="preserve">ecause </w:t>
      </w:r>
      <w:r w:rsidR="602BA1C1" w:rsidRPr="00530D57">
        <w:rPr>
          <w:rFonts w:eastAsia="Times New Roman" w:cs="Times New Roman"/>
          <w:lang w:eastAsia="en-AU"/>
        </w:rPr>
        <w:t>it</w:t>
      </w:r>
      <w:r w:rsidR="764B1F1B" w:rsidRPr="00530D57">
        <w:rPr>
          <w:rFonts w:eastAsia="Times New Roman" w:cs="Times New Roman"/>
          <w:lang w:eastAsia="en-AU"/>
        </w:rPr>
        <w:t xml:space="preserve"> is not listed.</w:t>
      </w:r>
      <w:r w:rsidR="00145ED5" w:rsidRPr="00530D57">
        <w:rPr>
          <w:rFonts w:cs="Times New Roman"/>
          <w:color w:val="262626" w:themeColor="text1" w:themeTint="D9"/>
          <w:sz w:val="18"/>
          <w:szCs w:val="18"/>
          <w:vertAlign w:val="superscript"/>
          <w:lang w:eastAsia="en-AU"/>
        </w:rPr>
        <w:footnoteReference w:id="202"/>
      </w:r>
    </w:p>
    <w:p w14:paraId="418BB27C" w14:textId="48C3B041" w:rsidR="00145ED5" w:rsidRPr="00530D57" w:rsidRDefault="764B1F1B"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 xml:space="preserve">A </w:t>
      </w:r>
      <w:r w:rsidR="05B47F7C" w:rsidRPr="00530D57">
        <w:rPr>
          <w:rFonts w:eastAsia="Times New Roman" w:cs="Times New Roman"/>
          <w:lang w:eastAsia="en-AU"/>
        </w:rPr>
        <w:t>significant</w:t>
      </w:r>
      <w:r w:rsidRPr="00530D57">
        <w:rPr>
          <w:rFonts w:eastAsia="Times New Roman" w:cs="Times New Roman"/>
          <w:lang w:eastAsia="en-AU"/>
        </w:rPr>
        <w:t xml:space="preserve"> proportion of crimes are committed by men against women and </w:t>
      </w:r>
      <w:r w:rsidR="020095A0" w:rsidRPr="00530D57">
        <w:rPr>
          <w:rFonts w:eastAsia="Times New Roman" w:cs="Times New Roman"/>
          <w:lang w:eastAsia="en-AU"/>
        </w:rPr>
        <w:t>it is common that</w:t>
      </w:r>
      <w:r w:rsidR="28DA1870" w:rsidRPr="00530D57">
        <w:rPr>
          <w:rFonts w:eastAsia="Times New Roman" w:cs="Times New Roman"/>
          <w:lang w:eastAsia="en-AU"/>
        </w:rPr>
        <w:t xml:space="preserve"> they are</w:t>
      </w:r>
      <w:r w:rsidR="020095A0" w:rsidRPr="00530D57">
        <w:rPr>
          <w:rFonts w:eastAsia="Times New Roman" w:cs="Times New Roman"/>
          <w:lang w:eastAsia="en-AU"/>
        </w:rPr>
        <w:t xml:space="preserve"> </w:t>
      </w:r>
      <w:r w:rsidRPr="00530D57">
        <w:rPr>
          <w:rFonts w:eastAsia="Times New Roman" w:cs="Times New Roman"/>
          <w:lang w:eastAsia="en-AU"/>
        </w:rPr>
        <w:t>motivated directly or indirectly by misogyny.</w:t>
      </w:r>
      <w:r w:rsidR="00145ED5" w:rsidRPr="00530D57">
        <w:rPr>
          <w:rFonts w:cs="Times New Roman"/>
          <w:color w:val="262626" w:themeColor="text1" w:themeTint="D9"/>
          <w:sz w:val="18"/>
          <w:szCs w:val="18"/>
          <w:vertAlign w:val="superscript"/>
          <w:lang w:eastAsia="en-AU"/>
        </w:rPr>
        <w:footnoteReference w:id="203"/>
      </w:r>
    </w:p>
    <w:p w14:paraId="4CB5EDC8" w14:textId="77777777" w:rsidR="006E7F07" w:rsidRPr="00530D57" w:rsidRDefault="764B1F1B"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 xml:space="preserve">Misogyny is an issue in </w:t>
      </w:r>
      <w:r w:rsidR="439E0924" w:rsidRPr="00530D57">
        <w:rPr>
          <w:rFonts w:eastAsia="Times New Roman" w:cs="Times New Roman"/>
          <w:lang w:eastAsia="en-AU"/>
        </w:rPr>
        <w:t xml:space="preserve">Aotearoa </w:t>
      </w:r>
      <w:r w:rsidRPr="00530D57">
        <w:rPr>
          <w:rFonts w:eastAsia="Times New Roman" w:cs="Times New Roman"/>
          <w:lang w:eastAsia="en-AU"/>
        </w:rPr>
        <w:t>New Zealand</w:t>
      </w:r>
      <w:r w:rsidR="00145ED5" w:rsidRPr="00530D57">
        <w:rPr>
          <w:rFonts w:cs="Times New Roman"/>
          <w:color w:val="262626" w:themeColor="text1" w:themeTint="D9"/>
          <w:sz w:val="18"/>
          <w:szCs w:val="18"/>
          <w:vertAlign w:val="superscript"/>
          <w:lang w:eastAsia="en-AU"/>
        </w:rPr>
        <w:footnoteReference w:id="204"/>
      </w:r>
      <w:r w:rsidRPr="00530D57">
        <w:rPr>
          <w:rFonts w:eastAsia="Times New Roman" w:cs="Times New Roman"/>
          <w:lang w:eastAsia="en-AU"/>
        </w:rPr>
        <w:t xml:space="preserve"> and should be properly denounced.</w:t>
      </w:r>
      <w:r w:rsidR="00145ED5" w:rsidRPr="00530D57">
        <w:rPr>
          <w:rFonts w:cs="Times New Roman"/>
          <w:color w:val="262626" w:themeColor="text1" w:themeTint="D9"/>
          <w:sz w:val="18"/>
          <w:szCs w:val="18"/>
          <w:vertAlign w:val="superscript"/>
          <w:lang w:eastAsia="en-AU"/>
        </w:rPr>
        <w:footnoteReference w:id="205"/>
      </w:r>
      <w:r w:rsidRPr="00530D57">
        <w:rPr>
          <w:rFonts w:eastAsia="Times New Roman" w:cs="Times New Roman"/>
          <w:lang w:eastAsia="en-AU"/>
        </w:rPr>
        <w:t xml:space="preserve"> </w:t>
      </w:r>
    </w:p>
    <w:p w14:paraId="274B09FA" w14:textId="0E9D89A3" w:rsidR="00145ED5" w:rsidRPr="00530D57" w:rsidRDefault="764B1F1B"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Research shows protection from “gender-based violence” is required.</w:t>
      </w:r>
      <w:r w:rsidR="00145ED5" w:rsidRPr="00530D57">
        <w:rPr>
          <w:rFonts w:cs="Times New Roman"/>
          <w:color w:val="262626" w:themeColor="text1" w:themeTint="D9"/>
          <w:sz w:val="18"/>
          <w:szCs w:val="18"/>
          <w:vertAlign w:val="superscript"/>
          <w:lang w:eastAsia="en-AU"/>
        </w:rPr>
        <w:footnoteReference w:id="206"/>
      </w:r>
      <w:r w:rsidRPr="00530D57">
        <w:rPr>
          <w:rFonts w:eastAsia="Times New Roman" w:cs="Times New Roman"/>
          <w:lang w:eastAsia="en-AU"/>
        </w:rPr>
        <w:t xml:space="preserve"> Sex</w:t>
      </w:r>
      <w:r w:rsidR="439E0924" w:rsidRPr="00530D57">
        <w:rPr>
          <w:rFonts w:eastAsia="Times New Roman" w:cs="Times New Roman"/>
          <w:lang w:eastAsia="en-AU"/>
        </w:rPr>
        <w:t>-</w:t>
      </w:r>
      <w:r w:rsidRPr="00530D57">
        <w:rPr>
          <w:rFonts w:eastAsia="Times New Roman" w:cs="Times New Roman"/>
          <w:lang w:eastAsia="en-AU"/>
        </w:rPr>
        <w:t>based violence is not taken seriously enough.</w:t>
      </w:r>
      <w:r w:rsidR="00145ED5" w:rsidRPr="00530D57">
        <w:rPr>
          <w:rFonts w:cs="Times New Roman"/>
          <w:color w:val="262626" w:themeColor="text1" w:themeTint="D9"/>
          <w:sz w:val="18"/>
          <w:szCs w:val="18"/>
          <w:vertAlign w:val="superscript"/>
          <w:lang w:eastAsia="en-AU"/>
        </w:rPr>
        <w:footnoteReference w:id="207"/>
      </w:r>
    </w:p>
    <w:p w14:paraId="04CA87E0" w14:textId="55EB7E26" w:rsidR="00145ED5" w:rsidRPr="00530D57" w:rsidRDefault="764B1F1B" w:rsidP="00896331">
      <w:pPr>
        <w:pStyle w:val="Numberedpara"/>
        <w:numPr>
          <w:ilvl w:val="1"/>
          <w:numId w:val="71"/>
        </w:numPr>
        <w:rPr>
          <w:rFonts w:eastAsia="Times New Roman" w:cs="Times New Roman"/>
          <w:szCs w:val="24"/>
          <w:lang w:eastAsia="en-AU"/>
        </w:rPr>
      </w:pPr>
      <w:r w:rsidRPr="001D5A00">
        <w:lastRenderedPageBreak/>
        <w:t>Publicity</w:t>
      </w:r>
      <w:r w:rsidRPr="00530D57">
        <w:rPr>
          <w:rFonts w:eastAsia="Times New Roman" w:cs="Times New Roman"/>
          <w:lang w:eastAsia="en-AU"/>
        </w:rPr>
        <w:t xml:space="preserve"> around the addition of “sex” to the list of aggravating factors will help educate the public about misogyny and crimes against women.</w:t>
      </w:r>
      <w:r w:rsidR="00145ED5" w:rsidRPr="00530D57">
        <w:rPr>
          <w:rFonts w:cs="Times New Roman"/>
          <w:color w:val="262626" w:themeColor="text1" w:themeTint="D9"/>
          <w:sz w:val="18"/>
          <w:szCs w:val="18"/>
          <w:vertAlign w:val="superscript"/>
          <w:lang w:eastAsia="en-AU"/>
        </w:rPr>
        <w:footnoteReference w:id="208"/>
      </w:r>
    </w:p>
    <w:p w14:paraId="68CB5DDC" w14:textId="47D7E088" w:rsidR="00145ED5" w:rsidRPr="00530D57" w:rsidRDefault="24ECB62B" w:rsidP="0097513D">
      <w:pPr>
        <w:pStyle w:val="Numberedpara"/>
      </w:pPr>
      <w:r w:rsidRPr="00530D57">
        <w:t>Submitters also said</w:t>
      </w:r>
      <w:r w:rsidR="15EF49F8" w:rsidRPr="00530D57">
        <w:t xml:space="preserve"> that </w:t>
      </w:r>
      <w:r w:rsidR="10242EE2" w:rsidRPr="00530D57">
        <w:t>c</w:t>
      </w:r>
      <w:r w:rsidR="764B1F1B" w:rsidRPr="00530D57">
        <w:t>larification is needed on whether sex includes gender expression</w:t>
      </w:r>
      <w:r w:rsidR="26347AB1" w:rsidRPr="00530D57">
        <w:t>,</w:t>
      </w:r>
      <w:r w:rsidR="00145ED5" w:rsidRPr="00530D57">
        <w:rPr>
          <w:color w:val="262626" w:themeColor="text1" w:themeTint="D9"/>
          <w:sz w:val="18"/>
          <w:szCs w:val="18"/>
          <w:vertAlign w:val="superscript"/>
        </w:rPr>
        <w:footnoteReference w:id="209"/>
      </w:r>
      <w:r w:rsidR="764B1F1B" w:rsidRPr="00530D57">
        <w:t xml:space="preserve"> </w:t>
      </w:r>
      <w:r w:rsidR="7247D4B6" w:rsidRPr="00530D57">
        <w:t>a</w:t>
      </w:r>
      <w:r w:rsidR="26347AB1" w:rsidRPr="00530D57">
        <w:t xml:space="preserve">nd </w:t>
      </w:r>
      <w:r w:rsidR="00FA21D9">
        <w:t xml:space="preserve">that </w:t>
      </w:r>
      <w:r w:rsidR="7247D4B6" w:rsidRPr="00530D57">
        <w:t>s</w:t>
      </w:r>
      <w:r w:rsidR="764B1F1B" w:rsidRPr="00530D57">
        <w:t>ex and gender should be defined and not conflated.</w:t>
      </w:r>
      <w:r w:rsidR="00145ED5" w:rsidRPr="00530D57">
        <w:rPr>
          <w:color w:val="262626" w:themeColor="text1" w:themeTint="D9"/>
          <w:sz w:val="18"/>
          <w:szCs w:val="18"/>
          <w:vertAlign w:val="superscript"/>
        </w:rPr>
        <w:footnoteReference w:id="210"/>
      </w:r>
      <w:r w:rsidR="764B1F1B" w:rsidRPr="00530D57">
        <w:t xml:space="preserve"> </w:t>
      </w:r>
    </w:p>
    <w:p w14:paraId="5CDCB7AF" w14:textId="51D0A490" w:rsidR="00145ED5" w:rsidRPr="00530D57" w:rsidRDefault="00161A4B" w:rsidP="002F5E4F">
      <w:pPr>
        <w:pStyle w:val="Numberedpara"/>
      </w:pPr>
      <w:r>
        <w:t>In relation to</w:t>
      </w:r>
      <w:r w:rsidR="764B1F1B" w:rsidRPr="00530D57">
        <w:t xml:space="preserve"> age, one submitter </w:t>
      </w:r>
      <w:r w:rsidR="4A857255" w:rsidRPr="00530D57">
        <w:t xml:space="preserve">observed there is debate </w:t>
      </w:r>
      <w:r w:rsidR="00467477">
        <w:t xml:space="preserve">about </w:t>
      </w:r>
      <w:r w:rsidR="764B1F1B" w:rsidRPr="00530D57">
        <w:t xml:space="preserve">whether it should be a protected </w:t>
      </w:r>
      <w:r w:rsidR="00467477">
        <w:t>characteristic</w:t>
      </w:r>
      <w:r w:rsidR="764B1F1B" w:rsidRPr="00530D57">
        <w:t>.</w:t>
      </w:r>
      <w:r w:rsidR="00145ED5" w:rsidRPr="00530D57">
        <w:rPr>
          <w:color w:val="262626" w:themeColor="text1" w:themeTint="D9"/>
          <w:sz w:val="18"/>
          <w:szCs w:val="18"/>
          <w:vertAlign w:val="superscript"/>
        </w:rPr>
        <w:footnoteReference w:id="211"/>
      </w:r>
      <w:r w:rsidR="764B1F1B" w:rsidRPr="00530D57">
        <w:t xml:space="preserve"> One submitter thought crimes </w:t>
      </w:r>
      <w:r w:rsidR="00467477">
        <w:t>based on</w:t>
      </w:r>
      <w:r w:rsidR="764B1F1B" w:rsidRPr="00530D57">
        <w:t xml:space="preserve"> age </w:t>
      </w:r>
      <w:r w:rsidR="00467477">
        <w:t>are</w:t>
      </w:r>
      <w:r w:rsidR="764B1F1B" w:rsidRPr="00530D57">
        <w:t xml:space="preserve"> due to a person’s vulnerability and not hostility.</w:t>
      </w:r>
      <w:r w:rsidR="00145ED5" w:rsidRPr="00530D57">
        <w:rPr>
          <w:color w:val="262626" w:themeColor="text1" w:themeTint="D9"/>
          <w:sz w:val="18"/>
          <w:szCs w:val="18"/>
          <w:vertAlign w:val="superscript"/>
        </w:rPr>
        <w:footnoteReference w:id="212"/>
      </w:r>
      <w:r w:rsidR="764B1F1B" w:rsidRPr="00530D57">
        <w:t xml:space="preserve"> </w:t>
      </w:r>
      <w:r w:rsidR="07579AA4" w:rsidRPr="00530D57">
        <w:t>A</w:t>
      </w:r>
      <w:r w:rsidR="764B1F1B" w:rsidRPr="00530D57">
        <w:t xml:space="preserve">nother submitter suggested one of the reasons hate crimes </w:t>
      </w:r>
      <w:r w:rsidR="000C33AB">
        <w:t>based on</w:t>
      </w:r>
      <w:r w:rsidR="764B1F1B" w:rsidRPr="00530D57">
        <w:t xml:space="preserve"> age appear uncommon is that older people are invisible </w:t>
      </w:r>
      <w:r w:rsidR="2E2B062E" w:rsidRPr="00530D57">
        <w:t>to</w:t>
      </w:r>
      <w:r w:rsidR="764B1F1B" w:rsidRPr="00530D57">
        <w:t xml:space="preserve"> police and justice process</w:t>
      </w:r>
      <w:r w:rsidR="377C6E8F" w:rsidRPr="00530D57">
        <w:t>es</w:t>
      </w:r>
      <w:r w:rsidR="764B1F1B" w:rsidRPr="00530D57">
        <w:t>.</w:t>
      </w:r>
      <w:r w:rsidR="00145ED5" w:rsidRPr="00530D57">
        <w:rPr>
          <w:color w:val="262626" w:themeColor="text1" w:themeTint="D9"/>
          <w:sz w:val="18"/>
          <w:szCs w:val="18"/>
          <w:vertAlign w:val="superscript"/>
        </w:rPr>
        <w:footnoteReference w:id="213"/>
      </w:r>
    </w:p>
    <w:p w14:paraId="1A7F8A98" w14:textId="1A281676" w:rsidR="00145ED5" w:rsidRPr="00530D57" w:rsidRDefault="00145ED5" w:rsidP="002F5E4F">
      <w:pPr>
        <w:pStyle w:val="Numberedpara"/>
      </w:pPr>
      <w:r w:rsidRPr="00530D57">
        <w:t xml:space="preserve">On disability, </w:t>
      </w:r>
      <w:r w:rsidR="00DE703A" w:rsidRPr="00530D57">
        <w:t>submitters said</w:t>
      </w:r>
      <w:r w:rsidRPr="00530D57">
        <w:t>:</w:t>
      </w:r>
    </w:p>
    <w:p w14:paraId="29F4B0C7" w14:textId="38F032F5" w:rsidR="00145ED5" w:rsidRPr="00530D57" w:rsidRDefault="5DD203AA"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 xml:space="preserve">Aotearoa </w:t>
      </w:r>
      <w:r w:rsidR="764B1F1B" w:rsidRPr="00530D57">
        <w:rPr>
          <w:rFonts w:eastAsia="Times New Roman" w:cs="Times New Roman"/>
          <w:lang w:eastAsia="en-AU"/>
        </w:rPr>
        <w:t xml:space="preserve">New Zealand has a shameful history </w:t>
      </w:r>
      <w:r w:rsidRPr="00530D57">
        <w:rPr>
          <w:rFonts w:eastAsia="Times New Roman" w:cs="Times New Roman"/>
          <w:lang w:eastAsia="en-AU"/>
        </w:rPr>
        <w:t xml:space="preserve">regarding its </w:t>
      </w:r>
      <w:r w:rsidR="764B1F1B" w:rsidRPr="00530D57">
        <w:rPr>
          <w:rFonts w:eastAsia="Times New Roman" w:cs="Times New Roman"/>
          <w:lang w:eastAsia="en-AU"/>
        </w:rPr>
        <w:t>treatment of disabled people.</w:t>
      </w:r>
      <w:r w:rsidR="00145ED5" w:rsidRPr="00530D57">
        <w:rPr>
          <w:rFonts w:cs="Times New Roman"/>
          <w:color w:val="262626" w:themeColor="text1" w:themeTint="D9"/>
          <w:sz w:val="18"/>
          <w:szCs w:val="18"/>
          <w:vertAlign w:val="superscript"/>
          <w:lang w:eastAsia="en-AU"/>
        </w:rPr>
        <w:footnoteReference w:id="214"/>
      </w:r>
      <w:r w:rsidR="764B1F1B" w:rsidRPr="00530D57">
        <w:rPr>
          <w:rFonts w:eastAsia="Times New Roman" w:cs="Times New Roman"/>
          <w:lang w:eastAsia="en-AU"/>
        </w:rPr>
        <w:t xml:space="preserve"> The recent Royal Commission</w:t>
      </w:r>
      <w:r w:rsidR="00556035">
        <w:rPr>
          <w:rFonts w:eastAsia="Times New Roman" w:cs="Times New Roman"/>
          <w:lang w:eastAsia="en-AU"/>
        </w:rPr>
        <w:t xml:space="preserve"> of Inquiry</w:t>
      </w:r>
      <w:r w:rsidR="764B1F1B" w:rsidRPr="00530D57">
        <w:rPr>
          <w:rFonts w:eastAsia="Times New Roman" w:cs="Times New Roman"/>
          <w:lang w:eastAsia="en-AU"/>
        </w:rPr>
        <w:t xml:space="preserve"> into Abuse in Care highlighted that disabled people experience abuse underpinned by ableism.</w:t>
      </w:r>
      <w:r w:rsidR="00145ED5" w:rsidRPr="00530D57">
        <w:rPr>
          <w:rFonts w:cs="Times New Roman"/>
          <w:color w:val="262626" w:themeColor="text1" w:themeTint="D9"/>
          <w:sz w:val="18"/>
          <w:szCs w:val="18"/>
          <w:vertAlign w:val="superscript"/>
          <w:lang w:eastAsia="en-AU"/>
        </w:rPr>
        <w:footnoteReference w:id="215"/>
      </w:r>
    </w:p>
    <w:p w14:paraId="2B2E87AE" w14:textId="77777777" w:rsidR="00145ED5" w:rsidRPr="00530D57" w:rsidRDefault="764B1F1B"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Having disability as a protected characteristic offers additional protection.</w:t>
      </w:r>
      <w:r w:rsidR="00145ED5" w:rsidRPr="00530D57">
        <w:rPr>
          <w:rFonts w:cs="Times New Roman"/>
          <w:color w:val="262626" w:themeColor="text1" w:themeTint="D9"/>
          <w:sz w:val="18"/>
          <w:szCs w:val="18"/>
          <w:vertAlign w:val="superscript"/>
          <w:lang w:eastAsia="en-AU"/>
        </w:rPr>
        <w:footnoteReference w:id="216"/>
      </w:r>
    </w:p>
    <w:p w14:paraId="795F9CD9" w14:textId="118F3B0A" w:rsidR="00B73FF3" w:rsidRPr="00530D57" w:rsidRDefault="0ED3E5D5" w:rsidP="00896331">
      <w:pPr>
        <w:pStyle w:val="Numberedpara"/>
        <w:numPr>
          <w:ilvl w:val="1"/>
          <w:numId w:val="71"/>
        </w:numPr>
        <w:rPr>
          <w:rFonts w:eastAsia="Times New Roman" w:cs="Times New Roman"/>
          <w:szCs w:val="24"/>
          <w:lang w:eastAsia="en-AU"/>
        </w:rPr>
      </w:pPr>
      <w:r w:rsidRPr="00530D57">
        <w:rPr>
          <w:rFonts w:eastAsia="Times New Roman" w:cs="Times New Roman"/>
          <w:lang w:eastAsia="en-AU"/>
        </w:rPr>
        <w:t>Disabled people are targeted because they are vulnerable</w:t>
      </w:r>
      <w:r w:rsidR="00097C23" w:rsidRPr="00530D57">
        <w:rPr>
          <w:rStyle w:val="FootnoteReference"/>
          <w:rFonts w:eastAsia="Times New Roman" w:cs="Times New Roman"/>
          <w:lang w:eastAsia="en-AU"/>
        </w:rPr>
        <w:footnoteReference w:id="217"/>
      </w:r>
      <w:r w:rsidRPr="00530D57">
        <w:rPr>
          <w:rFonts w:eastAsia="Times New Roman" w:cs="Times New Roman"/>
          <w:lang w:eastAsia="en-AU"/>
        </w:rPr>
        <w:t xml:space="preserve"> and because some people believe they should not exist.</w:t>
      </w:r>
      <w:r w:rsidR="00097C23" w:rsidRPr="00530D57">
        <w:rPr>
          <w:rStyle w:val="FootnoteReference"/>
          <w:rFonts w:eastAsia="Times New Roman" w:cs="Times New Roman"/>
          <w:lang w:eastAsia="en-AU"/>
        </w:rPr>
        <w:footnoteReference w:id="218"/>
      </w:r>
      <w:r w:rsidR="32BFBB09" w:rsidRPr="00530D57" w:rsidDel="00985BE3">
        <w:rPr>
          <w:rFonts w:eastAsia="Times New Roman" w:cs="Times New Roman"/>
          <w:lang w:eastAsia="en-AU"/>
        </w:rPr>
        <w:t xml:space="preserve"> </w:t>
      </w:r>
    </w:p>
    <w:p w14:paraId="026514E4" w14:textId="0F5CCABC" w:rsidR="000A18F5" w:rsidRPr="00530D57" w:rsidRDefault="764B1F1B" w:rsidP="00896331">
      <w:pPr>
        <w:pStyle w:val="Numberedpara"/>
        <w:numPr>
          <w:ilvl w:val="1"/>
          <w:numId w:val="71"/>
        </w:numPr>
        <w:rPr>
          <w:rFonts w:eastAsia="Times New Roman" w:cs="Times New Roman"/>
          <w:szCs w:val="24"/>
          <w:lang w:eastAsia="en-AU"/>
        </w:rPr>
        <w:sectPr w:rsidR="000A18F5" w:rsidRPr="00530D57" w:rsidSect="004E3A8E">
          <w:pgSz w:w="11906" w:h="16838" w:code="9"/>
          <w:pgMar w:top="1134" w:right="1134" w:bottom="1134" w:left="1701" w:header="499" w:footer="499" w:gutter="0"/>
          <w:cols w:space="720"/>
          <w:noEndnote/>
        </w:sectPr>
      </w:pPr>
      <w:r w:rsidRPr="00530D57">
        <w:rPr>
          <w:rFonts w:eastAsia="Times New Roman" w:cs="Times New Roman"/>
          <w:lang w:eastAsia="en-AU"/>
        </w:rPr>
        <w:t>The apparent absence of hate crimes against disabled people is likely due to them being invisible within the justice system, having their complaints diminished and not being given reasonable accommodations.</w:t>
      </w:r>
      <w:r w:rsidR="00145ED5" w:rsidRPr="00530D57">
        <w:rPr>
          <w:rFonts w:cs="Times New Roman"/>
          <w:color w:val="262626" w:themeColor="text1" w:themeTint="D9"/>
          <w:sz w:val="18"/>
          <w:szCs w:val="18"/>
          <w:vertAlign w:val="superscript"/>
          <w:lang w:eastAsia="en-AU"/>
        </w:rPr>
        <w:footnoteReference w:id="219"/>
      </w:r>
    </w:p>
    <w:p w14:paraId="052FB97B" w14:textId="3BCE8CCA" w:rsidR="00940ECF" w:rsidRPr="00530D57" w:rsidRDefault="004057EE" w:rsidP="00E42365">
      <w:pPr>
        <w:pStyle w:val="Heading1nonum"/>
        <w:spacing w:before="480"/>
      </w:pPr>
      <w:bookmarkStart w:id="42" w:name="_Toc207093263"/>
      <w:r w:rsidRPr="00530D57">
        <w:lastRenderedPageBreak/>
        <w:t>Sentence aggravation model —</w:t>
      </w:r>
      <w:r w:rsidR="00D87A12" w:rsidRPr="00530D57">
        <w:t xml:space="preserve"> </w:t>
      </w:r>
      <w:r w:rsidR="001F1BAD" w:rsidRPr="00530D57">
        <w:t>p</w:t>
      </w:r>
      <w:r w:rsidR="00E45D41" w:rsidRPr="00530D57">
        <w:t xml:space="preserve">roblems and </w:t>
      </w:r>
      <w:r w:rsidR="009E18EA" w:rsidRPr="00530D57">
        <w:t>options for reform</w:t>
      </w:r>
      <w:bookmarkEnd w:id="42"/>
    </w:p>
    <w:p w14:paraId="42BEBB2A" w14:textId="7DFC040F" w:rsidR="00E42365" w:rsidRDefault="001D5A00" w:rsidP="00E42365">
      <w:pPr>
        <w:rPr>
          <w:rFonts w:eastAsiaTheme="majorEastAsia"/>
        </w:rPr>
      </w:pPr>
      <w:r w:rsidRPr="00530D57">
        <w:rPr>
          <w:rFonts w:asciiTheme="minorHAnsi" w:hAnsiTheme="minorHAnsi"/>
          <w:noProof/>
          <w:lang w:eastAsia="en-NZ"/>
        </w:rPr>
        <mc:AlternateContent>
          <mc:Choice Requires="wpg">
            <w:drawing>
              <wp:anchor distT="0" distB="0" distL="114300" distR="114300" simplePos="0" relativeHeight="251658251" behindDoc="1" locked="0" layoutInCell="1" allowOverlap="1" wp14:anchorId="2F89CE55" wp14:editId="5A9AC906">
                <wp:simplePos x="0" y="0"/>
                <wp:positionH relativeFrom="page">
                  <wp:posOffset>1080135</wp:posOffset>
                </wp:positionH>
                <wp:positionV relativeFrom="paragraph">
                  <wp:posOffset>88198</wp:posOffset>
                </wp:positionV>
                <wp:extent cx="1332230" cy="1270"/>
                <wp:effectExtent l="0" t="19050" r="20320" b="17780"/>
                <wp:wrapNone/>
                <wp:docPr id="1478709435" name="Group 1478709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417" y="535"/>
                          <a:chExt cx="2098" cy="2"/>
                        </a:xfrm>
                      </wpg:grpSpPr>
                      <wps:wsp>
                        <wps:cNvPr id="1592046655" name="Freeform 3"/>
                        <wps:cNvSpPr>
                          <a:spLocks/>
                        </wps:cNvSpPr>
                        <wps:spPr bwMode="auto">
                          <a:xfrm>
                            <a:off x="1417" y="535"/>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73AB6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C54589" id="Group 1478709435" o:spid="_x0000_s1026" style="position:absolute;margin-left:85.05pt;margin-top:6.95pt;width:104.9pt;height:.1pt;z-index:-251658229;mso-position-horizontal-relative:page" coordorigin="1417,535"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">
                <v:shape id="Freeform 3" o:spid="_x0000_s1027" style="position:absolute;left:1417;top:535;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" path="m,l2098,e" filled="f" strokecolor="#73ab6e" strokeweight="3pt">
                  <v:path arrowok="t" o:connecttype="custom" o:connectlocs="0,0;2098,0" o:connectangles="0,0"/>
                </v:shape>
                <w10:wrap anchorx="page"/>
              </v:group>
            </w:pict>
          </mc:Fallback>
        </mc:AlternateContent>
      </w:r>
    </w:p>
    <w:p w14:paraId="126583A7" w14:textId="77777777" w:rsidR="001D5A00" w:rsidRDefault="001D5A00" w:rsidP="00E42365">
      <w:pPr>
        <w:rPr>
          <w:rFonts w:eastAsiaTheme="majorEastAsia"/>
        </w:rPr>
      </w:pPr>
    </w:p>
    <w:p w14:paraId="27F1519F" w14:textId="2DCD944B" w:rsidR="00D072C8" w:rsidRPr="00530D57" w:rsidRDefault="00D072C8" w:rsidP="00662F9E">
      <w:pPr>
        <w:pStyle w:val="Heading2"/>
        <w:rPr>
          <w:rFonts w:eastAsiaTheme="majorEastAsia"/>
        </w:rPr>
      </w:pPr>
      <w:bookmarkStart w:id="43" w:name="_Toc207093264"/>
      <w:r w:rsidRPr="00530D57">
        <w:rPr>
          <w:rFonts w:eastAsiaTheme="majorEastAsia"/>
        </w:rPr>
        <w:t>Overview</w:t>
      </w:r>
      <w:bookmarkEnd w:id="43"/>
    </w:p>
    <w:p w14:paraId="38C2CE45" w14:textId="6E665D52" w:rsidR="00AC225C" w:rsidRPr="00530D57" w:rsidRDefault="009D6A48" w:rsidP="002F5E4F">
      <w:pPr>
        <w:pStyle w:val="Numberedpara"/>
      </w:pPr>
      <w:r w:rsidRPr="00530D57">
        <w:t xml:space="preserve">In this section, we </w:t>
      </w:r>
      <w:r w:rsidR="00AC225C" w:rsidRPr="00530D57">
        <w:t>summaris</w:t>
      </w:r>
      <w:r w:rsidRPr="00530D57">
        <w:t>e</w:t>
      </w:r>
      <w:r w:rsidR="00AC225C" w:rsidRPr="00530D57">
        <w:t xml:space="preserve"> responses to Questions 5 and 6</w:t>
      </w:r>
      <w:r w:rsidR="00975C82" w:rsidRPr="00530D57">
        <w:t>. These questions asked</w:t>
      </w:r>
      <w:r w:rsidR="0022708B" w:rsidRPr="00530D57">
        <w:t xml:space="preserve"> </w:t>
      </w:r>
      <w:r w:rsidR="00975C82" w:rsidRPr="00530D57">
        <w:t>whether</w:t>
      </w:r>
      <w:r w:rsidR="0022708B" w:rsidRPr="00530D57">
        <w:t xml:space="preserve"> there are problems with </w:t>
      </w:r>
      <w:r w:rsidR="006C36B4" w:rsidRPr="00530D57">
        <w:t>how</w:t>
      </w:r>
      <w:r w:rsidR="0022708B" w:rsidRPr="00530D57">
        <w:t xml:space="preserve"> the current law</w:t>
      </w:r>
      <w:r w:rsidR="00EE0750">
        <w:t xml:space="preserve"> on hate crime</w:t>
      </w:r>
      <w:r w:rsidR="0022708B" w:rsidRPr="00530D57">
        <w:t xml:space="preserve"> </w:t>
      </w:r>
      <w:r w:rsidR="006C36B4" w:rsidRPr="00530D57">
        <w:t xml:space="preserve">is working </w:t>
      </w:r>
      <w:r w:rsidR="0022708B" w:rsidRPr="00530D57">
        <w:t>and</w:t>
      </w:r>
      <w:r w:rsidR="00975C82" w:rsidRPr="00530D57">
        <w:t>, if so,</w:t>
      </w:r>
      <w:r w:rsidR="0022708B" w:rsidRPr="00530D57">
        <w:t xml:space="preserve"> whether these problems can be addressed </w:t>
      </w:r>
      <w:r w:rsidR="0069550F" w:rsidRPr="00530D57">
        <w:t xml:space="preserve">while </w:t>
      </w:r>
      <w:r w:rsidR="00DC5F83" w:rsidRPr="00530D57">
        <w:t xml:space="preserve">keeping </w:t>
      </w:r>
      <w:r w:rsidR="00D12BB2" w:rsidRPr="00530D57">
        <w:t>the sentencing aggravation model</w:t>
      </w:r>
      <w:r w:rsidR="00AC225C" w:rsidRPr="00530D57">
        <w:t xml:space="preserve">. We first give an overview of submitters’ views then summarise the feedback received on </w:t>
      </w:r>
      <w:r w:rsidR="008707F3" w:rsidRPr="00530D57">
        <w:t>each of the potential</w:t>
      </w:r>
      <w:r w:rsidR="00AC225C" w:rsidRPr="00530D57">
        <w:t xml:space="preserve"> problems </w:t>
      </w:r>
      <w:r w:rsidR="00D5298E" w:rsidRPr="00530D57">
        <w:t>identified</w:t>
      </w:r>
      <w:r w:rsidR="00D469F7" w:rsidRPr="00530D57">
        <w:t xml:space="preserve"> in our Consultation Paper</w:t>
      </w:r>
      <w:r w:rsidR="00D5298E" w:rsidRPr="00530D57">
        <w:t xml:space="preserve"> </w:t>
      </w:r>
      <w:r w:rsidR="00AC225C" w:rsidRPr="00530D57">
        <w:t xml:space="preserve">and </w:t>
      </w:r>
      <w:r w:rsidR="00C64524" w:rsidRPr="00530D57">
        <w:t xml:space="preserve">options </w:t>
      </w:r>
      <w:r w:rsidR="00AC225C" w:rsidRPr="00530D57">
        <w:t xml:space="preserve">to address them. </w:t>
      </w:r>
    </w:p>
    <w:p w14:paraId="6FD50FA9" w14:textId="22CD7BFD" w:rsidR="00D072C8" w:rsidRPr="00530D57" w:rsidRDefault="00905276" w:rsidP="00662F9E">
      <w:pPr>
        <w:pStyle w:val="Heading3"/>
        <w:rPr>
          <w:rFonts w:eastAsiaTheme="majorEastAsia"/>
        </w:rPr>
      </w:pPr>
      <w:r w:rsidRPr="00530D57">
        <w:rPr>
          <w:rFonts w:eastAsiaTheme="majorEastAsia"/>
        </w:rPr>
        <w:t>Identifying problems</w:t>
      </w:r>
      <w:r w:rsidR="00D072C8" w:rsidRPr="00530D57">
        <w:rPr>
          <w:rFonts w:eastAsiaTheme="majorEastAsia"/>
        </w:rPr>
        <w:t xml:space="preserve"> with the </w:t>
      </w:r>
      <w:r w:rsidR="00C24AE4" w:rsidRPr="00530D57">
        <w:rPr>
          <w:rFonts w:eastAsiaTheme="majorEastAsia"/>
        </w:rPr>
        <w:t>current law</w:t>
      </w:r>
      <w:r w:rsidR="00D072C8" w:rsidRPr="00530D57">
        <w:rPr>
          <w:rFonts w:eastAsiaTheme="majorEastAsia"/>
        </w:rPr>
        <w:t xml:space="preserve"> </w:t>
      </w:r>
    </w:p>
    <w:p w14:paraId="5BC6AA7F" w14:textId="70762C0B" w:rsidR="00D072C8" w:rsidRPr="00530D57" w:rsidRDefault="771C8513" w:rsidP="002F5E4F">
      <w:pPr>
        <w:pStyle w:val="Numberedpara"/>
      </w:pPr>
      <w:r w:rsidRPr="00530D57">
        <w:t>T</w:t>
      </w:r>
      <w:r w:rsidR="00D072C8" w:rsidRPr="00530D57">
        <w:t xml:space="preserve">wenty-two </w:t>
      </w:r>
      <w:r w:rsidRPr="00530D57">
        <w:t xml:space="preserve">submitters thought there </w:t>
      </w:r>
      <w:r w:rsidR="00FE5202" w:rsidRPr="00530D57">
        <w:t>are</w:t>
      </w:r>
      <w:r w:rsidRPr="00530D57">
        <w:t xml:space="preserve"> problems with how the current law is working. Of these submitters:</w:t>
      </w:r>
    </w:p>
    <w:p w14:paraId="6F87BDC0" w14:textId="1596FC07" w:rsidR="00D072C8" w:rsidRPr="00530D57" w:rsidRDefault="00D072C8" w:rsidP="00896331">
      <w:pPr>
        <w:pStyle w:val="Numberedpara"/>
        <w:numPr>
          <w:ilvl w:val="1"/>
          <w:numId w:val="71"/>
        </w:numPr>
        <w:rPr>
          <w:rFonts w:eastAsia="Times New Roman" w:cs="Times New Roman"/>
          <w:color w:val="0D0D0D" w:themeColor="text1" w:themeTint="F2"/>
          <w:lang w:eastAsia="en-AU"/>
        </w:rPr>
      </w:pPr>
      <w:r w:rsidRPr="00530D57">
        <w:rPr>
          <w:rFonts w:eastAsia="Times New Roman" w:cs="Times New Roman"/>
          <w:color w:val="0D0D0D" w:themeColor="text1" w:themeTint="F2"/>
          <w:lang w:eastAsia="en-AU"/>
        </w:rPr>
        <w:t xml:space="preserve">ten </w:t>
      </w:r>
      <w:r w:rsidR="771C8513" w:rsidRPr="00530D57">
        <w:rPr>
          <w:rFonts w:eastAsia="Times New Roman" w:cs="Times New Roman"/>
          <w:color w:val="0D0D0D" w:themeColor="text1" w:themeTint="F2"/>
          <w:lang w:eastAsia="en-AU"/>
        </w:rPr>
        <w:t>supported keeping the sentence aggravation model (in some cases with changes to practice, procedure or legislation)</w:t>
      </w:r>
      <w:r w:rsidR="1F9FCF7B" w:rsidRPr="00530D57">
        <w:rPr>
          <w:rFonts w:eastAsia="Times New Roman" w:cs="Times New Roman"/>
          <w:color w:val="0D0D0D" w:themeColor="text1" w:themeTint="F2"/>
          <w:lang w:eastAsia="en-AU"/>
        </w:rPr>
        <w:t xml:space="preserve"> or did not see a case for changing the legal model</w:t>
      </w:r>
      <w:r w:rsidR="771C8513" w:rsidRPr="00530D57">
        <w:rPr>
          <w:rFonts w:eastAsia="Times New Roman" w:cs="Times New Roman"/>
          <w:color w:val="0D0D0D" w:themeColor="text1" w:themeTint="F2"/>
          <w:lang w:eastAsia="en-AU"/>
        </w:rPr>
        <w:t>;</w:t>
      </w:r>
      <w:r w:rsidRPr="00530D57">
        <w:rPr>
          <w:rFonts w:eastAsia="Times New Roman" w:cs="Times New Roman"/>
          <w:color w:val="262626" w:themeColor="text1" w:themeTint="D9"/>
          <w:sz w:val="18"/>
          <w:szCs w:val="18"/>
          <w:vertAlign w:val="superscript"/>
          <w:lang w:eastAsia="en-AU"/>
        </w:rPr>
        <w:footnoteReference w:id="220"/>
      </w:r>
    </w:p>
    <w:p w14:paraId="45875301" w14:textId="2D62A1D7" w:rsidR="00D072C8" w:rsidRPr="00530D57" w:rsidRDefault="001D7175" w:rsidP="00896331">
      <w:pPr>
        <w:pStyle w:val="Numberedpara"/>
        <w:numPr>
          <w:ilvl w:val="1"/>
          <w:numId w:val="71"/>
        </w:numPr>
        <w:rPr>
          <w:rFonts w:eastAsia="Times New Roman" w:cs="Times New Roman"/>
          <w:color w:val="0D0D0D" w:themeColor="text1" w:themeTint="F2"/>
          <w:lang w:eastAsia="en-AU"/>
        </w:rPr>
      </w:pPr>
      <w:r w:rsidRPr="001D5A00">
        <w:t>s</w:t>
      </w:r>
      <w:r w:rsidR="771C8513" w:rsidRPr="00530D57">
        <w:rPr>
          <w:rFonts w:eastAsia="Times New Roman" w:cs="Times New Roman"/>
          <w:color w:val="0D0D0D" w:themeColor="text1" w:themeTint="F2"/>
          <w:lang w:eastAsia="en-AU"/>
        </w:rPr>
        <w:t>even supported adopting a different legal model;</w:t>
      </w:r>
      <w:r w:rsidR="00D072C8" w:rsidRPr="00530D57">
        <w:rPr>
          <w:rFonts w:eastAsia="Times New Roman" w:cs="Times New Roman"/>
          <w:color w:val="262626" w:themeColor="text1" w:themeTint="D9"/>
          <w:sz w:val="18"/>
          <w:szCs w:val="18"/>
          <w:vertAlign w:val="superscript"/>
          <w:lang w:eastAsia="en-AU"/>
        </w:rPr>
        <w:footnoteReference w:id="221"/>
      </w:r>
    </w:p>
    <w:p w14:paraId="738828B3" w14:textId="38EE7EEE" w:rsidR="00D072C8" w:rsidRPr="00530D57" w:rsidRDefault="001D7175" w:rsidP="00896331">
      <w:pPr>
        <w:pStyle w:val="Numberedpara"/>
        <w:numPr>
          <w:ilvl w:val="1"/>
          <w:numId w:val="71"/>
        </w:numPr>
        <w:rPr>
          <w:rFonts w:eastAsia="Times New Roman" w:cs="Times New Roman"/>
          <w:color w:val="0D0D0D" w:themeColor="text1" w:themeTint="F2"/>
          <w:lang w:eastAsia="en-AU"/>
        </w:rPr>
      </w:pPr>
      <w:r w:rsidRPr="00530D57">
        <w:rPr>
          <w:rFonts w:eastAsia="Times New Roman" w:cs="Times New Roman"/>
          <w:color w:val="0D0D0D" w:themeColor="text1" w:themeTint="F2"/>
          <w:lang w:eastAsia="en-AU"/>
        </w:rPr>
        <w:t>o</w:t>
      </w:r>
      <w:r w:rsidR="706EF87D" w:rsidRPr="00530D57">
        <w:rPr>
          <w:rFonts w:eastAsia="Times New Roman" w:cs="Times New Roman"/>
          <w:color w:val="0D0D0D" w:themeColor="text1" w:themeTint="F2"/>
          <w:lang w:eastAsia="en-AU"/>
        </w:rPr>
        <w:t>ne</w:t>
      </w:r>
      <w:r w:rsidR="4F9B154A" w:rsidRPr="00530D57">
        <w:rPr>
          <w:rFonts w:eastAsia="Times New Roman" w:cs="Times New Roman"/>
          <w:color w:val="0D0D0D" w:themeColor="text1" w:themeTint="F2"/>
          <w:lang w:eastAsia="en-AU"/>
        </w:rPr>
        <w:t xml:space="preserve"> </w:t>
      </w:r>
      <w:r w:rsidR="771C8513" w:rsidRPr="00530D57">
        <w:rPr>
          <w:rFonts w:eastAsia="Times New Roman" w:cs="Times New Roman"/>
          <w:color w:val="0D0D0D" w:themeColor="text1" w:themeTint="F2"/>
          <w:lang w:eastAsia="en-AU"/>
        </w:rPr>
        <w:t>supported repealing the aggravating factor and having no hate crime laws;</w:t>
      </w:r>
      <w:r w:rsidR="00D072C8" w:rsidRPr="00530D57">
        <w:rPr>
          <w:rFonts w:eastAsia="Times New Roman" w:cs="Times New Roman"/>
          <w:color w:val="262626" w:themeColor="text1" w:themeTint="D9"/>
          <w:sz w:val="18"/>
          <w:szCs w:val="18"/>
          <w:vertAlign w:val="superscript"/>
          <w:lang w:eastAsia="en-AU"/>
        </w:rPr>
        <w:footnoteReference w:id="222"/>
      </w:r>
      <w:r w:rsidR="771C8513" w:rsidRPr="00530D57">
        <w:rPr>
          <w:rFonts w:eastAsia="Times New Roman" w:cs="Times New Roman"/>
          <w:color w:val="0D0D0D" w:themeColor="text1" w:themeTint="F2"/>
          <w:lang w:eastAsia="en-AU"/>
        </w:rPr>
        <w:t xml:space="preserve"> and</w:t>
      </w:r>
    </w:p>
    <w:p w14:paraId="498E44FA" w14:textId="3DB3D2A8" w:rsidR="00D072C8" w:rsidRPr="00530D57" w:rsidRDefault="00DD78AC" w:rsidP="00896331">
      <w:pPr>
        <w:pStyle w:val="Numberedpara"/>
        <w:numPr>
          <w:ilvl w:val="1"/>
          <w:numId w:val="71"/>
        </w:numPr>
        <w:rPr>
          <w:rFonts w:eastAsia="Times New Roman" w:cs="Times New Roman"/>
          <w:color w:val="0D0D0D" w:themeColor="text1" w:themeTint="F2"/>
          <w:lang w:eastAsia="en-AU"/>
        </w:rPr>
      </w:pPr>
      <w:r w:rsidRPr="001D5A00">
        <w:t>four</w:t>
      </w:r>
      <w:r w:rsidR="00D43EC7" w:rsidRPr="00530D57">
        <w:rPr>
          <w:rFonts w:eastAsia="Times New Roman" w:cs="Times New Roman"/>
          <w:color w:val="0D0D0D" w:themeColor="text1" w:themeTint="F2"/>
          <w:lang w:eastAsia="en-AU"/>
        </w:rPr>
        <w:t xml:space="preserve"> </w:t>
      </w:r>
      <w:r w:rsidR="771C8513" w:rsidRPr="00530D57">
        <w:rPr>
          <w:rFonts w:eastAsia="Times New Roman" w:cs="Times New Roman"/>
          <w:color w:val="0D0D0D" w:themeColor="text1" w:themeTint="F2"/>
          <w:lang w:eastAsia="en-AU"/>
        </w:rPr>
        <w:t>did not express a clear view on whether the legal model should be changed.</w:t>
      </w:r>
      <w:r w:rsidR="00D072C8" w:rsidRPr="00530D57">
        <w:rPr>
          <w:rFonts w:eastAsia="Times New Roman" w:cs="Times New Roman"/>
          <w:color w:val="262626" w:themeColor="text1" w:themeTint="D9"/>
          <w:sz w:val="18"/>
          <w:szCs w:val="18"/>
          <w:vertAlign w:val="superscript"/>
          <w:lang w:eastAsia="en-AU"/>
        </w:rPr>
        <w:footnoteReference w:id="223"/>
      </w:r>
    </w:p>
    <w:p w14:paraId="71F8FEAA" w14:textId="1A29DB23" w:rsidR="00D072C8" w:rsidRPr="00530D57" w:rsidRDefault="00D072C8" w:rsidP="002F5E4F">
      <w:pPr>
        <w:pStyle w:val="Numberedpara"/>
      </w:pPr>
      <w:r w:rsidRPr="00530D57">
        <w:lastRenderedPageBreak/>
        <w:t>Twenty-two</w:t>
      </w:r>
      <w:r w:rsidR="771C8513" w:rsidRPr="00530D57">
        <w:t xml:space="preserve"> submitters </w:t>
      </w:r>
      <w:r w:rsidRPr="00530D57">
        <w:t>either</w:t>
      </w:r>
      <w:r w:rsidR="771C8513" w:rsidRPr="00530D57">
        <w:t xml:space="preserve"> did not think there </w:t>
      </w:r>
      <w:r w:rsidR="00484E13" w:rsidRPr="00530D57">
        <w:t>are</w:t>
      </w:r>
      <w:r w:rsidR="771C8513" w:rsidRPr="00530D57">
        <w:t xml:space="preserve"> problems with the current law</w:t>
      </w:r>
      <w:r w:rsidRPr="00530D57">
        <w:t xml:space="preserve"> or said no problems had been identified that justif</w:t>
      </w:r>
      <w:r w:rsidR="00484E13" w:rsidRPr="00530D57">
        <w:t>y</w:t>
      </w:r>
      <w:r w:rsidRPr="00530D57">
        <w:t xml:space="preserve"> changing the legal model.</w:t>
      </w:r>
      <w:r w:rsidR="00484E13" w:rsidRPr="00530D57">
        <w:rPr>
          <w:rStyle w:val="FootnoteReference"/>
        </w:rPr>
        <w:footnoteReference w:id="224"/>
      </w:r>
    </w:p>
    <w:p w14:paraId="784EA369" w14:textId="772DB03F" w:rsidR="00D072C8" w:rsidRPr="00530D57" w:rsidRDefault="00D072C8" w:rsidP="002F5E4F">
      <w:pPr>
        <w:pStyle w:val="Numberedpara"/>
      </w:pPr>
      <w:r w:rsidRPr="00530D57">
        <w:t>The remaining submitters did not take a clear position on whether there are problems with how the current law is working. Many of these submitters did nonetheless express a view on whether and how the law should be changed (see</w:t>
      </w:r>
      <w:r w:rsidR="00D20B16">
        <w:t xml:space="preserve"> the</w:t>
      </w:r>
      <w:r w:rsidRPr="00530D57">
        <w:t xml:space="preserve"> discussion </w:t>
      </w:r>
      <w:r w:rsidR="00D20B16">
        <w:t>below on</w:t>
      </w:r>
      <w:r w:rsidR="000631D6" w:rsidRPr="00530D57">
        <w:t xml:space="preserve"> addressing problems with the</w:t>
      </w:r>
      <w:r w:rsidR="00FE698B" w:rsidRPr="00530D57">
        <w:t xml:space="preserve"> current legal model and </w:t>
      </w:r>
      <w:r w:rsidR="00D20B16">
        <w:t>on</w:t>
      </w:r>
      <w:r w:rsidR="00FE698B" w:rsidRPr="00530D57">
        <w:t xml:space="preserve"> </w:t>
      </w:r>
      <w:r w:rsidR="00D20B16">
        <w:t>other legal</w:t>
      </w:r>
      <w:r w:rsidR="00FE698B" w:rsidRPr="00530D57">
        <w:t xml:space="preserve"> models</w:t>
      </w:r>
      <w:r w:rsidRPr="00530D57">
        <w:t>).</w:t>
      </w:r>
    </w:p>
    <w:p w14:paraId="7BDFE375" w14:textId="4805FC7C" w:rsidR="00D072C8" w:rsidRPr="00530D57" w:rsidRDefault="006C02A0" w:rsidP="00662F9E">
      <w:pPr>
        <w:pStyle w:val="Heading3"/>
        <w:rPr>
          <w:rFonts w:eastAsiaTheme="majorEastAsia"/>
        </w:rPr>
      </w:pPr>
      <w:r w:rsidRPr="00530D57">
        <w:rPr>
          <w:rFonts w:eastAsiaTheme="majorEastAsia"/>
        </w:rPr>
        <w:t>A</w:t>
      </w:r>
      <w:r w:rsidR="00D072C8" w:rsidRPr="00530D57">
        <w:rPr>
          <w:rFonts w:eastAsiaTheme="majorEastAsia"/>
        </w:rPr>
        <w:t>ddress</w:t>
      </w:r>
      <w:r w:rsidRPr="00530D57">
        <w:rPr>
          <w:rFonts w:eastAsiaTheme="majorEastAsia"/>
        </w:rPr>
        <w:t>ing problems</w:t>
      </w:r>
      <w:r w:rsidR="0013261C" w:rsidRPr="00530D57">
        <w:rPr>
          <w:rFonts w:eastAsiaTheme="majorEastAsia"/>
        </w:rPr>
        <w:t xml:space="preserve"> </w:t>
      </w:r>
      <w:r w:rsidR="00D43C96" w:rsidRPr="00530D57">
        <w:rPr>
          <w:rFonts w:eastAsiaTheme="majorEastAsia"/>
        </w:rPr>
        <w:t>under</w:t>
      </w:r>
      <w:r w:rsidR="00DC5F83" w:rsidRPr="00530D57">
        <w:rPr>
          <w:rFonts w:eastAsiaTheme="majorEastAsia"/>
        </w:rPr>
        <w:t xml:space="preserve"> </w:t>
      </w:r>
      <w:r w:rsidR="00D072C8" w:rsidRPr="00530D57">
        <w:rPr>
          <w:rFonts w:eastAsiaTheme="majorEastAsia"/>
        </w:rPr>
        <w:t>the sentence aggravation model</w:t>
      </w:r>
    </w:p>
    <w:p w14:paraId="57260A7F" w14:textId="77777777" w:rsidR="00D072C8" w:rsidRPr="00530D57" w:rsidRDefault="00D072C8" w:rsidP="00D607E6">
      <w:pPr>
        <w:pStyle w:val="Heading4"/>
        <w:rPr>
          <w:rFonts w:eastAsiaTheme="majorEastAsia"/>
        </w:rPr>
      </w:pPr>
      <w:r w:rsidRPr="00530D57">
        <w:rPr>
          <w:rFonts w:eastAsiaTheme="majorEastAsia"/>
        </w:rPr>
        <w:t>Support for keeping the sentence aggravation model</w:t>
      </w:r>
    </w:p>
    <w:p w14:paraId="696D81E0" w14:textId="1FA6E9A9" w:rsidR="00D072C8" w:rsidRPr="00530D57" w:rsidRDefault="00D072C8" w:rsidP="002F5E4F">
      <w:pPr>
        <w:pStyle w:val="Numberedpara"/>
      </w:pPr>
      <w:r w:rsidRPr="00530D57">
        <w:t>Forty</w:t>
      </w:r>
      <w:r w:rsidR="00C875FF" w:rsidRPr="00530D57">
        <w:t>-one</w:t>
      </w:r>
      <w:r w:rsidRPr="00530D57">
        <w:t xml:space="preserve"> submitters supported keeping the current sentence aggravation model</w:t>
      </w:r>
      <w:r w:rsidR="00C875FF" w:rsidRPr="00530D57">
        <w:t xml:space="preserve"> or did not see a case for changing the legal model</w:t>
      </w:r>
      <w:r w:rsidRPr="00530D57">
        <w:t xml:space="preserve">. </w:t>
      </w:r>
      <w:r w:rsidR="00CD32E2" w:rsidRPr="00530D57">
        <w:t>Some</w:t>
      </w:r>
      <w:r w:rsidR="001E0DFD" w:rsidRPr="00530D57">
        <w:t xml:space="preserve"> of these submitters though</w:t>
      </w:r>
      <w:r w:rsidR="008A3261">
        <w:t>t</w:t>
      </w:r>
      <w:r w:rsidR="001E0DFD" w:rsidRPr="00530D57">
        <w:t xml:space="preserve"> the current model could be improved </w:t>
      </w:r>
      <w:r w:rsidR="004535D1" w:rsidRPr="00530D57">
        <w:t>and</w:t>
      </w:r>
      <w:r w:rsidR="00CD32E2" w:rsidRPr="00530D57">
        <w:t xml:space="preserve"> commented on </w:t>
      </w:r>
      <w:r w:rsidR="004535D1" w:rsidRPr="00530D57">
        <w:t>how that could be done</w:t>
      </w:r>
      <w:r w:rsidR="00F9448B" w:rsidRPr="00530D57">
        <w:t>, as discussed below.</w:t>
      </w:r>
    </w:p>
    <w:p w14:paraId="291C631D" w14:textId="77777777" w:rsidR="00D072C8" w:rsidRPr="00530D57" w:rsidRDefault="00D072C8" w:rsidP="002F5E4F">
      <w:pPr>
        <w:pStyle w:val="Numberedpara"/>
      </w:pPr>
      <w:r w:rsidRPr="00530D57">
        <w:t>The main reasons submitters gave for keeping the sentence aggravation model were:</w:t>
      </w:r>
    </w:p>
    <w:p w14:paraId="41132939" w14:textId="08D4D118" w:rsidR="00D072C8" w:rsidRPr="00530D57" w:rsidRDefault="771C8513" w:rsidP="00896331">
      <w:pPr>
        <w:pStyle w:val="Numberedpara"/>
        <w:numPr>
          <w:ilvl w:val="1"/>
          <w:numId w:val="71"/>
        </w:numPr>
        <w:rPr>
          <w:rFonts w:eastAsia="Times New Roman" w:cs="Times New Roman"/>
          <w:color w:val="0D0D0D" w:themeColor="text1" w:themeTint="F2"/>
          <w:szCs w:val="24"/>
          <w:lang w:eastAsia="en-AU"/>
        </w:rPr>
      </w:pPr>
      <w:r w:rsidRPr="00530D57">
        <w:rPr>
          <w:rFonts w:eastAsia="Times New Roman" w:cs="Times New Roman"/>
          <w:color w:val="0D0D0D" w:themeColor="text1" w:themeTint="F2"/>
          <w:lang w:eastAsia="en-AU"/>
        </w:rPr>
        <w:t>The sentence aggravation model is a sufficient or the preferable way to address hate crime in the law.</w:t>
      </w:r>
      <w:r w:rsidR="00D072C8" w:rsidRPr="00530D57">
        <w:rPr>
          <w:rFonts w:eastAsia="Times New Roman" w:cs="Times New Roman"/>
          <w:color w:val="262626" w:themeColor="text1" w:themeTint="D9"/>
          <w:sz w:val="18"/>
          <w:szCs w:val="18"/>
          <w:vertAlign w:val="superscript"/>
          <w:lang w:eastAsia="en-AU"/>
        </w:rPr>
        <w:footnoteReference w:id="225"/>
      </w:r>
      <w:r w:rsidRPr="00530D57">
        <w:rPr>
          <w:rFonts w:eastAsia="Times New Roman" w:cs="Times New Roman"/>
          <w:color w:val="0D0D0D" w:themeColor="text1" w:themeTint="F2"/>
          <w:lang w:eastAsia="en-AU"/>
        </w:rPr>
        <w:t xml:space="preserve"> </w:t>
      </w:r>
    </w:p>
    <w:p w14:paraId="172159CF" w14:textId="77777777" w:rsidR="00D072C8" w:rsidRPr="00530D57" w:rsidRDefault="771C8513" w:rsidP="00896331">
      <w:pPr>
        <w:pStyle w:val="Numberedpara"/>
        <w:numPr>
          <w:ilvl w:val="1"/>
          <w:numId w:val="71"/>
        </w:numPr>
        <w:rPr>
          <w:rFonts w:eastAsia="Times New Roman" w:cs="Times New Roman"/>
          <w:color w:val="0D0D0D" w:themeColor="text1" w:themeTint="F2"/>
          <w:szCs w:val="24"/>
          <w:lang w:eastAsia="en-AU"/>
        </w:rPr>
      </w:pPr>
      <w:r w:rsidRPr="00530D57">
        <w:rPr>
          <w:rFonts w:eastAsia="Times New Roman" w:cs="Times New Roman"/>
          <w:color w:val="0D0D0D" w:themeColor="text1" w:themeTint="F2"/>
          <w:lang w:eastAsia="en-AU"/>
        </w:rPr>
        <w:t>Any issues with how the law is working should be addressed through changes to practice and procedure or amendments to the existing law.</w:t>
      </w:r>
      <w:r w:rsidR="00D072C8" w:rsidRPr="00530D57">
        <w:rPr>
          <w:rFonts w:eastAsia="Times New Roman" w:cs="Times New Roman"/>
          <w:color w:val="262626" w:themeColor="text1" w:themeTint="D9"/>
          <w:sz w:val="18"/>
          <w:szCs w:val="18"/>
          <w:vertAlign w:val="superscript"/>
          <w:lang w:eastAsia="en-AU"/>
        </w:rPr>
        <w:footnoteReference w:id="226"/>
      </w:r>
    </w:p>
    <w:p w14:paraId="757F1577" w14:textId="77777777" w:rsidR="00D072C8" w:rsidRPr="00530D57" w:rsidRDefault="771C8513" w:rsidP="00896331">
      <w:pPr>
        <w:pStyle w:val="Numberedpara"/>
        <w:numPr>
          <w:ilvl w:val="1"/>
          <w:numId w:val="71"/>
        </w:numPr>
        <w:rPr>
          <w:rFonts w:eastAsia="Times New Roman" w:cs="Times New Roman"/>
          <w:color w:val="0D0D0D" w:themeColor="text1" w:themeTint="F2"/>
          <w:szCs w:val="24"/>
          <w:lang w:eastAsia="en-AU"/>
        </w:rPr>
      </w:pPr>
      <w:r w:rsidRPr="00530D57">
        <w:rPr>
          <w:rFonts w:eastAsia="Times New Roman" w:cs="Times New Roman"/>
          <w:color w:val="0D0D0D" w:themeColor="text1" w:themeTint="F2"/>
          <w:lang w:eastAsia="en-AU"/>
        </w:rPr>
        <w:t>No compelling reasons have been identified for changing the legal model.</w:t>
      </w:r>
      <w:r w:rsidR="00D072C8" w:rsidRPr="00530D57">
        <w:rPr>
          <w:rFonts w:eastAsia="Times New Roman" w:cs="Times New Roman"/>
          <w:color w:val="262626" w:themeColor="text1" w:themeTint="D9"/>
          <w:sz w:val="18"/>
          <w:szCs w:val="18"/>
          <w:vertAlign w:val="superscript"/>
          <w:lang w:eastAsia="en-AU"/>
        </w:rPr>
        <w:footnoteReference w:id="227"/>
      </w:r>
    </w:p>
    <w:p w14:paraId="27676A12" w14:textId="77777777" w:rsidR="00D072C8" w:rsidRPr="00530D57" w:rsidRDefault="771C8513" w:rsidP="00896331">
      <w:pPr>
        <w:pStyle w:val="Numberedpara"/>
        <w:numPr>
          <w:ilvl w:val="1"/>
          <w:numId w:val="71"/>
        </w:numPr>
        <w:rPr>
          <w:rFonts w:eastAsia="Times New Roman" w:cs="Times New Roman"/>
          <w:color w:val="0D0D0D" w:themeColor="text1" w:themeTint="F2"/>
          <w:szCs w:val="24"/>
          <w:lang w:eastAsia="en-AU"/>
        </w:rPr>
      </w:pPr>
      <w:r w:rsidRPr="00530D57">
        <w:rPr>
          <w:rFonts w:eastAsia="Times New Roman" w:cs="Times New Roman"/>
          <w:color w:val="0D0D0D" w:themeColor="text1" w:themeTint="F2"/>
          <w:lang w:eastAsia="en-AU"/>
        </w:rPr>
        <w:t>The current law is generally working well.</w:t>
      </w:r>
      <w:r w:rsidR="00D072C8" w:rsidRPr="00530D57">
        <w:rPr>
          <w:rFonts w:eastAsia="Times New Roman" w:cs="Times New Roman"/>
          <w:color w:val="262626" w:themeColor="text1" w:themeTint="D9"/>
          <w:sz w:val="18"/>
          <w:szCs w:val="18"/>
          <w:vertAlign w:val="superscript"/>
          <w:lang w:eastAsia="en-AU"/>
        </w:rPr>
        <w:footnoteReference w:id="228"/>
      </w:r>
    </w:p>
    <w:p w14:paraId="1DF86911" w14:textId="77777777" w:rsidR="00847466" w:rsidRPr="00530D57" w:rsidRDefault="38836534" w:rsidP="00896331">
      <w:pPr>
        <w:pStyle w:val="Numberedpara"/>
        <w:numPr>
          <w:ilvl w:val="1"/>
          <w:numId w:val="71"/>
        </w:numPr>
      </w:pPr>
      <w:r w:rsidRPr="00530D57">
        <w:t>Changing the legal model would not address the problems with how hate crime is dealt with.</w:t>
      </w:r>
      <w:r w:rsidR="00847466" w:rsidRPr="00530D57">
        <w:rPr>
          <w:vertAlign w:val="superscript"/>
        </w:rPr>
        <w:footnoteReference w:id="229"/>
      </w:r>
    </w:p>
    <w:p w14:paraId="1CF4FCD0" w14:textId="77777777" w:rsidR="00D072C8" w:rsidRPr="00530D57" w:rsidRDefault="771C8513" w:rsidP="00896331">
      <w:pPr>
        <w:pStyle w:val="Numberedpara"/>
        <w:numPr>
          <w:ilvl w:val="1"/>
          <w:numId w:val="71"/>
        </w:numPr>
        <w:rPr>
          <w:rFonts w:eastAsia="Times New Roman" w:cs="Times New Roman"/>
          <w:color w:val="0D0D0D" w:themeColor="text1" w:themeTint="F2"/>
          <w:szCs w:val="24"/>
          <w:lang w:eastAsia="en-AU"/>
        </w:rPr>
      </w:pPr>
      <w:r w:rsidRPr="0070461F">
        <w:t>Harsher</w:t>
      </w:r>
      <w:r w:rsidRPr="00530D57">
        <w:rPr>
          <w:rFonts w:eastAsia="Times New Roman" w:cs="Times New Roman"/>
          <w:color w:val="0D0D0D" w:themeColor="text1" w:themeTint="F2"/>
          <w:lang w:eastAsia="en-AU"/>
        </w:rPr>
        <w:t xml:space="preserve"> penalties will not address the underlying causes of hate crimes. Resources are better spent on prevention, rehabilitation and victim support.</w:t>
      </w:r>
      <w:r w:rsidR="00D072C8" w:rsidRPr="00530D57">
        <w:rPr>
          <w:rFonts w:eastAsia="Times New Roman" w:cs="Times New Roman"/>
          <w:color w:val="262626" w:themeColor="text1" w:themeTint="D9"/>
          <w:sz w:val="18"/>
          <w:szCs w:val="18"/>
          <w:vertAlign w:val="superscript"/>
          <w:lang w:eastAsia="en-AU"/>
        </w:rPr>
        <w:footnoteReference w:id="230"/>
      </w:r>
    </w:p>
    <w:p w14:paraId="7D936617" w14:textId="25C5E39B" w:rsidR="00D072C8" w:rsidRPr="00530D57" w:rsidRDefault="771C8513" w:rsidP="00896331">
      <w:pPr>
        <w:pStyle w:val="Numberedpara"/>
        <w:numPr>
          <w:ilvl w:val="1"/>
          <w:numId w:val="71"/>
        </w:numPr>
        <w:rPr>
          <w:rFonts w:eastAsia="Times New Roman" w:cs="Times New Roman"/>
          <w:color w:val="0D0D0D" w:themeColor="text1" w:themeTint="F2"/>
          <w:szCs w:val="24"/>
          <w:lang w:eastAsia="en-AU"/>
        </w:rPr>
      </w:pPr>
      <w:r w:rsidRPr="00530D57">
        <w:rPr>
          <w:rFonts w:eastAsia="Times New Roman" w:cs="Times New Roman"/>
          <w:color w:val="0D0D0D" w:themeColor="text1" w:themeTint="F2"/>
          <w:lang w:eastAsia="en-AU"/>
        </w:rPr>
        <w:lastRenderedPageBreak/>
        <w:t xml:space="preserve">More information is needed </w:t>
      </w:r>
      <w:r w:rsidR="7EC1BC8F" w:rsidRPr="00530D57">
        <w:rPr>
          <w:rFonts w:eastAsia="Times New Roman" w:cs="Times New Roman"/>
          <w:color w:val="0D0D0D" w:themeColor="text1" w:themeTint="F2"/>
          <w:lang w:eastAsia="en-AU"/>
        </w:rPr>
        <w:t>to assess how the current law is working</w:t>
      </w:r>
      <w:r w:rsidRPr="00530D57">
        <w:rPr>
          <w:rFonts w:eastAsia="Times New Roman" w:cs="Times New Roman"/>
          <w:color w:val="0D0D0D" w:themeColor="text1" w:themeTint="F2"/>
          <w:lang w:eastAsia="en-AU"/>
        </w:rPr>
        <w:t>.</w:t>
      </w:r>
      <w:r w:rsidR="00202D68" w:rsidRPr="00530D57">
        <w:rPr>
          <w:rFonts w:eastAsia="Times New Roman" w:cs="Times New Roman"/>
          <w:color w:val="262626" w:themeColor="text1" w:themeTint="D9"/>
          <w:sz w:val="18"/>
          <w:szCs w:val="18"/>
          <w:vertAlign w:val="superscript"/>
          <w:lang w:eastAsia="en-AU"/>
        </w:rPr>
        <w:footnoteReference w:id="231"/>
      </w:r>
      <w:r w:rsidRPr="00530D57">
        <w:rPr>
          <w:rFonts w:eastAsia="Times New Roman" w:cs="Times New Roman"/>
          <w:color w:val="0D0D0D" w:themeColor="text1" w:themeTint="F2"/>
          <w:lang w:eastAsia="en-AU"/>
        </w:rPr>
        <w:t xml:space="preserve"> Changes to allow better data collection should occur first before any changes are made to the legal model.</w:t>
      </w:r>
    </w:p>
    <w:p w14:paraId="1AC078D8" w14:textId="77777777" w:rsidR="00D072C8" w:rsidRPr="00530D57" w:rsidRDefault="00D072C8" w:rsidP="002F5E4F">
      <w:pPr>
        <w:pStyle w:val="Numberedpara"/>
      </w:pPr>
      <w:r w:rsidRPr="00530D57">
        <w:t>Submitters identified the following advantages of the sentence aggravation model:</w:t>
      </w:r>
    </w:p>
    <w:p w14:paraId="64E8ACF1" w14:textId="7A8CEC33" w:rsidR="00D072C8" w:rsidRPr="00530D57" w:rsidRDefault="771C8513" w:rsidP="00896331">
      <w:pPr>
        <w:pStyle w:val="Numberedpara"/>
        <w:numPr>
          <w:ilvl w:val="1"/>
          <w:numId w:val="71"/>
        </w:numPr>
        <w:rPr>
          <w:rFonts w:eastAsia="Times New Roman" w:cs="Times New Roman"/>
          <w:color w:val="0D0D0D" w:themeColor="text1" w:themeTint="F2"/>
          <w:szCs w:val="24"/>
          <w:lang w:eastAsia="en-AU"/>
        </w:rPr>
      </w:pPr>
      <w:r w:rsidRPr="00530D57">
        <w:rPr>
          <w:rFonts w:eastAsia="Times New Roman" w:cs="Times New Roman"/>
          <w:color w:val="0D0D0D" w:themeColor="text1" w:themeTint="F2"/>
          <w:lang w:eastAsia="en-AU"/>
        </w:rPr>
        <w:t xml:space="preserve">It is </w:t>
      </w:r>
      <w:r w:rsidR="7CA2153E" w:rsidRPr="00530D57">
        <w:rPr>
          <w:rFonts w:eastAsia="Times New Roman" w:cs="Times New Roman"/>
          <w:color w:val="0D0D0D" w:themeColor="text1" w:themeTint="F2"/>
          <w:lang w:eastAsia="en-AU"/>
        </w:rPr>
        <w:t xml:space="preserve">more </w:t>
      </w:r>
      <w:r w:rsidRPr="00530D57">
        <w:rPr>
          <w:rFonts w:eastAsia="Times New Roman" w:cs="Times New Roman"/>
          <w:color w:val="0D0D0D" w:themeColor="text1" w:themeTint="F2"/>
          <w:lang w:eastAsia="en-AU"/>
        </w:rPr>
        <w:t>flexible than alternative approaches.</w:t>
      </w:r>
      <w:r w:rsidR="00D072C8" w:rsidRPr="00530D57">
        <w:rPr>
          <w:rFonts w:eastAsia="Times New Roman" w:cs="Times New Roman"/>
          <w:color w:val="262626" w:themeColor="text1" w:themeTint="D9"/>
          <w:sz w:val="18"/>
          <w:szCs w:val="18"/>
          <w:vertAlign w:val="superscript"/>
          <w:lang w:eastAsia="en-AU"/>
        </w:rPr>
        <w:footnoteReference w:id="232"/>
      </w:r>
      <w:r w:rsidRPr="00530D57">
        <w:rPr>
          <w:rFonts w:eastAsia="Times New Roman" w:cs="Times New Roman"/>
          <w:color w:val="0D0D0D" w:themeColor="text1" w:themeTint="F2"/>
          <w:lang w:eastAsia="en-AU"/>
        </w:rPr>
        <w:t xml:space="preserve"> </w:t>
      </w:r>
    </w:p>
    <w:p w14:paraId="4D3F756A" w14:textId="77777777" w:rsidR="00D072C8" w:rsidRPr="00530D57" w:rsidRDefault="771C8513" w:rsidP="00896331">
      <w:pPr>
        <w:pStyle w:val="Numberedpara"/>
        <w:numPr>
          <w:ilvl w:val="1"/>
          <w:numId w:val="71"/>
        </w:numPr>
        <w:rPr>
          <w:rFonts w:eastAsia="Times New Roman" w:cs="Times New Roman"/>
          <w:color w:val="0D0D0D" w:themeColor="text1" w:themeTint="F2"/>
          <w:szCs w:val="24"/>
          <w:lang w:eastAsia="en-AU"/>
        </w:rPr>
      </w:pPr>
      <w:r w:rsidRPr="00530D57">
        <w:rPr>
          <w:rFonts w:eastAsia="Times New Roman" w:cs="Times New Roman"/>
          <w:color w:val="0D0D0D" w:themeColor="text1" w:themeTint="F2"/>
          <w:lang w:eastAsia="en-AU"/>
        </w:rPr>
        <w:t>It allows hate motivation to be considered in a way that protects individual rights (such as the right to freedom of expression).</w:t>
      </w:r>
      <w:r w:rsidR="00D072C8" w:rsidRPr="00530D57">
        <w:rPr>
          <w:rFonts w:eastAsia="Times New Roman" w:cs="Times New Roman"/>
          <w:color w:val="262626" w:themeColor="text1" w:themeTint="D9"/>
          <w:sz w:val="18"/>
          <w:szCs w:val="18"/>
          <w:vertAlign w:val="superscript"/>
          <w:lang w:eastAsia="en-AU"/>
        </w:rPr>
        <w:footnoteReference w:id="233"/>
      </w:r>
    </w:p>
    <w:p w14:paraId="16883183" w14:textId="77777777" w:rsidR="00D072C8" w:rsidRPr="00530D57" w:rsidRDefault="771C8513" w:rsidP="00896331">
      <w:pPr>
        <w:pStyle w:val="Numberedpara"/>
        <w:numPr>
          <w:ilvl w:val="1"/>
          <w:numId w:val="71"/>
        </w:numPr>
        <w:rPr>
          <w:rFonts w:eastAsia="Times New Roman" w:cs="Times New Roman"/>
          <w:color w:val="0D0D0D" w:themeColor="text1" w:themeTint="F2"/>
          <w:szCs w:val="24"/>
          <w:lang w:eastAsia="en-AU"/>
        </w:rPr>
      </w:pPr>
      <w:r w:rsidRPr="00530D57">
        <w:rPr>
          <w:rFonts w:eastAsia="Times New Roman" w:cs="Times New Roman"/>
          <w:color w:val="0D0D0D" w:themeColor="text1" w:themeTint="F2"/>
          <w:lang w:eastAsia="en-AU"/>
        </w:rPr>
        <w:t>It can apply to any offence.</w:t>
      </w:r>
      <w:r w:rsidR="00D072C8" w:rsidRPr="00530D57">
        <w:rPr>
          <w:rFonts w:eastAsia="Times New Roman" w:cs="Times New Roman"/>
          <w:color w:val="262626" w:themeColor="text1" w:themeTint="D9"/>
          <w:sz w:val="18"/>
          <w:szCs w:val="18"/>
          <w:vertAlign w:val="superscript"/>
          <w:lang w:eastAsia="en-AU"/>
        </w:rPr>
        <w:footnoteReference w:id="234"/>
      </w:r>
    </w:p>
    <w:p w14:paraId="01E02571" w14:textId="508C00FB" w:rsidR="00D072C8" w:rsidRPr="00530D57" w:rsidRDefault="771C8513" w:rsidP="00896331">
      <w:pPr>
        <w:pStyle w:val="Numberedpara"/>
        <w:numPr>
          <w:ilvl w:val="1"/>
          <w:numId w:val="71"/>
        </w:numPr>
        <w:rPr>
          <w:rFonts w:eastAsia="Times New Roman" w:cs="Times New Roman"/>
          <w:color w:val="0D0D0D" w:themeColor="text1" w:themeTint="F2"/>
          <w:szCs w:val="24"/>
          <w:lang w:eastAsia="en-AU"/>
        </w:rPr>
      </w:pPr>
      <w:r w:rsidRPr="00530D57">
        <w:rPr>
          <w:rFonts w:eastAsia="Times New Roman" w:cs="Times New Roman"/>
          <w:color w:val="0D0D0D" w:themeColor="text1" w:themeTint="F2"/>
          <w:lang w:eastAsia="en-AU"/>
        </w:rPr>
        <w:t xml:space="preserve">It satisfies the reasons </w:t>
      </w:r>
      <w:r w:rsidR="00E33C1C">
        <w:rPr>
          <w:rFonts w:eastAsia="Times New Roman" w:cs="Times New Roman"/>
          <w:color w:val="0D0D0D" w:themeColor="text1" w:themeTint="F2"/>
          <w:lang w:eastAsia="en-AU"/>
        </w:rPr>
        <w:t>for treating</w:t>
      </w:r>
      <w:r w:rsidRPr="00530D57">
        <w:rPr>
          <w:rFonts w:eastAsia="Times New Roman" w:cs="Times New Roman"/>
          <w:color w:val="0D0D0D" w:themeColor="text1" w:themeTint="F2"/>
          <w:lang w:eastAsia="en-AU"/>
        </w:rPr>
        <w:t xml:space="preserve"> hate crimes differently from other crimes.</w:t>
      </w:r>
      <w:r w:rsidR="00D072C8" w:rsidRPr="00530D57">
        <w:rPr>
          <w:rFonts w:eastAsia="Times New Roman" w:cs="Times New Roman"/>
          <w:color w:val="262626" w:themeColor="text1" w:themeTint="D9"/>
          <w:sz w:val="18"/>
          <w:szCs w:val="18"/>
          <w:vertAlign w:val="superscript"/>
          <w:lang w:eastAsia="en-AU"/>
        </w:rPr>
        <w:footnoteReference w:id="235"/>
      </w:r>
    </w:p>
    <w:p w14:paraId="0F091208" w14:textId="1DE64604" w:rsidR="00D072C8" w:rsidRPr="00530D57" w:rsidRDefault="771C8513" w:rsidP="00896331">
      <w:pPr>
        <w:pStyle w:val="Numberedpara"/>
        <w:numPr>
          <w:ilvl w:val="1"/>
          <w:numId w:val="71"/>
        </w:numPr>
        <w:rPr>
          <w:rFonts w:eastAsia="Times New Roman" w:cs="Times New Roman"/>
          <w:color w:val="0D0D0D" w:themeColor="text1" w:themeTint="F2"/>
          <w:szCs w:val="24"/>
          <w:lang w:eastAsia="en-AU"/>
        </w:rPr>
      </w:pPr>
      <w:r w:rsidRPr="00530D57">
        <w:rPr>
          <w:rFonts w:eastAsia="Times New Roman" w:cs="Times New Roman"/>
          <w:color w:val="0D0D0D" w:themeColor="text1" w:themeTint="F2"/>
          <w:lang w:eastAsia="en-AU"/>
        </w:rPr>
        <w:t>It allows hate crimes to be recognised and denounced without creating additional legal barriers to prosecution that may be introduced by the creation of specific hate crime</w:t>
      </w:r>
      <w:r w:rsidR="00E33C1C">
        <w:rPr>
          <w:rFonts w:eastAsia="Times New Roman" w:cs="Times New Roman"/>
          <w:color w:val="0D0D0D" w:themeColor="text1" w:themeTint="F2"/>
          <w:lang w:eastAsia="en-AU"/>
        </w:rPr>
        <w:t xml:space="preserve"> offences</w:t>
      </w:r>
      <w:r w:rsidRPr="00530D57">
        <w:rPr>
          <w:rFonts w:eastAsia="Times New Roman" w:cs="Times New Roman"/>
          <w:color w:val="0D0D0D" w:themeColor="text1" w:themeTint="F2"/>
          <w:lang w:eastAsia="en-AU"/>
        </w:rPr>
        <w:t>.</w:t>
      </w:r>
      <w:r w:rsidR="00D072C8" w:rsidRPr="00530D57">
        <w:rPr>
          <w:rFonts w:eastAsia="Times New Roman" w:cs="Times New Roman"/>
          <w:color w:val="262626" w:themeColor="text1" w:themeTint="D9"/>
          <w:sz w:val="18"/>
          <w:szCs w:val="18"/>
          <w:vertAlign w:val="superscript"/>
          <w:lang w:eastAsia="en-AU"/>
        </w:rPr>
        <w:footnoteReference w:id="236"/>
      </w:r>
    </w:p>
    <w:p w14:paraId="6A05764D" w14:textId="77777777" w:rsidR="00D072C8" w:rsidRPr="00530D57" w:rsidRDefault="00D072C8" w:rsidP="00F86617">
      <w:pPr>
        <w:pStyle w:val="Heading4"/>
        <w:rPr>
          <w:rFonts w:eastAsiaTheme="majorEastAsia"/>
        </w:rPr>
      </w:pPr>
      <w:r w:rsidRPr="00530D57">
        <w:rPr>
          <w:rFonts w:eastAsiaTheme="majorEastAsia"/>
        </w:rPr>
        <w:t>Other responses</w:t>
      </w:r>
    </w:p>
    <w:p w14:paraId="6E985E0F" w14:textId="35A0677B" w:rsidR="00D072C8" w:rsidRPr="00530D57" w:rsidRDefault="00D072C8" w:rsidP="002F5E4F">
      <w:pPr>
        <w:pStyle w:val="Numberedpara"/>
      </w:pPr>
      <w:r w:rsidRPr="00530D57">
        <w:t xml:space="preserve">As we discuss </w:t>
      </w:r>
      <w:r w:rsidR="000F4E3A" w:rsidRPr="00530D57">
        <w:t>in the next chapter</w:t>
      </w:r>
      <w:r w:rsidR="00AD6192" w:rsidRPr="00530D57">
        <w:t>,</w:t>
      </w:r>
      <w:r w:rsidR="00623151" w:rsidRPr="00530D57">
        <w:t xml:space="preserve"> </w:t>
      </w:r>
      <w:r w:rsidR="008103CE" w:rsidRPr="00530D57">
        <w:t>n</w:t>
      </w:r>
      <w:r w:rsidR="002B3590" w:rsidRPr="00530D57">
        <w:t>ineteen</w:t>
      </w:r>
      <w:r w:rsidRPr="00530D57">
        <w:t xml:space="preserve"> submitters thought a different legal model should be adopted. </w:t>
      </w:r>
      <w:r w:rsidR="00FB3E04" w:rsidRPr="00530D57">
        <w:t>Many</w:t>
      </w:r>
      <w:r w:rsidRPr="00530D57">
        <w:t xml:space="preserve"> of these submitters did not specifically comment on why any problems with the current law could not be addressed </w:t>
      </w:r>
      <w:r w:rsidR="008C745F" w:rsidRPr="00530D57">
        <w:t>under</w:t>
      </w:r>
      <w:r w:rsidRPr="00530D57">
        <w:t xml:space="preserve"> the sentence aggravation model. </w:t>
      </w:r>
    </w:p>
    <w:p w14:paraId="665D497A" w14:textId="5F43FE1C" w:rsidR="00D072C8" w:rsidRPr="00530D57" w:rsidRDefault="771C8513" w:rsidP="002F5E4F">
      <w:pPr>
        <w:pStyle w:val="Numberedpara"/>
      </w:pPr>
      <w:r w:rsidRPr="00530D57">
        <w:t>Four submitters thought the aggravating factor in the Sentencing Act should be repealed and not replaced with any other hate crime law.</w:t>
      </w:r>
      <w:r w:rsidR="008A34E4" w:rsidRPr="00530D57">
        <w:rPr>
          <w:rStyle w:val="FootnoteReference"/>
        </w:rPr>
        <w:footnoteReference w:id="237"/>
      </w:r>
      <w:r w:rsidRPr="00530D57">
        <w:t xml:space="preserve"> Most did not give reasons. One was concerned that any hate crime law, including the sentence aggravation model, is open to abuse and ideological bias.</w:t>
      </w:r>
      <w:r w:rsidR="00D072C8" w:rsidRPr="00530D57">
        <w:rPr>
          <w:color w:val="262626" w:themeColor="text1" w:themeTint="D9"/>
          <w:sz w:val="18"/>
          <w:szCs w:val="18"/>
          <w:vertAlign w:val="superscript"/>
        </w:rPr>
        <w:footnoteReference w:id="238"/>
      </w:r>
    </w:p>
    <w:p w14:paraId="05B8E146" w14:textId="4B468E31" w:rsidR="00A93C33" w:rsidRPr="00530D57" w:rsidRDefault="00A93C33" w:rsidP="002F5E4F">
      <w:pPr>
        <w:pStyle w:val="Numberedpara"/>
      </w:pPr>
      <w:r w:rsidRPr="00530D57">
        <w:t xml:space="preserve">The remaining submitters did not express a clear view on whether </w:t>
      </w:r>
      <w:r w:rsidR="00CB3370" w:rsidRPr="00530D57">
        <w:t>any problems with the current law could be addressed under the sentence aggravation model.</w:t>
      </w:r>
    </w:p>
    <w:p w14:paraId="4C6600FA" w14:textId="58297ED5" w:rsidR="00D072C8" w:rsidRPr="00530D57" w:rsidRDefault="00D072C8" w:rsidP="002F5E4F">
      <w:pPr>
        <w:pStyle w:val="Numberedpara"/>
      </w:pPr>
      <w:r w:rsidRPr="00530D57">
        <w:t xml:space="preserve">Some submitters who supported changing the legal model or who did not express a clear view still commented on how the operation of the current legal model could be improved if it is kept. This feedback is included in the discussion of specific issues below. </w:t>
      </w:r>
    </w:p>
    <w:p w14:paraId="00404D84" w14:textId="77777777" w:rsidR="00D072C8" w:rsidRPr="00530D57" w:rsidRDefault="00D072C8" w:rsidP="00F41014">
      <w:pPr>
        <w:pStyle w:val="Heading2"/>
        <w:rPr>
          <w:rFonts w:eastAsiaTheme="majorEastAsia"/>
        </w:rPr>
      </w:pPr>
      <w:bookmarkStart w:id="44" w:name="_Toc207093265"/>
      <w:r w:rsidRPr="00530D57">
        <w:rPr>
          <w:rFonts w:eastAsiaTheme="majorEastAsia"/>
        </w:rPr>
        <w:t>Denouncing hate crime</w:t>
      </w:r>
      <w:bookmarkEnd w:id="44"/>
    </w:p>
    <w:p w14:paraId="4242677A" w14:textId="2022F8AB" w:rsidR="007333BF" w:rsidRPr="00530D57" w:rsidRDefault="007333BF" w:rsidP="002F5E4F">
      <w:pPr>
        <w:pStyle w:val="Numberedpara"/>
      </w:pPr>
      <w:r w:rsidRPr="00530D57">
        <w:rPr>
          <w:rFonts w:eastAsiaTheme="majorEastAsia"/>
        </w:rPr>
        <w:t xml:space="preserve">In the Consultation Paper, we explained that some </w:t>
      </w:r>
      <w:r w:rsidR="00853340" w:rsidRPr="00530D57">
        <w:rPr>
          <w:rFonts w:eastAsiaTheme="majorEastAsia"/>
        </w:rPr>
        <w:t>people may think the current law does not do enough to denounce hate crimes or show they are taken seriously</w:t>
      </w:r>
      <w:r w:rsidR="009C3D0A" w:rsidRPr="00530D57">
        <w:rPr>
          <w:rFonts w:eastAsiaTheme="majorEastAsia"/>
        </w:rPr>
        <w:t xml:space="preserve">. We </w:t>
      </w:r>
      <w:r w:rsidR="0019155E" w:rsidRPr="00530D57">
        <w:rPr>
          <w:rFonts w:eastAsiaTheme="majorEastAsia"/>
        </w:rPr>
        <w:t>suggested</w:t>
      </w:r>
      <w:r w:rsidR="009C3D0A" w:rsidRPr="00530D57">
        <w:rPr>
          <w:rFonts w:eastAsiaTheme="majorEastAsia"/>
        </w:rPr>
        <w:t xml:space="preserve"> </w:t>
      </w:r>
      <w:r w:rsidR="0019155E" w:rsidRPr="00530D57">
        <w:rPr>
          <w:rFonts w:eastAsiaTheme="majorEastAsia"/>
        </w:rPr>
        <w:lastRenderedPageBreak/>
        <w:t>options</w:t>
      </w:r>
      <w:r w:rsidR="009C3D0A" w:rsidRPr="00530D57">
        <w:rPr>
          <w:rFonts w:eastAsiaTheme="majorEastAsia"/>
        </w:rPr>
        <w:t xml:space="preserve"> to s</w:t>
      </w:r>
      <w:r w:rsidR="00D66ABF" w:rsidRPr="00530D57">
        <w:rPr>
          <w:rFonts w:eastAsiaTheme="majorEastAsia"/>
        </w:rPr>
        <w:t>trengthen the denunciatory effect of the sentence aggravation model if that is needed.</w:t>
      </w:r>
      <w:r w:rsidR="008557D2" w:rsidRPr="00530D57">
        <w:rPr>
          <w:rFonts w:eastAsiaTheme="majorEastAsia"/>
        </w:rPr>
        <w:t xml:space="preserve"> </w:t>
      </w:r>
    </w:p>
    <w:p w14:paraId="0C3AF427" w14:textId="77777777" w:rsidR="00D072C8" w:rsidRPr="00530D57" w:rsidRDefault="00D072C8" w:rsidP="00593CFA">
      <w:pPr>
        <w:pStyle w:val="Heading3"/>
        <w:rPr>
          <w:rFonts w:eastAsiaTheme="majorEastAsia"/>
        </w:rPr>
      </w:pPr>
      <w:r w:rsidRPr="00530D57">
        <w:rPr>
          <w:rFonts w:eastAsiaTheme="majorEastAsia"/>
        </w:rPr>
        <w:t>Is there a problem?</w:t>
      </w:r>
    </w:p>
    <w:p w14:paraId="23F6A3AD" w14:textId="233236F3" w:rsidR="008D3C11" w:rsidRPr="00530D57" w:rsidRDefault="0FE2AAE9" w:rsidP="002F5E4F">
      <w:pPr>
        <w:pStyle w:val="Numberedpara"/>
      </w:pPr>
      <w:r w:rsidRPr="00530D57">
        <w:t>Fourteen submitters discussed whether the current law adequately denounces hate crime.</w:t>
      </w:r>
      <w:r w:rsidR="008D3C11" w:rsidRPr="00530D57">
        <w:rPr>
          <w:rStyle w:val="FootnoteReference"/>
        </w:rPr>
        <w:footnoteReference w:id="239"/>
      </w:r>
    </w:p>
    <w:p w14:paraId="7BD0F27A" w14:textId="6F9D2EE3" w:rsidR="008D3C11" w:rsidRPr="00530D57" w:rsidRDefault="0FE2AAE9" w:rsidP="008D3C11">
      <w:pPr>
        <w:pStyle w:val="Numberedpara"/>
      </w:pPr>
      <w:r w:rsidRPr="00530D57">
        <w:t>Two submitters considered the sentence aggravation model does not do enough to denounce hate crime.</w:t>
      </w:r>
      <w:r w:rsidR="008D3C11" w:rsidRPr="00530D57">
        <w:rPr>
          <w:color w:val="262626" w:themeColor="text1" w:themeTint="D9"/>
          <w:sz w:val="18"/>
          <w:szCs w:val="18"/>
          <w:vertAlign w:val="superscript"/>
        </w:rPr>
        <w:footnoteReference w:id="240"/>
      </w:r>
      <w:r w:rsidRPr="00530D57">
        <w:t xml:space="preserve"> One of these submitters added that it</w:t>
      </w:r>
      <w:r w:rsidRPr="00530D57" w:rsidDel="008D3C11">
        <w:t xml:space="preserve"> </w:t>
      </w:r>
      <w:r w:rsidRPr="00530D57">
        <w:t>does not contribute to public education and conversations that can provide the impetus to challenge and reduce hate crime.</w:t>
      </w:r>
      <w:r w:rsidR="008D3C11" w:rsidRPr="00530D57">
        <w:rPr>
          <w:color w:val="262626" w:themeColor="text1" w:themeTint="D9"/>
          <w:sz w:val="18"/>
          <w:szCs w:val="18"/>
          <w:vertAlign w:val="superscript"/>
        </w:rPr>
        <w:footnoteReference w:id="241"/>
      </w:r>
    </w:p>
    <w:p w14:paraId="4CB53CAE" w14:textId="0134225F" w:rsidR="00D072C8" w:rsidRPr="00530D57" w:rsidRDefault="00D072C8" w:rsidP="002F5E4F">
      <w:pPr>
        <w:pStyle w:val="Numberedpara"/>
      </w:pPr>
      <w:r w:rsidRPr="00530D57">
        <w:t>Some submitters identified features of the current law and how it is applied that may limit its denunciatory effect</w:t>
      </w:r>
      <w:r w:rsidR="00D55DBD" w:rsidRPr="00530D57">
        <w:t>. They said</w:t>
      </w:r>
      <w:r w:rsidRPr="00530D57">
        <w:t>:</w:t>
      </w:r>
    </w:p>
    <w:p w14:paraId="5FE5C81C" w14:textId="77777777" w:rsidR="00D072C8" w:rsidRPr="00530D57" w:rsidRDefault="771C8513" w:rsidP="00896331">
      <w:pPr>
        <w:pStyle w:val="Numberedpara"/>
        <w:numPr>
          <w:ilvl w:val="1"/>
          <w:numId w:val="71"/>
        </w:numPr>
        <w:rPr>
          <w:rFonts w:eastAsia="Times New Roman" w:cs="Times New Roman"/>
          <w:color w:val="0D0D0D" w:themeColor="text1" w:themeTint="F2"/>
          <w:szCs w:val="24"/>
          <w:lang w:eastAsia="en-AU"/>
        </w:rPr>
      </w:pPr>
      <w:r w:rsidRPr="00530D57">
        <w:rPr>
          <w:rFonts w:eastAsia="Times New Roman" w:cs="Times New Roman"/>
          <w:color w:val="0D0D0D" w:themeColor="text1" w:themeTint="F2"/>
          <w:lang w:eastAsia="en-AU"/>
        </w:rPr>
        <w:t>The law does not require hate motivation to be clearly communicated and recorded (for example, in sentencing notes, statistics and the offender’s conviction history).</w:t>
      </w:r>
      <w:r w:rsidR="00D072C8" w:rsidRPr="00530D57">
        <w:rPr>
          <w:rFonts w:eastAsia="Times New Roman" w:cs="Times New Roman"/>
          <w:color w:val="262626" w:themeColor="text1" w:themeTint="D9"/>
          <w:sz w:val="18"/>
          <w:szCs w:val="18"/>
          <w:vertAlign w:val="superscript"/>
          <w:lang w:eastAsia="en-AU"/>
        </w:rPr>
        <w:footnoteReference w:id="242"/>
      </w:r>
    </w:p>
    <w:p w14:paraId="0D3ABF67" w14:textId="77777777" w:rsidR="00D072C8" w:rsidRPr="00530D57" w:rsidRDefault="771C8513" w:rsidP="00896331">
      <w:pPr>
        <w:pStyle w:val="Numberedpara"/>
        <w:numPr>
          <w:ilvl w:val="1"/>
          <w:numId w:val="71"/>
        </w:numPr>
        <w:rPr>
          <w:rFonts w:eastAsia="Times New Roman" w:cs="Times New Roman"/>
          <w:color w:val="0D0D0D" w:themeColor="text1" w:themeTint="F2"/>
          <w:szCs w:val="24"/>
          <w:lang w:eastAsia="en-AU"/>
        </w:rPr>
      </w:pPr>
      <w:r w:rsidRPr="00530D57">
        <w:rPr>
          <w:rFonts w:eastAsia="Times New Roman" w:cs="Times New Roman"/>
          <w:color w:val="0D0D0D" w:themeColor="text1" w:themeTint="F2"/>
          <w:lang w:eastAsia="en-AU"/>
        </w:rPr>
        <w:t>It is unclear from sentencing decisions whether and to what extent the offender’s hate motivation affected the sentence imposed.</w:t>
      </w:r>
      <w:r w:rsidR="00D072C8" w:rsidRPr="00530D57">
        <w:rPr>
          <w:rFonts w:eastAsia="Times New Roman" w:cs="Times New Roman"/>
          <w:color w:val="262626" w:themeColor="text1" w:themeTint="D9"/>
          <w:sz w:val="18"/>
          <w:szCs w:val="18"/>
          <w:vertAlign w:val="superscript"/>
          <w:lang w:eastAsia="en-AU"/>
        </w:rPr>
        <w:footnoteReference w:id="243"/>
      </w:r>
    </w:p>
    <w:p w14:paraId="4FE6C6AD" w14:textId="77777777" w:rsidR="002818AD" w:rsidRPr="00530D57" w:rsidRDefault="35E13343" w:rsidP="00896331">
      <w:pPr>
        <w:pStyle w:val="Numberedpara"/>
        <w:numPr>
          <w:ilvl w:val="1"/>
          <w:numId w:val="71"/>
        </w:numPr>
      </w:pPr>
      <w:r w:rsidRPr="00530D57">
        <w:t>Inconsistent judicial treatment of hate crimes could suggest that sentences being handed down may not be sufficient to signal public condemnation of hate crime offending.</w:t>
      </w:r>
      <w:r w:rsidR="002818AD" w:rsidRPr="00530D57">
        <w:rPr>
          <w:rStyle w:val="FootnoteReference"/>
        </w:rPr>
        <w:footnoteReference w:id="244"/>
      </w:r>
    </w:p>
    <w:p w14:paraId="66DDF99C" w14:textId="77777777" w:rsidR="00D072C8" w:rsidRPr="00530D57" w:rsidRDefault="771C8513" w:rsidP="00896331">
      <w:pPr>
        <w:pStyle w:val="Numberedpara"/>
        <w:numPr>
          <w:ilvl w:val="1"/>
          <w:numId w:val="71"/>
        </w:numPr>
      </w:pPr>
      <w:r w:rsidRPr="00530D57">
        <w:t>There is a lack of media attention on cases where hostility is treated as an aggravating factor.</w:t>
      </w:r>
      <w:r w:rsidR="00D072C8" w:rsidRPr="00530D57">
        <w:rPr>
          <w:color w:val="262626" w:themeColor="text1" w:themeTint="D9"/>
          <w:sz w:val="18"/>
          <w:szCs w:val="18"/>
          <w:vertAlign w:val="superscript"/>
        </w:rPr>
        <w:footnoteReference w:id="245"/>
      </w:r>
    </w:p>
    <w:p w14:paraId="52A889A3" w14:textId="6DD1DEE5" w:rsidR="00D072C8" w:rsidRPr="00530D57" w:rsidRDefault="00D072C8" w:rsidP="002F5E4F">
      <w:pPr>
        <w:pStyle w:val="Numberedpara"/>
      </w:pPr>
      <w:r w:rsidRPr="00530D57">
        <w:t xml:space="preserve">Other submitters </w:t>
      </w:r>
      <w:r w:rsidR="00001AD3">
        <w:t>responded to</w:t>
      </w:r>
      <w:r w:rsidRPr="00530D57">
        <w:t xml:space="preserve"> concerns </w:t>
      </w:r>
      <w:r w:rsidR="00AB1A81">
        <w:t>about</w:t>
      </w:r>
      <w:r w:rsidR="00AB1A81" w:rsidRPr="00530D57">
        <w:t xml:space="preserve"> </w:t>
      </w:r>
      <w:r w:rsidRPr="00530D57">
        <w:t>inadequate denunciation:</w:t>
      </w:r>
    </w:p>
    <w:p w14:paraId="26B503E3" w14:textId="77777777" w:rsidR="00D072C8" w:rsidRPr="00530D57" w:rsidRDefault="771C8513" w:rsidP="00896331">
      <w:pPr>
        <w:pStyle w:val="Numberedpara"/>
        <w:numPr>
          <w:ilvl w:val="1"/>
          <w:numId w:val="71"/>
        </w:numPr>
        <w:rPr>
          <w:rFonts w:eastAsia="Times New Roman" w:cs="Times New Roman"/>
          <w:color w:val="0D0D0D" w:themeColor="text1" w:themeTint="F2"/>
          <w:szCs w:val="24"/>
          <w:lang w:eastAsia="en-AU"/>
        </w:rPr>
      </w:pPr>
      <w:r w:rsidRPr="00530D57">
        <w:rPr>
          <w:rFonts w:eastAsia="Times New Roman" w:cs="Times New Roman"/>
          <w:color w:val="0D0D0D" w:themeColor="text1" w:themeTint="F2"/>
          <w:lang w:eastAsia="en-AU"/>
        </w:rPr>
        <w:t>Three submitters emphasised that denunciation can be achieved through sentencing, as the current law already provides for</w:t>
      </w:r>
      <w:r w:rsidR="00D072C8" w:rsidRPr="00530D57">
        <w:rPr>
          <w:rFonts w:eastAsia="Times New Roman" w:cs="Times New Roman"/>
          <w:color w:val="262626" w:themeColor="text1" w:themeTint="D9"/>
          <w:sz w:val="18"/>
          <w:szCs w:val="18"/>
          <w:vertAlign w:val="superscript"/>
          <w:lang w:eastAsia="en-AU"/>
        </w:rPr>
        <w:footnoteReference w:id="246"/>
      </w:r>
      <w:r w:rsidRPr="00530D57">
        <w:rPr>
          <w:rFonts w:eastAsia="Times New Roman" w:cs="Times New Roman"/>
          <w:color w:val="0D0D0D" w:themeColor="text1" w:themeTint="F2"/>
          <w:lang w:eastAsia="en-AU"/>
        </w:rPr>
        <w:t xml:space="preserve"> (although one suggested some improvements to sentencing practice and procedure</w:t>
      </w:r>
      <w:r w:rsidR="00D072C8" w:rsidRPr="00530D57">
        <w:rPr>
          <w:rFonts w:eastAsia="Times New Roman" w:cs="Times New Roman"/>
          <w:color w:val="262626" w:themeColor="text1" w:themeTint="D9"/>
          <w:sz w:val="18"/>
          <w:szCs w:val="18"/>
          <w:vertAlign w:val="superscript"/>
          <w:lang w:eastAsia="en-AU"/>
        </w:rPr>
        <w:footnoteReference w:id="247"/>
      </w:r>
      <w:r w:rsidRPr="00530D57">
        <w:rPr>
          <w:rFonts w:eastAsia="Times New Roman" w:cs="Times New Roman"/>
          <w:color w:val="0D0D0D" w:themeColor="text1" w:themeTint="F2"/>
          <w:lang w:eastAsia="en-AU"/>
        </w:rPr>
        <w:t xml:space="preserve">). </w:t>
      </w:r>
    </w:p>
    <w:p w14:paraId="0962F4DC" w14:textId="798A58EB" w:rsidR="00D072C8" w:rsidRPr="00530D57" w:rsidRDefault="009E6E90" w:rsidP="00896331">
      <w:pPr>
        <w:pStyle w:val="Numberedpara"/>
        <w:numPr>
          <w:ilvl w:val="1"/>
          <w:numId w:val="71"/>
        </w:numPr>
        <w:rPr>
          <w:rFonts w:eastAsia="Times New Roman" w:cs="Times New Roman"/>
          <w:color w:val="0D0D0D" w:themeColor="text1" w:themeTint="F2"/>
          <w:szCs w:val="24"/>
          <w:lang w:eastAsia="en-AU"/>
        </w:rPr>
      </w:pPr>
      <w:r w:rsidRPr="00530D57">
        <w:t>Te Tari Ture o te Karauna | Crown Law</w:t>
      </w:r>
      <w:r w:rsidRPr="00530D57" w:rsidDel="009E6E90">
        <w:rPr>
          <w:rFonts w:eastAsia="Times New Roman" w:cs="Times New Roman"/>
          <w:color w:val="0D0D0D" w:themeColor="text1" w:themeTint="F2"/>
          <w:szCs w:val="24"/>
          <w:lang w:eastAsia="en-AU"/>
        </w:rPr>
        <w:t xml:space="preserve"> </w:t>
      </w:r>
      <w:r w:rsidR="00D072C8" w:rsidRPr="00530D57">
        <w:rPr>
          <w:rFonts w:eastAsia="Times New Roman" w:cs="Times New Roman"/>
          <w:color w:val="0D0D0D" w:themeColor="text1" w:themeTint="F2"/>
          <w:szCs w:val="24"/>
          <w:lang w:eastAsia="en-AU"/>
        </w:rPr>
        <w:t xml:space="preserve">noted aggravating factors are usually spelled out in sentencing decisions for more serious crimes. </w:t>
      </w:r>
      <w:r w:rsidRPr="00530D57">
        <w:t>Ratonga Wawao ā-Tūmatanui | Public Defence Service</w:t>
      </w:r>
      <w:r w:rsidRPr="00530D57" w:rsidDel="009E6E90">
        <w:rPr>
          <w:rFonts w:eastAsia="Times New Roman" w:cs="Times New Roman"/>
          <w:color w:val="0D0D0D" w:themeColor="text1" w:themeTint="F2"/>
          <w:szCs w:val="24"/>
          <w:lang w:eastAsia="en-AU"/>
        </w:rPr>
        <w:t xml:space="preserve"> </w:t>
      </w:r>
      <w:r w:rsidR="00D072C8" w:rsidRPr="00530D57">
        <w:rPr>
          <w:rFonts w:eastAsia="Times New Roman" w:cs="Times New Roman"/>
          <w:color w:val="0D0D0D" w:themeColor="text1" w:themeTint="F2"/>
          <w:szCs w:val="24"/>
          <w:lang w:eastAsia="en-AU"/>
        </w:rPr>
        <w:t xml:space="preserve">thought hate motivation </w:t>
      </w:r>
      <w:r w:rsidR="00E96A96" w:rsidRPr="00530D57">
        <w:rPr>
          <w:rFonts w:eastAsia="Times New Roman" w:cs="Times New Roman"/>
          <w:color w:val="0D0D0D" w:themeColor="text1" w:themeTint="F2"/>
          <w:szCs w:val="24"/>
          <w:lang w:eastAsia="en-AU"/>
        </w:rPr>
        <w:t xml:space="preserve">is </w:t>
      </w:r>
      <w:r w:rsidR="00D072C8" w:rsidRPr="00530D57">
        <w:rPr>
          <w:rFonts w:eastAsia="Times New Roman" w:cs="Times New Roman"/>
          <w:color w:val="0D0D0D" w:themeColor="text1" w:themeTint="F2"/>
          <w:szCs w:val="24"/>
          <w:lang w:eastAsia="en-AU"/>
        </w:rPr>
        <w:t xml:space="preserve">particularly likely to be mentioned </w:t>
      </w:r>
      <w:r w:rsidR="00E96A96" w:rsidRPr="00530D57">
        <w:rPr>
          <w:rFonts w:eastAsia="Times New Roman" w:cs="Times New Roman"/>
          <w:color w:val="0D0D0D" w:themeColor="text1" w:themeTint="F2"/>
          <w:szCs w:val="24"/>
          <w:lang w:eastAsia="en-AU"/>
        </w:rPr>
        <w:t xml:space="preserve">because </w:t>
      </w:r>
      <w:r w:rsidR="006C39E4" w:rsidRPr="00530D57">
        <w:rPr>
          <w:rFonts w:eastAsia="Times New Roman" w:cs="Times New Roman"/>
          <w:color w:val="0D0D0D" w:themeColor="text1" w:themeTint="F2"/>
          <w:szCs w:val="24"/>
          <w:lang w:eastAsia="en-AU"/>
        </w:rPr>
        <w:t xml:space="preserve">its </w:t>
      </w:r>
      <w:r w:rsidR="00DA5D41" w:rsidRPr="00530D57">
        <w:rPr>
          <w:rFonts w:eastAsia="Times New Roman" w:cs="Times New Roman"/>
          <w:color w:val="0D0D0D" w:themeColor="text1" w:themeTint="F2"/>
          <w:szCs w:val="24"/>
          <w:lang w:eastAsia="en-AU"/>
        </w:rPr>
        <w:t xml:space="preserve">circumstances </w:t>
      </w:r>
      <w:r w:rsidR="00F57376" w:rsidRPr="00530D57">
        <w:rPr>
          <w:rFonts w:eastAsia="Times New Roman" w:cs="Times New Roman"/>
          <w:color w:val="0D0D0D" w:themeColor="text1" w:themeTint="F2"/>
          <w:szCs w:val="24"/>
          <w:lang w:eastAsia="en-AU"/>
        </w:rPr>
        <w:t>are “</w:t>
      </w:r>
      <w:r w:rsidR="00D072C8" w:rsidRPr="00530D57">
        <w:rPr>
          <w:rFonts w:eastAsia="Times New Roman" w:cs="Times New Roman"/>
          <w:color w:val="0D0D0D" w:themeColor="text1" w:themeTint="F2"/>
          <w:szCs w:val="24"/>
          <w:lang w:eastAsia="en-AU"/>
        </w:rPr>
        <w:t>quite unique</w:t>
      </w:r>
      <w:r w:rsidR="00F57376" w:rsidRPr="00530D57">
        <w:rPr>
          <w:rFonts w:eastAsia="Times New Roman" w:cs="Times New Roman"/>
          <w:color w:val="0D0D0D" w:themeColor="text1" w:themeTint="F2"/>
          <w:szCs w:val="24"/>
          <w:lang w:eastAsia="en-AU"/>
        </w:rPr>
        <w:t>”</w:t>
      </w:r>
      <w:r w:rsidR="00D072C8" w:rsidRPr="00530D57">
        <w:rPr>
          <w:rFonts w:eastAsia="Times New Roman" w:cs="Times New Roman"/>
          <w:color w:val="0D0D0D" w:themeColor="text1" w:themeTint="F2"/>
          <w:szCs w:val="24"/>
          <w:lang w:eastAsia="en-AU"/>
        </w:rPr>
        <w:t>.</w:t>
      </w:r>
    </w:p>
    <w:p w14:paraId="345843C9" w14:textId="3D9F4F19" w:rsidR="00D072C8" w:rsidRPr="00530D57" w:rsidRDefault="00D072C8" w:rsidP="00896331">
      <w:pPr>
        <w:pStyle w:val="Numberedpara"/>
        <w:numPr>
          <w:ilvl w:val="1"/>
          <w:numId w:val="71"/>
        </w:numPr>
        <w:rPr>
          <w:rFonts w:eastAsia="Times New Roman" w:cs="Times New Roman"/>
          <w:color w:val="0D0D0D" w:themeColor="text1" w:themeTint="F2"/>
          <w:szCs w:val="24"/>
          <w:lang w:eastAsia="en-AU"/>
        </w:rPr>
      </w:pPr>
      <w:r w:rsidRPr="00530D57">
        <w:rPr>
          <w:rFonts w:eastAsia="Times New Roman" w:cs="Times New Roman"/>
          <w:color w:val="0D0D0D" w:themeColor="text1" w:themeTint="F2"/>
          <w:szCs w:val="24"/>
          <w:lang w:eastAsia="en-AU"/>
        </w:rPr>
        <w:lastRenderedPageBreak/>
        <w:t xml:space="preserve">The Public Defence Service said judges </w:t>
      </w:r>
      <w:r w:rsidR="00E96A96" w:rsidRPr="00530D57">
        <w:rPr>
          <w:rFonts w:eastAsia="Times New Roman" w:cs="Times New Roman"/>
          <w:color w:val="0D0D0D" w:themeColor="text1" w:themeTint="F2"/>
          <w:szCs w:val="24"/>
          <w:lang w:eastAsia="en-AU"/>
        </w:rPr>
        <w:t xml:space="preserve">are </w:t>
      </w:r>
      <w:r w:rsidRPr="00530D57">
        <w:rPr>
          <w:rFonts w:eastAsia="Times New Roman" w:cs="Times New Roman"/>
          <w:color w:val="0D0D0D" w:themeColor="text1" w:themeTint="F2"/>
          <w:szCs w:val="24"/>
          <w:lang w:eastAsia="en-AU"/>
        </w:rPr>
        <w:t>picking up instances of repeat hate-motivated offending even though it is not recorded in the offender’s criminal record.</w:t>
      </w:r>
    </w:p>
    <w:p w14:paraId="392D41C6" w14:textId="4B1F6268" w:rsidR="00D072C8" w:rsidRPr="00530D57" w:rsidRDefault="771C8513" w:rsidP="00896331">
      <w:pPr>
        <w:pStyle w:val="Numberedpara"/>
        <w:numPr>
          <w:ilvl w:val="1"/>
          <w:numId w:val="71"/>
        </w:numPr>
        <w:rPr>
          <w:rFonts w:eastAsia="Times New Roman" w:cs="Times New Roman"/>
          <w:color w:val="0D0D0D" w:themeColor="text1" w:themeTint="F2"/>
          <w:szCs w:val="24"/>
          <w:lang w:eastAsia="en-AU"/>
        </w:rPr>
      </w:pPr>
      <w:r w:rsidRPr="0070461F">
        <w:t>Two</w:t>
      </w:r>
      <w:r w:rsidRPr="00530D57">
        <w:rPr>
          <w:rFonts w:eastAsia="Times New Roman" w:cs="Times New Roman"/>
          <w:color w:val="0D0D0D" w:themeColor="text1" w:themeTint="F2"/>
          <w:lang w:eastAsia="en-AU"/>
        </w:rPr>
        <w:t xml:space="preserve"> submitters did not think there </w:t>
      </w:r>
      <w:r w:rsidR="006E3E6F">
        <w:rPr>
          <w:rFonts w:eastAsia="Times New Roman" w:cs="Times New Roman"/>
          <w:color w:val="0D0D0D" w:themeColor="text1" w:themeTint="F2"/>
          <w:lang w:eastAsia="en-AU"/>
        </w:rPr>
        <w:t>is</w:t>
      </w:r>
      <w:r w:rsidR="006E3E6F" w:rsidRPr="00530D57">
        <w:rPr>
          <w:rFonts w:eastAsia="Times New Roman" w:cs="Times New Roman"/>
          <w:color w:val="0D0D0D" w:themeColor="text1" w:themeTint="F2"/>
          <w:lang w:eastAsia="en-AU"/>
        </w:rPr>
        <w:t xml:space="preserve"> </w:t>
      </w:r>
      <w:r w:rsidRPr="00530D57">
        <w:rPr>
          <w:rFonts w:eastAsia="Times New Roman" w:cs="Times New Roman"/>
          <w:color w:val="0D0D0D" w:themeColor="text1" w:themeTint="F2"/>
          <w:lang w:eastAsia="en-AU"/>
        </w:rPr>
        <w:t>a problem with the maximum penalties available.</w:t>
      </w:r>
      <w:r w:rsidR="00D072C8" w:rsidRPr="00530D57">
        <w:rPr>
          <w:rFonts w:eastAsia="Times New Roman" w:cs="Times New Roman"/>
          <w:color w:val="262626" w:themeColor="text1" w:themeTint="D9"/>
          <w:sz w:val="18"/>
          <w:szCs w:val="18"/>
          <w:vertAlign w:val="superscript"/>
          <w:lang w:eastAsia="en-AU"/>
        </w:rPr>
        <w:footnoteReference w:id="248"/>
      </w:r>
      <w:r w:rsidRPr="00530D57">
        <w:rPr>
          <w:rFonts w:eastAsia="Times New Roman" w:cs="Times New Roman"/>
          <w:color w:val="0D0D0D" w:themeColor="text1" w:themeTint="F2"/>
          <w:lang w:eastAsia="en-AU"/>
        </w:rPr>
        <w:t xml:space="preserve"> In addition, Crown Law suggested there is enough room in the</w:t>
      </w:r>
      <w:r w:rsidR="00287D7B">
        <w:rPr>
          <w:rFonts w:eastAsia="Times New Roman" w:cs="Times New Roman"/>
          <w:color w:val="0D0D0D" w:themeColor="text1" w:themeTint="F2"/>
          <w:lang w:eastAsia="en-AU"/>
        </w:rPr>
        <w:t xml:space="preserve"> existing</w:t>
      </w:r>
      <w:r w:rsidRPr="00530D57">
        <w:rPr>
          <w:rFonts w:eastAsia="Times New Roman" w:cs="Times New Roman"/>
          <w:color w:val="0D0D0D" w:themeColor="text1" w:themeTint="F2"/>
          <w:lang w:eastAsia="en-AU"/>
        </w:rPr>
        <w:t xml:space="preserve"> maximum penalties for more serious offences and enough charging options available to prosecutors to address hate</w:t>
      </w:r>
      <w:r w:rsidR="00F40823">
        <w:rPr>
          <w:rFonts w:eastAsia="Times New Roman" w:cs="Times New Roman"/>
          <w:color w:val="0D0D0D" w:themeColor="text1" w:themeTint="F2"/>
          <w:lang w:eastAsia="en-AU"/>
        </w:rPr>
        <w:t>-</w:t>
      </w:r>
      <w:r w:rsidRPr="00530D57">
        <w:rPr>
          <w:rFonts w:eastAsia="Times New Roman" w:cs="Times New Roman"/>
          <w:color w:val="0D0D0D" w:themeColor="text1" w:themeTint="F2"/>
          <w:lang w:eastAsia="en-AU"/>
        </w:rPr>
        <w:t>motivated offending.</w:t>
      </w:r>
    </w:p>
    <w:p w14:paraId="184114E9" w14:textId="1113F841" w:rsidR="00D072C8" w:rsidRPr="00530D57" w:rsidRDefault="00AE3C9F" w:rsidP="002F5E4F">
      <w:pPr>
        <w:pStyle w:val="Numberedpara"/>
      </w:pPr>
      <w:r w:rsidRPr="00AE3C9F">
        <w:t>Te Kāhui Ture o Aotearoa | New Zealand Law Society</w:t>
      </w:r>
      <w:r>
        <w:t xml:space="preserve"> </w:t>
      </w:r>
      <w:r w:rsidR="00D072C8" w:rsidRPr="00530D57">
        <w:t xml:space="preserve">thought there </w:t>
      </w:r>
      <w:r w:rsidR="00F13F99" w:rsidRPr="00530D57">
        <w:t xml:space="preserve">is </w:t>
      </w:r>
      <w:r w:rsidR="00D072C8" w:rsidRPr="00530D57">
        <w:t xml:space="preserve">not enough information about hate crimes and how they are dealt with in the criminal justice system to know if they are being treated seriously enough. </w:t>
      </w:r>
      <w:r w:rsidR="001F5625" w:rsidRPr="00530D57">
        <w:t>We discuss this further</w:t>
      </w:r>
      <w:r w:rsidR="00D072C8" w:rsidRPr="00530D57">
        <w:t xml:space="preserve"> </w:t>
      </w:r>
      <w:r w:rsidR="00F40823">
        <w:t xml:space="preserve">below </w:t>
      </w:r>
      <w:r w:rsidR="00D072C8" w:rsidRPr="00530D57">
        <w:t>under the heading “Collecting information about hate crime”.</w:t>
      </w:r>
    </w:p>
    <w:p w14:paraId="13CBE92B" w14:textId="0D844F3B" w:rsidR="00D072C8" w:rsidRPr="00530D57" w:rsidRDefault="00D072C8" w:rsidP="00593CFA">
      <w:pPr>
        <w:pStyle w:val="Heading3"/>
        <w:rPr>
          <w:rFonts w:eastAsiaTheme="majorEastAsia"/>
        </w:rPr>
      </w:pPr>
      <w:r w:rsidRPr="00530D57">
        <w:rPr>
          <w:rFonts w:eastAsiaTheme="majorEastAsia"/>
        </w:rPr>
        <w:t xml:space="preserve">Can the </w:t>
      </w:r>
      <w:r w:rsidRPr="00530D57">
        <w:t>problem</w:t>
      </w:r>
      <w:r w:rsidRPr="00530D57">
        <w:rPr>
          <w:rFonts w:eastAsiaTheme="majorEastAsia"/>
        </w:rPr>
        <w:t xml:space="preserve"> be addressed under the current legal model?</w:t>
      </w:r>
    </w:p>
    <w:p w14:paraId="10BCC4C8" w14:textId="77777777" w:rsidR="00D072C8" w:rsidRPr="00530D57" w:rsidRDefault="00D072C8" w:rsidP="00593CFA">
      <w:pPr>
        <w:pStyle w:val="Heading4"/>
      </w:pPr>
      <w:r w:rsidRPr="00530D57">
        <w:t>Requiring judges to state an offence was a hate crime</w:t>
      </w:r>
    </w:p>
    <w:p w14:paraId="34D5DBF0" w14:textId="55437183" w:rsidR="00D072C8" w:rsidRPr="00530D57" w:rsidRDefault="771C8513" w:rsidP="002F5E4F">
      <w:pPr>
        <w:pStyle w:val="Numberedpara"/>
      </w:pPr>
      <w:r w:rsidRPr="00530D57">
        <w:t>Nine submitters expressly supported requiring sentencing judges to state that an offence was a hate crime during sentencing.</w:t>
      </w:r>
      <w:r w:rsidR="00D072C8" w:rsidRPr="00530D57">
        <w:rPr>
          <w:color w:val="262626" w:themeColor="text1" w:themeTint="D9"/>
          <w:sz w:val="18"/>
          <w:szCs w:val="18"/>
          <w:vertAlign w:val="superscript"/>
        </w:rPr>
        <w:footnoteReference w:id="249"/>
      </w:r>
      <w:r w:rsidRPr="00530D57">
        <w:t xml:space="preserve"> Four </w:t>
      </w:r>
      <w:r w:rsidR="1AF0C161" w:rsidRPr="00530D57">
        <w:t xml:space="preserve">other </w:t>
      </w:r>
      <w:r w:rsidRPr="00530D57">
        <w:t>submitters made comments implying potential support for this option but did not address it explicitly.</w:t>
      </w:r>
      <w:r w:rsidR="00D072C8" w:rsidRPr="00530D57">
        <w:rPr>
          <w:color w:val="262626" w:themeColor="text1" w:themeTint="D9"/>
          <w:sz w:val="18"/>
          <w:szCs w:val="18"/>
          <w:vertAlign w:val="superscript"/>
        </w:rPr>
        <w:footnoteReference w:id="250"/>
      </w:r>
    </w:p>
    <w:p w14:paraId="7C3177B0" w14:textId="02F20FCD" w:rsidR="00D072C8" w:rsidRPr="00530D57" w:rsidRDefault="771C8513" w:rsidP="002F5E4F">
      <w:pPr>
        <w:pStyle w:val="Numberedpara"/>
      </w:pPr>
      <w:r w:rsidRPr="00530D57">
        <w:t>Submitters who supported this option thought it would reinforce the law’s denunciation of hate crimes.</w:t>
      </w:r>
      <w:r w:rsidR="00D072C8" w:rsidRPr="00530D57">
        <w:rPr>
          <w:color w:val="262626" w:themeColor="text1" w:themeTint="D9"/>
          <w:sz w:val="18"/>
          <w:szCs w:val="18"/>
          <w:vertAlign w:val="superscript"/>
        </w:rPr>
        <w:footnoteReference w:id="251"/>
      </w:r>
      <w:r w:rsidRPr="00530D57">
        <w:t xml:space="preserve"> They suggested </w:t>
      </w:r>
      <w:r w:rsidR="2396A830" w:rsidRPr="00530D57">
        <w:t xml:space="preserve">clear communication of </w:t>
      </w:r>
      <w:r w:rsidRPr="00530D57">
        <w:t>an offender’s hate motivation would contribute to wider public awareness</w:t>
      </w:r>
      <w:r w:rsidR="00D072C8" w:rsidRPr="00530D57">
        <w:rPr>
          <w:color w:val="262626" w:themeColor="text1" w:themeTint="D9"/>
          <w:sz w:val="18"/>
          <w:szCs w:val="18"/>
          <w:vertAlign w:val="superscript"/>
        </w:rPr>
        <w:footnoteReference w:id="252"/>
      </w:r>
      <w:r w:rsidRPr="00530D57">
        <w:t xml:space="preserve"> and, potentially, increase reporting rates.</w:t>
      </w:r>
      <w:r w:rsidR="00D072C8" w:rsidRPr="00530D57">
        <w:rPr>
          <w:color w:val="262626" w:themeColor="text1" w:themeTint="D9"/>
          <w:sz w:val="18"/>
          <w:szCs w:val="18"/>
          <w:vertAlign w:val="superscript"/>
        </w:rPr>
        <w:footnoteReference w:id="253"/>
      </w:r>
    </w:p>
    <w:p w14:paraId="10C9A0EA" w14:textId="77777777" w:rsidR="00D072C8" w:rsidRPr="00530D57" w:rsidRDefault="00D072C8" w:rsidP="00593CFA">
      <w:pPr>
        <w:pStyle w:val="Heading4"/>
      </w:pPr>
      <w:r w:rsidRPr="00530D57">
        <w:t>Requiring judges to explain how an offender’s hate motivation affected their sentence</w:t>
      </w:r>
    </w:p>
    <w:p w14:paraId="222EDBCB" w14:textId="57D994E3" w:rsidR="00D072C8" w:rsidRPr="00530D57" w:rsidRDefault="771C8513" w:rsidP="002F5E4F">
      <w:pPr>
        <w:pStyle w:val="Numberedpara"/>
      </w:pPr>
      <w:bookmarkStart w:id="45" w:name="_Hlk204693841"/>
      <w:r w:rsidRPr="00530D57">
        <w:t>Five submitters supported requiring judges to explain how the offender’s hate motivation affected their sentence.</w:t>
      </w:r>
      <w:r w:rsidR="00D072C8" w:rsidRPr="00530D57">
        <w:rPr>
          <w:color w:val="262626" w:themeColor="text1" w:themeTint="D9"/>
          <w:sz w:val="18"/>
          <w:szCs w:val="18"/>
          <w:vertAlign w:val="superscript"/>
        </w:rPr>
        <w:footnoteReference w:id="254"/>
      </w:r>
      <w:r w:rsidRPr="00530D57">
        <w:t xml:space="preserve"> Two additional submitters thought it should be clear how hate motivation affected the </w:t>
      </w:r>
      <w:r w:rsidR="00427AFC" w:rsidRPr="00530D57">
        <w:t>sentence but</w:t>
      </w:r>
      <w:r w:rsidRPr="00530D57">
        <w:t xml:space="preserve"> did not explicitly address whether judges should be required to state this.</w:t>
      </w:r>
      <w:r w:rsidR="00D072C8" w:rsidRPr="00530D57">
        <w:rPr>
          <w:color w:val="262626" w:themeColor="text1" w:themeTint="D9"/>
          <w:sz w:val="18"/>
          <w:szCs w:val="18"/>
          <w:vertAlign w:val="superscript"/>
        </w:rPr>
        <w:footnoteReference w:id="255"/>
      </w:r>
    </w:p>
    <w:p w14:paraId="7AB2C9B8" w14:textId="77777777" w:rsidR="00D072C8" w:rsidRPr="00530D57" w:rsidRDefault="00D072C8" w:rsidP="002F5E4F">
      <w:pPr>
        <w:pStyle w:val="Numberedpara"/>
      </w:pPr>
      <w:r w:rsidRPr="00530D57">
        <w:lastRenderedPageBreak/>
        <w:t>The Maxim Institute suggested such a requirement would show the public how the law deprecates hate crimes and provide guidance to other judges so that like cases are treated alike.</w:t>
      </w:r>
    </w:p>
    <w:p w14:paraId="37F182EB" w14:textId="77777777" w:rsidR="00D072C8" w:rsidRPr="00530D57" w:rsidRDefault="771C8513" w:rsidP="002F5E4F">
      <w:pPr>
        <w:pStyle w:val="Numberedpara"/>
      </w:pPr>
      <w:r w:rsidRPr="00530D57">
        <w:t>Two submitters suggested that, if such a requirement were introduced, it may be appropriate to treat all aggravating factors in the same way.</w:t>
      </w:r>
      <w:r w:rsidR="00D072C8" w:rsidRPr="00530D57">
        <w:rPr>
          <w:color w:val="262626" w:themeColor="text1" w:themeTint="D9"/>
          <w:sz w:val="18"/>
          <w:szCs w:val="18"/>
          <w:vertAlign w:val="superscript"/>
        </w:rPr>
        <w:footnoteReference w:id="256"/>
      </w:r>
      <w:r w:rsidRPr="00530D57">
        <w:t xml:space="preserve"> </w:t>
      </w:r>
    </w:p>
    <w:p w14:paraId="47383A93" w14:textId="4D54ACDF" w:rsidR="00D072C8" w:rsidRPr="00530D57" w:rsidRDefault="009657AF" w:rsidP="002F5E4F">
      <w:pPr>
        <w:pStyle w:val="Numberedpara"/>
      </w:pPr>
      <w:r w:rsidRPr="00530D57">
        <w:t>A</w:t>
      </w:r>
      <w:r w:rsidR="00D072C8" w:rsidRPr="00530D57">
        <w:t xml:space="preserve">lthough </w:t>
      </w:r>
      <w:r w:rsidRPr="00530D57">
        <w:t xml:space="preserve">it did not expressly oppose this option, </w:t>
      </w:r>
      <w:r w:rsidR="00D072C8" w:rsidRPr="00530D57">
        <w:t>Luke Cunningham Clere observed that requiring judges to explain how an aggravating factor increased the offender’s sentence would be a significant departure from current practice.</w:t>
      </w:r>
    </w:p>
    <w:bookmarkEnd w:id="45"/>
    <w:p w14:paraId="532C0500" w14:textId="77777777" w:rsidR="00D072C8" w:rsidRPr="00530D57" w:rsidRDefault="00D072C8" w:rsidP="00593CFA">
      <w:pPr>
        <w:pStyle w:val="Heading4"/>
      </w:pPr>
      <w:r w:rsidRPr="00530D57">
        <w:t>Reviewing maximum penalties for existing offences</w:t>
      </w:r>
    </w:p>
    <w:p w14:paraId="5AC8A48B" w14:textId="44E665E1" w:rsidR="00D072C8" w:rsidRPr="00530D57" w:rsidRDefault="771C8513" w:rsidP="002F5E4F">
      <w:pPr>
        <w:pStyle w:val="Numberedpara"/>
      </w:pPr>
      <w:r w:rsidRPr="00530D57">
        <w:t xml:space="preserve">Two submitters expressly supported reviewing the maximum penalties for existing offences to </w:t>
      </w:r>
      <w:r w:rsidR="51F458F7" w:rsidRPr="00530D57">
        <w:t>en</w:t>
      </w:r>
      <w:r w:rsidRPr="00530D57">
        <w:t>sure they are high enough to take proper account of the offender’s hate motivation.</w:t>
      </w:r>
      <w:r w:rsidR="00D072C8" w:rsidRPr="00530D57">
        <w:rPr>
          <w:color w:val="262626" w:themeColor="text1" w:themeTint="D9"/>
          <w:sz w:val="18"/>
          <w:szCs w:val="18"/>
          <w:vertAlign w:val="superscript"/>
        </w:rPr>
        <w:footnoteReference w:id="257"/>
      </w:r>
      <w:r w:rsidRPr="00530D57">
        <w:t xml:space="preserve"> In addition, one submitter said there “may be room” to review maximum penalties</w:t>
      </w:r>
      <w:r w:rsidR="00D072C8" w:rsidRPr="00530D57">
        <w:rPr>
          <w:color w:val="262626" w:themeColor="text1" w:themeTint="D9"/>
          <w:sz w:val="18"/>
          <w:szCs w:val="18"/>
          <w:vertAlign w:val="superscript"/>
        </w:rPr>
        <w:footnoteReference w:id="258"/>
      </w:r>
      <w:r w:rsidRPr="00530D57">
        <w:t xml:space="preserve"> and another </w:t>
      </w:r>
      <w:r w:rsidR="00B66D90">
        <w:t xml:space="preserve">said </w:t>
      </w:r>
      <w:r w:rsidR="19A1B9F6" w:rsidRPr="00530D57">
        <w:t xml:space="preserve">that </w:t>
      </w:r>
      <w:r w:rsidRPr="00530D57">
        <w:t>punishments need to reflect the damage hate crime causes.</w:t>
      </w:r>
      <w:r w:rsidR="00D072C8" w:rsidRPr="00530D57">
        <w:rPr>
          <w:color w:val="262626" w:themeColor="text1" w:themeTint="D9"/>
          <w:sz w:val="18"/>
          <w:szCs w:val="18"/>
          <w:vertAlign w:val="superscript"/>
        </w:rPr>
        <w:footnoteReference w:id="259"/>
      </w:r>
      <w:r w:rsidRPr="00530D57">
        <w:t xml:space="preserve"> None of these submitters stated that current maximum penalties are inadequate or gave examples of offences for which the maximum penalty may warrant review.</w:t>
      </w:r>
    </w:p>
    <w:p w14:paraId="5E5D56A4" w14:textId="77777777" w:rsidR="00D072C8" w:rsidRPr="00530D57" w:rsidRDefault="771C8513" w:rsidP="002F5E4F">
      <w:pPr>
        <w:pStyle w:val="Numberedpara"/>
      </w:pPr>
      <w:r w:rsidRPr="00530D57">
        <w:t>Four submitters said either that there is no need to review maximum penalties, that current maximum penalties are adequate or that harsher penalties are not the best way to address hate crime.</w:t>
      </w:r>
      <w:r w:rsidR="00D072C8" w:rsidRPr="00530D57">
        <w:rPr>
          <w:color w:val="262626" w:themeColor="text1" w:themeTint="D9"/>
          <w:sz w:val="18"/>
          <w:szCs w:val="18"/>
          <w:vertAlign w:val="superscript"/>
        </w:rPr>
        <w:footnoteReference w:id="260"/>
      </w:r>
      <w:r w:rsidRPr="00530D57">
        <w:t xml:space="preserve"> </w:t>
      </w:r>
    </w:p>
    <w:p w14:paraId="3DD1ABDE" w14:textId="3EF81576" w:rsidR="00D072C8" w:rsidRPr="00530D57" w:rsidRDefault="00D072C8" w:rsidP="002F5E4F">
      <w:pPr>
        <w:pStyle w:val="Numberedpara"/>
      </w:pPr>
      <w:r w:rsidRPr="00530D57">
        <w:t xml:space="preserve">Crown Law did not take a position on whether maximum penalties should be reviewed but made some relevant observations. It suggested more serious offences that might be motivated by hate, such as wounding or grievous bodily harm, usually have plenty of “headroom” in the maximum penalty to reflect the culpability of the offending. It noted sentences for these offences are usually well below the maximum. </w:t>
      </w:r>
      <w:r w:rsidR="00B90871" w:rsidRPr="00530D57">
        <w:t xml:space="preserve">Crown Law observed that </w:t>
      </w:r>
      <w:r w:rsidR="00CA4BAE" w:rsidRPr="00530D57">
        <w:t xml:space="preserve">some </w:t>
      </w:r>
      <w:r w:rsidRPr="00530D57">
        <w:t xml:space="preserve">offences in the Summary Offences Act </w:t>
      </w:r>
      <w:r w:rsidR="00371409">
        <w:t xml:space="preserve">1981 </w:t>
      </w:r>
      <w:r w:rsidRPr="00530D57">
        <w:t>commonly involved in hate crimes (such as assault and wilful damage) have near</w:t>
      </w:r>
      <w:r w:rsidR="008647DA">
        <w:t>-</w:t>
      </w:r>
      <w:r w:rsidRPr="00530D57">
        <w:t xml:space="preserve">equivalents in the Crimes Act </w:t>
      </w:r>
      <w:r w:rsidR="008647DA">
        <w:t xml:space="preserve">1961 </w:t>
      </w:r>
      <w:r w:rsidRPr="00530D57">
        <w:t>with higher maximum penalties. Prosecutors may therefore be able to charge hate crime offenders with a more serious offence in appropriate cases. Crown Law acknowledged this is not the case for offensive behaviour or language.</w:t>
      </w:r>
    </w:p>
    <w:p w14:paraId="2FBB38C5" w14:textId="3EE9118B" w:rsidR="00D072C8" w:rsidRPr="00530D57" w:rsidRDefault="00D072C8" w:rsidP="00FE3A9C">
      <w:pPr>
        <w:pStyle w:val="Heading2"/>
        <w:rPr>
          <w:rFonts w:eastAsiaTheme="majorEastAsia"/>
        </w:rPr>
      </w:pPr>
      <w:bookmarkStart w:id="46" w:name="_Toc207093266"/>
      <w:r w:rsidRPr="00530D57">
        <w:rPr>
          <w:rFonts w:eastAsiaTheme="majorEastAsia"/>
        </w:rPr>
        <w:t>Encouraging reporting of hate crime</w:t>
      </w:r>
      <w:r w:rsidR="00D92FE9" w:rsidRPr="00530D57">
        <w:rPr>
          <w:rFonts w:eastAsiaTheme="majorEastAsia"/>
        </w:rPr>
        <w:t>s</w:t>
      </w:r>
      <w:bookmarkEnd w:id="46"/>
    </w:p>
    <w:p w14:paraId="7ED79AA6" w14:textId="7D5A9433" w:rsidR="00AC4CAE" w:rsidRPr="00530D57" w:rsidRDefault="006B2403" w:rsidP="002F5E4F">
      <w:pPr>
        <w:pStyle w:val="Numberedpara"/>
        <w:rPr>
          <w:rFonts w:eastAsiaTheme="majorEastAsia"/>
        </w:rPr>
      </w:pPr>
      <w:r w:rsidRPr="00530D57">
        <w:rPr>
          <w:rFonts w:eastAsiaTheme="majorEastAsia"/>
        </w:rPr>
        <w:t xml:space="preserve">In </w:t>
      </w:r>
      <w:r w:rsidR="001844EF" w:rsidRPr="00530D57">
        <w:rPr>
          <w:rFonts w:eastAsiaTheme="majorEastAsia"/>
        </w:rPr>
        <w:t>our</w:t>
      </w:r>
      <w:r w:rsidRPr="00530D57">
        <w:rPr>
          <w:rFonts w:eastAsiaTheme="majorEastAsia"/>
        </w:rPr>
        <w:t xml:space="preserve"> Consultation Paper, we explained that hate crime is often not reported to Police</w:t>
      </w:r>
      <w:r w:rsidR="005F5294" w:rsidRPr="00530D57">
        <w:rPr>
          <w:rFonts w:eastAsiaTheme="majorEastAsia"/>
        </w:rPr>
        <w:t xml:space="preserve">. </w:t>
      </w:r>
      <w:r w:rsidR="00B834A9" w:rsidRPr="00530D57">
        <w:rPr>
          <w:rFonts w:eastAsiaTheme="majorEastAsia"/>
        </w:rPr>
        <w:t xml:space="preserve">We asked for feedback about </w:t>
      </w:r>
      <w:r w:rsidR="006D2AEE" w:rsidRPr="00530D57">
        <w:rPr>
          <w:rFonts w:eastAsiaTheme="majorEastAsia"/>
        </w:rPr>
        <w:t>barriers</w:t>
      </w:r>
      <w:r w:rsidR="00FF26DF" w:rsidRPr="00530D57">
        <w:rPr>
          <w:rFonts w:eastAsiaTheme="majorEastAsia"/>
        </w:rPr>
        <w:t xml:space="preserve"> to reporting hate crime</w:t>
      </w:r>
      <w:r w:rsidR="00B834A9" w:rsidRPr="00530D57">
        <w:rPr>
          <w:rFonts w:eastAsiaTheme="majorEastAsia"/>
        </w:rPr>
        <w:t xml:space="preserve"> </w:t>
      </w:r>
      <w:r w:rsidR="006D023F" w:rsidRPr="00530D57">
        <w:rPr>
          <w:rFonts w:eastAsiaTheme="majorEastAsia"/>
        </w:rPr>
        <w:t xml:space="preserve">and </w:t>
      </w:r>
      <w:r w:rsidR="00B834A9" w:rsidRPr="00530D57">
        <w:rPr>
          <w:rFonts w:eastAsiaTheme="majorEastAsia"/>
        </w:rPr>
        <w:t xml:space="preserve">whether </w:t>
      </w:r>
      <w:r w:rsidR="006376B4" w:rsidRPr="00530D57">
        <w:rPr>
          <w:rFonts w:eastAsiaTheme="majorEastAsia"/>
        </w:rPr>
        <w:t xml:space="preserve">improvements at </w:t>
      </w:r>
      <w:r w:rsidR="006D023F" w:rsidRPr="00530D57">
        <w:rPr>
          <w:rFonts w:eastAsiaTheme="majorEastAsia"/>
        </w:rPr>
        <w:t xml:space="preserve">Police </w:t>
      </w:r>
      <w:r w:rsidR="00F461F3" w:rsidRPr="00530D57">
        <w:rPr>
          <w:rFonts w:eastAsiaTheme="majorEastAsia"/>
        </w:rPr>
        <w:t>since publication of the Royal Commission</w:t>
      </w:r>
      <w:r w:rsidR="00032BB9" w:rsidRPr="00530D57">
        <w:rPr>
          <w:rFonts w:eastAsiaTheme="majorEastAsia"/>
        </w:rPr>
        <w:t xml:space="preserve">’s findings has made any difference. We </w:t>
      </w:r>
      <w:r w:rsidR="006D2AEE" w:rsidRPr="00530D57">
        <w:rPr>
          <w:rFonts w:eastAsiaTheme="majorEastAsia"/>
        </w:rPr>
        <w:t xml:space="preserve">also </w:t>
      </w:r>
      <w:r w:rsidR="00A63FE4" w:rsidRPr="00530D57">
        <w:rPr>
          <w:rFonts w:eastAsiaTheme="majorEastAsia"/>
        </w:rPr>
        <w:t>suggested</w:t>
      </w:r>
      <w:r w:rsidR="006D2AEE" w:rsidRPr="00530D57">
        <w:rPr>
          <w:rFonts w:eastAsiaTheme="majorEastAsia"/>
        </w:rPr>
        <w:t xml:space="preserve"> </w:t>
      </w:r>
      <w:r w:rsidR="002A359F" w:rsidRPr="00530D57">
        <w:rPr>
          <w:rFonts w:eastAsiaTheme="majorEastAsia"/>
        </w:rPr>
        <w:t xml:space="preserve">some </w:t>
      </w:r>
      <w:r w:rsidR="006D2AEE" w:rsidRPr="00530D57">
        <w:rPr>
          <w:rFonts w:eastAsiaTheme="majorEastAsia"/>
        </w:rPr>
        <w:t xml:space="preserve">options </w:t>
      </w:r>
      <w:r w:rsidR="00FF26DF" w:rsidRPr="00530D57">
        <w:rPr>
          <w:rFonts w:eastAsiaTheme="majorEastAsia"/>
        </w:rPr>
        <w:t>to address these barriers.</w:t>
      </w:r>
    </w:p>
    <w:p w14:paraId="56ED1D60" w14:textId="77777777" w:rsidR="00D072C8" w:rsidRPr="00530D57" w:rsidRDefault="00D072C8" w:rsidP="003C6273">
      <w:pPr>
        <w:pStyle w:val="Heading3"/>
        <w:rPr>
          <w:rFonts w:eastAsiaTheme="majorEastAsia"/>
        </w:rPr>
      </w:pPr>
      <w:r w:rsidRPr="00530D57">
        <w:rPr>
          <w:rFonts w:eastAsiaTheme="majorEastAsia"/>
        </w:rPr>
        <w:lastRenderedPageBreak/>
        <w:t>Is there a problem?</w:t>
      </w:r>
    </w:p>
    <w:p w14:paraId="5C7B19DE" w14:textId="77777777" w:rsidR="00965BB1" w:rsidRPr="00530D57" w:rsidRDefault="2FF87AD5" w:rsidP="00B40556">
      <w:pPr>
        <w:pStyle w:val="Numberedpara"/>
      </w:pPr>
      <w:r w:rsidRPr="00530D57">
        <w:t>Five submitters said members of marginalised communities often do not report hate crimes because of their own or others’ previous experiences with Police.</w:t>
      </w:r>
      <w:r w:rsidR="00965BB1" w:rsidRPr="00530D57">
        <w:rPr>
          <w:rStyle w:val="FootnoteReference"/>
        </w:rPr>
        <w:footnoteReference w:id="261"/>
      </w:r>
      <w:r w:rsidRPr="00530D57">
        <w:t xml:space="preserve"> Submitters gave the following examples of negative interactions with Police: </w:t>
      </w:r>
    </w:p>
    <w:p w14:paraId="706190F6" w14:textId="77777777" w:rsidR="00D072C8" w:rsidRPr="00530D57" w:rsidRDefault="771C8513" w:rsidP="00896331">
      <w:pPr>
        <w:pStyle w:val="Numberedpara"/>
        <w:numPr>
          <w:ilvl w:val="1"/>
          <w:numId w:val="71"/>
        </w:numPr>
      </w:pPr>
      <w:r w:rsidRPr="00530D57">
        <w:t>Police failing to protect vulnerable communities at events</w:t>
      </w:r>
      <w:r w:rsidR="00D072C8" w:rsidRPr="00530D57">
        <w:rPr>
          <w:rStyle w:val="FootnoteReference"/>
        </w:rPr>
        <w:footnoteReference w:id="262"/>
      </w:r>
      <w:r w:rsidRPr="00530D57">
        <w:t xml:space="preserve"> or trivialising complaints.</w:t>
      </w:r>
      <w:r w:rsidR="00D072C8" w:rsidRPr="00530D57">
        <w:rPr>
          <w:rStyle w:val="FootnoteReference"/>
        </w:rPr>
        <w:footnoteReference w:id="263"/>
      </w:r>
    </w:p>
    <w:p w14:paraId="7D219E05" w14:textId="749BC8D4" w:rsidR="00965BB1" w:rsidRPr="00530D57" w:rsidRDefault="2FF87AD5" w:rsidP="00896331">
      <w:pPr>
        <w:pStyle w:val="Numberedpara"/>
        <w:numPr>
          <w:ilvl w:val="1"/>
          <w:numId w:val="71"/>
        </w:numPr>
      </w:pPr>
      <w:r w:rsidRPr="00530D57">
        <w:t>The Dawn Raids, police violence during the evictions at Ihum</w:t>
      </w:r>
      <w:r w:rsidR="2EC02FA3" w:rsidRPr="00530D57">
        <w:t>ā</w:t>
      </w:r>
      <w:r w:rsidRPr="00530D57">
        <w:t>tao and the recent crackdown on gangs.</w:t>
      </w:r>
      <w:r w:rsidR="00965BB1" w:rsidRPr="00530D57">
        <w:rPr>
          <w:rStyle w:val="FootnoteReference"/>
        </w:rPr>
        <w:footnoteReference w:id="264"/>
      </w:r>
    </w:p>
    <w:p w14:paraId="0DB82952" w14:textId="77777777" w:rsidR="00965BB1" w:rsidRPr="00530D57" w:rsidRDefault="2FF87AD5" w:rsidP="00896331">
      <w:pPr>
        <w:pStyle w:val="Numberedpara"/>
        <w:numPr>
          <w:ilvl w:val="1"/>
          <w:numId w:val="71"/>
        </w:numPr>
      </w:pPr>
      <w:r w:rsidRPr="00530D57">
        <w:t>Deaf and disabled people being treated disrespectfully and aggressively, with frequent use of force.</w:t>
      </w:r>
      <w:r w:rsidR="00965BB1" w:rsidRPr="00530D57">
        <w:rPr>
          <w:rStyle w:val="FootnoteReference"/>
        </w:rPr>
        <w:footnoteReference w:id="265"/>
      </w:r>
    </w:p>
    <w:p w14:paraId="6D15D9DF" w14:textId="071A3333" w:rsidR="00965BB1" w:rsidRPr="00530D57" w:rsidRDefault="2FF87AD5" w:rsidP="00B40556">
      <w:pPr>
        <w:pStyle w:val="Numberedpara"/>
      </w:pPr>
      <w:r w:rsidRPr="00530D57">
        <w:t xml:space="preserve">One of these submitters said they had friends who had reported hate-motivated assaults (such as being pushed down stairs) </w:t>
      </w:r>
      <w:r w:rsidR="17CEF39B" w:rsidRPr="00530D57">
        <w:t>but</w:t>
      </w:r>
      <w:r w:rsidRPr="00530D57">
        <w:t xml:space="preserve"> Police were not </w:t>
      </w:r>
      <w:r w:rsidR="17CEF39B" w:rsidRPr="00530D57">
        <w:t>responsive</w:t>
      </w:r>
      <w:r w:rsidRPr="00530D57">
        <w:t>.</w:t>
      </w:r>
      <w:r w:rsidR="00965BB1" w:rsidRPr="00530D57">
        <w:rPr>
          <w:rStyle w:val="FootnoteReference"/>
        </w:rPr>
        <w:footnoteReference w:id="266"/>
      </w:r>
    </w:p>
    <w:p w14:paraId="456572CE" w14:textId="2AC68544" w:rsidR="00D072C8" w:rsidRPr="00530D57" w:rsidRDefault="2FF87AD5" w:rsidP="00B40556">
      <w:pPr>
        <w:pStyle w:val="Numberedpara"/>
      </w:pPr>
      <w:r w:rsidRPr="00530D57">
        <w:t>Four submitters commented on</w:t>
      </w:r>
      <w:r w:rsidR="771C8513" w:rsidRPr="00530D57">
        <w:t xml:space="preserve"> barriers to reporting hate crimes for disabled people specifically.</w:t>
      </w:r>
      <w:r w:rsidR="00173E25" w:rsidRPr="00530D57">
        <w:rPr>
          <w:rStyle w:val="FootnoteReference"/>
        </w:rPr>
        <w:footnoteReference w:id="267"/>
      </w:r>
      <w:r w:rsidR="771C8513" w:rsidRPr="00530D57">
        <w:t xml:space="preserve"> They said:</w:t>
      </w:r>
    </w:p>
    <w:p w14:paraId="5FF2249F" w14:textId="272CCDBD" w:rsidR="00D072C8" w:rsidRPr="00530D57" w:rsidRDefault="771C8513" w:rsidP="00896331">
      <w:pPr>
        <w:pStyle w:val="Numberedpara"/>
        <w:numPr>
          <w:ilvl w:val="1"/>
          <w:numId w:val="71"/>
        </w:numPr>
      </w:pPr>
      <w:r w:rsidRPr="00530D57">
        <w:t>Police and justice staff (including judges) make inaccurate assumptions about the competency and credibility of disabled people.</w:t>
      </w:r>
      <w:r w:rsidR="00D072C8" w:rsidRPr="00530D57">
        <w:rPr>
          <w:rStyle w:val="FootnoteReference"/>
        </w:rPr>
        <w:footnoteReference w:id="268"/>
      </w:r>
    </w:p>
    <w:p w14:paraId="4D0E7009" w14:textId="77777777" w:rsidR="00965BB1" w:rsidRPr="00530D57" w:rsidRDefault="2FF87AD5" w:rsidP="00896331">
      <w:pPr>
        <w:pStyle w:val="Numberedpara"/>
        <w:numPr>
          <w:ilvl w:val="1"/>
          <w:numId w:val="71"/>
        </w:numPr>
      </w:pPr>
      <w:r w:rsidRPr="00530D57">
        <w:t>Disabled people may not get the support they need to navigate the justice system.</w:t>
      </w:r>
      <w:r w:rsidR="00965BB1" w:rsidRPr="00530D57">
        <w:rPr>
          <w:rStyle w:val="FootnoteReference"/>
        </w:rPr>
        <w:footnoteReference w:id="269"/>
      </w:r>
    </w:p>
    <w:p w14:paraId="3DECDE8A" w14:textId="6D26A085" w:rsidR="00965BB1" w:rsidRPr="00530D57" w:rsidRDefault="2FF87AD5" w:rsidP="00896331">
      <w:pPr>
        <w:pStyle w:val="Numberedpara"/>
        <w:numPr>
          <w:ilvl w:val="1"/>
          <w:numId w:val="71"/>
        </w:numPr>
      </w:pPr>
      <w:r w:rsidRPr="00530D57">
        <w:t xml:space="preserve">Police and prosecuting authorities diminish complaints </w:t>
      </w:r>
      <w:r w:rsidR="23A53783" w:rsidRPr="00530D57">
        <w:t xml:space="preserve">by </w:t>
      </w:r>
      <w:r w:rsidRPr="00530D57">
        <w:t>disabled people.</w:t>
      </w:r>
      <w:r w:rsidR="00965BB1" w:rsidRPr="00530D57">
        <w:rPr>
          <w:rStyle w:val="FootnoteReference"/>
        </w:rPr>
        <w:footnoteReference w:id="270"/>
      </w:r>
      <w:r w:rsidRPr="00530D57">
        <w:t xml:space="preserve"> For example, violence and abuse may be downplayed as ‘bullying’.</w:t>
      </w:r>
      <w:r w:rsidR="00965BB1" w:rsidRPr="00530D57">
        <w:rPr>
          <w:rStyle w:val="FootnoteReference"/>
        </w:rPr>
        <w:footnoteReference w:id="271"/>
      </w:r>
    </w:p>
    <w:p w14:paraId="432222BC" w14:textId="77777777" w:rsidR="00965BB1" w:rsidRPr="00530D57" w:rsidRDefault="2FF87AD5" w:rsidP="00896331">
      <w:pPr>
        <w:pStyle w:val="Numberedpara"/>
        <w:numPr>
          <w:ilvl w:val="1"/>
          <w:numId w:val="71"/>
        </w:numPr>
      </w:pPr>
      <w:r w:rsidRPr="00530D57">
        <w:t>Disabled, blind or low vision people may have limited ability to identify an offender.</w:t>
      </w:r>
      <w:r w:rsidR="00965BB1" w:rsidRPr="00530D57">
        <w:rPr>
          <w:rStyle w:val="FootnoteReference"/>
        </w:rPr>
        <w:footnoteReference w:id="272"/>
      </w:r>
      <w:r w:rsidRPr="00530D57">
        <w:t xml:space="preserve"> </w:t>
      </w:r>
    </w:p>
    <w:p w14:paraId="67563640" w14:textId="079F8B7E" w:rsidR="00D072C8" w:rsidRPr="00530D57" w:rsidRDefault="771C8513" w:rsidP="002F5E4F">
      <w:pPr>
        <w:pStyle w:val="Numberedpara"/>
      </w:pPr>
      <w:r w:rsidRPr="00530D57">
        <w:t>Two submitters suggested the current legal framework does not encourage people to report hate crimes.</w:t>
      </w:r>
      <w:r w:rsidR="00D072C8" w:rsidRPr="00530D57">
        <w:rPr>
          <w:color w:val="262626" w:themeColor="text1" w:themeTint="D9"/>
          <w:sz w:val="18"/>
          <w:szCs w:val="18"/>
          <w:vertAlign w:val="superscript"/>
        </w:rPr>
        <w:footnoteReference w:id="273"/>
      </w:r>
      <w:r w:rsidRPr="00530D57">
        <w:t xml:space="preserve"> One also noted the lack of dedicated social service organisations, official hate incident reporting tools, and research or education networks for the</w:t>
      </w:r>
      <w:r w:rsidR="001967E8">
        <w:t xml:space="preserve"> Hindu</w:t>
      </w:r>
      <w:r w:rsidRPr="00530D57">
        <w:t xml:space="preserve"> community.</w:t>
      </w:r>
      <w:r w:rsidR="00D072C8" w:rsidRPr="00530D57">
        <w:rPr>
          <w:color w:val="262626" w:themeColor="text1" w:themeTint="D9"/>
          <w:sz w:val="18"/>
          <w:szCs w:val="18"/>
          <w:vertAlign w:val="superscript"/>
        </w:rPr>
        <w:footnoteReference w:id="274"/>
      </w:r>
    </w:p>
    <w:p w14:paraId="716C1887" w14:textId="0EED5FD2" w:rsidR="00D072C8" w:rsidRPr="00530D57" w:rsidRDefault="00D072C8" w:rsidP="002F5E4F">
      <w:pPr>
        <w:pStyle w:val="Numberedpara"/>
      </w:pPr>
      <w:r w:rsidRPr="00530D57">
        <w:lastRenderedPageBreak/>
        <w:t xml:space="preserve">The Public Defence Service observed that a low reporting rate is not unique to hate crimes. It said the reasons for low reporting of hate crime identified in </w:t>
      </w:r>
      <w:r w:rsidR="00FA1A9F" w:rsidRPr="00530D57">
        <w:t>our</w:t>
      </w:r>
      <w:r w:rsidRPr="00530D57">
        <w:t xml:space="preserve"> Consultation Paper accord with the reasons people give generally for not reporting crime</w:t>
      </w:r>
      <w:r w:rsidR="00C00841" w:rsidRPr="00530D57">
        <w:t xml:space="preserve">. Those reasons include the perceived </w:t>
      </w:r>
      <w:r w:rsidRPr="00530D57">
        <w:t>triviality</w:t>
      </w:r>
      <w:r w:rsidR="00C00841" w:rsidRPr="00530D57">
        <w:t xml:space="preserve"> of the offending, </w:t>
      </w:r>
      <w:r w:rsidR="00630A59" w:rsidRPr="00530D57">
        <w:t xml:space="preserve">as well as </w:t>
      </w:r>
      <w:r w:rsidRPr="00530D57">
        <w:t>perception</w:t>
      </w:r>
      <w:r w:rsidR="00630A59" w:rsidRPr="00530D57">
        <w:t>s</w:t>
      </w:r>
      <w:r w:rsidRPr="00530D57">
        <w:t xml:space="preserve"> Police could not do anything </w:t>
      </w:r>
      <w:r w:rsidR="001A4447">
        <w:t>or</w:t>
      </w:r>
      <w:r w:rsidRPr="00530D57">
        <w:t xml:space="preserve"> </w:t>
      </w:r>
      <w:r w:rsidR="001A4447">
        <w:t>would</w:t>
      </w:r>
      <w:r w:rsidRPr="00530D57">
        <w:t xml:space="preserve"> not be interested. </w:t>
      </w:r>
    </w:p>
    <w:p w14:paraId="5AF5E6BB" w14:textId="77777777" w:rsidR="00D072C8" w:rsidRPr="00530D57" w:rsidRDefault="00D072C8" w:rsidP="00C7085B">
      <w:pPr>
        <w:pStyle w:val="Heading3"/>
        <w:rPr>
          <w:rFonts w:eastAsiaTheme="majorEastAsia"/>
        </w:rPr>
      </w:pPr>
      <w:r w:rsidRPr="00530D57">
        <w:rPr>
          <w:rFonts w:eastAsiaTheme="majorEastAsia"/>
        </w:rPr>
        <w:t>Can the problem be addressed under the current legal model?</w:t>
      </w:r>
    </w:p>
    <w:p w14:paraId="26A17F28" w14:textId="77777777" w:rsidR="00D072C8" w:rsidRPr="00530D57" w:rsidRDefault="00D072C8" w:rsidP="00C7085B">
      <w:pPr>
        <w:pStyle w:val="Heading4"/>
        <w:rPr>
          <w:rFonts w:eastAsiaTheme="majorEastAsia"/>
        </w:rPr>
      </w:pPr>
      <w:r w:rsidRPr="00530D57">
        <w:rPr>
          <w:rFonts w:eastAsiaTheme="majorEastAsia"/>
        </w:rPr>
        <w:t>Public awareness and education</w:t>
      </w:r>
    </w:p>
    <w:p w14:paraId="1C97F89A" w14:textId="07F8A470" w:rsidR="00D072C8" w:rsidRPr="00530D57" w:rsidRDefault="771C8513" w:rsidP="002F5E4F">
      <w:pPr>
        <w:pStyle w:val="Numberedpara"/>
      </w:pPr>
      <w:r w:rsidRPr="00530D57">
        <w:t>Eleven submitters supported public awareness and education initiatives.</w:t>
      </w:r>
      <w:r w:rsidR="00D072C8" w:rsidRPr="00530D57">
        <w:rPr>
          <w:color w:val="262626" w:themeColor="text1" w:themeTint="D9"/>
          <w:sz w:val="18"/>
          <w:szCs w:val="18"/>
          <w:vertAlign w:val="superscript"/>
        </w:rPr>
        <w:footnoteReference w:id="275"/>
      </w:r>
      <w:r w:rsidRPr="00530D57">
        <w:t xml:space="preserve"> </w:t>
      </w:r>
      <w:r w:rsidR="4CDD9FBB" w:rsidRPr="00530D57">
        <w:t>T</w:t>
      </w:r>
      <w:r w:rsidRPr="00530D57">
        <w:t xml:space="preserve">wo </w:t>
      </w:r>
      <w:r w:rsidR="4CDD9FBB" w:rsidRPr="00530D57">
        <w:t>other</w:t>
      </w:r>
      <w:r w:rsidRPr="00530D57">
        <w:t xml:space="preserve"> submitters did not specifically address whether there </w:t>
      </w:r>
      <w:r w:rsidR="00661E08">
        <w:t>is</w:t>
      </w:r>
      <w:r w:rsidRPr="00530D57">
        <w:t xml:space="preserve"> a problem with underreporting but suggested, if there </w:t>
      </w:r>
      <w:r w:rsidR="00661E08">
        <w:t>is</w:t>
      </w:r>
      <w:r w:rsidRPr="00530D57">
        <w:t>, public education would help to address this.</w:t>
      </w:r>
      <w:r w:rsidR="00D072C8" w:rsidRPr="00530D57">
        <w:rPr>
          <w:color w:val="262626" w:themeColor="text1" w:themeTint="D9"/>
          <w:sz w:val="18"/>
          <w:szCs w:val="18"/>
          <w:vertAlign w:val="superscript"/>
        </w:rPr>
        <w:footnoteReference w:id="276"/>
      </w:r>
    </w:p>
    <w:p w14:paraId="0D28E1F9" w14:textId="4CEE5DD1" w:rsidR="00D072C8" w:rsidRPr="00530D57" w:rsidRDefault="771C8513" w:rsidP="002F5E4F">
      <w:pPr>
        <w:pStyle w:val="Numberedpara"/>
      </w:pPr>
      <w:r w:rsidRPr="00530D57">
        <w:t>Some submitters focused on public awareness around hate crime specifically, including its impacts and how to report it.</w:t>
      </w:r>
      <w:r w:rsidR="00D072C8" w:rsidRPr="00530D57">
        <w:rPr>
          <w:color w:val="262626" w:themeColor="text1" w:themeTint="D9"/>
          <w:sz w:val="18"/>
          <w:szCs w:val="18"/>
          <w:vertAlign w:val="superscript"/>
        </w:rPr>
        <w:footnoteReference w:id="277"/>
      </w:r>
      <w:r w:rsidRPr="00530D57">
        <w:t xml:space="preserve"> Some said this would help to encourage reporting </w:t>
      </w:r>
      <w:r w:rsidR="670A669F" w:rsidRPr="00530D57">
        <w:t xml:space="preserve">or </w:t>
      </w:r>
      <w:r w:rsidRPr="00530D57">
        <w:t>show that hate crime is taken seriously.</w:t>
      </w:r>
      <w:r w:rsidR="00630F83" w:rsidRPr="00530D57">
        <w:rPr>
          <w:rStyle w:val="FootnoteReference"/>
        </w:rPr>
        <w:footnoteReference w:id="278"/>
      </w:r>
    </w:p>
    <w:p w14:paraId="7471BF82" w14:textId="77777777" w:rsidR="00D072C8" w:rsidRPr="00530D57" w:rsidRDefault="771C8513" w:rsidP="002F5E4F">
      <w:pPr>
        <w:pStyle w:val="Numberedpara"/>
      </w:pPr>
      <w:r w:rsidRPr="00530D57">
        <w:t>Others saw public education as a way to reduce the occurrence of hate crime by addressing its root causes and counteracting harmful narratives (for example, by targeting racism and misogyny).</w:t>
      </w:r>
      <w:r w:rsidR="00D072C8" w:rsidRPr="00530D57">
        <w:rPr>
          <w:color w:val="262626" w:themeColor="text1" w:themeTint="D9"/>
          <w:sz w:val="18"/>
          <w:szCs w:val="18"/>
          <w:vertAlign w:val="superscript"/>
        </w:rPr>
        <w:footnoteReference w:id="279"/>
      </w:r>
    </w:p>
    <w:p w14:paraId="4ACCC4F4" w14:textId="77777777" w:rsidR="00D072C8" w:rsidRPr="00530D57" w:rsidRDefault="00D072C8" w:rsidP="002F5E4F">
      <w:pPr>
        <w:pStyle w:val="Numberedpara"/>
      </w:pPr>
      <w:r w:rsidRPr="00530D57">
        <w:t>Luke Cunningham Clere suggested that, in addition to public campaigns, tolerance education in schools and bias training in institutions could be considered.</w:t>
      </w:r>
    </w:p>
    <w:p w14:paraId="7576A449" w14:textId="77777777" w:rsidR="00D072C8" w:rsidRPr="00530D57" w:rsidRDefault="00D072C8" w:rsidP="00C7085B">
      <w:pPr>
        <w:pStyle w:val="Heading4"/>
        <w:rPr>
          <w:rFonts w:eastAsiaTheme="majorEastAsia"/>
        </w:rPr>
      </w:pPr>
      <w:r w:rsidRPr="00530D57">
        <w:rPr>
          <w:rFonts w:eastAsiaTheme="majorEastAsia"/>
        </w:rPr>
        <w:t>Third party reporting services</w:t>
      </w:r>
    </w:p>
    <w:p w14:paraId="638968B2" w14:textId="6295F42F" w:rsidR="00D072C8" w:rsidRPr="00530D57" w:rsidRDefault="771C8513" w:rsidP="002F5E4F">
      <w:pPr>
        <w:pStyle w:val="Numberedpara"/>
      </w:pPr>
      <w:r w:rsidRPr="00530D57">
        <w:t>Two submitters supported establishing third party reporting mechanisms through community organisations.</w:t>
      </w:r>
      <w:r w:rsidR="00D072C8" w:rsidRPr="00530D57">
        <w:rPr>
          <w:color w:val="262626" w:themeColor="text1" w:themeTint="D9"/>
          <w:sz w:val="18"/>
          <w:szCs w:val="18"/>
          <w:vertAlign w:val="superscript"/>
        </w:rPr>
        <w:footnoteReference w:id="280"/>
      </w:r>
      <w:r w:rsidRPr="00530D57">
        <w:t xml:space="preserve"> One suggested having a separate entity that can receive reports of hate crimes from victims and offer support could lead to more accurate reporting (and, consequently, more accurate records).</w:t>
      </w:r>
      <w:r w:rsidR="00D072C8" w:rsidRPr="00530D57">
        <w:rPr>
          <w:color w:val="262626" w:themeColor="text1" w:themeTint="D9"/>
          <w:sz w:val="18"/>
          <w:szCs w:val="18"/>
          <w:vertAlign w:val="superscript"/>
        </w:rPr>
        <w:footnoteReference w:id="281"/>
      </w:r>
    </w:p>
    <w:p w14:paraId="29826F53" w14:textId="25066B94" w:rsidR="00D072C8" w:rsidRPr="00530D57" w:rsidRDefault="00D072C8" w:rsidP="002F5E4F">
      <w:pPr>
        <w:pStyle w:val="Numberedpara"/>
      </w:pPr>
      <w:r w:rsidRPr="00530D57">
        <w:t xml:space="preserve">In addition, Ināia Tonu Nei supported “alternative ways of reporting” but did not specify what form </w:t>
      </w:r>
      <w:r w:rsidR="00EE30DC" w:rsidRPr="00530D57">
        <w:t>this</w:t>
      </w:r>
      <w:r w:rsidRPr="00530D57">
        <w:t xml:space="preserve"> should take.</w:t>
      </w:r>
    </w:p>
    <w:p w14:paraId="0BF583E5" w14:textId="366D24EB" w:rsidR="00D072C8" w:rsidRPr="00530D57" w:rsidRDefault="00153C2D" w:rsidP="002F5E4F">
      <w:pPr>
        <w:pStyle w:val="Numberedpara"/>
      </w:pPr>
      <w:r>
        <w:t>Inclusive Aotearoa Collective Tāhono</w:t>
      </w:r>
      <w:r w:rsidR="0030100E" w:rsidRPr="0030100E">
        <w:t xml:space="preserve"> </w:t>
      </w:r>
      <w:r w:rsidR="00D072C8" w:rsidRPr="00530D57">
        <w:t xml:space="preserve">said third party reporting </w:t>
      </w:r>
      <w:r w:rsidR="00BF779B">
        <w:t>is</w:t>
      </w:r>
      <w:r w:rsidR="00D072C8" w:rsidRPr="00530D57">
        <w:t xml:space="preserve"> already </w:t>
      </w:r>
      <w:r w:rsidR="0077614B" w:rsidRPr="00530D57">
        <w:t xml:space="preserve">provided </w:t>
      </w:r>
      <w:r w:rsidR="00117BDD" w:rsidRPr="00530D57">
        <w:t xml:space="preserve">informally </w:t>
      </w:r>
      <w:r w:rsidR="006C239D" w:rsidRPr="00530D57">
        <w:t xml:space="preserve">through support </w:t>
      </w:r>
      <w:r w:rsidR="00FF0258" w:rsidRPr="00530D57">
        <w:t>at a community level.</w:t>
      </w:r>
      <w:r w:rsidR="00F057EB" w:rsidRPr="00530D57">
        <w:t xml:space="preserve"> Although it saw merit in the idea,</w:t>
      </w:r>
      <w:r w:rsidR="00D072C8" w:rsidRPr="00530D57">
        <w:t xml:space="preserve"> </w:t>
      </w:r>
      <w:r w:rsidR="00F057EB" w:rsidRPr="00530D57">
        <w:t>i</w:t>
      </w:r>
      <w:r w:rsidR="00D072C8" w:rsidRPr="00530D57">
        <w:t xml:space="preserve">t </w:t>
      </w:r>
      <w:r w:rsidR="00CC5487" w:rsidRPr="00530D57">
        <w:t>was hesitant</w:t>
      </w:r>
      <w:r w:rsidR="00D072C8" w:rsidRPr="00530D57">
        <w:t xml:space="preserve"> about formalising </w:t>
      </w:r>
      <w:r w:rsidR="004A5D97" w:rsidRPr="00530D57">
        <w:t xml:space="preserve">these </w:t>
      </w:r>
      <w:r w:rsidR="00D072C8" w:rsidRPr="00530D57">
        <w:t>arrangement</w:t>
      </w:r>
      <w:r w:rsidR="004A5D97" w:rsidRPr="00530D57">
        <w:t>s</w:t>
      </w:r>
      <w:r w:rsidR="00D072C8" w:rsidRPr="00530D57">
        <w:t xml:space="preserve"> because it might limit the </w:t>
      </w:r>
      <w:r w:rsidR="00E1202E" w:rsidRPr="00530D57">
        <w:t xml:space="preserve">extent of </w:t>
      </w:r>
      <w:r w:rsidR="00D072C8" w:rsidRPr="00530D57">
        <w:t xml:space="preserve">care </w:t>
      </w:r>
      <w:r w:rsidR="00D072C8" w:rsidRPr="00530D57">
        <w:lastRenderedPageBreak/>
        <w:t>tha</w:t>
      </w:r>
      <w:r w:rsidR="004A5D97" w:rsidRPr="00530D57">
        <w:t>t</w:t>
      </w:r>
      <w:r w:rsidR="00D072C8" w:rsidRPr="00530D57">
        <w:t xml:space="preserve"> could be given. It emphasised </w:t>
      </w:r>
      <w:r w:rsidR="00E1202E" w:rsidRPr="00530D57">
        <w:t>that</w:t>
      </w:r>
      <w:r w:rsidR="00D072C8" w:rsidRPr="00530D57">
        <w:t xml:space="preserve"> such services need sufficient resourcing and mental health support</w:t>
      </w:r>
      <w:r w:rsidR="007F5283" w:rsidRPr="00530D57">
        <w:t xml:space="preserve"> to operate well</w:t>
      </w:r>
      <w:r w:rsidR="00D072C8" w:rsidRPr="00530D57">
        <w:t>.</w:t>
      </w:r>
    </w:p>
    <w:p w14:paraId="64D19944" w14:textId="77777777" w:rsidR="00D072C8" w:rsidRPr="00530D57" w:rsidRDefault="00D072C8" w:rsidP="00495258">
      <w:pPr>
        <w:pStyle w:val="Heading4"/>
        <w:rPr>
          <w:rFonts w:eastAsiaTheme="majorEastAsia"/>
        </w:rPr>
      </w:pPr>
      <w:r w:rsidRPr="00530D57">
        <w:rPr>
          <w:rFonts w:eastAsiaTheme="majorEastAsia"/>
        </w:rPr>
        <w:t>Other comments on encouraging reporting of hate crimes</w:t>
      </w:r>
    </w:p>
    <w:p w14:paraId="57F1C4EE" w14:textId="77777777" w:rsidR="00D072C8" w:rsidRPr="00530D57" w:rsidRDefault="00D072C8" w:rsidP="002F5E4F">
      <w:pPr>
        <w:pStyle w:val="Numberedpara"/>
        <w:rPr>
          <w:rFonts w:eastAsia="Times New Roman" w:cs="Times New Roman"/>
          <w:color w:val="0D0D0D" w:themeColor="text1" w:themeTint="F2"/>
          <w:szCs w:val="24"/>
          <w:lang w:eastAsia="en-AU"/>
        </w:rPr>
      </w:pPr>
      <w:r w:rsidRPr="00530D57">
        <w:rPr>
          <w:rFonts w:eastAsia="Times New Roman"/>
        </w:rPr>
        <w:t xml:space="preserve">Several </w:t>
      </w:r>
      <w:r w:rsidRPr="00530D57">
        <w:rPr>
          <w:rFonts w:eastAsia="Times New Roman" w:cs="Times New Roman"/>
          <w:color w:val="0D0D0D" w:themeColor="text1" w:themeTint="F2"/>
          <w:szCs w:val="24"/>
          <w:lang w:eastAsia="en-AU"/>
        </w:rPr>
        <w:t>submitters made other suggestions about how to increase reporting of hate crimes.</w:t>
      </w:r>
    </w:p>
    <w:p w14:paraId="711CC8A2" w14:textId="7CEBBF9D" w:rsidR="00D072C8" w:rsidRPr="00530D57" w:rsidRDefault="00D072C8" w:rsidP="00896331">
      <w:pPr>
        <w:pStyle w:val="Numberedpara"/>
        <w:numPr>
          <w:ilvl w:val="1"/>
          <w:numId w:val="71"/>
        </w:numPr>
      </w:pPr>
      <w:r w:rsidRPr="00530D57">
        <w:t xml:space="preserve">Whaikaha </w:t>
      </w:r>
      <w:r w:rsidR="0024334D" w:rsidRPr="00530D57">
        <w:t xml:space="preserve">| Ministry of </w:t>
      </w:r>
      <w:r w:rsidR="0024334D" w:rsidRPr="0070461F">
        <w:rPr>
          <w:rFonts w:eastAsia="Times New Roman" w:cs="Times New Roman"/>
          <w:color w:val="0D0D0D" w:themeColor="text1" w:themeTint="F2"/>
          <w:szCs w:val="24"/>
          <w:lang w:eastAsia="en-AU"/>
        </w:rPr>
        <w:t>Disabled</w:t>
      </w:r>
      <w:r w:rsidR="0024334D" w:rsidRPr="00530D57">
        <w:t xml:space="preserve"> People </w:t>
      </w:r>
      <w:r w:rsidRPr="00530D57">
        <w:t xml:space="preserve">supported making reporting more accessible for disabled </w:t>
      </w:r>
      <w:r w:rsidR="001F79F1" w:rsidRPr="00530D57">
        <w:t>people</w:t>
      </w:r>
      <w:r w:rsidRPr="00530D57">
        <w:t xml:space="preserve">. </w:t>
      </w:r>
      <w:r w:rsidR="001F79F1" w:rsidRPr="00530D57">
        <w:t>T</w:t>
      </w:r>
      <w:r w:rsidRPr="00530D57">
        <w:t>his could involve upskilling Police and the judiciary in disability responsiveness, and providing accessible ways to report hate crimes and information on how to do so.</w:t>
      </w:r>
    </w:p>
    <w:p w14:paraId="7849D773" w14:textId="279EE02D" w:rsidR="00D072C8" w:rsidRPr="00530D57" w:rsidRDefault="00C36EF6" w:rsidP="00896331">
      <w:pPr>
        <w:pStyle w:val="Numberedpara"/>
        <w:numPr>
          <w:ilvl w:val="1"/>
          <w:numId w:val="71"/>
        </w:numPr>
      </w:pPr>
      <w:r>
        <w:t>The Law Association of New Zealand Criminal Law Committee</w:t>
      </w:r>
      <w:r w:rsidR="00D072C8" w:rsidRPr="00530D57">
        <w:t xml:space="preserve"> suggested that making hate motivation more visible at </w:t>
      </w:r>
      <w:r w:rsidR="00D072C8" w:rsidRPr="0070461F">
        <w:rPr>
          <w:rFonts w:eastAsia="Times New Roman" w:cs="Times New Roman"/>
          <w:color w:val="0D0D0D" w:themeColor="text1" w:themeTint="F2"/>
          <w:szCs w:val="24"/>
          <w:lang w:eastAsia="en-AU"/>
        </w:rPr>
        <w:t>sentencing</w:t>
      </w:r>
      <w:r w:rsidR="00D072C8" w:rsidRPr="00530D57">
        <w:t xml:space="preserve"> could help to increase victim confidence in the criminal justice system, potentially reducing reluctance to report hate crimes.</w:t>
      </w:r>
    </w:p>
    <w:p w14:paraId="43DB467F" w14:textId="73A17E0A" w:rsidR="00D072C8" w:rsidRPr="00530D57" w:rsidRDefault="771C8513" w:rsidP="00896331">
      <w:pPr>
        <w:pStyle w:val="Numberedpara"/>
        <w:numPr>
          <w:ilvl w:val="1"/>
          <w:numId w:val="71"/>
        </w:numPr>
      </w:pPr>
      <w:r w:rsidRPr="00530D57">
        <w:t xml:space="preserve">Two </w:t>
      </w:r>
      <w:r w:rsidRPr="00530D57">
        <w:rPr>
          <w:color w:val="0D0D0D" w:themeColor="text1" w:themeTint="F2"/>
        </w:rPr>
        <w:t>submitters</w:t>
      </w:r>
      <w:r w:rsidRPr="00530D57">
        <w:t xml:space="preserve"> emphasised that new hate crime offences are not needed to encourage </w:t>
      </w:r>
      <w:r w:rsidRPr="0070461F">
        <w:rPr>
          <w:rFonts w:eastAsia="Times New Roman" w:cs="Times New Roman"/>
          <w:color w:val="0D0D0D" w:themeColor="text1" w:themeTint="F2"/>
          <w:szCs w:val="24"/>
          <w:lang w:eastAsia="en-AU"/>
        </w:rPr>
        <w:t>reporting</w:t>
      </w:r>
      <w:r w:rsidRPr="00530D57">
        <w:t xml:space="preserve"> of hate crimes. They suggested this could instead be achieved through public education, improved police engagement with affected communities and</w:t>
      </w:r>
      <w:r w:rsidR="2C8B724A" w:rsidRPr="00530D57">
        <w:t xml:space="preserve"> </w:t>
      </w:r>
      <w:r w:rsidRPr="00530D57">
        <w:t>o</w:t>
      </w:r>
      <w:r w:rsidR="438BBF91" w:rsidRPr="00530D57">
        <w:t>ther</w:t>
      </w:r>
      <w:r w:rsidRPr="00530D57">
        <w:t xml:space="preserve"> trust-building initiatives.</w:t>
      </w:r>
      <w:r w:rsidR="00D072C8" w:rsidRPr="00530D57">
        <w:rPr>
          <w:color w:val="262626" w:themeColor="text1" w:themeTint="D9"/>
          <w:sz w:val="18"/>
          <w:szCs w:val="18"/>
          <w:vertAlign w:val="superscript"/>
        </w:rPr>
        <w:footnoteReference w:id="282"/>
      </w:r>
    </w:p>
    <w:p w14:paraId="4E2C4962" w14:textId="77777777" w:rsidR="00D072C8" w:rsidRPr="00530D57" w:rsidRDefault="00D072C8" w:rsidP="00DA0B3C">
      <w:pPr>
        <w:pStyle w:val="Heading2"/>
        <w:rPr>
          <w:rFonts w:eastAsiaTheme="majorEastAsia"/>
        </w:rPr>
      </w:pPr>
      <w:bookmarkStart w:id="47" w:name="_Toc207093267"/>
      <w:r w:rsidRPr="00530D57">
        <w:rPr>
          <w:rFonts w:eastAsiaTheme="majorEastAsia"/>
        </w:rPr>
        <w:t>Ensuring hate motivation is addressed in relevant cases</w:t>
      </w:r>
      <w:bookmarkEnd w:id="47"/>
    </w:p>
    <w:p w14:paraId="582B1096" w14:textId="58A25A86" w:rsidR="00094644" w:rsidRPr="00530D57" w:rsidRDefault="00BF1AF5" w:rsidP="002F5E4F">
      <w:pPr>
        <w:pStyle w:val="Numberedpara"/>
      </w:pPr>
      <w:r w:rsidRPr="00530D57">
        <w:rPr>
          <w:rFonts w:eastAsiaTheme="majorEastAsia"/>
        </w:rPr>
        <w:t xml:space="preserve">In </w:t>
      </w:r>
      <w:r w:rsidR="00623513" w:rsidRPr="00530D57">
        <w:rPr>
          <w:rFonts w:eastAsiaTheme="majorEastAsia"/>
        </w:rPr>
        <w:t>our</w:t>
      </w:r>
      <w:r w:rsidRPr="00530D57">
        <w:rPr>
          <w:rFonts w:eastAsiaTheme="majorEastAsia"/>
        </w:rPr>
        <w:t xml:space="preserve"> Consultation Paper, </w:t>
      </w:r>
      <w:r w:rsidR="001C323F" w:rsidRPr="00530D57">
        <w:rPr>
          <w:rFonts w:eastAsiaTheme="majorEastAsia"/>
        </w:rPr>
        <w:t xml:space="preserve">we </w:t>
      </w:r>
      <w:r w:rsidR="00D727C6" w:rsidRPr="00530D57">
        <w:rPr>
          <w:rFonts w:eastAsiaTheme="majorEastAsia"/>
        </w:rPr>
        <w:t>sought feedback on whether hate motivation is being consistently investigated by Police and raised by prosecutors at sentencing</w:t>
      </w:r>
      <w:r w:rsidR="00DB6659" w:rsidRPr="00530D57">
        <w:rPr>
          <w:rFonts w:eastAsiaTheme="majorEastAsia"/>
        </w:rPr>
        <w:t xml:space="preserve">. We also asked whether hate motivation should be considered at other stages of court proceedings, such as in bail decisions or </w:t>
      </w:r>
      <w:r w:rsidR="00747FF9" w:rsidRPr="00530D57">
        <w:rPr>
          <w:rFonts w:eastAsiaTheme="majorEastAsia"/>
        </w:rPr>
        <w:t>subsequent</w:t>
      </w:r>
      <w:r w:rsidR="00DB6659" w:rsidRPr="00530D57">
        <w:rPr>
          <w:rFonts w:eastAsiaTheme="majorEastAsia"/>
        </w:rPr>
        <w:t xml:space="preserve"> sentencing decisions relating to the same offender.</w:t>
      </w:r>
      <w:r w:rsidR="0022421B" w:rsidRPr="00530D57">
        <w:rPr>
          <w:rFonts w:eastAsiaTheme="majorEastAsia"/>
        </w:rPr>
        <w:t xml:space="preserve"> We </w:t>
      </w:r>
      <w:r w:rsidR="001A23CD" w:rsidRPr="00530D57">
        <w:rPr>
          <w:rFonts w:eastAsiaTheme="majorEastAsia"/>
        </w:rPr>
        <w:t>suggested options</w:t>
      </w:r>
      <w:r w:rsidR="0026451E" w:rsidRPr="00530D57">
        <w:rPr>
          <w:rFonts w:eastAsiaTheme="majorEastAsia"/>
        </w:rPr>
        <w:t xml:space="preserve"> to improve the consistency with which hate motivation is addressed in court proceedings</w:t>
      </w:r>
      <w:r w:rsidR="000542A1" w:rsidRPr="00530D57">
        <w:rPr>
          <w:rFonts w:eastAsiaTheme="majorEastAsia"/>
        </w:rPr>
        <w:t>.</w:t>
      </w:r>
    </w:p>
    <w:p w14:paraId="1826BB72" w14:textId="77777777" w:rsidR="00D072C8" w:rsidRPr="00530D57" w:rsidRDefault="00D072C8" w:rsidP="003C6273">
      <w:pPr>
        <w:pStyle w:val="Heading3"/>
        <w:rPr>
          <w:rFonts w:eastAsiaTheme="majorEastAsia"/>
        </w:rPr>
      </w:pPr>
      <w:r w:rsidRPr="00530D57">
        <w:rPr>
          <w:rFonts w:eastAsiaTheme="majorEastAsia"/>
        </w:rPr>
        <w:t>Is there a problem?</w:t>
      </w:r>
    </w:p>
    <w:p w14:paraId="20F1BC8A" w14:textId="77777777" w:rsidR="00D072C8" w:rsidRPr="00530D57" w:rsidRDefault="771C8513" w:rsidP="002F5E4F">
      <w:pPr>
        <w:pStyle w:val="Numberedpara"/>
        <w:rPr>
          <w:b/>
          <w:i/>
        </w:rPr>
      </w:pPr>
      <w:r w:rsidRPr="00530D57">
        <w:t>Twelve submitters suggested hate motivation is not consistently investigated by Police or considered at sentencing.</w:t>
      </w:r>
      <w:r w:rsidR="00D072C8" w:rsidRPr="00530D57">
        <w:rPr>
          <w:color w:val="262626" w:themeColor="text1" w:themeTint="D9"/>
          <w:sz w:val="18"/>
          <w:szCs w:val="18"/>
          <w:vertAlign w:val="superscript"/>
        </w:rPr>
        <w:footnoteReference w:id="283"/>
      </w:r>
      <w:r w:rsidRPr="00530D57">
        <w:t xml:space="preserve"> </w:t>
      </w:r>
    </w:p>
    <w:p w14:paraId="74DAAF7B" w14:textId="26699152" w:rsidR="00D072C8" w:rsidRPr="00530D57" w:rsidRDefault="771C8513" w:rsidP="002F5E4F">
      <w:pPr>
        <w:pStyle w:val="Numberedpara"/>
        <w:rPr>
          <w:b/>
          <w:i/>
        </w:rPr>
      </w:pPr>
      <w:r w:rsidRPr="00530D57">
        <w:t xml:space="preserve">Six </w:t>
      </w:r>
      <w:r w:rsidR="4660B57E" w:rsidRPr="00530D57">
        <w:t>submitters</w:t>
      </w:r>
      <w:r w:rsidRPr="00530D57">
        <w:t xml:space="preserve"> thought Police </w:t>
      </w:r>
      <w:r w:rsidR="004F40A3">
        <w:t>do</w:t>
      </w:r>
      <w:r w:rsidRPr="00530D57">
        <w:t xml:space="preserve"> not always treat reports of hate crimes seriously or investigate them adequately,</w:t>
      </w:r>
      <w:r w:rsidR="00D072C8" w:rsidRPr="00530D57">
        <w:rPr>
          <w:color w:val="262626" w:themeColor="text1" w:themeTint="D9"/>
          <w:sz w:val="18"/>
          <w:szCs w:val="18"/>
          <w:vertAlign w:val="superscript"/>
        </w:rPr>
        <w:footnoteReference w:id="284"/>
      </w:r>
      <w:r w:rsidRPr="00530D57">
        <w:t xml:space="preserve"> potentially due to a lack of understanding or training.</w:t>
      </w:r>
      <w:r w:rsidR="00D072C8" w:rsidRPr="00530D57">
        <w:rPr>
          <w:color w:val="262626" w:themeColor="text1" w:themeTint="D9"/>
          <w:sz w:val="18"/>
          <w:szCs w:val="18"/>
          <w:vertAlign w:val="superscript"/>
        </w:rPr>
        <w:footnoteReference w:id="285"/>
      </w:r>
      <w:r w:rsidRPr="00530D57">
        <w:t xml:space="preserve"> The Free Speech Union expressed concern that the training already developed by Police is ambiguous and subjective, raising concerns over its legality and impact on fundamental rights.</w:t>
      </w:r>
    </w:p>
    <w:p w14:paraId="048AE81D" w14:textId="284AFCDE" w:rsidR="00D072C8" w:rsidRPr="00530D57" w:rsidRDefault="771C8513" w:rsidP="6A35053A">
      <w:pPr>
        <w:pStyle w:val="Numberedpara"/>
        <w:rPr>
          <w:b/>
          <w:bCs/>
          <w:i/>
          <w:iCs/>
        </w:rPr>
      </w:pPr>
      <w:r w:rsidRPr="00530D57">
        <w:lastRenderedPageBreak/>
        <w:t xml:space="preserve">Four submitters suggested prosecutors </w:t>
      </w:r>
      <w:r w:rsidR="00B33504">
        <w:t>do</w:t>
      </w:r>
      <w:r w:rsidRPr="00530D57">
        <w:t xml:space="preserve"> not always raise hate motivation when it </w:t>
      </w:r>
      <w:r w:rsidR="00B33504">
        <w:t>is</w:t>
      </w:r>
      <w:r w:rsidRPr="00530D57">
        <w:t xml:space="preserve"> relevant.</w:t>
      </w:r>
      <w:r w:rsidR="00D072C8" w:rsidRPr="00530D57">
        <w:rPr>
          <w:color w:val="262626" w:themeColor="text1" w:themeTint="D9"/>
          <w:sz w:val="18"/>
          <w:szCs w:val="18"/>
          <w:vertAlign w:val="superscript"/>
        </w:rPr>
        <w:footnoteReference w:id="286"/>
      </w:r>
      <w:r w:rsidRPr="00530D57">
        <w:rPr>
          <w:i/>
          <w:iCs/>
        </w:rPr>
        <w:t xml:space="preserve"> </w:t>
      </w:r>
      <w:r w:rsidR="2DA9FF45" w:rsidRPr="00530D57">
        <w:t>The</w:t>
      </w:r>
      <w:r w:rsidR="2DA9FF45" w:rsidRPr="00530D57">
        <w:rPr>
          <w:b/>
          <w:bCs/>
        </w:rPr>
        <w:t xml:space="preserve"> </w:t>
      </w:r>
      <w:r w:rsidR="2DA9FF45" w:rsidRPr="00530D57">
        <w:t xml:space="preserve">Public Defence Service and a member of Te Hunga Rōia Māori o Aotearoa </w:t>
      </w:r>
      <w:r w:rsidRPr="00530D57">
        <w:t xml:space="preserve">expressed concern that prosecutors sometimes </w:t>
      </w:r>
      <w:r w:rsidR="00033ECA">
        <w:t>seek</w:t>
      </w:r>
      <w:r w:rsidRPr="00530D57">
        <w:t xml:space="preserve"> to rely on the aggravating factor in situations where that </w:t>
      </w:r>
      <w:r w:rsidR="00033ECA">
        <w:t>is</w:t>
      </w:r>
      <w:r w:rsidRPr="00530D57">
        <w:t xml:space="preserve"> not appropriate (for example, where the offender ha</w:t>
      </w:r>
      <w:r w:rsidR="001F7A85">
        <w:t>s</w:t>
      </w:r>
      <w:r w:rsidRPr="00530D57">
        <w:t xml:space="preserve"> mental health issues or said something in the heat of the moment).</w:t>
      </w:r>
      <w:r w:rsidR="00D072C8" w:rsidRPr="00530D57">
        <w:rPr>
          <w:color w:val="262626" w:themeColor="text1" w:themeTint="D9"/>
          <w:sz w:val="18"/>
          <w:szCs w:val="18"/>
          <w:vertAlign w:val="superscript"/>
        </w:rPr>
        <w:footnoteReference w:id="287"/>
      </w:r>
    </w:p>
    <w:p w14:paraId="5FF75FB3" w14:textId="1B26A2A4" w:rsidR="00D072C8" w:rsidRPr="00530D57" w:rsidRDefault="771C8513" w:rsidP="002F5E4F">
      <w:pPr>
        <w:pStyle w:val="Numberedpara"/>
      </w:pPr>
      <w:r w:rsidRPr="00530D57">
        <w:t xml:space="preserve">In addition to issues with investigations and prosecutions, </w:t>
      </w:r>
      <w:r w:rsidR="432FB8D5" w:rsidRPr="00530D57">
        <w:t>five</w:t>
      </w:r>
      <w:r w:rsidRPr="00530D57">
        <w:t xml:space="preserve"> submitters thought there </w:t>
      </w:r>
      <w:r w:rsidR="001F7A85">
        <w:t>is</w:t>
      </w:r>
      <w:r w:rsidRPr="00530D57">
        <w:t xml:space="preserve"> inconsistent judicial treatment of hate </w:t>
      </w:r>
      <w:r w:rsidR="001F7A85">
        <w:t>crime</w:t>
      </w:r>
      <w:r w:rsidRPr="00530D57">
        <w:t>.</w:t>
      </w:r>
      <w:r w:rsidR="00D072C8" w:rsidRPr="00530D57">
        <w:rPr>
          <w:color w:val="262626" w:themeColor="text1" w:themeTint="D9"/>
          <w:sz w:val="18"/>
          <w:szCs w:val="18"/>
          <w:vertAlign w:val="superscript"/>
        </w:rPr>
        <w:footnoteReference w:id="288"/>
      </w:r>
      <w:r w:rsidRPr="00530D57">
        <w:t xml:space="preserve"> </w:t>
      </w:r>
    </w:p>
    <w:p w14:paraId="026A4F19" w14:textId="606E51CE" w:rsidR="00D072C8" w:rsidRPr="00530D57" w:rsidRDefault="00D072C8" w:rsidP="002F5E4F">
      <w:pPr>
        <w:pStyle w:val="Numberedpara"/>
        <w:rPr>
          <w:b/>
          <w:i/>
        </w:rPr>
      </w:pPr>
      <w:r w:rsidRPr="00530D57">
        <w:t>Three submitters suggested the current law is inadequate to ensure hate motivation is consistently addressed since it:</w:t>
      </w:r>
    </w:p>
    <w:p w14:paraId="3831412C" w14:textId="77777777" w:rsidR="00D072C8" w:rsidRPr="00530D57" w:rsidRDefault="771C8513" w:rsidP="00896331">
      <w:pPr>
        <w:pStyle w:val="Numberedpara"/>
        <w:numPr>
          <w:ilvl w:val="1"/>
          <w:numId w:val="71"/>
        </w:numPr>
        <w:rPr>
          <w:rFonts w:eastAsia="Times New Roman" w:cs="Times New Roman"/>
          <w:color w:val="0D0D0D" w:themeColor="text1" w:themeTint="F2"/>
          <w:szCs w:val="24"/>
          <w:lang w:eastAsia="en-AU"/>
        </w:rPr>
      </w:pPr>
      <w:r w:rsidRPr="00530D57">
        <w:rPr>
          <w:rFonts w:eastAsia="Times New Roman" w:cs="Times New Roman"/>
          <w:color w:val="0D0D0D" w:themeColor="text1" w:themeTint="F2"/>
          <w:lang w:eastAsia="en-AU"/>
        </w:rPr>
        <w:t>is discretionary, relying on judges and police to recognise and record hate motivation;</w:t>
      </w:r>
      <w:r w:rsidR="00D072C8" w:rsidRPr="00530D57">
        <w:rPr>
          <w:rFonts w:eastAsia="Times New Roman" w:cs="Times New Roman"/>
          <w:color w:val="262626" w:themeColor="text1" w:themeTint="D9"/>
          <w:sz w:val="18"/>
          <w:szCs w:val="18"/>
          <w:vertAlign w:val="superscript"/>
          <w:lang w:eastAsia="en-AU"/>
        </w:rPr>
        <w:footnoteReference w:id="289"/>
      </w:r>
    </w:p>
    <w:p w14:paraId="549E174A" w14:textId="2F2AB913" w:rsidR="00D072C8" w:rsidRPr="00530D57" w:rsidRDefault="771C8513" w:rsidP="00896331">
      <w:pPr>
        <w:pStyle w:val="Numberedpara"/>
        <w:numPr>
          <w:ilvl w:val="1"/>
          <w:numId w:val="71"/>
        </w:numPr>
        <w:rPr>
          <w:rFonts w:eastAsia="Times New Roman" w:cs="Times New Roman"/>
          <w:color w:val="0D0D0D" w:themeColor="text1" w:themeTint="F2"/>
          <w:szCs w:val="24"/>
          <w:lang w:eastAsia="en-AU"/>
        </w:rPr>
      </w:pPr>
      <w:r w:rsidRPr="0070461F">
        <w:rPr>
          <w:bCs/>
          <w:iCs/>
        </w:rPr>
        <w:t>does</w:t>
      </w:r>
      <w:r w:rsidRPr="00530D57">
        <w:rPr>
          <w:rFonts w:eastAsia="Times New Roman" w:cs="Times New Roman"/>
          <w:color w:val="0D0D0D" w:themeColor="text1" w:themeTint="F2"/>
          <w:lang w:eastAsia="en-AU"/>
        </w:rPr>
        <w:t xml:space="preserve"> not encourage or prompt prosecutors to raise hate motivation </w:t>
      </w:r>
      <w:r w:rsidR="00E95504">
        <w:rPr>
          <w:rFonts w:eastAsia="Times New Roman" w:cs="Times New Roman"/>
          <w:color w:val="0D0D0D" w:themeColor="text1" w:themeTint="F2"/>
          <w:lang w:eastAsia="en-AU"/>
        </w:rPr>
        <w:t>at</w:t>
      </w:r>
      <w:r w:rsidRPr="00530D57">
        <w:rPr>
          <w:rFonts w:eastAsia="Times New Roman" w:cs="Times New Roman"/>
          <w:color w:val="0D0D0D" w:themeColor="text1" w:themeTint="F2"/>
          <w:lang w:eastAsia="en-AU"/>
        </w:rPr>
        <w:t xml:space="preserve"> sentencing;</w:t>
      </w:r>
      <w:r w:rsidR="00D072C8" w:rsidRPr="00530D57">
        <w:rPr>
          <w:rFonts w:eastAsia="Times New Roman" w:cs="Times New Roman"/>
          <w:color w:val="262626" w:themeColor="text1" w:themeTint="D9"/>
          <w:sz w:val="18"/>
          <w:szCs w:val="18"/>
          <w:vertAlign w:val="superscript"/>
          <w:lang w:eastAsia="en-AU"/>
        </w:rPr>
        <w:footnoteReference w:id="290"/>
      </w:r>
      <w:r w:rsidRPr="00530D57">
        <w:rPr>
          <w:rFonts w:eastAsia="Times New Roman" w:cs="Times New Roman"/>
          <w:color w:val="0D0D0D" w:themeColor="text1" w:themeTint="F2"/>
          <w:lang w:eastAsia="en-AU"/>
        </w:rPr>
        <w:t xml:space="preserve"> and</w:t>
      </w:r>
    </w:p>
    <w:p w14:paraId="4FF057B6" w14:textId="77777777" w:rsidR="00D072C8" w:rsidRPr="00530D57" w:rsidRDefault="771C8513" w:rsidP="00896331">
      <w:pPr>
        <w:pStyle w:val="Numberedpara"/>
        <w:numPr>
          <w:ilvl w:val="1"/>
          <w:numId w:val="71"/>
        </w:numPr>
        <w:rPr>
          <w:rFonts w:eastAsia="Times New Roman" w:cs="Times New Roman"/>
          <w:color w:val="0D0D0D" w:themeColor="text1" w:themeTint="F2"/>
          <w:szCs w:val="24"/>
          <w:lang w:eastAsia="en-AU"/>
        </w:rPr>
      </w:pPr>
      <w:r w:rsidRPr="0070461F">
        <w:rPr>
          <w:bCs/>
          <w:iCs/>
        </w:rPr>
        <w:t>does</w:t>
      </w:r>
      <w:r w:rsidRPr="00530D57">
        <w:rPr>
          <w:rFonts w:eastAsia="Times New Roman" w:cs="Times New Roman"/>
          <w:color w:val="0D0D0D" w:themeColor="text1" w:themeTint="F2"/>
          <w:lang w:eastAsia="en-AU"/>
        </w:rPr>
        <w:t xml:space="preserve"> not include hate motivation as an element of offences, so hate motivation is more likely to be “filtered out” of the criminal process.</w:t>
      </w:r>
      <w:r w:rsidR="00D072C8" w:rsidRPr="00530D57">
        <w:rPr>
          <w:rFonts w:eastAsia="Times New Roman" w:cs="Times New Roman"/>
          <w:color w:val="262626" w:themeColor="text1" w:themeTint="D9"/>
          <w:sz w:val="18"/>
          <w:szCs w:val="18"/>
          <w:vertAlign w:val="superscript"/>
          <w:lang w:eastAsia="en-AU"/>
        </w:rPr>
        <w:footnoteReference w:id="291"/>
      </w:r>
    </w:p>
    <w:p w14:paraId="5261B530" w14:textId="296BA1EA" w:rsidR="00D072C8" w:rsidRPr="00530D57" w:rsidRDefault="771C8513" w:rsidP="002F5E4F">
      <w:pPr>
        <w:pStyle w:val="Numberedpara"/>
        <w:rPr>
          <w:b/>
          <w:i/>
        </w:rPr>
      </w:pPr>
      <w:r w:rsidRPr="00530D57">
        <w:t xml:space="preserve">Two submitters noted the lack of hate crime cases involving disabled people as victims. They thought this </w:t>
      </w:r>
      <w:r w:rsidR="00E95504">
        <w:t>is</w:t>
      </w:r>
      <w:r w:rsidRPr="00530D57">
        <w:t xml:space="preserve"> because disabled people are often not viewed as credible witnesses,</w:t>
      </w:r>
      <w:r w:rsidR="00D072C8" w:rsidRPr="00530D57">
        <w:rPr>
          <w:color w:val="262626" w:themeColor="text1" w:themeTint="D9"/>
          <w:sz w:val="18"/>
          <w:szCs w:val="18"/>
          <w:vertAlign w:val="superscript"/>
        </w:rPr>
        <w:footnoteReference w:id="292"/>
      </w:r>
      <w:r w:rsidRPr="00530D57">
        <w:t xml:space="preserve"> their complaints are not taken seriously or they are not given the support they need (including legal resources) to take their cases forward.</w:t>
      </w:r>
      <w:r w:rsidR="00D072C8" w:rsidRPr="00530D57">
        <w:rPr>
          <w:color w:val="262626" w:themeColor="text1" w:themeTint="D9"/>
          <w:sz w:val="18"/>
          <w:szCs w:val="18"/>
          <w:vertAlign w:val="superscript"/>
        </w:rPr>
        <w:footnoteReference w:id="293"/>
      </w:r>
      <w:r w:rsidRPr="00530D57">
        <w:t xml:space="preserve"> </w:t>
      </w:r>
      <w:r w:rsidR="4649CEBB" w:rsidRPr="00530D57">
        <w:t>S</w:t>
      </w:r>
      <w:r w:rsidRPr="00530D57">
        <w:t>imilar issues were raised as barriers to reporting hate crimes for disabled people</w:t>
      </w:r>
      <w:r w:rsidR="4649CEBB" w:rsidRPr="00530D57">
        <w:t xml:space="preserve"> (see above)</w:t>
      </w:r>
      <w:r w:rsidRPr="00530D57">
        <w:t>. One submitter said older people are also invisible in police and justice processes.</w:t>
      </w:r>
      <w:r w:rsidR="00D072C8" w:rsidRPr="00530D57">
        <w:rPr>
          <w:color w:val="262626" w:themeColor="text1" w:themeTint="D9"/>
          <w:sz w:val="18"/>
          <w:szCs w:val="18"/>
          <w:vertAlign w:val="superscript"/>
        </w:rPr>
        <w:footnoteReference w:id="294"/>
      </w:r>
    </w:p>
    <w:p w14:paraId="0970C4A3" w14:textId="274F24BB" w:rsidR="00D072C8" w:rsidRPr="00530D57" w:rsidRDefault="771C8513" w:rsidP="002F5E4F">
      <w:pPr>
        <w:pStyle w:val="Numberedpara"/>
      </w:pPr>
      <w:r w:rsidRPr="00530D57">
        <w:t xml:space="preserve">On the other hand, a member of the Muslim community submitted that the work Police has undertaken since March 2019 to improve recording of hate </w:t>
      </w:r>
      <w:r w:rsidR="78CA4325" w:rsidRPr="00530D57">
        <w:t>motivation</w:t>
      </w:r>
      <w:r w:rsidRPr="00530D57">
        <w:t xml:space="preserve"> has resulted in more consistency in the presentation of </w:t>
      </w:r>
      <w:r w:rsidR="07C71B7C" w:rsidRPr="00530D57">
        <w:t xml:space="preserve">this </w:t>
      </w:r>
      <w:r w:rsidRPr="00530D57">
        <w:t>background to the courts for sentencing purposes.</w:t>
      </w:r>
      <w:r w:rsidR="00D072C8" w:rsidRPr="00530D57">
        <w:rPr>
          <w:color w:val="262626" w:themeColor="text1" w:themeTint="D9"/>
          <w:sz w:val="18"/>
          <w:szCs w:val="18"/>
          <w:vertAlign w:val="superscript"/>
        </w:rPr>
        <w:footnoteReference w:id="295"/>
      </w:r>
    </w:p>
    <w:p w14:paraId="46345EA8" w14:textId="77777777" w:rsidR="00D072C8" w:rsidRPr="00530D57" w:rsidRDefault="00D072C8" w:rsidP="002F5E4F">
      <w:pPr>
        <w:pStyle w:val="Numberedpara"/>
      </w:pPr>
      <w:r w:rsidRPr="00530D57">
        <w:t>Two submitters discussed whether hate motivation is taken into account in bail decisions or subsequent sentencing decisions.</w:t>
      </w:r>
    </w:p>
    <w:p w14:paraId="62202AC5" w14:textId="7A394B54" w:rsidR="00D072C8" w:rsidRPr="00530D57" w:rsidRDefault="00D072C8" w:rsidP="00896331">
      <w:pPr>
        <w:pStyle w:val="Numberedpara"/>
        <w:numPr>
          <w:ilvl w:val="1"/>
          <w:numId w:val="71"/>
        </w:numPr>
        <w:rPr>
          <w:rFonts w:eastAsia="Times New Roman" w:cs="Times New Roman"/>
          <w:color w:val="0D0D0D" w:themeColor="text1" w:themeTint="F2"/>
          <w:szCs w:val="24"/>
          <w:lang w:eastAsia="en-AU"/>
        </w:rPr>
      </w:pPr>
      <w:r w:rsidRPr="00530D57">
        <w:rPr>
          <w:rFonts w:eastAsia="Times New Roman" w:cs="Times New Roman"/>
          <w:color w:val="0D0D0D" w:themeColor="text1" w:themeTint="F2"/>
          <w:szCs w:val="24"/>
          <w:lang w:eastAsia="en-AU"/>
        </w:rPr>
        <w:t xml:space="preserve">The Public Defence Service considered hate motivation may be relevant to bail decisions and later sentencing decisions, and said </w:t>
      </w:r>
      <w:r w:rsidR="00343070">
        <w:rPr>
          <w:rFonts w:eastAsia="Times New Roman" w:cs="Times New Roman"/>
          <w:color w:val="0D0D0D" w:themeColor="text1" w:themeTint="F2"/>
          <w:szCs w:val="24"/>
          <w:lang w:eastAsia="en-AU"/>
        </w:rPr>
        <w:t>this</w:t>
      </w:r>
      <w:r w:rsidRPr="00530D57">
        <w:rPr>
          <w:rFonts w:eastAsia="Times New Roman" w:cs="Times New Roman"/>
          <w:color w:val="0D0D0D" w:themeColor="text1" w:themeTint="F2"/>
          <w:szCs w:val="24"/>
          <w:lang w:eastAsia="en-AU"/>
        </w:rPr>
        <w:t xml:space="preserve"> is already taken into account under the current law where appropriate. It said Police sometimes note</w:t>
      </w:r>
      <w:r w:rsidR="000865A0">
        <w:rPr>
          <w:rFonts w:eastAsia="Times New Roman" w:cs="Times New Roman"/>
          <w:color w:val="0D0D0D" w:themeColor="text1" w:themeTint="F2"/>
          <w:szCs w:val="24"/>
          <w:lang w:eastAsia="en-AU"/>
        </w:rPr>
        <w:t>s</w:t>
      </w:r>
      <w:r w:rsidRPr="00530D57">
        <w:rPr>
          <w:rFonts w:eastAsia="Times New Roman" w:cs="Times New Roman"/>
          <w:color w:val="0D0D0D" w:themeColor="text1" w:themeTint="F2"/>
          <w:szCs w:val="24"/>
          <w:lang w:eastAsia="en-AU"/>
        </w:rPr>
        <w:t xml:space="preserve"> hate motivation in bail opposition forms. It </w:t>
      </w:r>
      <w:r w:rsidR="00683B36" w:rsidRPr="00530D57">
        <w:rPr>
          <w:rFonts w:eastAsia="Times New Roman" w:cs="Times New Roman"/>
          <w:color w:val="0D0D0D" w:themeColor="text1" w:themeTint="F2"/>
          <w:szCs w:val="24"/>
          <w:lang w:eastAsia="en-AU"/>
        </w:rPr>
        <w:t>observed</w:t>
      </w:r>
      <w:r w:rsidRPr="00530D57">
        <w:rPr>
          <w:rFonts w:eastAsia="Times New Roman" w:cs="Times New Roman"/>
          <w:color w:val="0D0D0D" w:themeColor="text1" w:themeTint="F2"/>
          <w:szCs w:val="24"/>
          <w:lang w:eastAsia="en-AU"/>
        </w:rPr>
        <w:t xml:space="preserve"> people </w:t>
      </w:r>
      <w:r w:rsidR="00AF74E7" w:rsidRPr="00530D57">
        <w:rPr>
          <w:rFonts w:eastAsia="Times New Roman" w:cs="Times New Roman"/>
          <w:color w:val="0D0D0D" w:themeColor="text1" w:themeTint="F2"/>
          <w:szCs w:val="24"/>
          <w:lang w:eastAsia="en-AU"/>
        </w:rPr>
        <w:t>accused of</w:t>
      </w:r>
      <w:r w:rsidRPr="00530D57">
        <w:rPr>
          <w:rFonts w:eastAsia="Times New Roman" w:cs="Times New Roman"/>
          <w:color w:val="0D0D0D" w:themeColor="text1" w:themeTint="F2"/>
          <w:szCs w:val="24"/>
          <w:lang w:eastAsia="en-AU"/>
        </w:rPr>
        <w:t xml:space="preserve"> hate-motivated </w:t>
      </w:r>
      <w:r w:rsidRPr="00530D57">
        <w:rPr>
          <w:rFonts w:eastAsia="Times New Roman" w:cs="Times New Roman"/>
          <w:color w:val="0D0D0D" w:themeColor="text1" w:themeTint="F2"/>
          <w:szCs w:val="24"/>
          <w:lang w:eastAsia="en-AU"/>
        </w:rPr>
        <w:lastRenderedPageBreak/>
        <w:t>crime</w:t>
      </w:r>
      <w:r w:rsidR="000865A0">
        <w:rPr>
          <w:rFonts w:eastAsia="Times New Roman" w:cs="Times New Roman"/>
          <w:color w:val="0D0D0D" w:themeColor="text1" w:themeTint="F2"/>
          <w:szCs w:val="24"/>
          <w:lang w:eastAsia="en-AU"/>
        </w:rPr>
        <w:t>s</w:t>
      </w:r>
      <w:r w:rsidRPr="00530D57">
        <w:rPr>
          <w:rFonts w:eastAsia="Times New Roman" w:cs="Times New Roman"/>
          <w:color w:val="0D0D0D" w:themeColor="text1" w:themeTint="F2"/>
          <w:szCs w:val="24"/>
          <w:lang w:eastAsia="en-AU"/>
        </w:rPr>
        <w:t xml:space="preserve"> against Muslims regularly have bail conditions </w:t>
      </w:r>
      <w:r w:rsidR="000A52E2" w:rsidRPr="00530D57">
        <w:rPr>
          <w:rFonts w:eastAsia="Times New Roman" w:cs="Times New Roman"/>
          <w:color w:val="0D0D0D" w:themeColor="text1" w:themeTint="F2"/>
          <w:szCs w:val="24"/>
          <w:lang w:eastAsia="en-AU"/>
        </w:rPr>
        <w:t xml:space="preserve">restricting them from </w:t>
      </w:r>
      <w:r w:rsidR="00DD5066" w:rsidRPr="00530D57">
        <w:rPr>
          <w:rFonts w:eastAsia="Times New Roman" w:cs="Times New Roman"/>
          <w:color w:val="0D0D0D" w:themeColor="text1" w:themeTint="F2"/>
          <w:szCs w:val="24"/>
          <w:lang w:eastAsia="en-AU"/>
        </w:rPr>
        <w:t>going near</w:t>
      </w:r>
      <w:r w:rsidRPr="00530D57">
        <w:rPr>
          <w:rFonts w:eastAsia="Times New Roman" w:cs="Times New Roman"/>
          <w:color w:val="0D0D0D" w:themeColor="text1" w:themeTint="F2"/>
          <w:szCs w:val="24"/>
          <w:lang w:eastAsia="en-AU"/>
        </w:rPr>
        <w:t xml:space="preserve"> a mosque. </w:t>
      </w:r>
      <w:r w:rsidR="00A53D68" w:rsidRPr="00530D57">
        <w:rPr>
          <w:rFonts w:eastAsia="Times New Roman" w:cs="Times New Roman"/>
          <w:color w:val="0D0D0D" w:themeColor="text1" w:themeTint="F2"/>
          <w:szCs w:val="24"/>
          <w:lang w:eastAsia="en-AU"/>
        </w:rPr>
        <w:t>In addition,</w:t>
      </w:r>
      <w:r w:rsidRPr="00530D57">
        <w:rPr>
          <w:rFonts w:eastAsia="Times New Roman" w:cs="Times New Roman"/>
          <w:color w:val="0D0D0D" w:themeColor="text1" w:themeTint="F2"/>
          <w:szCs w:val="24"/>
          <w:lang w:eastAsia="en-AU"/>
        </w:rPr>
        <w:t xml:space="preserve"> previous convictions for hate-motivated crime may be admissible as propensity evidence in </w:t>
      </w:r>
      <w:r w:rsidR="00063ADA" w:rsidRPr="00530D57">
        <w:rPr>
          <w:rFonts w:eastAsia="Times New Roman" w:cs="Times New Roman"/>
          <w:color w:val="0D0D0D" w:themeColor="text1" w:themeTint="F2"/>
          <w:szCs w:val="24"/>
          <w:lang w:eastAsia="en-AU"/>
        </w:rPr>
        <w:t xml:space="preserve">a </w:t>
      </w:r>
      <w:r w:rsidRPr="00530D57">
        <w:rPr>
          <w:rFonts w:eastAsia="Times New Roman" w:cs="Times New Roman"/>
          <w:color w:val="0D0D0D" w:themeColor="text1" w:themeTint="F2"/>
          <w:szCs w:val="24"/>
          <w:lang w:eastAsia="en-AU"/>
        </w:rPr>
        <w:t xml:space="preserve">subsequent </w:t>
      </w:r>
      <w:r w:rsidR="000F0BC0" w:rsidRPr="00530D57">
        <w:rPr>
          <w:rFonts w:eastAsia="Times New Roman" w:cs="Times New Roman"/>
          <w:color w:val="0D0D0D" w:themeColor="text1" w:themeTint="F2"/>
          <w:szCs w:val="24"/>
          <w:lang w:eastAsia="en-AU"/>
        </w:rPr>
        <w:t>case</w:t>
      </w:r>
      <w:r w:rsidRPr="00530D57">
        <w:rPr>
          <w:rFonts w:eastAsia="Times New Roman" w:cs="Times New Roman"/>
          <w:color w:val="0D0D0D" w:themeColor="text1" w:themeTint="F2"/>
          <w:szCs w:val="24"/>
          <w:lang w:eastAsia="en-AU"/>
        </w:rPr>
        <w:t xml:space="preserve"> (although at present this will only occur if the previous sentencing notes have been obtained, since hate motivation is not recorded on </w:t>
      </w:r>
      <w:r w:rsidR="00402309" w:rsidRPr="00530D57">
        <w:rPr>
          <w:rFonts w:eastAsia="Times New Roman" w:cs="Times New Roman"/>
          <w:color w:val="0D0D0D" w:themeColor="text1" w:themeTint="F2"/>
          <w:szCs w:val="24"/>
          <w:lang w:eastAsia="en-AU"/>
        </w:rPr>
        <w:t xml:space="preserve">a </w:t>
      </w:r>
      <w:r w:rsidR="003B255E" w:rsidRPr="00530D57">
        <w:rPr>
          <w:rFonts w:eastAsia="Times New Roman" w:cs="Times New Roman"/>
          <w:color w:val="0D0D0D" w:themeColor="text1" w:themeTint="F2"/>
          <w:szCs w:val="24"/>
          <w:lang w:eastAsia="en-AU"/>
        </w:rPr>
        <w:t>person’s</w:t>
      </w:r>
      <w:r w:rsidRPr="00530D57">
        <w:rPr>
          <w:rFonts w:eastAsia="Times New Roman" w:cs="Times New Roman"/>
          <w:color w:val="0D0D0D" w:themeColor="text1" w:themeTint="F2"/>
          <w:szCs w:val="24"/>
          <w:lang w:eastAsia="en-AU"/>
        </w:rPr>
        <w:t xml:space="preserve"> criminal </w:t>
      </w:r>
      <w:r w:rsidR="008B2816" w:rsidRPr="00530D57">
        <w:rPr>
          <w:rFonts w:eastAsia="Times New Roman" w:cs="Times New Roman"/>
          <w:color w:val="0D0D0D" w:themeColor="text1" w:themeTint="F2"/>
          <w:szCs w:val="24"/>
          <w:lang w:eastAsia="en-AU"/>
        </w:rPr>
        <w:t>conviction</w:t>
      </w:r>
      <w:r w:rsidRPr="00530D57">
        <w:rPr>
          <w:rFonts w:eastAsia="Times New Roman" w:cs="Times New Roman"/>
          <w:color w:val="0D0D0D" w:themeColor="text1" w:themeTint="F2"/>
          <w:szCs w:val="24"/>
          <w:lang w:eastAsia="en-AU"/>
        </w:rPr>
        <w:t xml:space="preserve"> history).</w:t>
      </w:r>
    </w:p>
    <w:p w14:paraId="0715BC4F" w14:textId="5DCF5E6A" w:rsidR="00D072C8" w:rsidRPr="00530D57" w:rsidRDefault="00C36EF6" w:rsidP="00896331">
      <w:pPr>
        <w:pStyle w:val="Numberedpara"/>
        <w:numPr>
          <w:ilvl w:val="1"/>
          <w:numId w:val="71"/>
        </w:numPr>
        <w:rPr>
          <w:rFonts w:eastAsia="Times New Roman" w:cs="Times New Roman"/>
          <w:color w:val="0D0D0D" w:themeColor="text1" w:themeTint="F2"/>
          <w:szCs w:val="24"/>
          <w:lang w:eastAsia="en-AU"/>
        </w:rPr>
      </w:pPr>
      <w:r>
        <w:rPr>
          <w:rFonts w:eastAsia="Times New Roman" w:cs="Times New Roman"/>
          <w:color w:val="0D0D0D" w:themeColor="text1" w:themeTint="F2"/>
          <w:szCs w:val="24"/>
          <w:lang w:eastAsia="en-AU"/>
        </w:rPr>
        <w:t>The Law Association of New Zealand Criminal Law Committee</w:t>
      </w:r>
      <w:r w:rsidR="00D072C8" w:rsidRPr="00530D57">
        <w:rPr>
          <w:rFonts w:eastAsia="Times New Roman" w:cs="Times New Roman"/>
          <w:color w:val="0D0D0D" w:themeColor="text1" w:themeTint="F2"/>
          <w:szCs w:val="24"/>
          <w:lang w:eastAsia="en-AU"/>
        </w:rPr>
        <w:t xml:space="preserve"> said that any previous convictions for hate-motivated offending are unlikely to be apparent at a bail hearing. This is because aggravating factors are not recorded on the defendant’s criminal conviction history, and the short timeframe between a defendant being charged and applying for bail rarely allows time for the arresting officer to obtain previous sentencing notes or summaries of fact. </w:t>
      </w:r>
    </w:p>
    <w:p w14:paraId="67E5D606" w14:textId="77777777" w:rsidR="00D072C8" w:rsidRPr="00530D57" w:rsidRDefault="00D072C8" w:rsidP="004A0BC0">
      <w:pPr>
        <w:pStyle w:val="Heading3"/>
        <w:rPr>
          <w:rFonts w:eastAsiaTheme="majorEastAsia"/>
        </w:rPr>
      </w:pPr>
      <w:r w:rsidRPr="00530D57">
        <w:rPr>
          <w:rFonts w:eastAsiaTheme="majorEastAsia"/>
        </w:rPr>
        <w:t>Can the problem be addressed under the current legal model?</w:t>
      </w:r>
    </w:p>
    <w:p w14:paraId="77508E46" w14:textId="77777777" w:rsidR="00D072C8" w:rsidRPr="00530D57" w:rsidRDefault="00D072C8" w:rsidP="004A0BC0">
      <w:pPr>
        <w:pStyle w:val="Heading4"/>
        <w:rPr>
          <w:rFonts w:eastAsiaTheme="majorEastAsia"/>
        </w:rPr>
      </w:pPr>
      <w:r w:rsidRPr="00530D57">
        <w:rPr>
          <w:rFonts w:eastAsiaTheme="majorEastAsia"/>
        </w:rPr>
        <w:t>Guidance and training</w:t>
      </w:r>
    </w:p>
    <w:p w14:paraId="686F1B6C" w14:textId="54B384AB" w:rsidR="00D072C8" w:rsidRPr="00530D57" w:rsidRDefault="771C8513" w:rsidP="002F5E4F">
      <w:pPr>
        <w:pStyle w:val="Numberedpara"/>
      </w:pPr>
      <w:r w:rsidRPr="00530D57">
        <w:t>Five submitters supported providing advice, guidance or training for prosecutors.</w:t>
      </w:r>
      <w:r w:rsidR="00D072C8" w:rsidRPr="00530D57">
        <w:rPr>
          <w:color w:val="262626" w:themeColor="text1" w:themeTint="D9"/>
          <w:sz w:val="18"/>
          <w:szCs w:val="18"/>
          <w:vertAlign w:val="superscript"/>
        </w:rPr>
        <w:footnoteReference w:id="296"/>
      </w:r>
      <w:r w:rsidRPr="00530D57">
        <w:t xml:space="preserve"> The </w:t>
      </w:r>
      <w:r w:rsidR="009531AF" w:rsidRPr="00530D57">
        <w:t>New Zealand Law Society</w:t>
      </w:r>
      <w:r w:rsidRPr="00530D57">
        <w:t xml:space="preserve"> noted that the courts rely on prosecutors to raise hate motivation at sentencing and ensure there is enough evidence to apply the aggravating factor. </w:t>
      </w:r>
    </w:p>
    <w:p w14:paraId="097BF227" w14:textId="77777777" w:rsidR="00D072C8" w:rsidRPr="00530D57" w:rsidRDefault="00D072C8" w:rsidP="002F5E4F">
      <w:pPr>
        <w:pStyle w:val="Numberedpara"/>
      </w:pPr>
      <w:r w:rsidRPr="00530D57">
        <w:t>Crown Law suggested it may not be appropriate to include guidance on hate crime in the Solicitor-General’s Prosecution Guidelines, which provide high-level advice and do not give specific commentary on any individual aggravating factors. The Guidelines also apply to all prosecutors, whereas hate crimes will only be a Police or Crown matter. However, Crown Law said it could direct Crown Solicitors to the Police material on hate crime and suggest in-house training. It could also assist the Crown Solicitors Network with the implications of any legislative reform.</w:t>
      </w:r>
    </w:p>
    <w:p w14:paraId="73057591" w14:textId="6C51D1F9" w:rsidR="00D072C8" w:rsidRPr="00530D57" w:rsidRDefault="771C8513" w:rsidP="002F5E4F">
      <w:pPr>
        <w:pStyle w:val="Numberedpara"/>
      </w:pPr>
      <w:r w:rsidRPr="00530D57">
        <w:t>Seven submitters suggested further Police training or guidance.</w:t>
      </w:r>
      <w:r w:rsidR="00D072C8" w:rsidRPr="00530D57">
        <w:rPr>
          <w:color w:val="262626" w:themeColor="text1" w:themeTint="D9"/>
          <w:sz w:val="18"/>
          <w:szCs w:val="18"/>
          <w:vertAlign w:val="superscript"/>
        </w:rPr>
        <w:footnoteReference w:id="297"/>
      </w:r>
      <w:r w:rsidRPr="00530D57">
        <w:t xml:space="preserve"> Most did not identify specific areas for improvement to the training and guidance that has been recently developed. The N</w:t>
      </w:r>
      <w:r w:rsidR="007E1F20">
        <w:t xml:space="preserve">ew </w:t>
      </w:r>
      <w:r w:rsidRPr="00530D57">
        <w:t>Z</w:t>
      </w:r>
      <w:r w:rsidR="007E1F20">
        <w:t>ealand</w:t>
      </w:r>
      <w:r w:rsidRPr="00530D57">
        <w:t xml:space="preserve"> Jewish Council recommended training on how to</w:t>
      </w:r>
      <w:r w:rsidRPr="00530D57">
        <w:rPr>
          <w:rFonts w:cs="Segoe UI"/>
        </w:rPr>
        <w:t xml:space="preserve"> recognise and address antisemitic incidents and other forms of bias, noting some incidents in recent years have revealed gaps in understanding of antisemitism</w:t>
      </w:r>
      <w:r w:rsidR="5145A37A" w:rsidRPr="00530D57">
        <w:rPr>
          <w:rFonts w:cs="Segoe UI"/>
        </w:rPr>
        <w:t>.</w:t>
      </w:r>
      <w:r w:rsidRPr="00530D57">
        <w:rPr>
          <w:rFonts w:cs="Segoe UI"/>
        </w:rPr>
        <w:t xml:space="preserve"> </w:t>
      </w:r>
      <w:r w:rsidR="003C4C79">
        <w:rPr>
          <w:rFonts w:cs="Segoe UI"/>
        </w:rPr>
        <w:t xml:space="preserve">The </w:t>
      </w:r>
      <w:r w:rsidR="00FD62D9" w:rsidRPr="00530D57">
        <w:rPr>
          <w:rFonts w:cs="Segoe UI"/>
        </w:rPr>
        <w:t xml:space="preserve">New Zealand Federation of </w:t>
      </w:r>
      <w:r w:rsidRPr="00530D57">
        <w:rPr>
          <w:rFonts w:cs="Segoe UI"/>
        </w:rPr>
        <w:t xml:space="preserve">Business </w:t>
      </w:r>
      <w:r w:rsidR="6581DB1C" w:rsidRPr="00530D57">
        <w:rPr>
          <w:rFonts w:cs="Segoe UI"/>
        </w:rPr>
        <w:t xml:space="preserve">and Professional </w:t>
      </w:r>
      <w:r w:rsidRPr="00530D57">
        <w:rPr>
          <w:rFonts w:cs="Segoe UI"/>
        </w:rPr>
        <w:t xml:space="preserve">Women </w:t>
      </w:r>
      <w:r w:rsidRPr="00530D57">
        <w:t>supported adopting a similar education program to the one implemented by police</w:t>
      </w:r>
      <w:r w:rsidRPr="00530D57">
        <w:rPr>
          <w:rFonts w:cs="Segoe UI"/>
        </w:rPr>
        <w:t xml:space="preserve"> in Victoria, Australia, which it said had led to increased recognition of prejudice-motivated crimes. </w:t>
      </w:r>
    </w:p>
    <w:p w14:paraId="337C2CBE" w14:textId="3A8BC04A" w:rsidR="00D072C8" w:rsidRPr="00530D57" w:rsidRDefault="771C8513" w:rsidP="002F5E4F">
      <w:pPr>
        <w:pStyle w:val="Numberedpara"/>
      </w:pPr>
      <w:r w:rsidRPr="00530D57">
        <w:t xml:space="preserve">Five submitters supported training </w:t>
      </w:r>
      <w:r w:rsidR="002A4E75" w:rsidRPr="00530D57">
        <w:t xml:space="preserve">or guidance </w:t>
      </w:r>
      <w:r w:rsidRPr="00530D57">
        <w:t>for the judiciary</w:t>
      </w:r>
      <w:r w:rsidR="2DA4D7C0" w:rsidRPr="00530D57">
        <w:t>.</w:t>
      </w:r>
      <w:r w:rsidR="00D072C8" w:rsidRPr="00530D57">
        <w:rPr>
          <w:color w:val="262626" w:themeColor="text1" w:themeTint="D9"/>
          <w:sz w:val="18"/>
          <w:szCs w:val="18"/>
          <w:vertAlign w:val="superscript"/>
        </w:rPr>
        <w:footnoteReference w:id="298"/>
      </w:r>
      <w:r w:rsidRPr="00530D57">
        <w:t xml:space="preserve"> </w:t>
      </w:r>
      <w:r w:rsidR="2DA4D7C0" w:rsidRPr="00530D57">
        <w:t>T</w:t>
      </w:r>
      <w:r w:rsidRPr="00530D57">
        <w:t xml:space="preserve">he </w:t>
      </w:r>
      <w:r w:rsidR="009531AF" w:rsidRPr="00530D57">
        <w:t>New Zealand Law Society</w:t>
      </w:r>
      <w:r w:rsidRPr="00530D57">
        <w:t xml:space="preserve"> suggested legal education at university or through continuing professional development to raise awareness within the legal profession.</w:t>
      </w:r>
    </w:p>
    <w:p w14:paraId="3DCD529C" w14:textId="77777777" w:rsidR="00D072C8" w:rsidRPr="00530D57" w:rsidRDefault="00D072C8" w:rsidP="00163EF5">
      <w:pPr>
        <w:pStyle w:val="Heading4"/>
        <w:rPr>
          <w:rFonts w:eastAsiaTheme="majorEastAsia"/>
        </w:rPr>
      </w:pPr>
      <w:r w:rsidRPr="00530D57">
        <w:rPr>
          <w:rFonts w:eastAsiaTheme="majorEastAsia"/>
        </w:rPr>
        <w:lastRenderedPageBreak/>
        <w:t>Flagging hate crimes in the court system</w:t>
      </w:r>
    </w:p>
    <w:p w14:paraId="426F54ED" w14:textId="134920DF" w:rsidR="000F4C96" w:rsidRPr="00530D57" w:rsidRDefault="771C8513">
      <w:pPr>
        <w:pStyle w:val="Numberedpara"/>
      </w:pPr>
      <w:r w:rsidRPr="00530D57">
        <w:t>Eight submitters supported introducing a hate crime flag or conviction notation in the court system to record where an offence has been identified as a hate crime.</w:t>
      </w:r>
      <w:r w:rsidR="00D072C8" w:rsidRPr="00530D57">
        <w:rPr>
          <w:color w:val="262626" w:themeColor="text1" w:themeTint="D9"/>
          <w:sz w:val="18"/>
          <w:szCs w:val="18"/>
          <w:vertAlign w:val="superscript"/>
        </w:rPr>
        <w:footnoteReference w:id="299"/>
      </w:r>
      <w:r w:rsidRPr="00530D57">
        <w:t xml:space="preserve"> S</w:t>
      </w:r>
      <w:r w:rsidR="15E2AE78" w:rsidRPr="00530D57">
        <w:t>ome s</w:t>
      </w:r>
      <w:r w:rsidRPr="00530D57">
        <w:t>ubmitters said the flag or notation should form part of the court record</w:t>
      </w:r>
      <w:r w:rsidR="00D072C8" w:rsidRPr="00530D57">
        <w:rPr>
          <w:color w:val="262626" w:themeColor="text1" w:themeTint="D9"/>
          <w:sz w:val="18"/>
          <w:szCs w:val="18"/>
          <w:vertAlign w:val="superscript"/>
        </w:rPr>
        <w:footnoteReference w:id="300"/>
      </w:r>
      <w:r w:rsidRPr="00530D57">
        <w:t xml:space="preserve"> or the offender’s criminal conviction history.</w:t>
      </w:r>
      <w:r w:rsidR="00D072C8" w:rsidRPr="00530D57">
        <w:rPr>
          <w:color w:val="262626" w:themeColor="text1" w:themeTint="D9"/>
          <w:sz w:val="18"/>
          <w:szCs w:val="18"/>
          <w:vertAlign w:val="superscript"/>
        </w:rPr>
        <w:footnoteReference w:id="301"/>
      </w:r>
      <w:r w:rsidRPr="00530D57">
        <w:t xml:space="preserve"> </w:t>
      </w:r>
      <w:r w:rsidR="670A669F" w:rsidRPr="00530D57">
        <w:t>We heard this</w:t>
      </w:r>
      <w:r w:rsidRPr="00530D57">
        <w:t xml:space="preserve"> could help ensure hate motivation is considered at sentencing for the offence (including in pre-sentence reports) and for any subsequent offences.</w:t>
      </w:r>
      <w:r w:rsidR="00D072C8" w:rsidRPr="00530D57">
        <w:rPr>
          <w:color w:val="262626" w:themeColor="text1" w:themeTint="D9"/>
          <w:sz w:val="18"/>
          <w:szCs w:val="18"/>
          <w:vertAlign w:val="superscript"/>
        </w:rPr>
        <w:footnoteReference w:id="302"/>
      </w:r>
      <w:r w:rsidRPr="00530D57">
        <w:t xml:space="preserve"> It could also provide more accurate data on hate crimes.</w:t>
      </w:r>
      <w:r w:rsidR="00D072C8" w:rsidRPr="00530D57">
        <w:rPr>
          <w:color w:val="262626" w:themeColor="text1" w:themeTint="D9"/>
          <w:sz w:val="18"/>
          <w:szCs w:val="18"/>
          <w:vertAlign w:val="superscript"/>
        </w:rPr>
        <w:footnoteReference w:id="303"/>
      </w:r>
    </w:p>
    <w:p w14:paraId="64499ECC" w14:textId="21494D8F" w:rsidR="00024037" w:rsidRPr="00530D57" w:rsidRDefault="00024037">
      <w:pPr>
        <w:pStyle w:val="Numberedpara"/>
      </w:pPr>
      <w:r w:rsidRPr="00530D57">
        <w:t xml:space="preserve">Two other submitters made comments indicating possible support for </w:t>
      </w:r>
      <w:r w:rsidR="005A46BA" w:rsidRPr="00530D57">
        <w:t xml:space="preserve">a hate crime flag or conviction notation </w:t>
      </w:r>
      <w:r w:rsidRPr="00530D57">
        <w:t>but did not take a clear position:</w:t>
      </w:r>
    </w:p>
    <w:p w14:paraId="775DF65C" w14:textId="1C780D2F" w:rsidR="00024037" w:rsidRPr="00530D57" w:rsidRDefault="00C36EF6" w:rsidP="00896331">
      <w:pPr>
        <w:pStyle w:val="Numberedpara"/>
        <w:numPr>
          <w:ilvl w:val="1"/>
          <w:numId w:val="71"/>
        </w:numPr>
        <w:rPr>
          <w:rFonts w:eastAsia="Times New Roman" w:cs="Times New Roman"/>
          <w:color w:val="0D0D0D" w:themeColor="text1" w:themeTint="F2"/>
          <w:szCs w:val="24"/>
          <w:lang w:eastAsia="en-AU"/>
        </w:rPr>
      </w:pPr>
      <w:r>
        <w:rPr>
          <w:rFonts w:eastAsia="Times New Roman" w:cs="Times New Roman"/>
          <w:color w:val="0D0D0D" w:themeColor="text1" w:themeTint="F2"/>
          <w:lang w:eastAsia="en-AU"/>
        </w:rPr>
        <w:t>The Law Association of New Zealand Criminal Law Committee</w:t>
      </w:r>
      <w:r w:rsidR="72A0FF17" w:rsidRPr="00530D57">
        <w:rPr>
          <w:rFonts w:eastAsia="Times New Roman" w:cs="Times New Roman"/>
          <w:color w:val="0D0D0D" w:themeColor="text1" w:themeTint="F2"/>
          <w:lang w:eastAsia="en-AU"/>
        </w:rPr>
        <w:t xml:space="preserve"> supported Police and prosecutors recording suspected or identified hate motivation but did not specify how this should occur.</w:t>
      </w:r>
      <w:r w:rsidR="00024037" w:rsidRPr="00530D57">
        <w:rPr>
          <w:rFonts w:eastAsia="Times New Roman" w:cs="Times New Roman"/>
          <w:color w:val="262626" w:themeColor="text1" w:themeTint="D9"/>
          <w:sz w:val="18"/>
          <w:szCs w:val="18"/>
          <w:vertAlign w:val="superscript"/>
          <w:lang w:eastAsia="en-AU"/>
        </w:rPr>
        <w:footnoteReference w:id="304"/>
      </w:r>
    </w:p>
    <w:p w14:paraId="7D36AC92" w14:textId="68418C6B" w:rsidR="00D072C8" w:rsidRPr="00530D57" w:rsidRDefault="00D072C8" w:rsidP="00896331">
      <w:pPr>
        <w:pStyle w:val="Numberedpara"/>
        <w:numPr>
          <w:ilvl w:val="1"/>
          <w:numId w:val="71"/>
        </w:numPr>
      </w:pPr>
      <w:r w:rsidRPr="00530D57">
        <w:rPr>
          <w:rFonts w:eastAsia="Times New Roman" w:cs="Times New Roman"/>
          <w:color w:val="0D0D0D" w:themeColor="text1" w:themeTint="F2"/>
          <w:szCs w:val="24"/>
          <w:lang w:eastAsia="en-AU"/>
        </w:rPr>
        <w:t>Luke Cunningham Clere said a hate crime flag would serve the symbolic function of “marking out” hate crimes without increasing the complexity of the law and would make them easier to identify.</w:t>
      </w:r>
    </w:p>
    <w:p w14:paraId="35875500" w14:textId="02FE7B01" w:rsidR="00D072C8" w:rsidRPr="00530D57" w:rsidRDefault="771C8513" w:rsidP="002F5E4F">
      <w:pPr>
        <w:pStyle w:val="Numberedpara"/>
      </w:pPr>
      <w:r w:rsidRPr="00530D57">
        <w:t xml:space="preserve">Five submitters said a hate crime flag could be shared with </w:t>
      </w:r>
      <w:r w:rsidR="007504A3" w:rsidRPr="007504A3">
        <w:t xml:space="preserve">Ara Poutama Aotearoa </w:t>
      </w:r>
      <w:r w:rsidR="007504A3">
        <w:t xml:space="preserve">| Department of </w:t>
      </w:r>
      <w:r w:rsidRPr="00530D57">
        <w:t>Corrections to help assess the offender’s rehabilitative needs.</w:t>
      </w:r>
      <w:r w:rsidR="00D072C8" w:rsidRPr="00530D57">
        <w:rPr>
          <w:color w:val="262626" w:themeColor="text1" w:themeTint="D9"/>
          <w:sz w:val="18"/>
          <w:szCs w:val="18"/>
          <w:vertAlign w:val="superscript"/>
        </w:rPr>
        <w:footnoteReference w:id="305"/>
      </w:r>
    </w:p>
    <w:p w14:paraId="23D4B380" w14:textId="49381582" w:rsidR="00D072C8" w:rsidRPr="00530D57" w:rsidRDefault="00D072C8" w:rsidP="002F5E4F">
      <w:pPr>
        <w:pStyle w:val="Numberedpara"/>
      </w:pPr>
      <w:r w:rsidRPr="00530D57">
        <w:t xml:space="preserve">No submitters expressly opposed the introduction of a court flag. However, the Public Defence Service </w:t>
      </w:r>
      <w:r w:rsidR="009D5F26" w:rsidRPr="00530D57">
        <w:t>cautioned</w:t>
      </w:r>
      <w:r w:rsidR="00987A35" w:rsidRPr="00530D57">
        <w:t xml:space="preserve"> that</w:t>
      </w:r>
      <w:r w:rsidR="009D5F26" w:rsidRPr="00530D57">
        <w:t xml:space="preserve"> </w:t>
      </w:r>
      <w:r w:rsidR="00204B67" w:rsidRPr="00530D57">
        <w:t>a hate crime flag</w:t>
      </w:r>
      <w:r w:rsidR="009F6AE1">
        <w:t xml:space="preserve"> could be misapplied</w:t>
      </w:r>
      <w:r w:rsidR="00204B67" w:rsidRPr="00530D57">
        <w:t xml:space="preserve">. It observed that </w:t>
      </w:r>
      <w:r w:rsidRPr="00530D57">
        <w:t xml:space="preserve">the existing </w:t>
      </w:r>
      <w:r w:rsidR="00290F8E" w:rsidRPr="00530D57">
        <w:t>‘</w:t>
      </w:r>
      <w:r w:rsidRPr="00530D57">
        <w:t>family violence flag</w:t>
      </w:r>
      <w:r w:rsidR="004B597E" w:rsidRPr="00530D57">
        <w:t>’</w:t>
      </w:r>
      <w:r w:rsidRPr="00530D57">
        <w:t xml:space="preserve"> is not always accurately applied, with some cases being flagged </w:t>
      </w:r>
      <w:r w:rsidR="001942A3">
        <w:t>that</w:t>
      </w:r>
      <w:r w:rsidRPr="00530D57">
        <w:t xml:space="preserve"> are clearly not family violence </w:t>
      </w:r>
      <w:r w:rsidR="00037D2D" w:rsidRPr="00530D57">
        <w:t>related</w:t>
      </w:r>
      <w:r w:rsidRPr="00530D57">
        <w:t>.</w:t>
      </w:r>
    </w:p>
    <w:p w14:paraId="31F6E874" w14:textId="0FE73BE7" w:rsidR="00D072C8" w:rsidRPr="00530D57" w:rsidRDefault="00D072C8" w:rsidP="002B5CB2">
      <w:pPr>
        <w:pStyle w:val="Heading4"/>
        <w:rPr>
          <w:rFonts w:eastAsiaTheme="majorEastAsia"/>
        </w:rPr>
      </w:pPr>
      <w:r w:rsidRPr="00530D57">
        <w:rPr>
          <w:rFonts w:eastAsiaTheme="majorEastAsia"/>
        </w:rPr>
        <w:t>Other comments on ensuring hate motivation is addressed</w:t>
      </w:r>
      <w:r w:rsidR="00AF4C97" w:rsidRPr="00530D57">
        <w:rPr>
          <w:rFonts w:eastAsiaTheme="majorEastAsia"/>
        </w:rPr>
        <w:t xml:space="preserve"> </w:t>
      </w:r>
      <w:r w:rsidRPr="00530D57">
        <w:rPr>
          <w:rFonts w:eastAsiaTheme="majorEastAsia"/>
        </w:rPr>
        <w:t>consistently</w:t>
      </w:r>
    </w:p>
    <w:p w14:paraId="68407165" w14:textId="1BF5833D" w:rsidR="00D072C8" w:rsidRPr="00530D57" w:rsidRDefault="771C8513" w:rsidP="002F5E4F">
      <w:pPr>
        <w:pStyle w:val="Numberedpara"/>
      </w:pPr>
      <w:r w:rsidRPr="00530D57">
        <w:t>Four submitters emphasised that if there are problems with how hate crime is investigated or prosecuted, this is an operational issue that should be addressed (at least in the first instance) through Police and prosecutorial practice rather than law reform.</w:t>
      </w:r>
      <w:r w:rsidR="00D072C8" w:rsidRPr="00530D57">
        <w:rPr>
          <w:color w:val="262626" w:themeColor="text1" w:themeTint="D9"/>
          <w:sz w:val="18"/>
          <w:szCs w:val="18"/>
          <w:vertAlign w:val="superscript"/>
        </w:rPr>
        <w:footnoteReference w:id="306"/>
      </w:r>
      <w:r w:rsidRPr="00530D57">
        <w:t xml:space="preserve"> The </w:t>
      </w:r>
      <w:r w:rsidR="009531AF" w:rsidRPr="00530D57">
        <w:t>New Zealand Law Society</w:t>
      </w:r>
      <w:r w:rsidRPr="00530D57">
        <w:t xml:space="preserve"> recommended Police and Crown prosecutors review their processes for investigating, recording and prosecuting hate crimes, as well as sentencing practices and outcomes, with the purpose of improving consistency.</w:t>
      </w:r>
    </w:p>
    <w:p w14:paraId="0B4B25EF" w14:textId="502AD7F0" w:rsidR="00D072C8" w:rsidRPr="00530D57" w:rsidRDefault="771C8513" w:rsidP="002F5E4F">
      <w:pPr>
        <w:pStyle w:val="Numberedpara"/>
      </w:pPr>
      <w:r w:rsidRPr="00530D57">
        <w:lastRenderedPageBreak/>
        <w:t>On the other hand, one submitter said that while in theory detailed guidance could be developed for every part of the criminal justice system, if this mimicked a quasi-legislative change it would beg the question of why the legislative framework</w:t>
      </w:r>
      <w:r w:rsidR="5125DFC2" w:rsidRPr="00530D57">
        <w:t xml:space="preserve"> is not simply changed</w:t>
      </w:r>
      <w:r w:rsidRPr="00530D57">
        <w:t>.</w:t>
      </w:r>
      <w:r w:rsidR="00D072C8" w:rsidRPr="00530D57">
        <w:rPr>
          <w:color w:val="262626" w:themeColor="text1" w:themeTint="D9"/>
          <w:sz w:val="18"/>
          <w:szCs w:val="18"/>
          <w:vertAlign w:val="superscript"/>
        </w:rPr>
        <w:footnoteReference w:id="307"/>
      </w:r>
    </w:p>
    <w:p w14:paraId="5CFAE710" w14:textId="4FA8C6BD" w:rsidR="00D072C8" w:rsidRPr="00530D57" w:rsidRDefault="771C8513" w:rsidP="002F5E4F">
      <w:pPr>
        <w:pStyle w:val="Numberedpara"/>
      </w:pPr>
      <w:r w:rsidRPr="00530D57">
        <w:t>Two submitters thought hate motivation should be considered in bail decisions,</w:t>
      </w:r>
      <w:r w:rsidR="00D072C8" w:rsidRPr="00530D57">
        <w:rPr>
          <w:color w:val="262626" w:themeColor="text1" w:themeTint="D9"/>
          <w:sz w:val="18"/>
          <w:szCs w:val="18"/>
          <w:vertAlign w:val="superscript"/>
        </w:rPr>
        <w:footnoteReference w:id="308"/>
      </w:r>
      <w:r w:rsidRPr="00530D57">
        <w:t xml:space="preserve"> and one </w:t>
      </w:r>
      <w:r w:rsidR="339549E5" w:rsidRPr="00530D57">
        <w:t xml:space="preserve">of these also </w:t>
      </w:r>
      <w:r w:rsidRPr="00530D57">
        <w:t>said it should be considered in parole decisions.</w:t>
      </w:r>
      <w:r w:rsidR="00D072C8" w:rsidRPr="00530D57">
        <w:rPr>
          <w:color w:val="262626" w:themeColor="text1" w:themeTint="D9"/>
          <w:sz w:val="18"/>
          <w:szCs w:val="18"/>
          <w:vertAlign w:val="superscript"/>
        </w:rPr>
        <w:footnoteReference w:id="309"/>
      </w:r>
      <w:r w:rsidRPr="00530D57">
        <w:t xml:space="preserve"> Neither </w:t>
      </w:r>
      <w:r w:rsidR="6E1778D5" w:rsidRPr="00530D57">
        <w:t xml:space="preserve">submitter </w:t>
      </w:r>
      <w:r w:rsidRPr="00530D57">
        <w:t xml:space="preserve">commented on the best way to ensure this occurs, although as noted above, the Public Defence Service said hate motivation </w:t>
      </w:r>
      <w:r w:rsidR="00592C5C">
        <w:t>is</w:t>
      </w:r>
      <w:r w:rsidRPr="00530D57">
        <w:t xml:space="preserve"> already being considered in some bail decisions.</w:t>
      </w:r>
    </w:p>
    <w:p w14:paraId="207F3538" w14:textId="25C0C186" w:rsidR="00D072C8" w:rsidRPr="00530D57" w:rsidRDefault="00D072C8" w:rsidP="00283ABE">
      <w:pPr>
        <w:pStyle w:val="Heading2"/>
        <w:rPr>
          <w:rFonts w:eastAsiaTheme="majorEastAsia"/>
        </w:rPr>
      </w:pPr>
      <w:bookmarkStart w:id="48" w:name="_Toc207093268"/>
      <w:r w:rsidRPr="00530D57">
        <w:rPr>
          <w:rFonts w:eastAsiaTheme="majorEastAsia"/>
        </w:rPr>
        <w:t>Collecting information about hate crime</w:t>
      </w:r>
      <w:bookmarkEnd w:id="48"/>
    </w:p>
    <w:p w14:paraId="59FC94E6" w14:textId="2AC78F9D" w:rsidR="00F25B39" w:rsidRPr="00530D57" w:rsidRDefault="00AD06E7" w:rsidP="002F5E4F">
      <w:pPr>
        <w:pStyle w:val="Numberedpara"/>
        <w:rPr>
          <w:rFonts w:eastAsiaTheme="majorEastAsia"/>
        </w:rPr>
      </w:pPr>
      <w:r w:rsidRPr="00530D57">
        <w:rPr>
          <w:rFonts w:eastAsiaTheme="majorEastAsia"/>
        </w:rPr>
        <w:t xml:space="preserve">In </w:t>
      </w:r>
      <w:r w:rsidR="00F963ED" w:rsidRPr="00530D57">
        <w:rPr>
          <w:rFonts w:eastAsiaTheme="majorEastAsia"/>
        </w:rPr>
        <w:t>our</w:t>
      </w:r>
      <w:r w:rsidRPr="00530D57">
        <w:rPr>
          <w:rFonts w:eastAsiaTheme="majorEastAsia"/>
        </w:rPr>
        <w:t xml:space="preserve"> Consultation Paper, we </w:t>
      </w:r>
      <w:r w:rsidR="000821C3" w:rsidRPr="00530D57">
        <w:rPr>
          <w:rFonts w:eastAsiaTheme="majorEastAsia"/>
        </w:rPr>
        <w:t xml:space="preserve">discussed the concern that it may be difficult to collect accurate information about </w:t>
      </w:r>
      <w:r w:rsidR="00A255D0" w:rsidRPr="00530D57">
        <w:rPr>
          <w:rFonts w:eastAsiaTheme="majorEastAsia"/>
        </w:rPr>
        <w:t>reported hate crime</w:t>
      </w:r>
      <w:r w:rsidR="001C6DDE">
        <w:rPr>
          <w:rFonts w:eastAsiaTheme="majorEastAsia"/>
        </w:rPr>
        <w:t>s</w:t>
      </w:r>
      <w:r w:rsidR="00A255D0" w:rsidRPr="00530D57">
        <w:rPr>
          <w:rFonts w:eastAsiaTheme="majorEastAsia"/>
        </w:rPr>
        <w:t xml:space="preserve"> and case outcomes because hate motivation does not form part of the offence a person is charged with or convicted of</w:t>
      </w:r>
      <w:r w:rsidR="00390263" w:rsidRPr="00530D57">
        <w:rPr>
          <w:rFonts w:eastAsiaTheme="majorEastAsia"/>
        </w:rPr>
        <w:t>.</w:t>
      </w:r>
      <w:r w:rsidR="0025192B" w:rsidRPr="00530D57">
        <w:rPr>
          <w:rFonts w:eastAsiaTheme="majorEastAsia"/>
        </w:rPr>
        <w:t xml:space="preserve"> We </w:t>
      </w:r>
      <w:r w:rsidR="008F428F" w:rsidRPr="00530D57">
        <w:rPr>
          <w:rFonts w:eastAsiaTheme="majorEastAsia"/>
        </w:rPr>
        <w:t xml:space="preserve">suggested </w:t>
      </w:r>
      <w:r w:rsidR="00181F21">
        <w:rPr>
          <w:rFonts w:eastAsiaTheme="majorEastAsia"/>
        </w:rPr>
        <w:t>a hate crime flag in the</w:t>
      </w:r>
      <w:r w:rsidR="008F428F" w:rsidRPr="00530D57">
        <w:rPr>
          <w:rFonts w:eastAsiaTheme="majorEastAsia"/>
        </w:rPr>
        <w:t xml:space="preserve"> court system</w:t>
      </w:r>
      <w:r w:rsidR="00181F21">
        <w:rPr>
          <w:rFonts w:eastAsiaTheme="majorEastAsia"/>
        </w:rPr>
        <w:t xml:space="preserve"> could assist with information gathering</w:t>
      </w:r>
      <w:r w:rsidR="00806028">
        <w:rPr>
          <w:rFonts w:eastAsiaTheme="majorEastAsia"/>
        </w:rPr>
        <w:t xml:space="preserve"> and that information about flagged cases could be shared with Police. </w:t>
      </w:r>
    </w:p>
    <w:p w14:paraId="1B3DEF6C" w14:textId="77777777" w:rsidR="00D072C8" w:rsidRPr="00530D57" w:rsidRDefault="00D072C8" w:rsidP="000E7903">
      <w:pPr>
        <w:pStyle w:val="Heading3"/>
        <w:rPr>
          <w:rFonts w:eastAsiaTheme="majorEastAsia"/>
        </w:rPr>
      </w:pPr>
      <w:r w:rsidRPr="00530D57">
        <w:rPr>
          <w:rFonts w:eastAsiaTheme="majorEastAsia"/>
        </w:rPr>
        <w:t>Is there a problem?</w:t>
      </w:r>
    </w:p>
    <w:p w14:paraId="3216B855" w14:textId="41E965A1" w:rsidR="00D072C8" w:rsidRPr="00530D57" w:rsidRDefault="771C8513" w:rsidP="002F5E4F">
      <w:pPr>
        <w:pStyle w:val="Numberedpara"/>
      </w:pPr>
      <w:r w:rsidRPr="00530D57">
        <w:t>Eight submitters said it is difficult to get accurate data on hate crimes because hate motivation is not recorded when a person is convicted of an offence.</w:t>
      </w:r>
      <w:r w:rsidR="00D072C8" w:rsidRPr="00530D57">
        <w:rPr>
          <w:color w:val="262626" w:themeColor="text1" w:themeTint="D9"/>
          <w:sz w:val="18"/>
          <w:szCs w:val="18"/>
          <w:vertAlign w:val="superscript"/>
        </w:rPr>
        <w:footnoteReference w:id="310"/>
      </w:r>
      <w:r w:rsidRPr="00530D57">
        <w:t xml:space="preserve"> Submitters said having data on convictions for offences that are hate-motivated would:</w:t>
      </w:r>
    </w:p>
    <w:p w14:paraId="2CAA7444" w14:textId="77777777" w:rsidR="00D072C8" w:rsidRPr="00530D57" w:rsidRDefault="771C8513" w:rsidP="00896331">
      <w:pPr>
        <w:pStyle w:val="Numberedpara"/>
        <w:numPr>
          <w:ilvl w:val="1"/>
          <w:numId w:val="71"/>
        </w:numPr>
        <w:rPr>
          <w:rFonts w:eastAsia="Times New Roman" w:cs="Times New Roman"/>
          <w:color w:val="0D0D0D" w:themeColor="text1" w:themeTint="F2"/>
          <w:szCs w:val="24"/>
          <w:lang w:eastAsia="en-AU"/>
        </w:rPr>
      </w:pPr>
      <w:r w:rsidRPr="00530D57">
        <w:rPr>
          <w:rFonts w:eastAsia="Times New Roman" w:cs="Times New Roman"/>
          <w:color w:val="0D0D0D" w:themeColor="text1" w:themeTint="F2"/>
          <w:lang w:eastAsia="en-AU"/>
        </w:rPr>
        <w:t>help to assess whether the justice system is responding to hate crimes appropriately and consistently;</w:t>
      </w:r>
      <w:r w:rsidR="00D072C8" w:rsidRPr="00530D57">
        <w:rPr>
          <w:rFonts w:eastAsia="Times New Roman" w:cs="Times New Roman"/>
          <w:color w:val="262626" w:themeColor="text1" w:themeTint="D9"/>
          <w:sz w:val="18"/>
          <w:szCs w:val="18"/>
          <w:vertAlign w:val="superscript"/>
          <w:lang w:eastAsia="en-AU"/>
        </w:rPr>
        <w:footnoteReference w:id="311"/>
      </w:r>
      <w:r w:rsidRPr="00530D57">
        <w:rPr>
          <w:rFonts w:eastAsia="Times New Roman" w:cs="Times New Roman"/>
          <w:color w:val="0D0D0D" w:themeColor="text1" w:themeTint="F2"/>
          <w:lang w:eastAsia="en-AU"/>
        </w:rPr>
        <w:t xml:space="preserve"> and</w:t>
      </w:r>
    </w:p>
    <w:p w14:paraId="223B10F3" w14:textId="77777777" w:rsidR="00D072C8" w:rsidRPr="00530D57" w:rsidRDefault="771C8513" w:rsidP="00896331">
      <w:pPr>
        <w:pStyle w:val="Numberedpara"/>
        <w:numPr>
          <w:ilvl w:val="1"/>
          <w:numId w:val="71"/>
        </w:numPr>
        <w:rPr>
          <w:rFonts w:eastAsia="Times New Roman" w:cs="Times New Roman"/>
          <w:color w:val="0D0D0D" w:themeColor="text1" w:themeTint="F2"/>
          <w:szCs w:val="24"/>
          <w:lang w:eastAsia="en-AU"/>
        </w:rPr>
      </w:pPr>
      <w:r w:rsidRPr="00530D57">
        <w:rPr>
          <w:rFonts w:eastAsia="Times New Roman" w:cs="Times New Roman"/>
          <w:color w:val="0D0D0D" w:themeColor="text1" w:themeTint="F2"/>
          <w:lang w:eastAsia="en-AU"/>
        </w:rPr>
        <w:t>allow researchers to understand why and where hate crimes occur, and to identify moments in time where there might be a heightened risk of hate crimes.</w:t>
      </w:r>
      <w:r w:rsidR="00D072C8" w:rsidRPr="00530D57">
        <w:rPr>
          <w:rFonts w:eastAsia="Times New Roman" w:cs="Times New Roman"/>
          <w:color w:val="262626" w:themeColor="text1" w:themeTint="D9"/>
          <w:sz w:val="18"/>
          <w:szCs w:val="18"/>
          <w:vertAlign w:val="superscript"/>
          <w:lang w:eastAsia="en-AU"/>
        </w:rPr>
        <w:footnoteReference w:id="312"/>
      </w:r>
    </w:p>
    <w:p w14:paraId="4F05EF40" w14:textId="77777777" w:rsidR="00D072C8" w:rsidRPr="00530D57" w:rsidRDefault="00D072C8" w:rsidP="002F5E4F">
      <w:pPr>
        <w:pStyle w:val="Numberedpara"/>
      </w:pPr>
      <w:r w:rsidRPr="00530D57">
        <w:t>In addition, Justice for Palestine, Alternative Jewish Voices and Dayenu said it is important to identify convicted perpetrators of hate crimes for the purposes of vetting individuals for firearms licences. They said minor crimes such as intentional damage are often overlooked in assessing fit and proper status for a firearms licence.</w:t>
      </w:r>
    </w:p>
    <w:p w14:paraId="31B85433" w14:textId="45EF3EE7" w:rsidR="00D072C8" w:rsidRPr="00530D57" w:rsidRDefault="00D072C8" w:rsidP="002F5E4F">
      <w:pPr>
        <w:pStyle w:val="Numberedpara"/>
      </w:pPr>
      <w:r w:rsidRPr="00530D57">
        <w:t xml:space="preserve">Some submitters discussed the limitations of the existing Police data or raised concerns about it. </w:t>
      </w:r>
      <w:r w:rsidR="00210D04" w:rsidRPr="00530D57">
        <w:t>Comments</w:t>
      </w:r>
      <w:r w:rsidRPr="00530D57">
        <w:t xml:space="preserve"> included:</w:t>
      </w:r>
    </w:p>
    <w:p w14:paraId="0782FC3A" w14:textId="77777777" w:rsidR="00D072C8" w:rsidRPr="00530D57" w:rsidRDefault="771C8513" w:rsidP="00896331">
      <w:pPr>
        <w:pStyle w:val="Numberedpara"/>
        <w:numPr>
          <w:ilvl w:val="1"/>
          <w:numId w:val="71"/>
        </w:numPr>
        <w:rPr>
          <w:rFonts w:eastAsia="Times New Roman" w:cs="Times New Roman"/>
          <w:color w:val="0D0D0D" w:themeColor="text1" w:themeTint="F2"/>
          <w:szCs w:val="24"/>
          <w:lang w:eastAsia="en-AU"/>
        </w:rPr>
      </w:pPr>
      <w:r w:rsidRPr="00530D57">
        <w:rPr>
          <w:rFonts w:eastAsia="Times New Roman" w:cs="Times New Roman"/>
          <w:color w:val="0D0D0D" w:themeColor="text1" w:themeTint="F2"/>
          <w:lang w:eastAsia="en-AU"/>
        </w:rPr>
        <w:t>Police may not flag cases correctly and, even where a reported offence is flagged as hate-motivated, it may not be sentenced that way.</w:t>
      </w:r>
      <w:r w:rsidR="00D072C8" w:rsidRPr="00530D57">
        <w:rPr>
          <w:rFonts w:eastAsia="Times New Roman" w:cs="Times New Roman"/>
          <w:color w:val="262626" w:themeColor="text1" w:themeTint="D9"/>
          <w:sz w:val="18"/>
          <w:szCs w:val="18"/>
          <w:vertAlign w:val="superscript"/>
          <w:lang w:eastAsia="en-AU"/>
        </w:rPr>
        <w:footnoteReference w:id="313"/>
      </w:r>
    </w:p>
    <w:p w14:paraId="4712EC6D" w14:textId="77777777" w:rsidR="00D072C8" w:rsidRPr="00530D57" w:rsidRDefault="771C8513" w:rsidP="00896331">
      <w:pPr>
        <w:pStyle w:val="Numberedpara"/>
        <w:numPr>
          <w:ilvl w:val="1"/>
          <w:numId w:val="71"/>
        </w:numPr>
        <w:rPr>
          <w:rFonts w:eastAsia="Times New Roman" w:cs="Times New Roman"/>
          <w:color w:val="0D0D0D" w:themeColor="text1" w:themeTint="F2"/>
          <w:szCs w:val="24"/>
          <w:lang w:eastAsia="en-AU"/>
        </w:rPr>
      </w:pPr>
      <w:r w:rsidRPr="00750527">
        <w:lastRenderedPageBreak/>
        <w:t>Police</w:t>
      </w:r>
      <w:r w:rsidRPr="00530D57">
        <w:rPr>
          <w:rFonts w:eastAsia="Times New Roman" w:cs="Times New Roman"/>
          <w:color w:val="0D0D0D" w:themeColor="text1" w:themeTint="F2"/>
          <w:lang w:eastAsia="en-AU"/>
        </w:rPr>
        <w:t xml:space="preserve"> officers may lack the skills or training to recognise hate crimes or categorise them appropriately.</w:t>
      </w:r>
      <w:r w:rsidR="00D072C8" w:rsidRPr="00530D57">
        <w:rPr>
          <w:rFonts w:eastAsia="Times New Roman" w:cs="Times New Roman"/>
          <w:color w:val="262626" w:themeColor="text1" w:themeTint="D9"/>
          <w:sz w:val="18"/>
          <w:szCs w:val="18"/>
          <w:vertAlign w:val="superscript"/>
          <w:lang w:eastAsia="en-AU"/>
        </w:rPr>
        <w:footnoteReference w:id="314"/>
      </w:r>
    </w:p>
    <w:p w14:paraId="3C04E3A5" w14:textId="43B99F8F" w:rsidR="00D072C8" w:rsidRPr="00530D57" w:rsidRDefault="771C8513" w:rsidP="00896331">
      <w:pPr>
        <w:pStyle w:val="Numberedpara"/>
        <w:numPr>
          <w:ilvl w:val="1"/>
          <w:numId w:val="71"/>
        </w:numPr>
        <w:rPr>
          <w:rFonts w:eastAsia="Times New Roman" w:cs="Times New Roman"/>
          <w:color w:val="0D0D0D" w:themeColor="text1" w:themeTint="F2"/>
          <w:szCs w:val="24"/>
          <w:lang w:eastAsia="en-AU"/>
        </w:rPr>
      </w:pPr>
      <w:r w:rsidRPr="00530D57">
        <w:rPr>
          <w:rFonts w:eastAsia="Times New Roman" w:cs="Times New Roman"/>
          <w:color w:val="0D0D0D" w:themeColor="text1" w:themeTint="F2"/>
          <w:lang w:eastAsia="en-AU"/>
        </w:rPr>
        <w:t xml:space="preserve">It is inappropriate to record hate crimes based on perception </w:t>
      </w:r>
      <w:r w:rsidR="317D913B" w:rsidRPr="00530D57">
        <w:rPr>
          <w:rFonts w:eastAsia="Times New Roman" w:cs="Times New Roman"/>
          <w:color w:val="0D0D0D" w:themeColor="text1" w:themeTint="F2"/>
          <w:lang w:eastAsia="en-AU"/>
        </w:rPr>
        <w:t>or</w:t>
      </w:r>
      <w:r w:rsidRPr="00530D57">
        <w:rPr>
          <w:rFonts w:eastAsia="Times New Roman" w:cs="Times New Roman"/>
          <w:color w:val="0D0D0D" w:themeColor="text1" w:themeTint="F2"/>
          <w:lang w:eastAsia="en-AU"/>
        </w:rPr>
        <w:t xml:space="preserve"> a subjective test.</w:t>
      </w:r>
      <w:r w:rsidR="00D072C8" w:rsidRPr="00530D57">
        <w:rPr>
          <w:rFonts w:eastAsia="Times New Roman" w:cs="Times New Roman"/>
          <w:color w:val="262626" w:themeColor="text1" w:themeTint="D9"/>
          <w:sz w:val="18"/>
          <w:szCs w:val="18"/>
          <w:vertAlign w:val="superscript"/>
          <w:lang w:eastAsia="en-AU"/>
        </w:rPr>
        <w:footnoteReference w:id="315"/>
      </w:r>
    </w:p>
    <w:p w14:paraId="229E06D0" w14:textId="77777777" w:rsidR="00D072C8" w:rsidRPr="00530D57" w:rsidRDefault="771C8513" w:rsidP="00896331">
      <w:pPr>
        <w:pStyle w:val="Numberedpara"/>
        <w:numPr>
          <w:ilvl w:val="1"/>
          <w:numId w:val="71"/>
        </w:numPr>
        <w:rPr>
          <w:rFonts w:eastAsia="Times New Roman" w:cs="Times New Roman"/>
          <w:color w:val="0D0D0D" w:themeColor="text1" w:themeTint="F2"/>
          <w:szCs w:val="24"/>
          <w:lang w:eastAsia="en-AU"/>
        </w:rPr>
      </w:pPr>
      <w:r w:rsidRPr="00750527">
        <w:t>There</w:t>
      </w:r>
      <w:r w:rsidRPr="00530D57">
        <w:rPr>
          <w:rFonts w:eastAsia="Times New Roman" w:cs="Times New Roman"/>
          <w:color w:val="0D0D0D" w:themeColor="text1" w:themeTint="F2"/>
          <w:lang w:eastAsia="en-AU"/>
        </w:rPr>
        <w:t xml:space="preserve"> may be a reporting bias in the data — increases in reporting may not reflect an increase in hate crime.</w:t>
      </w:r>
      <w:r w:rsidR="00D072C8" w:rsidRPr="00530D57">
        <w:rPr>
          <w:rFonts w:eastAsia="Times New Roman" w:cs="Times New Roman"/>
          <w:color w:val="262626" w:themeColor="text1" w:themeTint="D9"/>
          <w:sz w:val="18"/>
          <w:szCs w:val="18"/>
          <w:vertAlign w:val="superscript"/>
          <w:lang w:eastAsia="en-AU"/>
        </w:rPr>
        <w:footnoteReference w:id="316"/>
      </w:r>
    </w:p>
    <w:p w14:paraId="2378132F" w14:textId="77777777" w:rsidR="00D072C8" w:rsidRPr="00530D57" w:rsidRDefault="771C8513" w:rsidP="00896331">
      <w:pPr>
        <w:pStyle w:val="Numberedpara"/>
        <w:numPr>
          <w:ilvl w:val="1"/>
          <w:numId w:val="71"/>
        </w:numPr>
        <w:rPr>
          <w:rFonts w:eastAsia="Times New Roman" w:cs="Times New Roman"/>
          <w:color w:val="0D0D0D" w:themeColor="text1" w:themeTint="F2"/>
          <w:szCs w:val="24"/>
          <w:lang w:eastAsia="en-AU"/>
        </w:rPr>
      </w:pPr>
      <w:r w:rsidRPr="00750527">
        <w:t>Many</w:t>
      </w:r>
      <w:r w:rsidRPr="00530D57">
        <w:rPr>
          <w:rFonts w:eastAsia="Times New Roman" w:cs="Times New Roman"/>
          <w:color w:val="0D0D0D" w:themeColor="text1" w:themeTint="F2"/>
          <w:lang w:eastAsia="en-AU"/>
        </w:rPr>
        <w:t xml:space="preserve"> marginalised communities do not trust Police and are unlikely to make a Police report.</w:t>
      </w:r>
      <w:r w:rsidR="00D072C8" w:rsidRPr="00530D57">
        <w:rPr>
          <w:rFonts w:eastAsia="Times New Roman" w:cs="Times New Roman"/>
          <w:color w:val="262626" w:themeColor="text1" w:themeTint="D9"/>
          <w:sz w:val="18"/>
          <w:szCs w:val="18"/>
          <w:vertAlign w:val="superscript"/>
          <w:lang w:eastAsia="en-AU"/>
        </w:rPr>
        <w:footnoteReference w:id="317"/>
      </w:r>
    </w:p>
    <w:p w14:paraId="5084BFB3" w14:textId="279D2F55" w:rsidR="00D072C8" w:rsidRPr="00530D57" w:rsidRDefault="771C8513" w:rsidP="00896331">
      <w:pPr>
        <w:pStyle w:val="Numberedpara"/>
        <w:numPr>
          <w:ilvl w:val="1"/>
          <w:numId w:val="71"/>
        </w:numPr>
        <w:rPr>
          <w:rFonts w:eastAsia="Times New Roman" w:cs="Times New Roman"/>
          <w:color w:val="0D0D0D" w:themeColor="text1" w:themeTint="F2"/>
          <w:szCs w:val="24"/>
          <w:lang w:eastAsia="en-AU"/>
        </w:rPr>
      </w:pPr>
      <w:r w:rsidRPr="00750527">
        <w:t>Because</w:t>
      </w:r>
      <w:r w:rsidRPr="00530D57">
        <w:rPr>
          <w:rFonts w:eastAsia="Times New Roman" w:cs="Times New Roman"/>
          <w:color w:val="0D0D0D" w:themeColor="text1" w:themeTint="F2"/>
          <w:lang w:eastAsia="en-AU"/>
        </w:rPr>
        <w:t xml:space="preserve"> Police has only been collecting data about perceived hate crimes since 2019, with ongoing work to improve </w:t>
      </w:r>
      <w:r w:rsidR="0047528C">
        <w:rPr>
          <w:rFonts w:eastAsia="Times New Roman" w:cs="Times New Roman"/>
          <w:color w:val="0D0D0D" w:themeColor="text1" w:themeTint="F2"/>
          <w:lang w:eastAsia="en-AU"/>
        </w:rPr>
        <w:t>it</w:t>
      </w:r>
      <w:r w:rsidRPr="00530D57">
        <w:rPr>
          <w:rFonts w:eastAsia="Times New Roman" w:cs="Times New Roman"/>
          <w:color w:val="0D0D0D" w:themeColor="text1" w:themeTint="F2"/>
          <w:lang w:eastAsia="en-AU"/>
        </w:rPr>
        <w:t xml:space="preserve"> since 2021, the incidence of hate crime and trends in New Zealand over time is difficult to judge.</w:t>
      </w:r>
      <w:r w:rsidR="00D072C8" w:rsidRPr="00530D57">
        <w:rPr>
          <w:rFonts w:eastAsia="Times New Roman" w:cs="Times New Roman"/>
          <w:color w:val="262626" w:themeColor="text1" w:themeTint="D9"/>
          <w:sz w:val="18"/>
          <w:szCs w:val="18"/>
          <w:vertAlign w:val="superscript"/>
          <w:lang w:eastAsia="en-AU"/>
        </w:rPr>
        <w:footnoteReference w:id="318"/>
      </w:r>
    </w:p>
    <w:p w14:paraId="0FBB16C3" w14:textId="3167CF65" w:rsidR="00D072C8" w:rsidRPr="00530D57" w:rsidRDefault="771C8513" w:rsidP="002F5E4F">
      <w:pPr>
        <w:pStyle w:val="Numberedpara"/>
      </w:pPr>
      <w:r w:rsidRPr="00530D57">
        <w:t>Two submitters thought Police data collection had improved and serves useful purpose</w:t>
      </w:r>
      <w:r w:rsidR="6D9CC379" w:rsidRPr="00530D57">
        <w:t>s</w:t>
      </w:r>
      <w:r w:rsidRPr="00530D57">
        <w:t xml:space="preserve">. Dr Chris Wilson said when Police started collecting data, there were concerns that the categories of targeted groups were very broad. However, the categories are now more nuanced. He thought the data was becoming reasonably strong and would be able to provide a longitudinal perspective. </w:t>
      </w:r>
      <w:r w:rsidR="6952A214" w:rsidRPr="00530D57">
        <w:t>Another submitter</w:t>
      </w:r>
      <w:r w:rsidRPr="00530D57">
        <w:t xml:space="preserve"> commended Police for their work since March 2019 to improve the recording of hate as a factor in crimes and make statistics available.</w:t>
      </w:r>
      <w:r w:rsidR="00395D61">
        <w:rPr>
          <w:rStyle w:val="FootnoteReference"/>
        </w:rPr>
        <w:footnoteReference w:id="319"/>
      </w:r>
      <w:r w:rsidRPr="00530D57">
        <w:t xml:space="preserve"> He thought this had led to greater consistency in hate motivation being raised at sentencing.</w:t>
      </w:r>
    </w:p>
    <w:p w14:paraId="1764FD6D" w14:textId="77777777" w:rsidR="00D072C8" w:rsidRPr="00530D57" w:rsidRDefault="00D072C8" w:rsidP="002F5E4F">
      <w:pPr>
        <w:pStyle w:val="Numberedpara"/>
      </w:pPr>
      <w:r w:rsidRPr="00530D57">
        <w:t>Several submitters noted other gaps in the information currently available, including information about:</w:t>
      </w:r>
    </w:p>
    <w:p w14:paraId="185AF61F" w14:textId="77777777" w:rsidR="00D072C8" w:rsidRPr="00530D57" w:rsidRDefault="771C8513" w:rsidP="00896331">
      <w:pPr>
        <w:pStyle w:val="Numberedpara"/>
        <w:numPr>
          <w:ilvl w:val="1"/>
          <w:numId w:val="71"/>
        </w:numPr>
        <w:rPr>
          <w:rFonts w:eastAsia="Times New Roman" w:cs="Times New Roman"/>
          <w:color w:val="0D0D0D" w:themeColor="text1" w:themeTint="F2"/>
          <w:szCs w:val="24"/>
          <w:lang w:eastAsia="en-AU"/>
        </w:rPr>
      </w:pPr>
      <w:r w:rsidRPr="00530D57">
        <w:rPr>
          <w:rFonts w:eastAsia="Times New Roman" w:cs="Times New Roman"/>
          <w:color w:val="0D0D0D" w:themeColor="text1" w:themeTint="F2"/>
          <w:lang w:eastAsia="en-AU"/>
        </w:rPr>
        <w:t>why many reported hate crimes are not prosecuted;</w:t>
      </w:r>
      <w:r w:rsidR="00D072C8" w:rsidRPr="00530D57">
        <w:rPr>
          <w:rFonts w:eastAsia="Times New Roman" w:cs="Times New Roman"/>
          <w:color w:val="262626" w:themeColor="text1" w:themeTint="D9"/>
          <w:sz w:val="18"/>
          <w:szCs w:val="18"/>
          <w:vertAlign w:val="superscript"/>
          <w:lang w:eastAsia="en-AU"/>
        </w:rPr>
        <w:footnoteReference w:id="320"/>
      </w:r>
    </w:p>
    <w:p w14:paraId="74A0CD96" w14:textId="77777777" w:rsidR="00D072C8" w:rsidRPr="00530D57" w:rsidRDefault="771C8513" w:rsidP="00896331">
      <w:pPr>
        <w:pStyle w:val="Numberedpara"/>
        <w:numPr>
          <w:ilvl w:val="1"/>
          <w:numId w:val="71"/>
        </w:numPr>
        <w:rPr>
          <w:rFonts w:eastAsia="Times New Roman" w:cs="Times New Roman"/>
          <w:color w:val="0D0D0D" w:themeColor="text1" w:themeTint="F2"/>
          <w:szCs w:val="24"/>
          <w:lang w:eastAsia="en-AU"/>
        </w:rPr>
      </w:pPr>
      <w:r w:rsidRPr="00530D57">
        <w:rPr>
          <w:rFonts w:eastAsia="Times New Roman" w:cs="Times New Roman"/>
          <w:color w:val="0D0D0D" w:themeColor="text1" w:themeTint="F2"/>
          <w:lang w:eastAsia="en-AU"/>
        </w:rPr>
        <w:t>the extent to which Māori are experiencing hate crime as victims;</w:t>
      </w:r>
      <w:r w:rsidR="00D072C8" w:rsidRPr="00530D57">
        <w:rPr>
          <w:rFonts w:eastAsia="Times New Roman" w:cs="Times New Roman"/>
          <w:color w:val="262626" w:themeColor="text1" w:themeTint="D9"/>
          <w:sz w:val="18"/>
          <w:szCs w:val="18"/>
          <w:vertAlign w:val="superscript"/>
          <w:lang w:eastAsia="en-AU"/>
        </w:rPr>
        <w:footnoteReference w:id="321"/>
      </w:r>
    </w:p>
    <w:p w14:paraId="57FBFAE3" w14:textId="77777777" w:rsidR="00D072C8" w:rsidRPr="00530D57" w:rsidRDefault="771C8513" w:rsidP="00896331">
      <w:pPr>
        <w:pStyle w:val="Numberedpara"/>
        <w:numPr>
          <w:ilvl w:val="1"/>
          <w:numId w:val="71"/>
        </w:numPr>
        <w:rPr>
          <w:rFonts w:eastAsia="Times New Roman" w:cs="Times New Roman"/>
          <w:color w:val="0D0D0D" w:themeColor="text1" w:themeTint="F2"/>
          <w:szCs w:val="24"/>
          <w:lang w:eastAsia="en-AU"/>
        </w:rPr>
      </w:pPr>
      <w:r w:rsidRPr="00530D57">
        <w:rPr>
          <w:rFonts w:eastAsia="Times New Roman" w:cs="Times New Roman"/>
          <w:color w:val="0D0D0D" w:themeColor="text1" w:themeTint="F2"/>
          <w:lang w:eastAsia="en-AU"/>
        </w:rPr>
        <w:t>the nature of the crime and the motive of the perpetrator (for example, whether an offence is linked to violent extremism).</w:t>
      </w:r>
      <w:r w:rsidR="00D072C8" w:rsidRPr="00530D57">
        <w:rPr>
          <w:rFonts w:eastAsia="Times New Roman" w:cs="Times New Roman"/>
          <w:color w:val="262626" w:themeColor="text1" w:themeTint="D9"/>
          <w:sz w:val="18"/>
          <w:szCs w:val="18"/>
          <w:vertAlign w:val="superscript"/>
          <w:lang w:eastAsia="en-AU"/>
        </w:rPr>
        <w:footnoteReference w:id="322"/>
      </w:r>
    </w:p>
    <w:p w14:paraId="78D4B8FE" w14:textId="64812F38" w:rsidR="00D072C8" w:rsidRPr="00530D57" w:rsidRDefault="00D072C8" w:rsidP="002F5E4F">
      <w:pPr>
        <w:pStyle w:val="Numberedpara"/>
      </w:pPr>
      <w:r w:rsidRPr="00530D57">
        <w:t>The N</w:t>
      </w:r>
      <w:r w:rsidR="0041493C">
        <w:t xml:space="preserve">ew </w:t>
      </w:r>
      <w:r w:rsidRPr="00530D57">
        <w:t>Z</w:t>
      </w:r>
      <w:r w:rsidR="0041493C">
        <w:t>ealand</w:t>
      </w:r>
      <w:r w:rsidRPr="00530D57">
        <w:t xml:space="preserve"> Jewish Council said that while Police do collect data on reported antisemitic crimes, the level of hate that is directed at the Jewish community and Jewish individuals is not well understood by the wider community. </w:t>
      </w:r>
    </w:p>
    <w:p w14:paraId="13C9E302" w14:textId="77777777" w:rsidR="00D072C8" w:rsidRPr="00530D57" w:rsidRDefault="00D072C8" w:rsidP="000E7903">
      <w:pPr>
        <w:pStyle w:val="Heading3"/>
        <w:rPr>
          <w:rFonts w:eastAsiaTheme="majorEastAsia"/>
        </w:rPr>
      </w:pPr>
      <w:r w:rsidRPr="00530D57">
        <w:rPr>
          <w:rFonts w:eastAsiaTheme="majorEastAsia"/>
        </w:rPr>
        <w:t>Can the problem be addressed under the current legal model?</w:t>
      </w:r>
    </w:p>
    <w:p w14:paraId="43168B95" w14:textId="77777777" w:rsidR="00D072C8" w:rsidRPr="00530D57" w:rsidRDefault="00D072C8" w:rsidP="002F5E4F">
      <w:pPr>
        <w:pStyle w:val="Numberedpara"/>
      </w:pPr>
      <w:r w:rsidRPr="00530D57">
        <w:t>A number of submitters called for better data collection and public reporting of data, including:</w:t>
      </w:r>
    </w:p>
    <w:p w14:paraId="37160AF7" w14:textId="77777777" w:rsidR="00D072C8" w:rsidRPr="00530D57" w:rsidRDefault="771C8513" w:rsidP="00896331">
      <w:pPr>
        <w:pStyle w:val="Numberedpara"/>
        <w:numPr>
          <w:ilvl w:val="1"/>
          <w:numId w:val="71"/>
        </w:numPr>
        <w:rPr>
          <w:rFonts w:eastAsia="Times New Roman" w:cs="Times New Roman"/>
          <w:color w:val="0D0D0D" w:themeColor="text1" w:themeTint="F2"/>
          <w:szCs w:val="24"/>
          <w:lang w:eastAsia="en-AU"/>
        </w:rPr>
      </w:pPr>
      <w:r w:rsidRPr="00530D57">
        <w:rPr>
          <w:rFonts w:eastAsia="Times New Roman" w:cs="Times New Roman"/>
          <w:color w:val="0D0D0D" w:themeColor="text1" w:themeTint="F2"/>
          <w:lang w:eastAsia="en-AU"/>
        </w:rPr>
        <w:lastRenderedPageBreak/>
        <w:t>Data on when hate motivation is a factor in sentencing.</w:t>
      </w:r>
      <w:r w:rsidR="00D072C8" w:rsidRPr="00530D57">
        <w:rPr>
          <w:rFonts w:eastAsia="Times New Roman" w:cs="Times New Roman"/>
          <w:color w:val="262626" w:themeColor="text1" w:themeTint="D9"/>
          <w:sz w:val="18"/>
          <w:szCs w:val="18"/>
          <w:vertAlign w:val="superscript"/>
          <w:lang w:eastAsia="en-AU"/>
        </w:rPr>
        <w:footnoteReference w:id="323"/>
      </w:r>
    </w:p>
    <w:p w14:paraId="63AF66C4" w14:textId="77777777" w:rsidR="00D072C8" w:rsidRPr="00A446EB" w:rsidRDefault="771C8513" w:rsidP="00896331">
      <w:pPr>
        <w:pStyle w:val="Numberedpara"/>
        <w:numPr>
          <w:ilvl w:val="1"/>
          <w:numId w:val="71"/>
        </w:numPr>
        <w:rPr>
          <w:rFonts w:eastAsia="Times New Roman" w:cs="Times New Roman"/>
          <w:color w:val="0D0D0D" w:themeColor="text1" w:themeTint="F2"/>
          <w:szCs w:val="24"/>
          <w:lang w:eastAsia="en-AU"/>
        </w:rPr>
      </w:pPr>
      <w:r w:rsidRPr="00530D57">
        <w:rPr>
          <w:rFonts w:eastAsia="Times New Roman" w:cs="Times New Roman"/>
          <w:color w:val="0D0D0D" w:themeColor="text1" w:themeTint="F2"/>
          <w:lang w:eastAsia="en-AU"/>
        </w:rPr>
        <w:t>Data collection and public reporting showing the scope of hate-motivated offending against different groups (or increased support for such data collection).</w:t>
      </w:r>
      <w:r w:rsidR="00D072C8" w:rsidRPr="00530D57">
        <w:rPr>
          <w:rFonts w:eastAsia="Times New Roman" w:cs="Times New Roman"/>
          <w:color w:val="262626" w:themeColor="text1" w:themeTint="D9"/>
          <w:sz w:val="18"/>
          <w:szCs w:val="18"/>
          <w:vertAlign w:val="superscript"/>
          <w:lang w:eastAsia="en-AU"/>
        </w:rPr>
        <w:footnoteReference w:id="324"/>
      </w:r>
      <w:r w:rsidRPr="00530D57">
        <w:rPr>
          <w:rFonts w:eastAsia="Times New Roman" w:cs="Times New Roman"/>
          <w:color w:val="0D0D0D" w:themeColor="text1" w:themeTint="F2"/>
          <w:lang w:eastAsia="en-AU"/>
        </w:rPr>
        <w:t xml:space="preserve"> Submitters said this data should recognise intersectionality</w:t>
      </w:r>
      <w:r w:rsidR="00D072C8" w:rsidRPr="00530D57">
        <w:rPr>
          <w:rFonts w:eastAsia="Times New Roman" w:cs="Times New Roman"/>
          <w:color w:val="262626" w:themeColor="text1" w:themeTint="D9"/>
          <w:sz w:val="18"/>
          <w:szCs w:val="18"/>
          <w:vertAlign w:val="superscript"/>
          <w:lang w:eastAsia="en-AU"/>
        </w:rPr>
        <w:footnoteReference w:id="325"/>
      </w:r>
      <w:r w:rsidRPr="00530D57">
        <w:rPr>
          <w:rFonts w:eastAsia="Times New Roman" w:cs="Times New Roman"/>
          <w:color w:val="0D0D0D" w:themeColor="text1" w:themeTint="F2"/>
          <w:lang w:eastAsia="en-AU"/>
        </w:rPr>
        <w:t xml:space="preserve"> and gender-based hate crimes.</w:t>
      </w:r>
      <w:r w:rsidR="00D072C8" w:rsidRPr="00530D57">
        <w:rPr>
          <w:rFonts w:eastAsia="Times New Roman" w:cs="Times New Roman"/>
          <w:color w:val="262626" w:themeColor="text1" w:themeTint="D9"/>
          <w:sz w:val="18"/>
          <w:szCs w:val="18"/>
          <w:vertAlign w:val="superscript"/>
          <w:lang w:eastAsia="en-AU"/>
        </w:rPr>
        <w:footnoteReference w:id="326"/>
      </w:r>
      <w:r w:rsidRPr="00530D57">
        <w:rPr>
          <w:rFonts w:eastAsia="Times New Roman" w:cs="Times New Roman"/>
          <w:color w:val="0D0D0D" w:themeColor="text1" w:themeTint="F2"/>
          <w:lang w:eastAsia="en-AU"/>
        </w:rPr>
        <w:t xml:space="preserve"> It could inform policy and law enforcement strategies and preventative action.</w:t>
      </w:r>
      <w:r w:rsidR="00D072C8" w:rsidRPr="00530D57">
        <w:rPr>
          <w:rFonts w:eastAsia="Times New Roman" w:cs="Times New Roman"/>
          <w:color w:val="262626" w:themeColor="text1" w:themeTint="D9"/>
          <w:sz w:val="18"/>
          <w:szCs w:val="18"/>
          <w:vertAlign w:val="superscript"/>
          <w:lang w:eastAsia="en-AU"/>
        </w:rPr>
        <w:footnoteReference w:id="327"/>
      </w:r>
      <w:r w:rsidRPr="00530D57">
        <w:rPr>
          <w:rFonts w:eastAsia="Times New Roman" w:cs="Times New Roman"/>
          <w:color w:val="0D0D0D" w:themeColor="text1" w:themeTint="F2"/>
          <w:lang w:eastAsia="en-AU"/>
        </w:rPr>
        <w:t xml:space="preserve"> Some suggested requiring Police to collect and report this data</w:t>
      </w:r>
      <w:r w:rsidR="00D072C8" w:rsidRPr="00530D57">
        <w:rPr>
          <w:rFonts w:eastAsia="Times New Roman" w:cs="Times New Roman"/>
          <w:color w:val="262626" w:themeColor="text1" w:themeTint="D9"/>
          <w:sz w:val="18"/>
          <w:szCs w:val="18"/>
          <w:vertAlign w:val="superscript"/>
          <w:lang w:eastAsia="en-AU"/>
        </w:rPr>
        <w:footnoteReference w:id="328"/>
      </w:r>
      <w:r w:rsidRPr="00530D57">
        <w:rPr>
          <w:rFonts w:eastAsia="Times New Roman" w:cs="Times New Roman"/>
          <w:color w:val="0D0D0D" w:themeColor="text1" w:themeTint="F2"/>
          <w:lang w:eastAsia="en-AU"/>
        </w:rPr>
        <w:t xml:space="preserve"> or creating clear guidelines.</w:t>
      </w:r>
      <w:r w:rsidR="00D072C8" w:rsidRPr="00530D57">
        <w:rPr>
          <w:rFonts w:eastAsia="Times New Roman" w:cs="Times New Roman"/>
          <w:color w:val="262626" w:themeColor="text1" w:themeTint="D9"/>
          <w:sz w:val="18"/>
          <w:szCs w:val="18"/>
          <w:vertAlign w:val="superscript"/>
          <w:lang w:eastAsia="en-AU"/>
        </w:rPr>
        <w:footnoteReference w:id="329"/>
      </w:r>
      <w:r w:rsidRPr="00530D57">
        <w:rPr>
          <w:rFonts w:eastAsia="Times New Roman" w:cs="Times New Roman"/>
          <w:color w:val="0D0D0D" w:themeColor="text1" w:themeTint="F2"/>
          <w:lang w:eastAsia="en-AU"/>
        </w:rPr>
        <w:t xml:space="preserve"> </w:t>
      </w:r>
    </w:p>
    <w:p w14:paraId="2DAE22CC" w14:textId="24F2B6D8" w:rsidR="00A446EB" w:rsidRPr="00A446EB" w:rsidRDefault="00A446EB" w:rsidP="00896331">
      <w:pPr>
        <w:pStyle w:val="Numberedpara"/>
        <w:numPr>
          <w:ilvl w:val="1"/>
          <w:numId w:val="71"/>
        </w:numPr>
        <w:rPr>
          <w:rFonts w:eastAsia="Times New Roman" w:cs="Times New Roman"/>
          <w:color w:val="0D0D0D" w:themeColor="text1" w:themeTint="F2"/>
          <w:szCs w:val="24"/>
          <w:lang w:eastAsia="en-AU"/>
        </w:rPr>
      </w:pPr>
      <w:r w:rsidRPr="00750527">
        <w:t>Data</w:t>
      </w:r>
      <w:r w:rsidRPr="00530D57">
        <w:rPr>
          <w:rFonts w:eastAsia="Times New Roman" w:cs="Times New Roman"/>
          <w:color w:val="0D0D0D" w:themeColor="text1" w:themeTint="F2"/>
          <w:lang w:eastAsia="en-AU"/>
        </w:rPr>
        <w:t xml:space="preserve"> on whether reported hate crimes led to prosecution and conviction.</w:t>
      </w:r>
      <w:r w:rsidRPr="00530D57">
        <w:rPr>
          <w:rFonts w:eastAsia="Times New Roman" w:cs="Times New Roman"/>
          <w:color w:val="262626" w:themeColor="text1" w:themeTint="D9"/>
          <w:sz w:val="18"/>
          <w:szCs w:val="18"/>
          <w:vertAlign w:val="superscript"/>
          <w:lang w:eastAsia="en-AU"/>
        </w:rPr>
        <w:footnoteReference w:id="330"/>
      </w:r>
    </w:p>
    <w:p w14:paraId="1EB196B3" w14:textId="418BD7F8" w:rsidR="00D072C8" w:rsidRPr="00530D57" w:rsidRDefault="771C8513" w:rsidP="00896331">
      <w:pPr>
        <w:pStyle w:val="Numberedpara"/>
        <w:numPr>
          <w:ilvl w:val="1"/>
          <w:numId w:val="71"/>
        </w:numPr>
        <w:rPr>
          <w:rFonts w:eastAsia="Times New Roman" w:cs="Times New Roman"/>
          <w:color w:val="0D0D0D" w:themeColor="text1" w:themeTint="F2"/>
          <w:szCs w:val="24"/>
          <w:lang w:eastAsia="en-AU"/>
        </w:rPr>
      </w:pPr>
      <w:r w:rsidRPr="00530D57">
        <w:rPr>
          <w:rFonts w:eastAsia="Times New Roman" w:cs="Times New Roman"/>
          <w:color w:val="0D0D0D" w:themeColor="text1" w:themeTint="F2"/>
          <w:lang w:eastAsia="en-AU"/>
        </w:rPr>
        <w:t>Information on policing responses, resourcing and sentencing.</w:t>
      </w:r>
      <w:r w:rsidR="00A446EB" w:rsidRPr="00530D57">
        <w:rPr>
          <w:rFonts w:eastAsia="Times New Roman" w:cs="Times New Roman"/>
          <w:color w:val="262626" w:themeColor="text1" w:themeTint="D9"/>
          <w:sz w:val="18"/>
          <w:szCs w:val="18"/>
          <w:vertAlign w:val="superscript"/>
          <w:lang w:eastAsia="en-AU"/>
        </w:rPr>
        <w:footnoteReference w:id="331"/>
      </w:r>
      <w:r w:rsidRPr="00530D57">
        <w:rPr>
          <w:rFonts w:eastAsia="Times New Roman" w:cs="Times New Roman"/>
          <w:color w:val="0D0D0D" w:themeColor="text1" w:themeTint="F2"/>
          <w:lang w:eastAsia="en-AU"/>
        </w:rPr>
        <w:t xml:space="preserve"> This could support positive public perceptions of procedural justice, in turn supporting positive perceptions of policing and judicial practice.</w:t>
      </w:r>
    </w:p>
    <w:p w14:paraId="1DEF1657" w14:textId="4ABC7773" w:rsidR="00D072C8" w:rsidRPr="00530D57" w:rsidRDefault="771C8513" w:rsidP="002F5E4F">
      <w:pPr>
        <w:pStyle w:val="Numberedpara"/>
      </w:pPr>
      <w:r w:rsidRPr="00530D57">
        <w:t xml:space="preserve">Most submitters who commented on improvements to data collection did not specifically state whether these could be achieved under the current legal framework. As noted earlier, one submitter suggested </w:t>
      </w:r>
      <w:r w:rsidR="00095FDC">
        <w:t xml:space="preserve">that </w:t>
      </w:r>
      <w:r w:rsidRPr="00530D57">
        <w:t xml:space="preserve">introducing a hate crime flag in the court system would help </w:t>
      </w:r>
      <w:r w:rsidR="00287A90">
        <w:t xml:space="preserve">to </w:t>
      </w:r>
      <w:r w:rsidRPr="00530D57">
        <w:t>improve the accuracy of data on hate crimes.</w:t>
      </w:r>
      <w:r w:rsidR="00D072C8" w:rsidRPr="00530D57">
        <w:rPr>
          <w:color w:val="262626" w:themeColor="text1" w:themeTint="D9"/>
          <w:sz w:val="18"/>
          <w:szCs w:val="18"/>
          <w:vertAlign w:val="superscript"/>
        </w:rPr>
        <w:footnoteReference w:id="332"/>
      </w:r>
      <w:r w:rsidRPr="00530D57">
        <w:t xml:space="preserve"> Dr Chris Wilson suggested recording the application of the aggravating factor may not be enough to get accurate data because the factor does not appear to be used consistently.</w:t>
      </w:r>
    </w:p>
    <w:p w14:paraId="7838BBC1" w14:textId="77777777" w:rsidR="00D072C8" w:rsidRPr="00530D57" w:rsidRDefault="00D072C8" w:rsidP="00EF6A24">
      <w:pPr>
        <w:pStyle w:val="Heading2"/>
        <w:rPr>
          <w:rFonts w:eastAsiaTheme="majorEastAsia"/>
        </w:rPr>
      </w:pPr>
      <w:bookmarkStart w:id="49" w:name="_Toc207093269"/>
      <w:r w:rsidRPr="00530D57">
        <w:rPr>
          <w:rFonts w:eastAsiaTheme="majorEastAsia"/>
        </w:rPr>
        <w:t>Applying the aggravating factor</w:t>
      </w:r>
      <w:bookmarkEnd w:id="49"/>
    </w:p>
    <w:p w14:paraId="77353D8A" w14:textId="1D92036B" w:rsidR="00434F55" w:rsidRPr="00530D57" w:rsidRDefault="00122DA7" w:rsidP="002F5E4F">
      <w:pPr>
        <w:pStyle w:val="Numberedpara"/>
      </w:pPr>
      <w:r w:rsidRPr="00530D57">
        <w:rPr>
          <w:rFonts w:eastAsiaTheme="majorEastAsia"/>
        </w:rPr>
        <w:t xml:space="preserve">In </w:t>
      </w:r>
      <w:r w:rsidR="002D6E83" w:rsidRPr="00530D57">
        <w:rPr>
          <w:rFonts w:eastAsiaTheme="majorEastAsia"/>
        </w:rPr>
        <w:t>our</w:t>
      </w:r>
      <w:r w:rsidRPr="00530D57">
        <w:rPr>
          <w:rFonts w:eastAsiaTheme="majorEastAsia"/>
        </w:rPr>
        <w:t xml:space="preserve"> Consultation Paper, we sought feedback on possible concerns about the wording of the hate crime aggravating factor and its application by the courts</w:t>
      </w:r>
      <w:r w:rsidR="006856E5" w:rsidRPr="00530D57">
        <w:rPr>
          <w:rFonts w:eastAsiaTheme="majorEastAsia"/>
        </w:rPr>
        <w:t xml:space="preserve">. We </w:t>
      </w:r>
      <w:r w:rsidR="00FA0CE7" w:rsidRPr="00530D57">
        <w:rPr>
          <w:rFonts w:eastAsiaTheme="majorEastAsia"/>
        </w:rPr>
        <w:t xml:space="preserve">suggested </w:t>
      </w:r>
      <w:r w:rsidR="00BD1665" w:rsidRPr="00530D57">
        <w:rPr>
          <w:rFonts w:eastAsiaTheme="majorEastAsia"/>
        </w:rPr>
        <w:t xml:space="preserve">options to amend </w:t>
      </w:r>
      <w:r w:rsidR="006856E5" w:rsidRPr="00530D57">
        <w:rPr>
          <w:rFonts w:eastAsiaTheme="majorEastAsia"/>
        </w:rPr>
        <w:t>the aggravating factor if that is needed.</w:t>
      </w:r>
    </w:p>
    <w:p w14:paraId="7A3E5E8F" w14:textId="46D18B32" w:rsidR="00D072C8" w:rsidRPr="00530D57" w:rsidRDefault="00D072C8" w:rsidP="000C389A">
      <w:pPr>
        <w:pStyle w:val="Heading3"/>
        <w:rPr>
          <w:rFonts w:eastAsiaTheme="majorEastAsia"/>
        </w:rPr>
      </w:pPr>
      <w:r w:rsidRPr="00530D57">
        <w:rPr>
          <w:rFonts w:eastAsiaTheme="majorEastAsia"/>
        </w:rPr>
        <w:t>Partial motivation</w:t>
      </w:r>
    </w:p>
    <w:p w14:paraId="45BE97C0" w14:textId="4CDD5A98" w:rsidR="00D072C8" w:rsidRPr="00530D57" w:rsidRDefault="00D51624" w:rsidP="002F5E4F">
      <w:pPr>
        <w:pStyle w:val="Numberedpara"/>
      </w:pPr>
      <w:r>
        <w:t>T</w:t>
      </w:r>
      <w:r w:rsidR="76A92E5E" w:rsidRPr="00530D57">
        <w:t xml:space="preserve">he </w:t>
      </w:r>
      <w:r w:rsidR="50BBCB1C" w:rsidRPr="00530D57">
        <w:t xml:space="preserve">hate crime aggravating factor applies to offending committed “partly or wholly” </w:t>
      </w:r>
      <w:r>
        <w:t>because of</w:t>
      </w:r>
      <w:r w:rsidR="50BBCB1C" w:rsidRPr="00530D57">
        <w:t xml:space="preserve"> hostility</w:t>
      </w:r>
      <w:r>
        <w:t xml:space="preserve"> toward a group of people</w:t>
      </w:r>
      <w:r w:rsidR="00BD6D12">
        <w:t xml:space="preserve"> with an enduring common characteristic</w:t>
      </w:r>
      <w:r w:rsidR="3F7BB2E2" w:rsidRPr="00530D57">
        <w:t xml:space="preserve">. </w:t>
      </w:r>
      <w:r w:rsidR="771C8513" w:rsidRPr="00530D57">
        <w:t xml:space="preserve">One submitter said there is variation and incoherence in how the courts have considered </w:t>
      </w:r>
      <w:r w:rsidR="771C8513" w:rsidRPr="00530D57">
        <w:lastRenderedPageBreak/>
        <w:t>what satisfies the requirement for ‘partial’ motivation’ (although they did not suggest the aggravating factor should not apply to partial motivation).</w:t>
      </w:r>
      <w:r w:rsidR="00D072C8" w:rsidRPr="00530D57">
        <w:rPr>
          <w:color w:val="262626" w:themeColor="text1" w:themeTint="D9"/>
          <w:sz w:val="18"/>
          <w:szCs w:val="18"/>
          <w:vertAlign w:val="superscript"/>
        </w:rPr>
        <w:footnoteReference w:id="333"/>
      </w:r>
      <w:r w:rsidR="771C8513" w:rsidRPr="00530D57">
        <w:t xml:space="preserve"> </w:t>
      </w:r>
    </w:p>
    <w:p w14:paraId="3BD067B5" w14:textId="2A778603" w:rsidR="00D072C8" w:rsidRPr="00530D57" w:rsidRDefault="00D072C8" w:rsidP="002F5E4F">
      <w:pPr>
        <w:pStyle w:val="Numberedpara"/>
      </w:pPr>
      <w:r w:rsidRPr="00530D57">
        <w:t xml:space="preserve">Three </w:t>
      </w:r>
      <w:r w:rsidR="000D5B35" w:rsidRPr="00530D57">
        <w:t xml:space="preserve">other </w:t>
      </w:r>
      <w:r w:rsidRPr="00530D57">
        <w:t xml:space="preserve">submitters gave reasons why </w:t>
      </w:r>
      <w:r w:rsidR="00E56436" w:rsidRPr="00530D57">
        <w:t xml:space="preserve">it is reasonable </w:t>
      </w:r>
      <w:r w:rsidR="00A1738C" w:rsidRPr="00530D57">
        <w:t>to permit</w:t>
      </w:r>
      <w:r w:rsidR="001D38D5" w:rsidRPr="00530D57">
        <w:t xml:space="preserve"> the court to consider </w:t>
      </w:r>
      <w:r w:rsidRPr="00530D57">
        <w:t>partial motivation:</w:t>
      </w:r>
    </w:p>
    <w:p w14:paraId="4527651E" w14:textId="6B884F1D" w:rsidR="00D072C8" w:rsidRPr="00530D57" w:rsidRDefault="771C8513" w:rsidP="00896331">
      <w:pPr>
        <w:pStyle w:val="Numberedpara"/>
        <w:numPr>
          <w:ilvl w:val="1"/>
          <w:numId w:val="71"/>
        </w:numPr>
        <w:rPr>
          <w:rFonts w:eastAsia="Times New Roman" w:cs="Times New Roman"/>
          <w:color w:val="0D0D0D" w:themeColor="text1" w:themeTint="F2"/>
          <w:szCs w:val="24"/>
          <w:lang w:eastAsia="en-AU"/>
        </w:rPr>
      </w:pPr>
      <w:r w:rsidRPr="00530D57">
        <w:rPr>
          <w:rFonts w:eastAsia="Times New Roman" w:cs="Times New Roman"/>
          <w:color w:val="0D0D0D" w:themeColor="text1" w:themeTint="F2"/>
          <w:lang w:eastAsia="en-AU"/>
        </w:rPr>
        <w:t xml:space="preserve">Section 9 of the Sentencing Act 2002 requires the court to take aggravating factors into account to the extent they are applicable. If </w:t>
      </w:r>
      <w:r w:rsidR="00B5476C">
        <w:rPr>
          <w:rFonts w:eastAsia="Times New Roman" w:cs="Times New Roman"/>
          <w:color w:val="0D0D0D" w:themeColor="text1" w:themeTint="F2"/>
          <w:lang w:eastAsia="en-AU"/>
        </w:rPr>
        <w:t>hostility</w:t>
      </w:r>
      <w:r w:rsidR="00B5476C" w:rsidRPr="00530D57">
        <w:rPr>
          <w:rFonts w:eastAsia="Times New Roman" w:cs="Times New Roman"/>
          <w:color w:val="0D0D0D" w:themeColor="text1" w:themeTint="F2"/>
          <w:lang w:eastAsia="en-AU"/>
        </w:rPr>
        <w:t xml:space="preserve"> </w:t>
      </w:r>
      <w:r w:rsidRPr="00530D57">
        <w:rPr>
          <w:rFonts w:eastAsia="Times New Roman" w:cs="Times New Roman"/>
          <w:color w:val="0D0D0D" w:themeColor="text1" w:themeTint="F2"/>
          <w:lang w:eastAsia="en-AU"/>
        </w:rPr>
        <w:t>was a relatively small part of the offender’s motivation then the aggravating factor should not weigh heavily in the court’s determination.</w:t>
      </w:r>
      <w:r w:rsidR="00D072C8" w:rsidRPr="00530D57">
        <w:rPr>
          <w:rFonts w:eastAsia="Times New Roman" w:cs="Times New Roman"/>
          <w:color w:val="262626" w:themeColor="text1" w:themeTint="D9"/>
          <w:sz w:val="18"/>
          <w:szCs w:val="18"/>
          <w:vertAlign w:val="superscript"/>
          <w:lang w:eastAsia="en-AU"/>
        </w:rPr>
        <w:footnoteReference w:id="334"/>
      </w:r>
    </w:p>
    <w:p w14:paraId="135F0BFD" w14:textId="77777777" w:rsidR="00D072C8" w:rsidRPr="00530D57" w:rsidRDefault="771C8513" w:rsidP="00896331">
      <w:pPr>
        <w:pStyle w:val="Numberedpara"/>
        <w:numPr>
          <w:ilvl w:val="1"/>
          <w:numId w:val="71"/>
        </w:numPr>
        <w:rPr>
          <w:rFonts w:eastAsia="Times New Roman" w:cs="Times New Roman"/>
          <w:color w:val="0D0D0D" w:themeColor="text1" w:themeTint="F2"/>
          <w:szCs w:val="24"/>
          <w:lang w:eastAsia="en-AU"/>
        </w:rPr>
      </w:pPr>
      <w:r w:rsidRPr="00530D57">
        <w:rPr>
          <w:rFonts w:eastAsia="Times New Roman" w:cs="Times New Roman"/>
          <w:color w:val="0D0D0D" w:themeColor="text1" w:themeTint="F2"/>
          <w:lang w:eastAsia="en-AU"/>
        </w:rPr>
        <w:t>If an aggravating fact relevant to sentencing is disputed by the offender (such as hate motivation), it must be proven beyond reasonable doubt at a disputed facts hearing.</w:t>
      </w:r>
      <w:r w:rsidR="00D072C8" w:rsidRPr="00530D57">
        <w:rPr>
          <w:rFonts w:eastAsia="Times New Roman" w:cs="Times New Roman"/>
          <w:color w:val="262626" w:themeColor="text1" w:themeTint="D9"/>
          <w:sz w:val="18"/>
          <w:szCs w:val="18"/>
          <w:vertAlign w:val="superscript"/>
          <w:lang w:eastAsia="en-AU"/>
        </w:rPr>
        <w:footnoteReference w:id="335"/>
      </w:r>
    </w:p>
    <w:p w14:paraId="405BA574" w14:textId="77777777" w:rsidR="00D072C8" w:rsidRPr="00530D57" w:rsidRDefault="771C8513" w:rsidP="00896331">
      <w:pPr>
        <w:pStyle w:val="Numberedpara"/>
        <w:numPr>
          <w:ilvl w:val="1"/>
          <w:numId w:val="71"/>
        </w:numPr>
        <w:rPr>
          <w:rFonts w:eastAsia="Times New Roman" w:cs="Times New Roman"/>
          <w:color w:val="0D0D0D" w:themeColor="text1" w:themeTint="F2"/>
          <w:szCs w:val="24"/>
          <w:lang w:eastAsia="en-AU"/>
        </w:rPr>
      </w:pPr>
      <w:r w:rsidRPr="00750527">
        <w:t>Offenders</w:t>
      </w:r>
      <w:r w:rsidRPr="00530D57">
        <w:rPr>
          <w:rFonts w:eastAsia="Times New Roman" w:cs="Times New Roman"/>
          <w:color w:val="0D0D0D" w:themeColor="text1" w:themeTint="F2"/>
          <w:lang w:eastAsia="en-AU"/>
        </w:rPr>
        <w:t xml:space="preserve"> may have more than one motivation, and there may not be direct evidence that hate was the main or primary motivation.</w:t>
      </w:r>
      <w:r w:rsidR="00D072C8" w:rsidRPr="00530D57">
        <w:rPr>
          <w:rFonts w:eastAsia="Times New Roman" w:cs="Times New Roman"/>
          <w:color w:val="262626" w:themeColor="text1" w:themeTint="D9"/>
          <w:sz w:val="18"/>
          <w:szCs w:val="18"/>
          <w:vertAlign w:val="superscript"/>
          <w:lang w:eastAsia="en-AU"/>
        </w:rPr>
        <w:footnoteReference w:id="336"/>
      </w:r>
    </w:p>
    <w:p w14:paraId="16E723FE" w14:textId="4EC833B9" w:rsidR="00D072C8" w:rsidRPr="00530D57" w:rsidRDefault="771C8513" w:rsidP="002F5E4F">
      <w:pPr>
        <w:pStyle w:val="Numberedpara"/>
      </w:pPr>
      <w:r w:rsidRPr="00530D57">
        <w:t xml:space="preserve">No submitters </w:t>
      </w:r>
      <w:r w:rsidR="46F2C153" w:rsidRPr="00530D57">
        <w:t>suggested</w:t>
      </w:r>
      <w:r w:rsidRPr="00530D57">
        <w:t xml:space="preserve"> amending the </w:t>
      </w:r>
      <w:r w:rsidR="501DC701" w:rsidRPr="00530D57">
        <w:t>law</w:t>
      </w:r>
      <w:r w:rsidRPr="00530D57">
        <w:t xml:space="preserve"> to require hate motivation to be a main reason for the offending. Two submitters </w:t>
      </w:r>
      <w:r w:rsidR="3F6AEB1E" w:rsidRPr="00530D57">
        <w:t xml:space="preserve">explicitly </w:t>
      </w:r>
      <w:r w:rsidRPr="00530D57">
        <w:t xml:space="preserve">opposed </w:t>
      </w:r>
      <w:r w:rsidR="67C2B946" w:rsidRPr="00530D57">
        <w:t>this</w:t>
      </w:r>
      <w:r w:rsidRPr="00530D57">
        <w:t>.</w:t>
      </w:r>
      <w:r w:rsidR="00D072C8" w:rsidRPr="00530D57">
        <w:rPr>
          <w:color w:val="262626" w:themeColor="text1" w:themeTint="D9"/>
          <w:sz w:val="18"/>
          <w:szCs w:val="18"/>
          <w:vertAlign w:val="superscript"/>
        </w:rPr>
        <w:footnoteReference w:id="337"/>
      </w:r>
      <w:r w:rsidRPr="00530D57">
        <w:t xml:space="preserve"> They said it would make hate motivation more difficult to prove, so prosecutors would be less likely to pursue it.</w:t>
      </w:r>
      <w:r w:rsidR="00D072C8" w:rsidRPr="00530D57">
        <w:rPr>
          <w:color w:val="262626" w:themeColor="text1" w:themeTint="D9"/>
          <w:sz w:val="18"/>
          <w:szCs w:val="18"/>
          <w:vertAlign w:val="superscript"/>
        </w:rPr>
        <w:footnoteReference w:id="338"/>
      </w:r>
      <w:r w:rsidRPr="00530D57">
        <w:t xml:space="preserve"> This would diminish the impact of the aggravating factor. It could also require more police and judicial time and resources where hate motivation is raised.</w:t>
      </w:r>
      <w:r w:rsidR="00D072C8" w:rsidRPr="00530D57">
        <w:rPr>
          <w:color w:val="262626" w:themeColor="text1" w:themeTint="D9"/>
          <w:sz w:val="18"/>
          <w:szCs w:val="18"/>
          <w:vertAlign w:val="superscript"/>
        </w:rPr>
        <w:footnoteReference w:id="339"/>
      </w:r>
    </w:p>
    <w:p w14:paraId="3C5C7A60" w14:textId="77777777" w:rsidR="00D072C8" w:rsidRPr="00530D57" w:rsidRDefault="00D072C8" w:rsidP="00533DD0">
      <w:pPr>
        <w:pStyle w:val="Heading3"/>
        <w:rPr>
          <w:rFonts w:eastAsiaTheme="majorEastAsia"/>
        </w:rPr>
      </w:pPr>
      <w:r w:rsidRPr="00530D57">
        <w:rPr>
          <w:rFonts w:eastAsiaTheme="majorEastAsia"/>
        </w:rPr>
        <w:t>Protected characteristics</w:t>
      </w:r>
    </w:p>
    <w:p w14:paraId="42CF8A12" w14:textId="77777777" w:rsidR="00D072C8" w:rsidRPr="00530D57" w:rsidRDefault="00D072C8" w:rsidP="00533DD0">
      <w:pPr>
        <w:pStyle w:val="Heading4"/>
        <w:rPr>
          <w:rFonts w:eastAsiaTheme="majorEastAsia"/>
        </w:rPr>
      </w:pPr>
      <w:r w:rsidRPr="00530D57">
        <w:rPr>
          <w:rFonts w:eastAsiaTheme="majorEastAsia"/>
        </w:rPr>
        <w:t>Is there a problem?</w:t>
      </w:r>
    </w:p>
    <w:p w14:paraId="38B3169D" w14:textId="62E950BC" w:rsidR="005D5821" w:rsidRPr="00530D57" w:rsidRDefault="006F5F79" w:rsidP="0028074F">
      <w:pPr>
        <w:pStyle w:val="Numberedpara"/>
      </w:pPr>
      <w:r w:rsidRPr="00530D57">
        <w:t>We discuss</w:t>
      </w:r>
      <w:r w:rsidR="00046C6A">
        <w:t>ed</w:t>
      </w:r>
      <w:r w:rsidRPr="00530D57">
        <w:t xml:space="preserve"> views about</w:t>
      </w:r>
      <w:r w:rsidR="00EA7D99" w:rsidRPr="00530D57">
        <w:t xml:space="preserve"> </w:t>
      </w:r>
      <w:r w:rsidR="00555C9B" w:rsidRPr="00530D57">
        <w:t xml:space="preserve">the </w:t>
      </w:r>
      <w:r w:rsidR="00053458" w:rsidRPr="00530D57">
        <w:t>residual category</w:t>
      </w:r>
      <w:r w:rsidR="00F949D2" w:rsidRPr="00530D57">
        <w:t xml:space="preserve">, </w:t>
      </w:r>
      <w:r w:rsidR="00053458" w:rsidRPr="00530D57">
        <w:t xml:space="preserve">the </w:t>
      </w:r>
      <w:r w:rsidR="00516D88" w:rsidRPr="00530D57">
        <w:t>term</w:t>
      </w:r>
      <w:r w:rsidR="00053458" w:rsidRPr="00530D57">
        <w:t xml:space="preserve"> “enduring common characteristic”</w:t>
      </w:r>
      <w:r w:rsidR="00E907E2" w:rsidRPr="00530D57">
        <w:t xml:space="preserve"> and </w:t>
      </w:r>
      <w:r w:rsidR="00FA3F57" w:rsidRPr="00530D57">
        <w:t>the list of</w:t>
      </w:r>
      <w:r w:rsidR="00E907E2" w:rsidRPr="00530D57">
        <w:t xml:space="preserve"> </w:t>
      </w:r>
      <w:r w:rsidR="000927E6" w:rsidRPr="00530D57">
        <w:t xml:space="preserve">protected </w:t>
      </w:r>
      <w:r w:rsidR="00CB255D" w:rsidRPr="00530D57">
        <w:t>characteristics</w:t>
      </w:r>
      <w:r w:rsidRPr="00530D57">
        <w:t xml:space="preserve"> </w:t>
      </w:r>
      <w:r w:rsidR="003E2C2C" w:rsidRPr="00530D57">
        <w:t xml:space="preserve">in the </w:t>
      </w:r>
      <w:r w:rsidR="00736D58">
        <w:t>“R</w:t>
      </w:r>
      <w:r w:rsidR="003E2C2C" w:rsidRPr="00530D57">
        <w:t>eform considerations</w:t>
      </w:r>
      <w:r w:rsidR="00736D58">
        <w:t>”</w:t>
      </w:r>
      <w:r w:rsidR="003E2C2C" w:rsidRPr="00530D57">
        <w:t xml:space="preserve"> section above.</w:t>
      </w:r>
      <w:r w:rsidR="00555C9B" w:rsidRPr="00530D57">
        <w:t xml:space="preserve"> </w:t>
      </w:r>
      <w:r w:rsidR="006B6C31">
        <w:t>To summarise, s</w:t>
      </w:r>
      <w:r w:rsidR="002B2AE3" w:rsidRPr="00530D57">
        <w:t xml:space="preserve">ubmitters raised concerns </w:t>
      </w:r>
      <w:r w:rsidR="00020BF6" w:rsidRPr="00530D57">
        <w:t>about:</w:t>
      </w:r>
    </w:p>
    <w:p w14:paraId="70746975" w14:textId="1E4E3B19" w:rsidR="002F3F0F" w:rsidRPr="00530D57" w:rsidRDefault="771C8513" w:rsidP="00896331">
      <w:pPr>
        <w:pStyle w:val="Numberedpara"/>
        <w:numPr>
          <w:ilvl w:val="1"/>
          <w:numId w:val="71"/>
        </w:numPr>
      </w:pPr>
      <w:r w:rsidRPr="00530D57">
        <w:t>the aggravating factor applying to any “enduring common characteristic”</w:t>
      </w:r>
      <w:r w:rsidR="25E33763" w:rsidRPr="00530D57">
        <w:t xml:space="preserve"> and </w:t>
      </w:r>
      <w:r w:rsidRPr="00530D57">
        <w:t>inconsistency in how the test is applied</w:t>
      </w:r>
      <w:r w:rsidR="0C370941" w:rsidRPr="00530D57">
        <w:t>;</w:t>
      </w:r>
      <w:r w:rsidR="00D072C8" w:rsidRPr="00530D57">
        <w:rPr>
          <w:color w:val="262626" w:themeColor="text1" w:themeTint="D9"/>
          <w:sz w:val="18"/>
          <w:szCs w:val="18"/>
          <w:vertAlign w:val="superscript"/>
        </w:rPr>
        <w:footnoteReference w:id="340"/>
      </w:r>
      <w:r w:rsidR="0C370941" w:rsidRPr="00530D57">
        <w:t xml:space="preserve"> </w:t>
      </w:r>
    </w:p>
    <w:p w14:paraId="20ACA9C7" w14:textId="41C96A6C" w:rsidR="002F3F0F" w:rsidRPr="00530D57" w:rsidRDefault="684D3937" w:rsidP="00896331">
      <w:pPr>
        <w:pStyle w:val="Numberedpara"/>
        <w:numPr>
          <w:ilvl w:val="1"/>
          <w:numId w:val="71"/>
        </w:numPr>
      </w:pPr>
      <w:r w:rsidRPr="00530D57">
        <w:t>t</w:t>
      </w:r>
      <w:r w:rsidR="0D9DFF06" w:rsidRPr="00530D57">
        <w:t xml:space="preserve">he anomaly that some </w:t>
      </w:r>
      <w:r w:rsidR="1601728A" w:rsidRPr="00530D57">
        <w:t>of the currently listed characteristics are not “enduring”</w:t>
      </w:r>
      <w:r w:rsidR="0C370941" w:rsidRPr="00530D57">
        <w:t>;</w:t>
      </w:r>
      <w:r w:rsidR="00945E8A" w:rsidRPr="00530D57">
        <w:rPr>
          <w:rStyle w:val="FootnoteReference"/>
        </w:rPr>
        <w:footnoteReference w:id="341"/>
      </w:r>
      <w:r w:rsidR="0C370941" w:rsidRPr="00530D57">
        <w:t xml:space="preserve"> and</w:t>
      </w:r>
    </w:p>
    <w:p w14:paraId="015CECDA" w14:textId="1A9F568A" w:rsidR="00516D88" w:rsidRPr="00530D57" w:rsidRDefault="0C370941" w:rsidP="00896331">
      <w:pPr>
        <w:pStyle w:val="Numberedpara"/>
        <w:numPr>
          <w:ilvl w:val="1"/>
          <w:numId w:val="71"/>
        </w:numPr>
      </w:pPr>
      <w:r w:rsidRPr="00530D57">
        <w:t>the fact that sex or gender is not</w:t>
      </w:r>
      <w:r w:rsidR="30683DE7" w:rsidRPr="00530D57">
        <w:t xml:space="preserve"> currently</w:t>
      </w:r>
      <w:r w:rsidRPr="00530D57">
        <w:t xml:space="preserve"> listed as a protected characteristic</w:t>
      </w:r>
      <w:r w:rsidR="30683DE7" w:rsidRPr="00530D57">
        <w:t>.</w:t>
      </w:r>
      <w:r w:rsidR="00D23F0C" w:rsidRPr="00530D57">
        <w:rPr>
          <w:color w:val="262626" w:themeColor="text1" w:themeTint="D9"/>
          <w:sz w:val="18"/>
          <w:szCs w:val="18"/>
          <w:vertAlign w:val="superscript"/>
        </w:rPr>
        <w:footnoteReference w:id="342"/>
      </w:r>
    </w:p>
    <w:p w14:paraId="59802320" w14:textId="77777777" w:rsidR="00D072C8" w:rsidRPr="00530D57" w:rsidRDefault="00D072C8" w:rsidP="00091E9C">
      <w:pPr>
        <w:pStyle w:val="Heading4"/>
        <w:rPr>
          <w:rFonts w:eastAsiaTheme="majorEastAsia"/>
        </w:rPr>
      </w:pPr>
      <w:r w:rsidRPr="00530D57">
        <w:rPr>
          <w:rFonts w:eastAsiaTheme="majorEastAsia"/>
        </w:rPr>
        <w:lastRenderedPageBreak/>
        <w:t>Can the problem be addressed under the current legal model?</w:t>
      </w:r>
    </w:p>
    <w:p w14:paraId="23D06EF9" w14:textId="06EDD957" w:rsidR="00D072C8" w:rsidRPr="00530D57" w:rsidRDefault="771C8513" w:rsidP="002F5E4F">
      <w:pPr>
        <w:pStyle w:val="Numberedpara"/>
      </w:pPr>
      <w:r w:rsidRPr="00530D57">
        <w:t>Two submitters thought the aggravating factor should be amended so that it only applies to a closed list of protected characteristics.</w:t>
      </w:r>
      <w:r w:rsidR="00D072C8" w:rsidRPr="00530D57">
        <w:rPr>
          <w:color w:val="262626" w:themeColor="text1" w:themeTint="D9"/>
          <w:sz w:val="18"/>
          <w:szCs w:val="18"/>
          <w:vertAlign w:val="superscript"/>
        </w:rPr>
        <w:footnoteReference w:id="343"/>
      </w:r>
      <w:r w:rsidRPr="00530D57">
        <w:t xml:space="preserve"> Both considered this </w:t>
      </w:r>
      <w:r w:rsidR="00242728">
        <w:t>is</w:t>
      </w:r>
      <w:r w:rsidRPr="00530D57">
        <w:t xml:space="preserve"> appropriate to ensure clarity in the criminal law. The Maxim Institute said it would ensure the aggravating factor </w:t>
      </w:r>
      <w:r w:rsidR="00242728">
        <w:t>does</w:t>
      </w:r>
      <w:r w:rsidRPr="00530D57">
        <w:t xml:space="preserve"> not apply in situations where Parliament did not intend it to (for example, in relation to groups such as gangs or child sex offenders).</w:t>
      </w:r>
    </w:p>
    <w:p w14:paraId="0E3E12F6" w14:textId="6A9824E2" w:rsidR="00D072C8" w:rsidRPr="00530D57" w:rsidRDefault="00D072C8" w:rsidP="002F5E4F">
      <w:pPr>
        <w:pStyle w:val="Numberedpara"/>
      </w:pPr>
      <w:r w:rsidRPr="00530D57">
        <w:t xml:space="preserve">The </w:t>
      </w:r>
      <w:r w:rsidR="009531AF" w:rsidRPr="00530D57">
        <w:t>New Zealand Law Society</w:t>
      </w:r>
      <w:r w:rsidRPr="00530D57">
        <w:t xml:space="preserve"> did not take a position on whether the list should be open or closed. It said an open-ended list arguably better provides for changing circumstances and allows the legislation to be utilised flexibly. However, it also acknowledged the difficulty of formulating a provision that provides sufficient protection for groups that are the victims of hate crime while remaining grounded in the rights-based justification for the legislation.</w:t>
      </w:r>
    </w:p>
    <w:p w14:paraId="7E6A2C4C" w14:textId="77777777" w:rsidR="00D072C8" w:rsidRPr="00530D57" w:rsidRDefault="00D072C8" w:rsidP="002F5E4F">
      <w:pPr>
        <w:pStyle w:val="Numberedpara"/>
      </w:pPr>
      <w:r w:rsidRPr="00530D57">
        <w:t xml:space="preserve">Crown Law suggested concerns about the application of the aggravating factor could potentially be addressed by: </w:t>
      </w:r>
    </w:p>
    <w:p w14:paraId="4A326402" w14:textId="77777777" w:rsidR="00D072C8" w:rsidRPr="00530D57" w:rsidRDefault="00D072C8" w:rsidP="00896331">
      <w:pPr>
        <w:pStyle w:val="Numberedpara"/>
        <w:numPr>
          <w:ilvl w:val="1"/>
          <w:numId w:val="71"/>
        </w:numPr>
        <w:rPr>
          <w:rFonts w:eastAsia="Times New Roman" w:cs="Times New Roman"/>
          <w:color w:val="0D0D0D" w:themeColor="text1" w:themeTint="F2"/>
          <w:szCs w:val="24"/>
          <w:lang w:eastAsia="en-AU"/>
        </w:rPr>
      </w:pPr>
      <w:r w:rsidRPr="00197568">
        <w:t>removing</w:t>
      </w:r>
      <w:r w:rsidRPr="00530D57">
        <w:rPr>
          <w:rFonts w:eastAsia="Times New Roman" w:cs="Times New Roman"/>
          <w:color w:val="0D0D0D" w:themeColor="text1" w:themeTint="F2"/>
          <w:szCs w:val="24"/>
          <w:lang w:eastAsia="en-AU"/>
        </w:rPr>
        <w:t xml:space="preserve"> the word “enduring” and instead referring to any “group of people with common characteristics”;</w:t>
      </w:r>
    </w:p>
    <w:p w14:paraId="0A337912" w14:textId="77777777" w:rsidR="00D072C8" w:rsidRPr="00530D57" w:rsidRDefault="00D072C8" w:rsidP="00896331">
      <w:pPr>
        <w:pStyle w:val="Numberedpara"/>
        <w:numPr>
          <w:ilvl w:val="1"/>
          <w:numId w:val="71"/>
        </w:numPr>
        <w:rPr>
          <w:rFonts w:eastAsia="Times New Roman" w:cs="Times New Roman"/>
          <w:color w:val="0D0D0D" w:themeColor="text1" w:themeTint="F2"/>
          <w:szCs w:val="24"/>
          <w:lang w:eastAsia="en-AU"/>
        </w:rPr>
      </w:pPr>
      <w:r w:rsidRPr="00197568">
        <w:t>updating</w:t>
      </w:r>
      <w:r w:rsidRPr="00530D57">
        <w:rPr>
          <w:rFonts w:eastAsia="Times New Roman" w:cs="Times New Roman"/>
          <w:color w:val="0D0D0D" w:themeColor="text1" w:themeTint="F2"/>
          <w:szCs w:val="24"/>
          <w:lang w:eastAsia="en-AU"/>
        </w:rPr>
        <w:t xml:space="preserve"> the list of examples of protected characteristics to reflect community expectations, while retaining a broader description to allow expansion over time; and</w:t>
      </w:r>
    </w:p>
    <w:p w14:paraId="73B860EE" w14:textId="77777777" w:rsidR="00D072C8" w:rsidRPr="00530D57" w:rsidRDefault="00D072C8" w:rsidP="00896331">
      <w:pPr>
        <w:pStyle w:val="Numberedpara"/>
        <w:numPr>
          <w:ilvl w:val="1"/>
          <w:numId w:val="71"/>
        </w:numPr>
        <w:rPr>
          <w:rFonts w:eastAsia="Times New Roman" w:cs="Times New Roman"/>
          <w:color w:val="0D0D0D" w:themeColor="text1" w:themeTint="F2"/>
          <w:szCs w:val="24"/>
          <w:lang w:eastAsia="en-AU"/>
        </w:rPr>
      </w:pPr>
      <w:r w:rsidRPr="00197568">
        <w:t>specifying</w:t>
      </w:r>
      <w:r w:rsidRPr="00530D57">
        <w:rPr>
          <w:rFonts w:eastAsia="Times New Roman" w:cs="Times New Roman"/>
          <w:color w:val="0D0D0D" w:themeColor="text1" w:themeTint="F2"/>
          <w:szCs w:val="24"/>
          <w:lang w:eastAsia="en-AU"/>
        </w:rPr>
        <w:t xml:space="preserve"> that the intention of the aggravating factor is to protect vulnerable or minority groups. </w:t>
      </w:r>
    </w:p>
    <w:p w14:paraId="783711E1" w14:textId="39ADE28A" w:rsidR="007E7F95" w:rsidRPr="007E7F95" w:rsidRDefault="771C8513" w:rsidP="0025724B">
      <w:pPr>
        <w:pStyle w:val="Numberedpara"/>
        <w:rPr>
          <w:rFonts w:eastAsia="Times New Roman" w:cs="Times New Roman"/>
          <w:color w:val="0D0D0D" w:themeColor="text1" w:themeTint="F2"/>
          <w:szCs w:val="24"/>
          <w:lang w:eastAsia="en-AU"/>
        </w:rPr>
      </w:pPr>
      <w:r w:rsidRPr="00530D57">
        <w:rPr>
          <w:rFonts w:eastAsia="Times New Roman" w:cs="Times New Roman"/>
          <w:color w:val="0D0D0D" w:themeColor="text1" w:themeTint="F2"/>
          <w:lang w:eastAsia="en-AU"/>
        </w:rPr>
        <w:t xml:space="preserve">One other submitter </w:t>
      </w:r>
      <w:r w:rsidR="007E7F95">
        <w:rPr>
          <w:rFonts w:eastAsia="Times New Roman" w:cs="Times New Roman"/>
          <w:color w:val="0D0D0D" w:themeColor="text1" w:themeTint="F2"/>
          <w:lang w:eastAsia="en-AU"/>
        </w:rPr>
        <w:t xml:space="preserve">also </w:t>
      </w:r>
      <w:r w:rsidRPr="00530D57">
        <w:rPr>
          <w:rFonts w:eastAsia="Times New Roman" w:cs="Times New Roman"/>
          <w:color w:val="0D0D0D" w:themeColor="text1" w:themeTint="F2"/>
          <w:lang w:eastAsia="en-AU"/>
        </w:rPr>
        <w:t>supported removing the requirement for the common characteristic to be “enduring”.</w:t>
      </w:r>
      <w:r w:rsidR="00D072C8" w:rsidRPr="00530D57">
        <w:rPr>
          <w:rFonts w:eastAsia="Times New Roman" w:cs="Times New Roman"/>
          <w:color w:val="262626" w:themeColor="text1" w:themeTint="D9"/>
          <w:sz w:val="18"/>
          <w:szCs w:val="18"/>
          <w:vertAlign w:val="superscript"/>
          <w:lang w:eastAsia="en-AU"/>
        </w:rPr>
        <w:footnoteReference w:id="344"/>
      </w:r>
      <w:r w:rsidRPr="00530D57">
        <w:rPr>
          <w:rFonts w:eastAsia="Times New Roman" w:cs="Times New Roman"/>
          <w:color w:val="0D0D0D" w:themeColor="text1" w:themeTint="F2"/>
          <w:lang w:eastAsia="en-AU"/>
        </w:rPr>
        <w:t xml:space="preserve"> </w:t>
      </w:r>
    </w:p>
    <w:p w14:paraId="507CA473" w14:textId="2A8296A2" w:rsidR="00D072C8" w:rsidRPr="00944DA1" w:rsidRDefault="771C8513" w:rsidP="00944DA1">
      <w:pPr>
        <w:pStyle w:val="Numberedpara"/>
      </w:pPr>
      <w:r w:rsidRPr="00530D57">
        <w:rPr>
          <w:rFonts w:eastAsia="Times New Roman" w:cs="Times New Roman"/>
          <w:color w:val="0D0D0D" w:themeColor="text1" w:themeTint="F2"/>
          <w:lang w:eastAsia="en-AU"/>
        </w:rPr>
        <w:t xml:space="preserve">Public Defence Service lawyers had mixed views but did not think the </w:t>
      </w:r>
      <w:r w:rsidR="007E7F95">
        <w:rPr>
          <w:rFonts w:eastAsia="Times New Roman" w:cs="Times New Roman"/>
          <w:color w:val="0D0D0D" w:themeColor="text1" w:themeTint="F2"/>
          <w:lang w:eastAsia="en-AU"/>
        </w:rPr>
        <w:t xml:space="preserve">“enduring common characteristic” </w:t>
      </w:r>
      <w:r w:rsidRPr="00530D57">
        <w:rPr>
          <w:rFonts w:eastAsia="Times New Roman" w:cs="Times New Roman"/>
          <w:color w:val="0D0D0D" w:themeColor="text1" w:themeTint="F2"/>
          <w:lang w:eastAsia="en-AU"/>
        </w:rPr>
        <w:t xml:space="preserve">requirement was causing any difficulty. </w:t>
      </w:r>
      <w:r w:rsidR="009531AF" w:rsidRPr="00530D57">
        <w:rPr>
          <w:rFonts w:eastAsia="Times New Roman" w:cs="Times New Roman"/>
          <w:color w:val="0D0D0D" w:themeColor="text1" w:themeTint="F2"/>
          <w:lang w:eastAsia="en-AU"/>
        </w:rPr>
        <w:t>The New Zealand Law Society</w:t>
      </w:r>
      <w:r w:rsidRPr="00530D57">
        <w:rPr>
          <w:rFonts w:eastAsia="Times New Roman" w:cs="Times New Roman"/>
          <w:color w:val="0D0D0D" w:themeColor="text1" w:themeTint="F2"/>
          <w:lang w:eastAsia="en-AU"/>
        </w:rPr>
        <w:t xml:space="preserve"> did not support changing the “enduring common characteristics” test if an open list of characteristics is retained, given the risks of an overly-broad formulation.</w:t>
      </w:r>
      <w:r w:rsidR="00944DA1">
        <w:rPr>
          <w:rFonts w:eastAsia="Times New Roman" w:cs="Times New Roman"/>
          <w:color w:val="0D0D0D" w:themeColor="text1" w:themeTint="F2"/>
          <w:lang w:eastAsia="en-AU"/>
        </w:rPr>
        <w:t xml:space="preserve"> </w:t>
      </w:r>
      <w:r w:rsidR="00944DA1" w:rsidRPr="00530D57">
        <w:t>One submitter supported using power imbalance as the key identifier to remove any subjectivity.</w:t>
      </w:r>
      <w:r w:rsidR="00944DA1" w:rsidRPr="00530D57">
        <w:rPr>
          <w:color w:val="262626" w:themeColor="text1" w:themeTint="D9"/>
          <w:sz w:val="18"/>
          <w:szCs w:val="18"/>
          <w:vertAlign w:val="superscript"/>
        </w:rPr>
        <w:footnoteReference w:id="345"/>
      </w:r>
    </w:p>
    <w:p w14:paraId="58BDC291" w14:textId="12523EFC" w:rsidR="00D072C8" w:rsidRPr="00530D57" w:rsidRDefault="5ECDE3EC" w:rsidP="002F5E4F">
      <w:pPr>
        <w:pStyle w:val="Numberedpara"/>
      </w:pPr>
      <w:r w:rsidRPr="00530D57">
        <w:t>T</w:t>
      </w:r>
      <w:r w:rsidR="771C8513" w:rsidRPr="00530D57">
        <w:t xml:space="preserve">hree submitters raised the possibility of aligning the </w:t>
      </w:r>
      <w:r w:rsidRPr="00530D57">
        <w:t xml:space="preserve">list of characteristics </w:t>
      </w:r>
      <w:r w:rsidR="09F6C8A5" w:rsidRPr="00530D57">
        <w:t>in the aggravating factor</w:t>
      </w:r>
      <w:r w:rsidRPr="00530D57">
        <w:t xml:space="preserve"> </w:t>
      </w:r>
      <w:r w:rsidR="771C8513" w:rsidRPr="00530D57">
        <w:t>(at least in part) with those in section 21 of the Human Rights Act 1993.</w:t>
      </w:r>
      <w:r w:rsidR="00D072C8" w:rsidRPr="00530D57">
        <w:rPr>
          <w:color w:val="262626" w:themeColor="text1" w:themeTint="D9"/>
          <w:sz w:val="18"/>
          <w:szCs w:val="18"/>
          <w:vertAlign w:val="superscript"/>
        </w:rPr>
        <w:footnoteReference w:id="346"/>
      </w:r>
      <w:r w:rsidR="771C8513" w:rsidRPr="00530D57">
        <w:t xml:space="preserve"> Another three submitters supported adding ‘sex’ to the list of characteristics to recognise the impact of sexism, misogyny and violence against women.</w:t>
      </w:r>
      <w:r w:rsidR="00D072C8" w:rsidRPr="00530D57">
        <w:rPr>
          <w:color w:val="262626" w:themeColor="text1" w:themeTint="D9"/>
          <w:sz w:val="18"/>
          <w:szCs w:val="18"/>
          <w:vertAlign w:val="superscript"/>
        </w:rPr>
        <w:footnoteReference w:id="347"/>
      </w:r>
      <w:r w:rsidR="771C8513" w:rsidRPr="00530D57">
        <w:t xml:space="preserve"> </w:t>
      </w:r>
      <w:r w:rsidR="002F313F">
        <w:rPr>
          <w:rFonts w:cs="Segoe UI"/>
        </w:rPr>
        <w:t xml:space="preserve">The </w:t>
      </w:r>
      <w:r w:rsidR="002F313F" w:rsidRPr="00530D57">
        <w:rPr>
          <w:rFonts w:cs="Segoe UI"/>
        </w:rPr>
        <w:t xml:space="preserve">New Zealand Federation of Business and Professional Women </w:t>
      </w:r>
      <w:r w:rsidR="771C8513" w:rsidRPr="00530D57">
        <w:t>thought this approach would avoid a potential hierarchy of sexual offences that could be created under the specific hate crime offence model (based on whether the perpetrator’s hostility toward women could be proven).</w:t>
      </w:r>
    </w:p>
    <w:p w14:paraId="1D721D86" w14:textId="3989B4F3" w:rsidR="00D072C8" w:rsidRPr="00530D57" w:rsidRDefault="00D072C8" w:rsidP="00AB418B">
      <w:pPr>
        <w:pStyle w:val="Heading3"/>
        <w:rPr>
          <w:rFonts w:eastAsiaTheme="majorEastAsia"/>
        </w:rPr>
      </w:pPr>
      <w:r w:rsidRPr="00530D57">
        <w:rPr>
          <w:rFonts w:eastAsiaTheme="majorEastAsia"/>
        </w:rPr>
        <w:lastRenderedPageBreak/>
        <w:t>Requirement that the offender believe</w:t>
      </w:r>
      <w:r w:rsidR="00FE65EE">
        <w:rPr>
          <w:rFonts w:eastAsiaTheme="majorEastAsia"/>
        </w:rPr>
        <w:t>d</w:t>
      </w:r>
      <w:r w:rsidRPr="00530D57">
        <w:rPr>
          <w:rFonts w:eastAsiaTheme="majorEastAsia"/>
        </w:rPr>
        <w:t xml:space="preserve"> the victim had the characteristic</w:t>
      </w:r>
    </w:p>
    <w:p w14:paraId="3DE34F36" w14:textId="1D49454B" w:rsidR="00D072C8" w:rsidRPr="00530D57" w:rsidRDefault="00D072C8" w:rsidP="00AB418B">
      <w:pPr>
        <w:pStyle w:val="Heading4"/>
        <w:rPr>
          <w:rFonts w:eastAsiaTheme="majorEastAsia"/>
        </w:rPr>
      </w:pPr>
      <w:r w:rsidRPr="00530D57">
        <w:rPr>
          <w:rFonts w:eastAsiaTheme="majorEastAsia"/>
        </w:rPr>
        <w:t>Is there a problem?</w:t>
      </w:r>
    </w:p>
    <w:p w14:paraId="54629791" w14:textId="5578B920" w:rsidR="00D072C8" w:rsidRPr="00530D57" w:rsidRDefault="09F6C8A5" w:rsidP="002F5E4F">
      <w:pPr>
        <w:pStyle w:val="Numberedpara"/>
      </w:pPr>
      <w:r w:rsidRPr="00530D57">
        <w:t xml:space="preserve">For the aggravating factor to apply, the offender must have believed the victim had the relevant characteristic. </w:t>
      </w:r>
      <w:r w:rsidR="771C8513" w:rsidRPr="00530D57">
        <w:t xml:space="preserve">Four submitters raised concerns that </w:t>
      </w:r>
      <w:r w:rsidRPr="00530D57">
        <w:t>this</w:t>
      </w:r>
      <w:r w:rsidR="771C8513" w:rsidRPr="00530D57">
        <w:t xml:space="preserve"> requirement limits the application of the aggravating factor.</w:t>
      </w:r>
      <w:r w:rsidR="00D072C8" w:rsidRPr="00530D57">
        <w:rPr>
          <w:color w:val="262626" w:themeColor="text1" w:themeTint="D9"/>
          <w:sz w:val="18"/>
          <w:szCs w:val="18"/>
          <w:vertAlign w:val="superscript"/>
        </w:rPr>
        <w:footnoteReference w:id="348"/>
      </w:r>
      <w:r w:rsidR="771C8513" w:rsidRPr="00530D57">
        <w:t xml:space="preserve"> Three</w:t>
      </w:r>
      <w:r w:rsidR="2D4A76A4" w:rsidRPr="00530D57">
        <w:t xml:space="preserve"> submitters</w:t>
      </w:r>
      <w:r w:rsidR="771C8513" w:rsidRPr="00530D57">
        <w:t xml:space="preserve"> observed that hate crimes have broader impacts on members of the targeted group and wider society regardless of whether the victim is a member of the group.</w:t>
      </w:r>
      <w:r w:rsidR="00D072C8" w:rsidRPr="00530D57">
        <w:rPr>
          <w:color w:val="262626" w:themeColor="text1" w:themeTint="D9"/>
          <w:sz w:val="18"/>
          <w:szCs w:val="18"/>
          <w:vertAlign w:val="superscript"/>
        </w:rPr>
        <w:footnoteReference w:id="349"/>
      </w:r>
    </w:p>
    <w:p w14:paraId="655D846B" w14:textId="4CFE59A0" w:rsidR="00D072C8" w:rsidRPr="00530D57" w:rsidRDefault="771C8513" w:rsidP="002F5E4F">
      <w:pPr>
        <w:pStyle w:val="Numberedpara"/>
      </w:pPr>
      <w:r w:rsidRPr="00530D57">
        <w:t xml:space="preserve">Three submitters did not think there </w:t>
      </w:r>
      <w:r w:rsidR="00D54047">
        <w:t>is</w:t>
      </w:r>
      <w:r w:rsidRPr="00530D57">
        <w:t xml:space="preserve"> a problem with the current law in this regard.</w:t>
      </w:r>
      <w:r w:rsidR="00D072C8" w:rsidRPr="00530D57">
        <w:rPr>
          <w:color w:val="262626" w:themeColor="text1" w:themeTint="D9"/>
          <w:sz w:val="18"/>
          <w:szCs w:val="18"/>
          <w:vertAlign w:val="superscript"/>
        </w:rPr>
        <w:footnoteReference w:id="350"/>
      </w:r>
      <w:r w:rsidRPr="00530D57">
        <w:t xml:space="preserve"> Public Defence Service lawyers thought it should be possible for an offence to be treated as a hate crime even if the victim was not a member of the targeted group (referring to the example of vandalism of rainbow crossings). However, given the breadth of judges’ sentencing discretion, they did not think the current law would prevent this. Graeme Edgeler considered public vandalism is less likely to cause the victim and others in their group to fear being targeted in future, since it does not target individuals.</w:t>
      </w:r>
    </w:p>
    <w:p w14:paraId="4FADE88B" w14:textId="77777777" w:rsidR="00D072C8" w:rsidRPr="00530D57" w:rsidRDefault="00D072C8" w:rsidP="00AB418B">
      <w:pPr>
        <w:pStyle w:val="Heading4"/>
        <w:rPr>
          <w:rFonts w:eastAsiaTheme="majorEastAsia"/>
        </w:rPr>
      </w:pPr>
      <w:r w:rsidRPr="00530D57">
        <w:rPr>
          <w:rFonts w:eastAsiaTheme="majorEastAsia"/>
        </w:rPr>
        <w:t>Can the problem be addressed under the current legal model?</w:t>
      </w:r>
    </w:p>
    <w:p w14:paraId="5DBEF702" w14:textId="77777777" w:rsidR="00D072C8" w:rsidRPr="00530D57" w:rsidRDefault="771C8513" w:rsidP="002F5E4F">
      <w:pPr>
        <w:pStyle w:val="Numberedpara"/>
      </w:pPr>
      <w:r w:rsidRPr="00530D57">
        <w:t>Two submitters supported removing the requirement that the offender must have believed the victim had the relevant characteristic.</w:t>
      </w:r>
      <w:r w:rsidR="00D072C8" w:rsidRPr="00530D57">
        <w:rPr>
          <w:color w:val="262626" w:themeColor="text1" w:themeTint="D9"/>
          <w:sz w:val="18"/>
          <w:szCs w:val="18"/>
          <w:vertAlign w:val="superscript"/>
        </w:rPr>
        <w:footnoteReference w:id="351"/>
      </w:r>
      <w:r w:rsidRPr="00530D57">
        <w:t xml:space="preserve"> The other submitters who raised possible concerns with the requirement did not specifically address this point.</w:t>
      </w:r>
    </w:p>
    <w:p w14:paraId="0216F1C1" w14:textId="77777777" w:rsidR="00D072C8" w:rsidRPr="00530D57" w:rsidRDefault="00D072C8" w:rsidP="000975EB">
      <w:pPr>
        <w:pStyle w:val="Heading3"/>
        <w:rPr>
          <w:rFonts w:eastAsiaTheme="majorEastAsia"/>
        </w:rPr>
      </w:pPr>
      <w:r w:rsidRPr="00530D57">
        <w:rPr>
          <w:rFonts w:eastAsiaTheme="majorEastAsia"/>
        </w:rPr>
        <w:t>Other concerns about the aggravating factor</w:t>
      </w:r>
    </w:p>
    <w:p w14:paraId="45452D6A" w14:textId="55E8ACE9" w:rsidR="00D072C8" w:rsidRPr="00530D57" w:rsidRDefault="5C8900C5" w:rsidP="002F5E4F">
      <w:pPr>
        <w:pStyle w:val="Numberedpara"/>
      </w:pPr>
      <w:r w:rsidRPr="00530D57">
        <w:t>One submitter</w:t>
      </w:r>
      <w:r w:rsidR="771C8513" w:rsidRPr="00530D57">
        <w:t xml:space="preserve"> considered section 9(1)(h) is interpreted and applied inconsistently.</w:t>
      </w:r>
      <w:r w:rsidR="00CF58B3" w:rsidRPr="00530D57">
        <w:rPr>
          <w:rStyle w:val="FootnoteReference"/>
        </w:rPr>
        <w:footnoteReference w:id="352"/>
      </w:r>
      <w:r w:rsidR="771C8513" w:rsidRPr="00530D57">
        <w:t xml:space="preserve"> In addition to the issues around partial motivation and the “enduring common characteristic” test discussed above, she said there is variation and incoherence in how the courts have considered:</w:t>
      </w:r>
    </w:p>
    <w:p w14:paraId="09EC0D1C" w14:textId="77777777" w:rsidR="00D072C8" w:rsidRPr="00530D57" w:rsidRDefault="00D072C8" w:rsidP="00896331">
      <w:pPr>
        <w:pStyle w:val="Numberedpara"/>
        <w:numPr>
          <w:ilvl w:val="1"/>
          <w:numId w:val="71"/>
        </w:numPr>
        <w:rPr>
          <w:rFonts w:eastAsia="Times New Roman" w:cs="Times New Roman"/>
          <w:color w:val="0D0D0D" w:themeColor="text1" w:themeTint="F2"/>
          <w:szCs w:val="24"/>
          <w:lang w:eastAsia="en-AU"/>
        </w:rPr>
      </w:pPr>
      <w:r w:rsidRPr="00530D57">
        <w:rPr>
          <w:rFonts w:eastAsia="Times New Roman" w:cs="Times New Roman"/>
          <w:color w:val="0D0D0D" w:themeColor="text1" w:themeTint="F2"/>
          <w:szCs w:val="24"/>
          <w:lang w:eastAsia="en-AU"/>
        </w:rPr>
        <w:t>What type of evidence is required to be satisfied that s 9(1)(h) applies.</w:t>
      </w:r>
    </w:p>
    <w:p w14:paraId="3FBFAE3C" w14:textId="77777777" w:rsidR="00D072C8" w:rsidRPr="00530D57" w:rsidRDefault="00D072C8" w:rsidP="00896331">
      <w:pPr>
        <w:pStyle w:val="Numberedpara"/>
        <w:numPr>
          <w:ilvl w:val="1"/>
          <w:numId w:val="71"/>
        </w:numPr>
        <w:rPr>
          <w:rFonts w:eastAsia="Times New Roman" w:cs="Times New Roman"/>
          <w:color w:val="0D0D0D" w:themeColor="text1" w:themeTint="F2"/>
          <w:szCs w:val="24"/>
          <w:lang w:eastAsia="en-AU"/>
        </w:rPr>
      </w:pPr>
      <w:r w:rsidRPr="00197568">
        <w:t>Whether</w:t>
      </w:r>
      <w:r w:rsidRPr="00530D57">
        <w:rPr>
          <w:rFonts w:eastAsia="Times New Roman" w:cs="Times New Roman"/>
          <w:color w:val="0D0D0D" w:themeColor="text1" w:themeTint="F2"/>
          <w:szCs w:val="24"/>
          <w:lang w:eastAsia="en-AU"/>
        </w:rPr>
        <w:t xml:space="preserve"> the 9(1)(h) motive can arise partway through an offence.</w:t>
      </w:r>
    </w:p>
    <w:p w14:paraId="378BFD14" w14:textId="77777777" w:rsidR="00D072C8" w:rsidRPr="00530D57" w:rsidRDefault="00D072C8" w:rsidP="00896331">
      <w:pPr>
        <w:pStyle w:val="Numberedpara"/>
        <w:numPr>
          <w:ilvl w:val="1"/>
          <w:numId w:val="71"/>
        </w:numPr>
        <w:rPr>
          <w:rFonts w:eastAsia="Times New Roman" w:cs="Times New Roman"/>
          <w:color w:val="0D0D0D" w:themeColor="text1" w:themeTint="F2"/>
          <w:szCs w:val="24"/>
          <w:lang w:eastAsia="en-AU"/>
        </w:rPr>
      </w:pPr>
      <w:r w:rsidRPr="00530D57">
        <w:rPr>
          <w:rFonts w:eastAsia="Times New Roman" w:cs="Times New Roman"/>
          <w:color w:val="0D0D0D" w:themeColor="text1" w:themeTint="F2"/>
          <w:szCs w:val="24"/>
          <w:lang w:eastAsia="en-AU"/>
        </w:rPr>
        <w:t xml:space="preserve">The relationship between s 9(1)(h) and other aggravating factors (in particular, the risk of double-counting or under-accounting for certain factors). She referred to sections 9(1)(g) (vulnerability), 9(1)(hb) (organised criminal group affiliation) and 9(1)(ha) (part of or involves a terrorist act). </w:t>
      </w:r>
    </w:p>
    <w:p w14:paraId="1078B479" w14:textId="77777777" w:rsidR="00D072C8" w:rsidRPr="00530D57" w:rsidRDefault="00D072C8" w:rsidP="00896331">
      <w:pPr>
        <w:pStyle w:val="Numberedpara"/>
        <w:numPr>
          <w:ilvl w:val="1"/>
          <w:numId w:val="71"/>
        </w:numPr>
        <w:rPr>
          <w:rFonts w:eastAsia="Times New Roman" w:cs="Times New Roman"/>
          <w:color w:val="0D0D0D" w:themeColor="text1" w:themeTint="F2"/>
          <w:szCs w:val="24"/>
          <w:lang w:eastAsia="en-AU"/>
        </w:rPr>
      </w:pPr>
      <w:r w:rsidRPr="00530D57">
        <w:rPr>
          <w:rFonts w:eastAsia="Times New Roman" w:cs="Times New Roman"/>
          <w:color w:val="0D0D0D" w:themeColor="text1" w:themeTint="F2"/>
          <w:szCs w:val="24"/>
          <w:lang w:eastAsia="en-AU"/>
        </w:rPr>
        <w:t xml:space="preserve">The impact of a defendant’s intoxication on whether s 9(1)(h) applies. </w:t>
      </w:r>
    </w:p>
    <w:p w14:paraId="01B02F06" w14:textId="77777777" w:rsidR="00D072C8" w:rsidRPr="00530D57" w:rsidRDefault="00D072C8" w:rsidP="00896331">
      <w:pPr>
        <w:pStyle w:val="Numberedpara"/>
        <w:numPr>
          <w:ilvl w:val="1"/>
          <w:numId w:val="71"/>
        </w:numPr>
        <w:rPr>
          <w:rFonts w:eastAsia="Times New Roman" w:cs="Times New Roman"/>
          <w:color w:val="0D0D0D" w:themeColor="text1" w:themeTint="F2"/>
          <w:szCs w:val="24"/>
          <w:lang w:eastAsia="en-AU"/>
        </w:rPr>
      </w:pPr>
      <w:r w:rsidRPr="00197568">
        <w:t>Whether</w:t>
      </w:r>
      <w:r w:rsidRPr="00530D57">
        <w:rPr>
          <w:rFonts w:eastAsia="Times New Roman" w:cs="Times New Roman"/>
          <w:color w:val="0D0D0D" w:themeColor="text1" w:themeTint="F2"/>
          <w:szCs w:val="24"/>
          <w:lang w:eastAsia="en-AU"/>
        </w:rPr>
        <w:t xml:space="preserve"> motive can or should be ‘divided’ between co-defendants.</w:t>
      </w:r>
    </w:p>
    <w:p w14:paraId="5F089AF9" w14:textId="430E4A67" w:rsidR="00D072C8" w:rsidRPr="00530D57" w:rsidRDefault="003C65BC" w:rsidP="002F5E4F">
      <w:pPr>
        <w:pStyle w:val="Numberedpara"/>
      </w:pPr>
      <w:r w:rsidRPr="00530D57">
        <w:lastRenderedPageBreak/>
        <w:t>The same</w:t>
      </w:r>
      <w:r w:rsidR="00600DC5" w:rsidRPr="00530D57">
        <w:t xml:space="preserve"> submitter</w:t>
      </w:r>
      <w:r w:rsidR="00D072C8" w:rsidRPr="00530D57">
        <w:t xml:space="preserve"> suggested this lack of consistency arises because hate motivation is generally only examined at sentencing. It is less likely to be subject to rigorous evidence collection, testing, argument and consideration by the court.</w:t>
      </w:r>
    </w:p>
    <w:p w14:paraId="682E1939" w14:textId="0A4AC7FB" w:rsidR="00D072C8" w:rsidRPr="00530D57" w:rsidRDefault="00D072C8" w:rsidP="002F5E4F">
      <w:pPr>
        <w:pStyle w:val="Numberedpara"/>
      </w:pPr>
      <w:r w:rsidRPr="00530D57">
        <w:t xml:space="preserve">Two submitters raised concerns about the use of the term ‘hostility’. Ināia Tonu Nei suggested the term ‘prejudice’ is more relevant to hate crime because it more clearly captures bias and preconceived negative opinions. The Free Speech Union noted there is no clear legal definition of hostility. It </w:t>
      </w:r>
      <w:r w:rsidR="00E06F4E" w:rsidRPr="00530D57">
        <w:t>thought</w:t>
      </w:r>
      <w:r w:rsidRPr="00530D57">
        <w:t xml:space="preserve"> the term </w:t>
      </w:r>
      <w:r w:rsidR="007441EA" w:rsidRPr="00530D57">
        <w:t>was</w:t>
      </w:r>
      <w:r w:rsidRPr="00530D57">
        <w:t xml:space="preserve"> vague and </w:t>
      </w:r>
      <w:r w:rsidR="00B3690B" w:rsidRPr="00530D57">
        <w:t>over</w:t>
      </w:r>
      <w:r w:rsidR="00A65424">
        <w:t xml:space="preserve">ly </w:t>
      </w:r>
      <w:r w:rsidR="00B3690B" w:rsidRPr="00530D57">
        <w:t xml:space="preserve">broad </w:t>
      </w:r>
      <w:r w:rsidR="00DF7D0B" w:rsidRPr="00530D57">
        <w:t>—</w:t>
      </w:r>
      <w:r w:rsidRPr="00530D57">
        <w:t xml:space="preserve"> potentially capturing behaviour that </w:t>
      </w:r>
      <w:r w:rsidR="00661960" w:rsidRPr="00530D57">
        <w:t>does</w:t>
      </w:r>
      <w:r w:rsidRPr="00530D57">
        <w:t xml:space="preserve"> not constitute hate crime and </w:t>
      </w:r>
      <w:r w:rsidR="00C86BB7" w:rsidRPr="00530D57">
        <w:t>facilitating</w:t>
      </w:r>
      <w:r w:rsidRPr="00530D57">
        <w:t xml:space="preserve"> subjective interpretations by police, prosecutors and judges.</w:t>
      </w:r>
    </w:p>
    <w:p w14:paraId="4B8A9D96" w14:textId="77777777" w:rsidR="00D072C8" w:rsidRPr="00530D57" w:rsidRDefault="00D072C8" w:rsidP="00482407">
      <w:pPr>
        <w:pStyle w:val="Heading2"/>
        <w:rPr>
          <w:rFonts w:eastAsiaTheme="majorEastAsia"/>
        </w:rPr>
      </w:pPr>
      <w:bookmarkStart w:id="50" w:name="_Toc207093270"/>
      <w:r w:rsidRPr="00530D57">
        <w:rPr>
          <w:rFonts w:eastAsiaTheme="majorEastAsia"/>
        </w:rPr>
        <w:t>Assessing the rehabilitative needs of offenders</w:t>
      </w:r>
      <w:bookmarkEnd w:id="50"/>
    </w:p>
    <w:p w14:paraId="5B088E29" w14:textId="58182F7C" w:rsidR="00F12D62" w:rsidRPr="00530D57" w:rsidRDefault="00F03CAD" w:rsidP="002F5E4F">
      <w:pPr>
        <w:pStyle w:val="Numberedpara"/>
      </w:pPr>
      <w:r w:rsidRPr="00530D57">
        <w:rPr>
          <w:rFonts w:eastAsiaTheme="majorEastAsia"/>
        </w:rPr>
        <w:t xml:space="preserve">In </w:t>
      </w:r>
      <w:r w:rsidR="00DC67DD" w:rsidRPr="00530D57">
        <w:rPr>
          <w:rFonts w:eastAsiaTheme="majorEastAsia"/>
        </w:rPr>
        <w:t>our</w:t>
      </w:r>
      <w:r w:rsidRPr="00530D57">
        <w:rPr>
          <w:rFonts w:eastAsiaTheme="majorEastAsia"/>
        </w:rPr>
        <w:t xml:space="preserve"> Consultation Paper, </w:t>
      </w:r>
      <w:r w:rsidR="007C4EFA" w:rsidRPr="00530D57">
        <w:rPr>
          <w:rFonts w:eastAsiaTheme="majorEastAsia"/>
        </w:rPr>
        <w:t xml:space="preserve">we discussed the concern that a </w:t>
      </w:r>
      <w:r w:rsidR="00FD0385" w:rsidRPr="00530D57">
        <w:rPr>
          <w:rFonts w:eastAsiaTheme="majorEastAsia"/>
        </w:rPr>
        <w:t xml:space="preserve">person’s need for rehabilitative support may not be </w:t>
      </w:r>
      <w:r w:rsidR="009B4F4C" w:rsidRPr="00530D57">
        <w:rPr>
          <w:rFonts w:eastAsiaTheme="majorEastAsia"/>
        </w:rPr>
        <w:t xml:space="preserve">apparent </w:t>
      </w:r>
      <w:r w:rsidR="00FD0385" w:rsidRPr="00530D57">
        <w:rPr>
          <w:rFonts w:eastAsiaTheme="majorEastAsia"/>
        </w:rPr>
        <w:t xml:space="preserve">because hate motivation is not recorded </w:t>
      </w:r>
      <w:r w:rsidR="002262F0" w:rsidRPr="00530D57">
        <w:rPr>
          <w:rFonts w:eastAsiaTheme="majorEastAsia"/>
        </w:rPr>
        <w:t>as part of</w:t>
      </w:r>
      <w:r w:rsidR="00FD0385" w:rsidRPr="00530D57">
        <w:rPr>
          <w:rFonts w:eastAsiaTheme="majorEastAsia"/>
        </w:rPr>
        <w:t xml:space="preserve"> their conviction. </w:t>
      </w:r>
      <w:r w:rsidR="00355A92" w:rsidRPr="00530D57">
        <w:rPr>
          <w:rFonts w:eastAsiaTheme="majorEastAsia"/>
        </w:rPr>
        <w:t xml:space="preserve">We noted </w:t>
      </w:r>
      <w:r w:rsidR="00221033" w:rsidRPr="00530D57">
        <w:rPr>
          <w:rFonts w:eastAsiaTheme="majorEastAsia"/>
        </w:rPr>
        <w:t xml:space="preserve">that </w:t>
      </w:r>
      <w:r w:rsidR="00460E5F">
        <w:rPr>
          <w:rFonts w:eastAsiaTheme="majorEastAsia"/>
        </w:rPr>
        <w:t>the</w:t>
      </w:r>
      <w:r w:rsidR="00D4049B" w:rsidRPr="00530D57">
        <w:rPr>
          <w:rFonts w:eastAsiaTheme="majorEastAsia"/>
        </w:rPr>
        <w:t xml:space="preserve"> Department of Corrections has </w:t>
      </w:r>
      <w:r w:rsidR="00221033" w:rsidRPr="00530D57">
        <w:rPr>
          <w:rFonts w:eastAsiaTheme="majorEastAsia"/>
        </w:rPr>
        <w:t>no specific rehabilitative programme for hate crime offenders</w:t>
      </w:r>
      <w:r w:rsidR="00875E17" w:rsidRPr="00530D57">
        <w:rPr>
          <w:rFonts w:eastAsiaTheme="majorEastAsia"/>
        </w:rPr>
        <w:t>,</w:t>
      </w:r>
      <w:r w:rsidR="00A965EA" w:rsidRPr="00530D57">
        <w:rPr>
          <w:rFonts w:eastAsiaTheme="majorEastAsia"/>
        </w:rPr>
        <w:t xml:space="preserve"> </w:t>
      </w:r>
      <w:r w:rsidR="00875E17" w:rsidRPr="00530D57">
        <w:rPr>
          <w:rFonts w:eastAsiaTheme="majorEastAsia"/>
        </w:rPr>
        <w:t>al</w:t>
      </w:r>
      <w:r w:rsidR="00A965EA" w:rsidRPr="00530D57">
        <w:rPr>
          <w:rFonts w:eastAsiaTheme="majorEastAsia"/>
        </w:rPr>
        <w:t>though general programmes and individualised support</w:t>
      </w:r>
      <w:r w:rsidR="00D4049B" w:rsidRPr="00530D57">
        <w:rPr>
          <w:rFonts w:eastAsiaTheme="majorEastAsia"/>
        </w:rPr>
        <w:t xml:space="preserve"> may be provided.</w:t>
      </w:r>
      <w:r w:rsidR="00221033" w:rsidRPr="00530D57">
        <w:rPr>
          <w:rFonts w:eastAsiaTheme="majorEastAsia"/>
        </w:rPr>
        <w:t xml:space="preserve"> </w:t>
      </w:r>
      <w:r w:rsidR="00490043" w:rsidRPr="00530D57">
        <w:rPr>
          <w:rFonts w:eastAsiaTheme="majorEastAsia"/>
        </w:rPr>
        <w:t>We suggested that</w:t>
      </w:r>
      <w:r w:rsidR="00D93F4B" w:rsidRPr="00530D57">
        <w:rPr>
          <w:rFonts w:eastAsiaTheme="majorEastAsia"/>
        </w:rPr>
        <w:t xml:space="preserve">, if a hate crime flag </w:t>
      </w:r>
      <w:r w:rsidR="00196775" w:rsidRPr="00530D57">
        <w:rPr>
          <w:rFonts w:eastAsiaTheme="majorEastAsia"/>
        </w:rPr>
        <w:t xml:space="preserve">or </w:t>
      </w:r>
      <w:r w:rsidR="00A72AC0" w:rsidRPr="00530D57">
        <w:rPr>
          <w:rFonts w:eastAsiaTheme="majorEastAsia"/>
        </w:rPr>
        <w:t xml:space="preserve">conviction notation </w:t>
      </w:r>
      <w:r w:rsidR="00D93F4B" w:rsidRPr="00530D57">
        <w:rPr>
          <w:rFonts w:eastAsiaTheme="majorEastAsia"/>
        </w:rPr>
        <w:t xml:space="preserve">were introduced, </w:t>
      </w:r>
      <w:r w:rsidR="00547F20">
        <w:rPr>
          <w:rFonts w:eastAsiaTheme="majorEastAsia"/>
        </w:rPr>
        <w:t>th</w:t>
      </w:r>
      <w:r w:rsidR="00FB3937">
        <w:rPr>
          <w:rFonts w:eastAsiaTheme="majorEastAsia"/>
        </w:rPr>
        <w:t>at information</w:t>
      </w:r>
      <w:r w:rsidR="00D93F4B" w:rsidRPr="00530D57">
        <w:rPr>
          <w:rFonts w:eastAsiaTheme="majorEastAsia"/>
        </w:rPr>
        <w:t xml:space="preserve"> could be shared with Correctio</w:t>
      </w:r>
      <w:r w:rsidR="00010039" w:rsidRPr="00530D57">
        <w:rPr>
          <w:rFonts w:eastAsiaTheme="majorEastAsia"/>
        </w:rPr>
        <w:t xml:space="preserve">ns so </w:t>
      </w:r>
      <w:r w:rsidR="00FB3937">
        <w:rPr>
          <w:rFonts w:eastAsiaTheme="majorEastAsia"/>
        </w:rPr>
        <w:t>it</w:t>
      </w:r>
      <w:r w:rsidR="00010039" w:rsidRPr="00530D57">
        <w:rPr>
          <w:rFonts w:eastAsiaTheme="majorEastAsia"/>
        </w:rPr>
        <w:t xml:space="preserve"> </w:t>
      </w:r>
      <w:r w:rsidR="00B469B6" w:rsidRPr="00530D57">
        <w:rPr>
          <w:rFonts w:eastAsiaTheme="majorEastAsia"/>
        </w:rPr>
        <w:t>could</w:t>
      </w:r>
      <w:r w:rsidR="00AE55F3" w:rsidRPr="00530D57">
        <w:rPr>
          <w:rFonts w:eastAsiaTheme="majorEastAsia"/>
        </w:rPr>
        <w:t xml:space="preserve"> more </w:t>
      </w:r>
      <w:r w:rsidR="00CC4D2E" w:rsidRPr="00530D57">
        <w:rPr>
          <w:rFonts w:eastAsiaTheme="majorEastAsia"/>
        </w:rPr>
        <w:t>easily</w:t>
      </w:r>
      <w:r w:rsidR="00CC4D2E" w:rsidRPr="00530D57" w:rsidDel="00CC4D2E">
        <w:rPr>
          <w:rFonts w:eastAsiaTheme="majorEastAsia"/>
        </w:rPr>
        <w:t xml:space="preserve"> </w:t>
      </w:r>
      <w:r w:rsidR="00CC4D2E" w:rsidRPr="00530D57">
        <w:rPr>
          <w:rFonts w:eastAsiaTheme="majorEastAsia"/>
        </w:rPr>
        <w:t>identify and assess</w:t>
      </w:r>
      <w:r w:rsidR="0015779A" w:rsidRPr="00530D57">
        <w:rPr>
          <w:rFonts w:eastAsiaTheme="majorEastAsia"/>
        </w:rPr>
        <w:t xml:space="preserve"> </w:t>
      </w:r>
      <w:r w:rsidR="00FB3937">
        <w:rPr>
          <w:rFonts w:eastAsiaTheme="majorEastAsia"/>
        </w:rPr>
        <w:t>the offender’s</w:t>
      </w:r>
      <w:r w:rsidR="00B469B6" w:rsidRPr="00530D57">
        <w:rPr>
          <w:rFonts w:eastAsiaTheme="majorEastAsia"/>
        </w:rPr>
        <w:t xml:space="preserve"> </w:t>
      </w:r>
      <w:r w:rsidR="00D02B9F" w:rsidRPr="00530D57">
        <w:rPr>
          <w:rFonts w:eastAsiaTheme="majorEastAsia"/>
        </w:rPr>
        <w:t>rehabilitative needs</w:t>
      </w:r>
      <w:r w:rsidR="0019666D" w:rsidRPr="00530D57">
        <w:rPr>
          <w:rFonts w:eastAsiaTheme="majorEastAsia"/>
        </w:rPr>
        <w:t xml:space="preserve">. </w:t>
      </w:r>
    </w:p>
    <w:p w14:paraId="2F1FE18F" w14:textId="77777777" w:rsidR="00D072C8" w:rsidRPr="00530D57" w:rsidRDefault="00D072C8" w:rsidP="006C3CF3">
      <w:pPr>
        <w:pStyle w:val="Heading3"/>
        <w:rPr>
          <w:rFonts w:eastAsiaTheme="majorEastAsia"/>
        </w:rPr>
      </w:pPr>
      <w:r w:rsidRPr="00530D57">
        <w:rPr>
          <w:rFonts w:eastAsiaTheme="majorEastAsia"/>
        </w:rPr>
        <w:t>Is there a problem?</w:t>
      </w:r>
    </w:p>
    <w:p w14:paraId="751CFAF8" w14:textId="56D93B9C" w:rsidR="00D072C8" w:rsidRPr="00530D57" w:rsidRDefault="771C8513" w:rsidP="002F5E4F">
      <w:pPr>
        <w:pStyle w:val="Numberedpara"/>
      </w:pPr>
      <w:r w:rsidRPr="00530D57">
        <w:t xml:space="preserve">Six submitters </w:t>
      </w:r>
      <w:r w:rsidR="5329FC6C" w:rsidRPr="00530D57">
        <w:t>expressed concern</w:t>
      </w:r>
      <w:r w:rsidRPr="00530D57">
        <w:t xml:space="preserve"> about the lack of specific rehabilitation programmes for hate crime offenders.</w:t>
      </w:r>
      <w:r w:rsidR="00D072C8" w:rsidRPr="00530D57">
        <w:rPr>
          <w:color w:val="262626" w:themeColor="text1" w:themeTint="D9"/>
          <w:sz w:val="18"/>
          <w:szCs w:val="18"/>
          <w:vertAlign w:val="superscript"/>
        </w:rPr>
        <w:footnoteReference w:id="353"/>
      </w:r>
      <w:r w:rsidRPr="00530D57">
        <w:t xml:space="preserve"> Three of these submitters also thought it was problematic that </w:t>
      </w:r>
      <w:r w:rsidR="3173EDE0" w:rsidRPr="00530D57">
        <w:t xml:space="preserve">there is no mechanism to notify </w:t>
      </w:r>
      <w:r w:rsidRPr="00530D57">
        <w:t xml:space="preserve">Corrections </w:t>
      </w:r>
      <w:r w:rsidR="09210601" w:rsidRPr="00530D57">
        <w:t xml:space="preserve">that a person has been convicted of </w:t>
      </w:r>
      <w:r w:rsidRPr="00530D57">
        <w:t>hate-motivated</w:t>
      </w:r>
      <w:r w:rsidR="57DF83D9" w:rsidRPr="00530D57">
        <w:t xml:space="preserve"> offending</w:t>
      </w:r>
      <w:r w:rsidRPr="00530D57">
        <w:t>.</w:t>
      </w:r>
      <w:r w:rsidR="00D072C8" w:rsidRPr="00530D57">
        <w:rPr>
          <w:color w:val="262626" w:themeColor="text1" w:themeTint="D9"/>
          <w:sz w:val="18"/>
          <w:szCs w:val="18"/>
          <w:vertAlign w:val="superscript"/>
        </w:rPr>
        <w:footnoteReference w:id="354"/>
      </w:r>
    </w:p>
    <w:p w14:paraId="73D4FBFE" w14:textId="125C7FDC" w:rsidR="00D072C8" w:rsidRPr="00530D57" w:rsidRDefault="771C8513" w:rsidP="002F5E4F">
      <w:pPr>
        <w:pStyle w:val="Numberedpara"/>
      </w:pPr>
      <w:r w:rsidRPr="00530D57">
        <w:t>Two submitters said they disagreed with Corrections’ view that specific rehabilitation programmes are not required for hate crime offenders.</w:t>
      </w:r>
      <w:r w:rsidR="00D072C8" w:rsidRPr="00530D57">
        <w:rPr>
          <w:color w:val="262626" w:themeColor="text1" w:themeTint="D9"/>
          <w:sz w:val="18"/>
          <w:szCs w:val="18"/>
          <w:vertAlign w:val="superscript"/>
        </w:rPr>
        <w:footnoteReference w:id="355"/>
      </w:r>
      <w:r w:rsidRPr="00530D57">
        <w:t xml:space="preserve"> </w:t>
      </w:r>
      <w:r w:rsidR="00C36EF6">
        <w:t>The Law Association of New Zealand Criminal Law Committee</w:t>
      </w:r>
      <w:r w:rsidRPr="00530D57">
        <w:t xml:space="preserve"> doubted it was </w:t>
      </w:r>
      <w:r w:rsidR="7DDD04C2" w:rsidRPr="00530D57">
        <w:t>accurate</w:t>
      </w:r>
      <w:r w:rsidRPr="00530D57">
        <w:t xml:space="preserve"> that there </w:t>
      </w:r>
      <w:r w:rsidR="2354461F" w:rsidRPr="00530D57">
        <w:t xml:space="preserve">are </w:t>
      </w:r>
      <w:r w:rsidRPr="00530D57">
        <w:t xml:space="preserve">not enough </w:t>
      </w:r>
      <w:r w:rsidR="2354461F" w:rsidRPr="00530D57">
        <w:t xml:space="preserve">eligible </w:t>
      </w:r>
      <w:r w:rsidRPr="00530D57">
        <w:t>offenders to warrant such programme</w:t>
      </w:r>
      <w:r w:rsidR="541F6F7F" w:rsidRPr="00530D57">
        <w:t>s</w:t>
      </w:r>
      <w:r w:rsidRPr="00530D57">
        <w:t>. It also disagreed that existing rehabilitative measures are sufficient, suggesting that rehabilitation for hate crime offenders should explore and confront underlying attitudes and biases about others.</w:t>
      </w:r>
    </w:p>
    <w:p w14:paraId="4CD441DF" w14:textId="057C5E21" w:rsidR="00D072C8" w:rsidRPr="00530D57" w:rsidRDefault="771C8513" w:rsidP="002F5E4F">
      <w:pPr>
        <w:pStyle w:val="Numberedpara"/>
      </w:pPr>
      <w:r w:rsidRPr="00530D57">
        <w:t xml:space="preserve">One submitter who runs voluntary programmes in prisons </w:t>
      </w:r>
      <w:r w:rsidR="4B2BCCCD" w:rsidRPr="00530D57">
        <w:t>observed</w:t>
      </w:r>
      <w:r w:rsidRPr="00530D57">
        <w:t xml:space="preserve"> that if the systems in prison rehabilitation are not specific, measurable and required, rehabilitation will not happen in practice.</w:t>
      </w:r>
      <w:r w:rsidR="00D072C8" w:rsidRPr="00530D57">
        <w:rPr>
          <w:color w:val="262626" w:themeColor="text1" w:themeTint="D9"/>
          <w:sz w:val="18"/>
          <w:szCs w:val="18"/>
          <w:vertAlign w:val="superscript"/>
        </w:rPr>
        <w:footnoteReference w:id="356"/>
      </w:r>
    </w:p>
    <w:p w14:paraId="05EFF8EF" w14:textId="148D8A30" w:rsidR="00D072C8" w:rsidRPr="00530D57" w:rsidRDefault="0087784D" w:rsidP="002F5E4F">
      <w:pPr>
        <w:pStyle w:val="Numberedpara"/>
      </w:pPr>
      <w:r>
        <w:t xml:space="preserve">Justice for Palestine, </w:t>
      </w:r>
      <w:r w:rsidR="00D072C8" w:rsidRPr="00530D57">
        <w:t xml:space="preserve">Alternative Jewish Voices and Dayenu considered there is too much focus on punishment and there needs to be a greater emphasis on rehabilitating hate crime offenders. </w:t>
      </w:r>
      <w:r w:rsidR="00E027A9">
        <w:t>They were</w:t>
      </w:r>
      <w:r w:rsidR="00D072C8" w:rsidRPr="00530D57">
        <w:t xml:space="preserve"> concerned that more minor offending, in particular, may not be identified as a hate crime or addressed through rehabilitative measures.</w:t>
      </w:r>
    </w:p>
    <w:p w14:paraId="622D9208" w14:textId="77777777" w:rsidR="00D072C8" w:rsidRPr="00530D57" w:rsidRDefault="00D072C8" w:rsidP="00CE31A3">
      <w:pPr>
        <w:pStyle w:val="Heading3"/>
        <w:rPr>
          <w:rFonts w:eastAsiaTheme="majorEastAsia"/>
        </w:rPr>
      </w:pPr>
      <w:r w:rsidRPr="00530D57">
        <w:rPr>
          <w:rFonts w:eastAsiaTheme="majorEastAsia"/>
        </w:rPr>
        <w:lastRenderedPageBreak/>
        <w:t>Can the problem be addressed under the current legal model?</w:t>
      </w:r>
    </w:p>
    <w:p w14:paraId="0948395E" w14:textId="2D5C68EC" w:rsidR="00D072C8" w:rsidRPr="00530D57" w:rsidRDefault="00D072C8" w:rsidP="002F5E4F">
      <w:pPr>
        <w:pStyle w:val="Numberedpara"/>
      </w:pPr>
      <w:r w:rsidRPr="00530D57">
        <w:t xml:space="preserve">Ināia Tonu Nei recommended rehabilitation </w:t>
      </w:r>
      <w:r w:rsidR="00ED1E9C" w:rsidRPr="00530D57">
        <w:t>programmes</w:t>
      </w:r>
      <w:r w:rsidRPr="00530D57">
        <w:t xml:space="preserve"> be </w:t>
      </w:r>
      <w:r w:rsidR="00B36250" w:rsidRPr="00530D57">
        <w:t>established</w:t>
      </w:r>
      <w:r w:rsidRPr="00530D57">
        <w:t xml:space="preserve"> </w:t>
      </w:r>
      <w:r w:rsidR="002D63FC" w:rsidRPr="00530D57">
        <w:t>that focus</w:t>
      </w:r>
      <w:r w:rsidRPr="00530D57">
        <w:t xml:space="preserve"> on the specific harms caused by hate crimes</w:t>
      </w:r>
      <w:r w:rsidR="00677DB4">
        <w:t>,</w:t>
      </w:r>
      <w:r w:rsidRPr="00530D57">
        <w:t xml:space="preserve"> to reduce the risk of reoffending.</w:t>
      </w:r>
      <w:r w:rsidR="00C56606" w:rsidRPr="00530D57">
        <w:t xml:space="preserve"> </w:t>
      </w:r>
      <w:r w:rsidR="00BF45A1" w:rsidRPr="00530D57">
        <w:t>It said p</w:t>
      </w:r>
      <w:r w:rsidR="00B517D0" w:rsidRPr="00530D57">
        <w:t>articipat</w:t>
      </w:r>
      <w:r w:rsidR="00AD45AC" w:rsidRPr="00530D57">
        <w:t>ing</w:t>
      </w:r>
      <w:r w:rsidR="00B517D0" w:rsidRPr="00530D57">
        <w:t xml:space="preserve"> in </w:t>
      </w:r>
      <w:r w:rsidR="00A73076" w:rsidRPr="00530D57">
        <w:t>such a programme</w:t>
      </w:r>
      <w:r w:rsidR="00C56606" w:rsidRPr="00530D57">
        <w:t xml:space="preserve"> should be mandatory for those convicted of hate</w:t>
      </w:r>
      <w:r w:rsidR="00ED1E9C" w:rsidRPr="00530D57">
        <w:t>-motivated</w:t>
      </w:r>
      <w:r w:rsidR="00C56606" w:rsidRPr="00530D57">
        <w:t xml:space="preserve"> offending</w:t>
      </w:r>
      <w:r w:rsidR="00ED1E9C" w:rsidRPr="00530D57">
        <w:t>.</w:t>
      </w:r>
    </w:p>
    <w:p w14:paraId="32CD7350" w14:textId="77777777" w:rsidR="00D072C8" w:rsidRPr="00530D57" w:rsidRDefault="771C8513" w:rsidP="002F5E4F">
      <w:pPr>
        <w:pStyle w:val="Numberedpara"/>
      </w:pPr>
      <w:r w:rsidRPr="00530D57">
        <w:t>Five other submitters expressly or impliedly supported specific rehabilitation programmes for hate crime offenders but did not suggest they should be mandatory.</w:t>
      </w:r>
      <w:r w:rsidR="00D072C8" w:rsidRPr="00530D57">
        <w:rPr>
          <w:color w:val="262626" w:themeColor="text1" w:themeTint="D9"/>
          <w:sz w:val="18"/>
          <w:szCs w:val="18"/>
          <w:vertAlign w:val="superscript"/>
        </w:rPr>
        <w:footnoteReference w:id="357"/>
      </w:r>
      <w:r w:rsidRPr="00530D57">
        <w:t xml:space="preserve"> Two additional submitters supported better resourcing for rehabilitation of hate crime offenders but did not say what form that rehabilitation should take.</w:t>
      </w:r>
      <w:r w:rsidR="00D072C8" w:rsidRPr="00530D57">
        <w:rPr>
          <w:color w:val="262626" w:themeColor="text1" w:themeTint="D9"/>
          <w:sz w:val="18"/>
          <w:szCs w:val="18"/>
          <w:vertAlign w:val="superscript"/>
        </w:rPr>
        <w:footnoteReference w:id="358"/>
      </w:r>
    </w:p>
    <w:p w14:paraId="0ECD8554" w14:textId="5E0CCB79" w:rsidR="00D072C8" w:rsidRPr="00530D57" w:rsidRDefault="771C8513" w:rsidP="002F5E4F">
      <w:pPr>
        <w:pStyle w:val="Numberedpara"/>
      </w:pPr>
      <w:r w:rsidRPr="00530D57">
        <w:t xml:space="preserve">Two submitters did not express a clear view on whether specific rehabilitative programmes are </w:t>
      </w:r>
      <w:r w:rsidR="1DC5FFAC" w:rsidRPr="00530D57">
        <w:t>desirabl</w:t>
      </w:r>
      <w:r w:rsidR="442207F0" w:rsidRPr="00530D57">
        <w:t>e</w:t>
      </w:r>
      <w:r w:rsidR="003E39AD">
        <w:t>,</w:t>
      </w:r>
      <w:r w:rsidR="1DC5FFAC" w:rsidRPr="00530D57">
        <w:t xml:space="preserve"> </w:t>
      </w:r>
      <w:r w:rsidRPr="00530D57">
        <w:t xml:space="preserve">but noted </w:t>
      </w:r>
      <w:r w:rsidR="003E39AD">
        <w:t>such programmes</w:t>
      </w:r>
      <w:r w:rsidRPr="00530D57">
        <w:t xml:space="preserve"> could be created under the existing legal model.</w:t>
      </w:r>
      <w:r w:rsidR="00D072C8" w:rsidRPr="00530D57">
        <w:rPr>
          <w:color w:val="262626" w:themeColor="text1" w:themeTint="D9"/>
          <w:sz w:val="18"/>
          <w:szCs w:val="18"/>
          <w:vertAlign w:val="superscript"/>
        </w:rPr>
        <w:footnoteReference w:id="359"/>
      </w:r>
      <w:r w:rsidRPr="00530D57">
        <w:t xml:space="preserve"> They emphasised rehabilitative needs are not a justification for creating specific hate crime offences.</w:t>
      </w:r>
    </w:p>
    <w:p w14:paraId="7D80A301" w14:textId="67FA9EA2" w:rsidR="00D072C8" w:rsidRPr="00530D57" w:rsidRDefault="771C8513" w:rsidP="002F5E4F">
      <w:pPr>
        <w:pStyle w:val="Numberedpara"/>
      </w:pPr>
      <w:r w:rsidRPr="00530D57">
        <w:t xml:space="preserve">As noted </w:t>
      </w:r>
      <w:r w:rsidR="794D13BA" w:rsidRPr="00530D57">
        <w:t>above</w:t>
      </w:r>
      <w:r w:rsidRPr="00530D57">
        <w:t>, five submitters said that if a hate crime flag is created in the court system this could be shared with Corrections to help assess the offender’s rehabilitative needs.</w:t>
      </w:r>
      <w:r w:rsidR="00D072C8" w:rsidRPr="00530D57">
        <w:rPr>
          <w:color w:val="262626" w:themeColor="text1" w:themeTint="D9"/>
          <w:sz w:val="18"/>
          <w:szCs w:val="18"/>
          <w:vertAlign w:val="superscript"/>
        </w:rPr>
        <w:footnoteReference w:id="360"/>
      </w:r>
    </w:p>
    <w:p w14:paraId="4AFA661B" w14:textId="47EC3D2E" w:rsidR="00D072C8" w:rsidRPr="00530D57" w:rsidRDefault="00D072C8" w:rsidP="00B51F21">
      <w:pPr>
        <w:pStyle w:val="Heading2"/>
        <w:rPr>
          <w:rFonts w:eastAsiaTheme="majorEastAsia"/>
        </w:rPr>
      </w:pPr>
      <w:bookmarkStart w:id="51" w:name="_Toc207093271"/>
      <w:r w:rsidRPr="00530D57">
        <w:rPr>
          <w:rFonts w:eastAsiaTheme="majorEastAsia"/>
        </w:rPr>
        <w:t xml:space="preserve">Other </w:t>
      </w:r>
      <w:r w:rsidR="00DF5AFB" w:rsidRPr="00530D57">
        <w:rPr>
          <w:rFonts w:eastAsiaTheme="majorEastAsia"/>
        </w:rPr>
        <w:t>concerns</w:t>
      </w:r>
      <w:r w:rsidRPr="00530D57">
        <w:rPr>
          <w:rFonts w:eastAsiaTheme="majorEastAsia"/>
        </w:rPr>
        <w:t xml:space="preserve"> raised</w:t>
      </w:r>
      <w:bookmarkEnd w:id="51"/>
    </w:p>
    <w:p w14:paraId="032C06AF" w14:textId="77777777" w:rsidR="00D072C8" w:rsidRPr="00530D57" w:rsidRDefault="00D072C8" w:rsidP="002F5E4F">
      <w:pPr>
        <w:pStyle w:val="Numberedpara"/>
      </w:pPr>
      <w:r w:rsidRPr="00530D57">
        <w:t>Some submitters raised other concerns about how the current law is working, including that:</w:t>
      </w:r>
    </w:p>
    <w:p w14:paraId="4B091821" w14:textId="77777777" w:rsidR="00D072C8" w:rsidRPr="00530D57" w:rsidRDefault="771C8513" w:rsidP="00896331">
      <w:pPr>
        <w:pStyle w:val="Numberedpara"/>
        <w:numPr>
          <w:ilvl w:val="1"/>
          <w:numId w:val="71"/>
        </w:numPr>
      </w:pPr>
      <w:r w:rsidRPr="00530D57">
        <w:t>Judges may be biased or influenced by certain ideologies, leading to the protection of certain groups over others.</w:t>
      </w:r>
      <w:r w:rsidR="00D072C8" w:rsidRPr="00530D57">
        <w:rPr>
          <w:color w:val="262626" w:themeColor="text1" w:themeTint="D9"/>
          <w:sz w:val="18"/>
          <w:szCs w:val="18"/>
          <w:vertAlign w:val="superscript"/>
        </w:rPr>
        <w:footnoteReference w:id="361"/>
      </w:r>
    </w:p>
    <w:p w14:paraId="36EF7871" w14:textId="5BC59A6F" w:rsidR="00D072C8" w:rsidRPr="00530D57" w:rsidRDefault="771C8513" w:rsidP="00896331">
      <w:pPr>
        <w:pStyle w:val="Numberedpara"/>
        <w:numPr>
          <w:ilvl w:val="1"/>
          <w:numId w:val="71"/>
        </w:numPr>
        <w:rPr>
          <w:rFonts w:eastAsia="Times New Roman" w:cs="Times New Roman"/>
          <w:color w:val="0D0D0D" w:themeColor="text1" w:themeTint="F2"/>
          <w:szCs w:val="24"/>
          <w:lang w:eastAsia="en-AU"/>
        </w:rPr>
      </w:pPr>
      <w:r w:rsidRPr="00530D57">
        <w:rPr>
          <w:rFonts w:eastAsia="Times New Roman" w:cs="Times New Roman"/>
          <w:color w:val="0D0D0D" w:themeColor="text1" w:themeTint="F2"/>
          <w:lang w:eastAsia="en-AU"/>
        </w:rPr>
        <w:t>Hate motivation does not need to be proven beyond reasonable doubt at trial.</w:t>
      </w:r>
      <w:r w:rsidR="00D072C8" w:rsidRPr="00530D57">
        <w:rPr>
          <w:rFonts w:eastAsia="Times New Roman" w:cs="Times New Roman"/>
          <w:color w:val="262626" w:themeColor="text1" w:themeTint="D9"/>
          <w:sz w:val="18"/>
          <w:szCs w:val="18"/>
          <w:vertAlign w:val="superscript"/>
          <w:lang w:eastAsia="en-AU"/>
        </w:rPr>
        <w:footnoteReference w:id="362"/>
      </w:r>
      <w:r w:rsidRPr="00530D57">
        <w:rPr>
          <w:rFonts w:eastAsia="Times New Roman" w:cs="Times New Roman"/>
          <w:color w:val="0D0D0D" w:themeColor="text1" w:themeTint="F2"/>
          <w:lang w:eastAsia="en-AU"/>
        </w:rPr>
        <w:t xml:space="preserve"> Instead it is inferred by the judge at sentencing. Addressing hate motivation at sentencing means evidential standards and jury assessments are applied differently.</w:t>
      </w:r>
      <w:r w:rsidR="00D072C8" w:rsidRPr="00530D57">
        <w:rPr>
          <w:rFonts w:eastAsia="Times New Roman" w:cs="Times New Roman"/>
          <w:color w:val="262626" w:themeColor="text1" w:themeTint="D9"/>
          <w:sz w:val="18"/>
          <w:szCs w:val="18"/>
          <w:vertAlign w:val="superscript"/>
          <w:lang w:eastAsia="en-AU"/>
        </w:rPr>
        <w:footnoteReference w:id="363"/>
      </w:r>
      <w:r w:rsidRPr="00530D57">
        <w:rPr>
          <w:rFonts w:eastAsia="Times New Roman" w:cs="Times New Roman"/>
          <w:color w:val="0D0D0D" w:themeColor="text1" w:themeTint="F2"/>
          <w:lang w:eastAsia="en-AU"/>
        </w:rPr>
        <w:t xml:space="preserve"> </w:t>
      </w:r>
    </w:p>
    <w:p w14:paraId="1BEC585A" w14:textId="77777777" w:rsidR="00D072C8" w:rsidRPr="00530D57" w:rsidRDefault="771C8513" w:rsidP="00896331">
      <w:pPr>
        <w:pStyle w:val="Numberedpara"/>
        <w:numPr>
          <w:ilvl w:val="1"/>
          <w:numId w:val="71"/>
        </w:numPr>
        <w:rPr>
          <w:rFonts w:eastAsia="Times New Roman" w:cs="Times New Roman"/>
          <w:color w:val="0D0D0D" w:themeColor="text1" w:themeTint="F2"/>
          <w:szCs w:val="24"/>
          <w:lang w:eastAsia="en-AU"/>
        </w:rPr>
      </w:pPr>
      <w:r w:rsidRPr="00530D57">
        <w:rPr>
          <w:rFonts w:eastAsia="Times New Roman" w:cs="Times New Roman"/>
          <w:color w:val="0D0D0D" w:themeColor="text1" w:themeTint="F2"/>
          <w:lang w:eastAsia="en-AU"/>
        </w:rPr>
        <w:t>Offenders are entitled to clarity about the offending with which they are being charged, but this may not occur under the current law.</w:t>
      </w:r>
      <w:r w:rsidR="00D072C8" w:rsidRPr="00530D57">
        <w:rPr>
          <w:rFonts w:eastAsia="Times New Roman" w:cs="Times New Roman"/>
          <w:color w:val="262626" w:themeColor="text1" w:themeTint="D9"/>
          <w:sz w:val="18"/>
          <w:szCs w:val="18"/>
          <w:vertAlign w:val="superscript"/>
          <w:lang w:eastAsia="en-AU"/>
        </w:rPr>
        <w:footnoteReference w:id="364"/>
      </w:r>
      <w:r w:rsidRPr="00530D57">
        <w:rPr>
          <w:rFonts w:eastAsia="Times New Roman" w:cs="Times New Roman"/>
          <w:color w:val="0D0D0D" w:themeColor="text1" w:themeTint="F2"/>
          <w:lang w:eastAsia="en-AU"/>
        </w:rPr>
        <w:t xml:space="preserve"> It is not difficult to imagine an offender pleading guilty to a summary of facts and not appreciating they would later be sentenced on the basis that their offending was a hate crime.</w:t>
      </w:r>
    </w:p>
    <w:p w14:paraId="55062B3E" w14:textId="4E4803CA" w:rsidR="00D072C8" w:rsidRPr="00530D57" w:rsidRDefault="771C8513" w:rsidP="00896331">
      <w:pPr>
        <w:pStyle w:val="Numberedpara"/>
        <w:numPr>
          <w:ilvl w:val="1"/>
          <w:numId w:val="71"/>
        </w:numPr>
        <w:rPr>
          <w:rFonts w:eastAsia="Times New Roman" w:cs="Times New Roman"/>
          <w:color w:val="0D0D0D" w:themeColor="text1" w:themeTint="F2"/>
          <w:szCs w:val="24"/>
          <w:lang w:eastAsia="en-AU"/>
        </w:rPr>
      </w:pPr>
      <w:r w:rsidRPr="00530D57">
        <w:rPr>
          <w:rFonts w:eastAsia="Times New Roman" w:cs="Times New Roman"/>
          <w:color w:val="0D0D0D" w:themeColor="text1" w:themeTint="F2"/>
          <w:lang w:eastAsia="en-AU"/>
        </w:rPr>
        <w:lastRenderedPageBreak/>
        <w:t>The aggravating factor does not adequately address issues of social cohesion, community harm, the increased breach of human rights that hate crimes entail and practical challenges in prosecuting hate crimes.</w:t>
      </w:r>
      <w:r w:rsidR="00D072C8" w:rsidRPr="00530D57">
        <w:rPr>
          <w:rFonts w:eastAsia="Times New Roman" w:cs="Times New Roman"/>
          <w:color w:val="262626" w:themeColor="text1" w:themeTint="D9"/>
          <w:sz w:val="18"/>
          <w:szCs w:val="18"/>
          <w:vertAlign w:val="superscript"/>
          <w:lang w:eastAsia="en-AU"/>
        </w:rPr>
        <w:footnoteReference w:id="365"/>
      </w:r>
    </w:p>
    <w:p w14:paraId="68B5CC5A" w14:textId="77777777" w:rsidR="00D072C8" w:rsidRPr="00530D57" w:rsidRDefault="771C8513" w:rsidP="00896331">
      <w:pPr>
        <w:pStyle w:val="Numberedpara"/>
        <w:numPr>
          <w:ilvl w:val="1"/>
          <w:numId w:val="71"/>
        </w:numPr>
        <w:rPr>
          <w:rFonts w:eastAsia="Times New Roman" w:cs="Times New Roman"/>
          <w:color w:val="0D0D0D" w:themeColor="text1" w:themeTint="F2"/>
          <w:szCs w:val="24"/>
          <w:lang w:eastAsia="en-AU"/>
        </w:rPr>
      </w:pPr>
      <w:r w:rsidRPr="00530D57">
        <w:rPr>
          <w:rFonts w:eastAsia="Times New Roman" w:cs="Times New Roman"/>
          <w:color w:val="0D0D0D" w:themeColor="text1" w:themeTint="F2"/>
          <w:lang w:eastAsia="en-AU"/>
        </w:rPr>
        <w:t>There may be situations where offending appears to be hate-motivated but mental health or disability is a factor.</w:t>
      </w:r>
      <w:r w:rsidR="00D072C8" w:rsidRPr="00530D57">
        <w:rPr>
          <w:rFonts w:eastAsia="Times New Roman" w:cs="Times New Roman"/>
          <w:color w:val="262626" w:themeColor="text1" w:themeTint="D9"/>
          <w:sz w:val="18"/>
          <w:szCs w:val="18"/>
          <w:vertAlign w:val="superscript"/>
          <w:lang w:eastAsia="en-AU"/>
        </w:rPr>
        <w:footnoteReference w:id="366"/>
      </w:r>
      <w:r w:rsidRPr="00530D57">
        <w:rPr>
          <w:rFonts w:eastAsia="Times New Roman" w:cs="Times New Roman"/>
          <w:color w:val="0D0D0D" w:themeColor="text1" w:themeTint="F2"/>
          <w:lang w:eastAsia="en-AU"/>
        </w:rPr>
        <w:t xml:space="preserve"> Lack of disability awareness and responsiveness among police and the judiciary mean these cases may not be handled appropriately.</w:t>
      </w:r>
      <w:r w:rsidR="00D072C8" w:rsidRPr="00530D57">
        <w:rPr>
          <w:rFonts w:eastAsia="Times New Roman" w:cs="Times New Roman"/>
          <w:color w:val="262626" w:themeColor="text1" w:themeTint="D9"/>
          <w:sz w:val="18"/>
          <w:szCs w:val="18"/>
          <w:vertAlign w:val="superscript"/>
          <w:lang w:eastAsia="en-AU"/>
        </w:rPr>
        <w:footnoteReference w:id="367"/>
      </w:r>
    </w:p>
    <w:p w14:paraId="216D88F1" w14:textId="77777777" w:rsidR="00D072C8" w:rsidRPr="00530D57" w:rsidRDefault="00D072C8" w:rsidP="00BB61F7">
      <w:pPr>
        <w:pStyle w:val="Heading2"/>
        <w:rPr>
          <w:rFonts w:eastAsiaTheme="majorEastAsia"/>
        </w:rPr>
      </w:pPr>
      <w:bookmarkStart w:id="52" w:name="_Toc207093272"/>
      <w:r w:rsidRPr="00530D57">
        <w:rPr>
          <w:rFonts w:eastAsiaTheme="majorEastAsia"/>
        </w:rPr>
        <w:t>Other suggestions to improve the sentence aggravation model</w:t>
      </w:r>
      <w:bookmarkEnd w:id="52"/>
    </w:p>
    <w:p w14:paraId="022B3CC7" w14:textId="77777777" w:rsidR="00D072C8" w:rsidRPr="00530D57" w:rsidRDefault="00D072C8" w:rsidP="002F5E4F">
      <w:pPr>
        <w:pStyle w:val="Numberedpara"/>
      </w:pPr>
      <w:r w:rsidRPr="00530D57">
        <w:t>Some submitters made other suggestions for how the current system could be improved. Many of these suggestions related to supporting victims and affected communities, such as by:</w:t>
      </w:r>
    </w:p>
    <w:p w14:paraId="4FC74CBF" w14:textId="4D773265" w:rsidR="00D072C8" w:rsidRPr="00530D57" w:rsidRDefault="771C8513" w:rsidP="00896331">
      <w:pPr>
        <w:pStyle w:val="Numberedpara"/>
        <w:numPr>
          <w:ilvl w:val="1"/>
          <w:numId w:val="71"/>
        </w:numPr>
        <w:rPr>
          <w:rFonts w:eastAsia="Times New Roman" w:cs="Times New Roman"/>
          <w:color w:val="0D0D0D" w:themeColor="text1" w:themeTint="F2"/>
          <w:szCs w:val="24"/>
          <w:lang w:eastAsia="en-AU"/>
        </w:rPr>
      </w:pPr>
      <w:r w:rsidRPr="00197568">
        <w:t>Resourcing</w:t>
      </w:r>
      <w:r w:rsidRPr="00530D57">
        <w:rPr>
          <w:rFonts w:eastAsia="Times New Roman" w:cs="Times New Roman"/>
          <w:color w:val="0D0D0D" w:themeColor="text1" w:themeTint="F2"/>
          <w:lang w:eastAsia="en-AU"/>
        </w:rPr>
        <w:t xml:space="preserve"> community organisations to monitor hate-related incidents, undertake victimisation surveys to capture under-reporting and design community interventions to prevent hate crimes.</w:t>
      </w:r>
      <w:r w:rsidR="00D072C8" w:rsidRPr="00530D57">
        <w:rPr>
          <w:rFonts w:eastAsia="Times New Roman" w:cs="Times New Roman"/>
          <w:color w:val="262626" w:themeColor="text1" w:themeTint="D9"/>
          <w:sz w:val="18"/>
          <w:szCs w:val="18"/>
          <w:vertAlign w:val="superscript"/>
          <w:lang w:eastAsia="en-AU"/>
        </w:rPr>
        <w:footnoteReference w:id="368"/>
      </w:r>
    </w:p>
    <w:p w14:paraId="2BD82CE8" w14:textId="70402195" w:rsidR="00D072C8" w:rsidRPr="00530D57" w:rsidRDefault="771C8513" w:rsidP="00896331">
      <w:pPr>
        <w:pStyle w:val="Numberedpara"/>
        <w:numPr>
          <w:ilvl w:val="1"/>
          <w:numId w:val="71"/>
        </w:numPr>
        <w:rPr>
          <w:rFonts w:eastAsia="Times New Roman" w:cs="Times New Roman"/>
          <w:color w:val="0D0D0D" w:themeColor="text1" w:themeTint="F2"/>
          <w:szCs w:val="24"/>
          <w:lang w:eastAsia="en-AU"/>
        </w:rPr>
      </w:pPr>
      <w:r w:rsidRPr="00197568">
        <w:t>Providing</w:t>
      </w:r>
      <w:r w:rsidRPr="00530D57">
        <w:rPr>
          <w:rFonts w:eastAsia="Times New Roman" w:cs="Times New Roman"/>
          <w:color w:val="0D0D0D" w:themeColor="text1" w:themeTint="F2"/>
          <w:lang w:eastAsia="en-AU"/>
        </w:rPr>
        <w:t xml:space="preserve"> support services for victims of hate crimes, including counselling, legal assistance and community support.</w:t>
      </w:r>
      <w:r w:rsidR="00D072C8" w:rsidRPr="00530D57">
        <w:rPr>
          <w:rFonts w:eastAsia="Times New Roman" w:cs="Times New Roman"/>
          <w:color w:val="262626" w:themeColor="text1" w:themeTint="D9"/>
          <w:sz w:val="18"/>
          <w:szCs w:val="18"/>
          <w:vertAlign w:val="superscript"/>
          <w:lang w:eastAsia="en-AU"/>
        </w:rPr>
        <w:footnoteReference w:id="369"/>
      </w:r>
    </w:p>
    <w:p w14:paraId="1F3F91E1" w14:textId="77777777" w:rsidR="00D072C8" w:rsidRPr="00530D57" w:rsidRDefault="771C8513" w:rsidP="00896331">
      <w:pPr>
        <w:pStyle w:val="Numberedpara"/>
        <w:numPr>
          <w:ilvl w:val="1"/>
          <w:numId w:val="71"/>
        </w:numPr>
        <w:rPr>
          <w:rFonts w:eastAsia="Times New Roman" w:cs="Times New Roman"/>
          <w:color w:val="0D0D0D" w:themeColor="text1" w:themeTint="F2"/>
          <w:szCs w:val="24"/>
          <w:lang w:eastAsia="en-AU"/>
        </w:rPr>
      </w:pPr>
      <w:r w:rsidRPr="00197568">
        <w:t>Reviewing</w:t>
      </w:r>
      <w:r w:rsidRPr="00530D57">
        <w:rPr>
          <w:rFonts w:eastAsia="Times New Roman" w:cs="Times New Roman"/>
          <w:color w:val="0D0D0D" w:themeColor="text1" w:themeTint="F2"/>
          <w:lang w:eastAsia="en-AU"/>
        </w:rPr>
        <w:t xml:space="preserve"> information and resources provided to victims and victims’ groups, considering changes to the victims’ code and providing training to victims’ advisors.</w:t>
      </w:r>
      <w:r w:rsidR="00D072C8" w:rsidRPr="00530D57">
        <w:rPr>
          <w:rFonts w:eastAsia="Times New Roman" w:cs="Times New Roman"/>
          <w:color w:val="262626" w:themeColor="text1" w:themeTint="D9"/>
          <w:sz w:val="18"/>
          <w:szCs w:val="18"/>
          <w:vertAlign w:val="superscript"/>
          <w:lang w:eastAsia="en-AU"/>
        </w:rPr>
        <w:footnoteReference w:id="370"/>
      </w:r>
    </w:p>
    <w:p w14:paraId="64CC3728" w14:textId="77777777" w:rsidR="00D072C8" w:rsidRPr="00530D57" w:rsidRDefault="771C8513" w:rsidP="00896331">
      <w:pPr>
        <w:pStyle w:val="Numberedpara"/>
        <w:numPr>
          <w:ilvl w:val="1"/>
          <w:numId w:val="71"/>
        </w:numPr>
        <w:rPr>
          <w:rFonts w:eastAsia="Times New Roman" w:cs="Times New Roman"/>
          <w:color w:val="0D0D0D" w:themeColor="text1" w:themeTint="F2"/>
          <w:szCs w:val="24"/>
          <w:lang w:eastAsia="en-AU"/>
        </w:rPr>
      </w:pPr>
      <w:r w:rsidRPr="00197568">
        <w:t>Allowing</w:t>
      </w:r>
      <w:r w:rsidRPr="00530D57">
        <w:rPr>
          <w:rFonts w:eastAsia="Times New Roman" w:cs="Times New Roman"/>
          <w:color w:val="0D0D0D" w:themeColor="text1" w:themeTint="F2"/>
          <w:lang w:eastAsia="en-AU"/>
        </w:rPr>
        <w:t xml:space="preserve"> affected groups (not just individual victims) to make victim impact statements at sentencing to ensure the court understands the harm caused by the offending.</w:t>
      </w:r>
      <w:r w:rsidR="00D072C8" w:rsidRPr="00530D57">
        <w:rPr>
          <w:rFonts w:eastAsia="Times New Roman" w:cs="Times New Roman"/>
          <w:color w:val="262626" w:themeColor="text1" w:themeTint="D9"/>
          <w:sz w:val="18"/>
          <w:szCs w:val="18"/>
          <w:vertAlign w:val="superscript"/>
          <w:lang w:eastAsia="en-AU"/>
        </w:rPr>
        <w:footnoteReference w:id="371"/>
      </w:r>
    </w:p>
    <w:p w14:paraId="096CF23F" w14:textId="77777777" w:rsidR="00D072C8" w:rsidRPr="00530D57" w:rsidRDefault="771C8513" w:rsidP="00896331">
      <w:pPr>
        <w:pStyle w:val="Numberedpara"/>
        <w:numPr>
          <w:ilvl w:val="1"/>
          <w:numId w:val="71"/>
        </w:numPr>
        <w:rPr>
          <w:rFonts w:eastAsia="Times New Roman" w:cs="Times New Roman"/>
          <w:color w:val="0D0D0D" w:themeColor="text1" w:themeTint="F2"/>
          <w:szCs w:val="24"/>
          <w:lang w:eastAsia="en-AU"/>
        </w:rPr>
      </w:pPr>
      <w:r w:rsidRPr="00197568">
        <w:t>Providing</w:t>
      </w:r>
      <w:r w:rsidRPr="00530D57">
        <w:rPr>
          <w:rFonts w:eastAsia="Times New Roman" w:cs="Times New Roman"/>
          <w:color w:val="0D0D0D" w:themeColor="text1" w:themeTint="F2"/>
          <w:lang w:eastAsia="en-AU"/>
        </w:rPr>
        <w:t xml:space="preserve"> Government assistance with the security needs of vulnerable communities.</w:t>
      </w:r>
      <w:r w:rsidR="00D072C8" w:rsidRPr="00530D57">
        <w:rPr>
          <w:rFonts w:eastAsia="Times New Roman" w:cs="Times New Roman"/>
          <w:color w:val="262626" w:themeColor="text1" w:themeTint="D9"/>
          <w:sz w:val="18"/>
          <w:szCs w:val="18"/>
          <w:vertAlign w:val="superscript"/>
          <w:lang w:eastAsia="en-AU"/>
        </w:rPr>
        <w:footnoteReference w:id="372"/>
      </w:r>
    </w:p>
    <w:p w14:paraId="3395FFE7" w14:textId="77777777" w:rsidR="00D072C8" w:rsidRPr="00530D57" w:rsidRDefault="771C8513" w:rsidP="002F5E4F">
      <w:pPr>
        <w:pStyle w:val="Numberedpara"/>
      </w:pPr>
      <w:r w:rsidRPr="00530D57">
        <w:t>Two submitters suggested considering alternative ways of dealing with hate crime, such as restorative justice.</w:t>
      </w:r>
      <w:r w:rsidR="00D072C8" w:rsidRPr="00530D57">
        <w:rPr>
          <w:color w:val="262626" w:themeColor="text1" w:themeTint="D9"/>
          <w:sz w:val="18"/>
          <w:szCs w:val="18"/>
          <w:vertAlign w:val="superscript"/>
        </w:rPr>
        <w:footnoteReference w:id="373"/>
      </w:r>
    </w:p>
    <w:p w14:paraId="1C87106B" w14:textId="2EB09006" w:rsidR="00D072C8" w:rsidRPr="00530D57" w:rsidRDefault="3346517E" w:rsidP="002F5E4F">
      <w:pPr>
        <w:pStyle w:val="Numberedpara"/>
      </w:pPr>
      <w:r w:rsidRPr="00530D57">
        <w:lastRenderedPageBreak/>
        <w:t>Five</w:t>
      </w:r>
      <w:r w:rsidR="771C8513" w:rsidRPr="00530D57">
        <w:t xml:space="preserve"> submitters suggested sentencing guidelines for the judiciary may be beneficial.</w:t>
      </w:r>
      <w:r w:rsidR="00D072C8" w:rsidRPr="00530D57">
        <w:rPr>
          <w:color w:val="262626" w:themeColor="text1" w:themeTint="D9"/>
          <w:sz w:val="18"/>
          <w:szCs w:val="18"/>
          <w:vertAlign w:val="superscript"/>
        </w:rPr>
        <w:footnoteReference w:id="374"/>
      </w:r>
      <w:r w:rsidR="771C8513" w:rsidRPr="00530D57">
        <w:t xml:space="preserve"> Two submitters said this would help to ensure consistency and transparency in sentencing outcomes.</w:t>
      </w:r>
      <w:r w:rsidR="00D072C8" w:rsidRPr="00530D57">
        <w:rPr>
          <w:color w:val="262626" w:themeColor="text1" w:themeTint="D9"/>
          <w:sz w:val="18"/>
          <w:szCs w:val="18"/>
          <w:vertAlign w:val="superscript"/>
        </w:rPr>
        <w:footnoteReference w:id="375"/>
      </w:r>
    </w:p>
    <w:p w14:paraId="048DA800" w14:textId="77777777" w:rsidR="00D072C8" w:rsidRPr="00530D57" w:rsidRDefault="00D072C8" w:rsidP="002F5E4F">
      <w:pPr>
        <w:pStyle w:val="Numberedpara"/>
      </w:pPr>
      <w:r w:rsidRPr="00530D57">
        <w:t>Justice for Palestine, Alternative Jewish Voices and Dayenu proposed a National Hate Crime Strategy to ensure a preventative, community-led approach to addressing hate crime.</w:t>
      </w:r>
    </w:p>
    <w:p w14:paraId="4972B448" w14:textId="2AD60945" w:rsidR="00D072C8" w:rsidRPr="00530D57" w:rsidRDefault="00D072C8" w:rsidP="002F5E4F">
      <w:pPr>
        <w:pStyle w:val="Numberedpara"/>
      </w:pPr>
      <w:r w:rsidRPr="00530D57">
        <w:t xml:space="preserve">The Free Speech Union said there should be a clear evidential foundation for a judge to find hate aggravation, to improve transparency and ensure consistency. This could be established through an admission by the defendant, or </w:t>
      </w:r>
      <w:r w:rsidR="00D361E3">
        <w:t>through</w:t>
      </w:r>
      <w:r w:rsidRPr="00530D57">
        <w:t xml:space="preserve"> a finding of hate motivation in the course of a defended hearing or a disputed facts hearing before sentencing. </w:t>
      </w:r>
    </w:p>
    <w:p w14:paraId="147BFB1B" w14:textId="4D55EC28" w:rsidR="00CD1061" w:rsidRPr="00530D57" w:rsidRDefault="00D072C8" w:rsidP="002F5E4F">
      <w:pPr>
        <w:pStyle w:val="Numberedpara"/>
        <w:sectPr w:rsidR="00CD1061" w:rsidRPr="00530D57" w:rsidSect="004E3A8E">
          <w:pgSz w:w="11906" w:h="16838" w:code="9"/>
          <w:pgMar w:top="1134" w:right="1134" w:bottom="1134" w:left="1701" w:header="499" w:footer="499" w:gutter="0"/>
          <w:cols w:space="720"/>
          <w:noEndnote/>
        </w:sectPr>
      </w:pPr>
      <w:r w:rsidRPr="00530D57">
        <w:t>The Free Speech Union also suggested limiting the application of the aggravating factor to serious crimes</w:t>
      </w:r>
      <w:r w:rsidR="001F3AC8">
        <w:t>,</w:t>
      </w:r>
      <w:r w:rsidRPr="00530D57">
        <w:t xml:space="preserve"> such as violent offences (for example, assault and murder), threats and targeted harassment. It considered focusing on crimes that cause significant harm would make the law more focused and proportionate.</w:t>
      </w:r>
    </w:p>
    <w:p w14:paraId="67EEE369" w14:textId="6E5B4A45" w:rsidR="00940ECF" w:rsidRPr="00530D57" w:rsidRDefault="008D62A6" w:rsidP="001D5A00">
      <w:pPr>
        <w:pStyle w:val="Heading1nonum"/>
        <w:spacing w:before="480"/>
      </w:pPr>
      <w:bookmarkStart w:id="53" w:name="_Toc207093273"/>
      <w:r w:rsidRPr="00530D57">
        <w:lastRenderedPageBreak/>
        <w:t xml:space="preserve">Other legal models </w:t>
      </w:r>
      <w:r w:rsidR="004D62BF" w:rsidRPr="00530D57">
        <w:t>to</w:t>
      </w:r>
      <w:r w:rsidRPr="00530D57">
        <w:t xml:space="preserve"> address hate crime</w:t>
      </w:r>
      <w:bookmarkEnd w:id="53"/>
    </w:p>
    <w:p w14:paraId="4A499AE8" w14:textId="6771EA7C" w:rsidR="001D5A00" w:rsidRDefault="001D5A00" w:rsidP="001D5A00">
      <w:r w:rsidRPr="00530D57">
        <w:rPr>
          <w:rFonts w:asciiTheme="minorHAnsi" w:hAnsiTheme="minorHAnsi"/>
          <w:noProof/>
          <w:lang w:eastAsia="en-NZ"/>
        </w:rPr>
        <mc:AlternateContent>
          <mc:Choice Requires="wpg">
            <w:drawing>
              <wp:anchor distT="0" distB="0" distL="114300" distR="114300" simplePos="0" relativeHeight="251658252" behindDoc="1" locked="0" layoutInCell="1" allowOverlap="1" wp14:anchorId="183D942E" wp14:editId="6D81CDAC">
                <wp:simplePos x="0" y="0"/>
                <wp:positionH relativeFrom="page">
                  <wp:posOffset>1080135</wp:posOffset>
                </wp:positionH>
                <wp:positionV relativeFrom="paragraph">
                  <wp:posOffset>65973</wp:posOffset>
                </wp:positionV>
                <wp:extent cx="1332230" cy="1270"/>
                <wp:effectExtent l="0" t="19050" r="20320" b="17780"/>
                <wp:wrapNone/>
                <wp:docPr id="159181513" name="Group 1591815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417" y="535"/>
                          <a:chExt cx="2098" cy="2"/>
                        </a:xfrm>
                      </wpg:grpSpPr>
                      <wps:wsp>
                        <wps:cNvPr id="1281472125" name="Freeform 3"/>
                        <wps:cNvSpPr>
                          <a:spLocks/>
                        </wps:cNvSpPr>
                        <wps:spPr bwMode="auto">
                          <a:xfrm>
                            <a:off x="1417" y="535"/>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73AB6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FC794F" id="Group 159181513" o:spid="_x0000_s1026" style="position:absolute;margin-left:85.05pt;margin-top:5.2pt;width:104.9pt;height:.1pt;z-index:-251658228;mso-position-horizontal-relative:page" coordorigin="1417,535"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">
                <v:shape id="Freeform 3" o:spid="_x0000_s1027" style="position:absolute;left:1417;top:535;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" path="m,l2098,e" filled="f" strokecolor="#73ab6e" strokeweight="3pt">
                  <v:path arrowok="t" o:connecttype="custom" o:connectlocs="0,0;2098,0" o:connectangles="0,0"/>
                </v:shape>
                <w10:wrap anchorx="page"/>
              </v:group>
            </w:pict>
          </mc:Fallback>
        </mc:AlternateContent>
      </w:r>
    </w:p>
    <w:p w14:paraId="27223C59" w14:textId="77777777" w:rsidR="001D5A00" w:rsidRDefault="001D5A00" w:rsidP="001D5A00"/>
    <w:p w14:paraId="52235282" w14:textId="412BD9A6" w:rsidR="00D45EAB" w:rsidRPr="00530D57" w:rsidRDefault="00D45EAB" w:rsidP="0002122A">
      <w:pPr>
        <w:pStyle w:val="Heading2"/>
      </w:pPr>
      <w:bookmarkStart w:id="54" w:name="_Toc207093274"/>
      <w:r w:rsidRPr="00530D57">
        <w:t>Overview</w:t>
      </w:r>
      <w:bookmarkEnd w:id="54"/>
    </w:p>
    <w:p w14:paraId="04D71B3E" w14:textId="057760A6" w:rsidR="00D45EAB" w:rsidRPr="00530D57" w:rsidRDefault="00D45EAB" w:rsidP="002F5E4F">
      <w:pPr>
        <w:pStyle w:val="Numberedpara"/>
      </w:pPr>
      <w:r w:rsidRPr="00530D57">
        <w:t>In this section</w:t>
      </w:r>
      <w:r w:rsidR="00B908D2" w:rsidRPr="00530D57">
        <w:t>, we summarise responses to Questions 7, 8 and 9</w:t>
      </w:r>
      <w:r w:rsidR="006908C4" w:rsidRPr="00530D57">
        <w:t>. These questions sought</w:t>
      </w:r>
      <w:r w:rsidR="00C75A5C" w:rsidRPr="00530D57">
        <w:t xml:space="preserve"> feedback</w:t>
      </w:r>
      <w:r w:rsidR="00005F26" w:rsidRPr="00530D57">
        <w:t xml:space="preserve"> about </w:t>
      </w:r>
      <w:r w:rsidR="00343599" w:rsidRPr="00530D57">
        <w:t xml:space="preserve">whether we should </w:t>
      </w:r>
      <w:r w:rsidR="004D62BF" w:rsidRPr="00530D57">
        <w:t xml:space="preserve">adopt </w:t>
      </w:r>
      <w:r w:rsidR="00791B6A">
        <w:t>a different</w:t>
      </w:r>
      <w:r w:rsidR="004D62BF" w:rsidRPr="00530D57">
        <w:t xml:space="preserve"> legal model to address hate crime</w:t>
      </w:r>
      <w:r w:rsidR="00D4214F" w:rsidRPr="00530D57">
        <w:t xml:space="preserve"> and how a different model could be implemented. </w:t>
      </w:r>
      <w:r w:rsidR="00FF2485" w:rsidRPr="00530D57">
        <w:t xml:space="preserve">We </w:t>
      </w:r>
      <w:r w:rsidR="00610999" w:rsidRPr="00530D57">
        <w:t xml:space="preserve">first </w:t>
      </w:r>
      <w:r w:rsidR="00EA025B" w:rsidRPr="00530D57">
        <w:t>address</w:t>
      </w:r>
      <w:r w:rsidR="00610999" w:rsidRPr="00530D57">
        <w:t xml:space="preserve"> </w:t>
      </w:r>
      <w:r w:rsidR="00D3503B" w:rsidRPr="00530D57">
        <w:t xml:space="preserve">submitters’ views about whether </w:t>
      </w:r>
      <w:r w:rsidR="00763147" w:rsidRPr="00530D57">
        <w:t>to adopt a different model. We then summarise feedback</w:t>
      </w:r>
      <w:r w:rsidR="00C0203A" w:rsidRPr="00530D57">
        <w:t xml:space="preserve"> about </w:t>
      </w:r>
      <w:r w:rsidR="001525BD" w:rsidRPr="00530D57">
        <w:t>the</w:t>
      </w:r>
      <w:r w:rsidR="00610999" w:rsidRPr="00530D57">
        <w:t xml:space="preserve"> offences</w:t>
      </w:r>
      <w:r w:rsidR="00D3503B" w:rsidRPr="00530D57">
        <w:t xml:space="preserve"> submitters</w:t>
      </w:r>
      <w:r w:rsidR="00EA025B" w:rsidRPr="00530D57">
        <w:t xml:space="preserve"> </w:t>
      </w:r>
      <w:r w:rsidR="001525BD" w:rsidRPr="00530D57">
        <w:t xml:space="preserve">thought should be included if </w:t>
      </w:r>
      <w:r w:rsidR="00306D4B" w:rsidRPr="00530D57">
        <w:t>the</w:t>
      </w:r>
      <w:r w:rsidR="001525BD" w:rsidRPr="00530D57">
        <w:t xml:space="preserve"> specific offence model were adopted</w:t>
      </w:r>
      <w:r w:rsidR="00DE361E" w:rsidRPr="00530D57">
        <w:t>.</w:t>
      </w:r>
    </w:p>
    <w:p w14:paraId="190D903B" w14:textId="3D16D00E" w:rsidR="005F0830" w:rsidRPr="00530D57" w:rsidRDefault="003A0251" w:rsidP="005F0830">
      <w:pPr>
        <w:pStyle w:val="Heading2"/>
      </w:pPr>
      <w:bookmarkStart w:id="55" w:name="_Toc207093275"/>
      <w:r w:rsidRPr="00530D57">
        <w:t>A</w:t>
      </w:r>
      <w:r w:rsidR="005F0830" w:rsidRPr="00530D57">
        <w:t>dopting a different model</w:t>
      </w:r>
      <w:bookmarkEnd w:id="55"/>
    </w:p>
    <w:p w14:paraId="2457E6F4" w14:textId="28A5E423" w:rsidR="00C26139" w:rsidRPr="00530D57" w:rsidRDefault="003A0251" w:rsidP="002F5E4F">
      <w:pPr>
        <w:pStyle w:val="Numberedpara"/>
        <w:rPr>
          <w:b/>
        </w:rPr>
      </w:pPr>
      <w:r w:rsidRPr="00530D57">
        <w:t xml:space="preserve">In </w:t>
      </w:r>
      <w:r w:rsidR="00021572" w:rsidRPr="00530D57">
        <w:t>our</w:t>
      </w:r>
      <w:r w:rsidRPr="00530D57">
        <w:t xml:space="preserve"> Consultation Paper, we discussed </w:t>
      </w:r>
      <w:r w:rsidR="00C26139" w:rsidRPr="00530D57">
        <w:t xml:space="preserve">the potential advantages and disadvantages of two alternative legal models: the specific offence model and the Scottish hybrid model. </w:t>
      </w:r>
      <w:r w:rsidR="00525984" w:rsidRPr="00530D57">
        <w:t>We sought feedback on whether</w:t>
      </w:r>
      <w:r w:rsidR="00B05B1C" w:rsidRPr="00530D57">
        <w:t xml:space="preserve"> </w:t>
      </w:r>
      <w:r w:rsidR="003B616A">
        <w:t>either of these</w:t>
      </w:r>
      <w:r w:rsidR="00B05B1C" w:rsidRPr="00530D57">
        <w:t xml:space="preserve"> model</w:t>
      </w:r>
      <w:r w:rsidR="003B616A">
        <w:t>s</w:t>
      </w:r>
      <w:r w:rsidR="00B05B1C" w:rsidRPr="00530D57">
        <w:t xml:space="preserve"> </w:t>
      </w:r>
      <w:r w:rsidR="003078AC" w:rsidRPr="00530D57">
        <w:t>should be adopted</w:t>
      </w:r>
      <w:r w:rsidR="00525984" w:rsidRPr="00530D57">
        <w:t>.</w:t>
      </w:r>
    </w:p>
    <w:p w14:paraId="61A565EF" w14:textId="77777777" w:rsidR="005F0830" w:rsidRPr="00530D57" w:rsidRDefault="005F0830" w:rsidP="00AE7BA8">
      <w:pPr>
        <w:pStyle w:val="Heading3"/>
        <w:rPr>
          <w:iCs/>
        </w:rPr>
      </w:pPr>
      <w:r w:rsidRPr="00530D57">
        <w:t>Support</w:t>
      </w:r>
    </w:p>
    <w:p w14:paraId="21447AD6" w14:textId="25B0D942" w:rsidR="005F0830" w:rsidRPr="00530D57" w:rsidRDefault="00100281" w:rsidP="002F5E4F">
      <w:pPr>
        <w:pStyle w:val="Numberedpara"/>
      </w:pPr>
      <w:r w:rsidRPr="00530D57">
        <w:t xml:space="preserve">Twenty </w:t>
      </w:r>
      <w:r w:rsidR="005F0830" w:rsidRPr="00530D57">
        <w:t>submitters said a different model should be adopted. Of these:</w:t>
      </w:r>
    </w:p>
    <w:p w14:paraId="5B2924A1" w14:textId="27D8D332" w:rsidR="005F0830" w:rsidRPr="00530D57" w:rsidRDefault="0B5A7C77" w:rsidP="00896331">
      <w:pPr>
        <w:pStyle w:val="Numberedpara"/>
        <w:numPr>
          <w:ilvl w:val="1"/>
          <w:numId w:val="71"/>
        </w:numPr>
      </w:pPr>
      <w:r w:rsidRPr="00530D57">
        <w:t xml:space="preserve">ten </w:t>
      </w:r>
      <w:r w:rsidR="3CBE765F" w:rsidRPr="00530D57">
        <w:t>submitters</w:t>
      </w:r>
      <w:r w:rsidR="68DD3A25" w:rsidRPr="00530D57">
        <w:t xml:space="preserve"> said the</w:t>
      </w:r>
      <w:r w:rsidR="002D2476">
        <w:t xml:space="preserve"> legal</w:t>
      </w:r>
      <w:r w:rsidR="68DD3A25" w:rsidRPr="00530D57">
        <w:t xml:space="preserve"> model should be changed but did not express a clear view about which model they preferred;</w:t>
      </w:r>
      <w:r w:rsidR="005F0830" w:rsidRPr="00530D57">
        <w:rPr>
          <w:rStyle w:val="FootnoteReference"/>
        </w:rPr>
        <w:footnoteReference w:id="376"/>
      </w:r>
      <w:r w:rsidR="68DD3A25" w:rsidRPr="00530D57">
        <w:t xml:space="preserve"> </w:t>
      </w:r>
    </w:p>
    <w:p w14:paraId="546F19DE" w14:textId="7F2DD7B8" w:rsidR="005F0830" w:rsidRPr="00530D57" w:rsidRDefault="6B62EA9C" w:rsidP="00896331">
      <w:pPr>
        <w:pStyle w:val="Numberedpara"/>
        <w:numPr>
          <w:ilvl w:val="1"/>
          <w:numId w:val="71"/>
        </w:numPr>
      </w:pPr>
      <w:r w:rsidRPr="00530D57">
        <w:t>f</w:t>
      </w:r>
      <w:r w:rsidR="68DD3A25" w:rsidRPr="00530D57">
        <w:t xml:space="preserve">ive </w:t>
      </w:r>
      <w:r w:rsidR="3CBE765F" w:rsidRPr="00530D57">
        <w:t xml:space="preserve">submitters </w:t>
      </w:r>
      <w:r w:rsidR="68DD3A25" w:rsidRPr="00530D57">
        <w:t xml:space="preserve">favoured </w:t>
      </w:r>
      <w:r w:rsidR="00C50F28" w:rsidRPr="00530D57">
        <w:t>the</w:t>
      </w:r>
      <w:r w:rsidR="68DD3A25" w:rsidRPr="00530D57">
        <w:t xml:space="preserve"> specific offence model;</w:t>
      </w:r>
      <w:r w:rsidR="005F0830" w:rsidRPr="00530D57">
        <w:rPr>
          <w:rStyle w:val="FootnoteReference"/>
        </w:rPr>
        <w:footnoteReference w:id="377"/>
      </w:r>
      <w:r w:rsidRPr="00530D57">
        <w:t xml:space="preserve"> and</w:t>
      </w:r>
    </w:p>
    <w:p w14:paraId="45402A45" w14:textId="1CB9B936" w:rsidR="005F0830" w:rsidRPr="00530D57" w:rsidRDefault="6B62EA9C" w:rsidP="00896331">
      <w:pPr>
        <w:pStyle w:val="Numberedpara"/>
        <w:numPr>
          <w:ilvl w:val="1"/>
          <w:numId w:val="71"/>
        </w:numPr>
      </w:pPr>
      <w:r w:rsidRPr="00530D57">
        <w:t>f</w:t>
      </w:r>
      <w:r w:rsidR="68DD3A25" w:rsidRPr="00530D57">
        <w:t xml:space="preserve">ive </w:t>
      </w:r>
      <w:r w:rsidR="3CBE765F" w:rsidRPr="00530D57">
        <w:t>submitters</w:t>
      </w:r>
      <w:r w:rsidR="68DD3A25" w:rsidRPr="00530D57">
        <w:t xml:space="preserve"> favoured the Scottish hybrid model.</w:t>
      </w:r>
      <w:r w:rsidR="005F0830" w:rsidRPr="00530D57">
        <w:rPr>
          <w:rStyle w:val="FootnoteReference"/>
        </w:rPr>
        <w:footnoteReference w:id="378"/>
      </w:r>
    </w:p>
    <w:p w14:paraId="1D42D428" w14:textId="77777777" w:rsidR="000634FA" w:rsidRDefault="005F0830" w:rsidP="002F5E4F">
      <w:pPr>
        <w:pStyle w:val="Numberedpara"/>
      </w:pPr>
      <w:r w:rsidRPr="00530D57">
        <w:t>For many</w:t>
      </w:r>
      <w:r w:rsidR="00526DA7" w:rsidRPr="00530D57">
        <w:t xml:space="preserve"> submitters</w:t>
      </w:r>
      <w:r w:rsidRPr="00530D57">
        <w:t xml:space="preserve">, their view that a new model </w:t>
      </w:r>
      <w:r w:rsidR="00C626A3" w:rsidRPr="00530D57">
        <w:t>should be adopted</w:t>
      </w:r>
      <w:r w:rsidR="000332A9" w:rsidRPr="00530D57">
        <w:t xml:space="preserve"> </w:t>
      </w:r>
      <w:r w:rsidR="00180192" w:rsidRPr="00530D57">
        <w:t>resulted from</w:t>
      </w:r>
      <w:r w:rsidRPr="00530D57">
        <w:t xml:space="preserve"> their assessment that problems </w:t>
      </w:r>
      <w:r w:rsidR="00335065" w:rsidRPr="00530D57">
        <w:t xml:space="preserve">with </w:t>
      </w:r>
      <w:r w:rsidRPr="00530D57">
        <w:t xml:space="preserve">the </w:t>
      </w:r>
      <w:r w:rsidR="00613B03" w:rsidRPr="00530D57">
        <w:t>sentence aggravation</w:t>
      </w:r>
      <w:r w:rsidR="000332A9" w:rsidRPr="00530D57">
        <w:t xml:space="preserve"> model are </w:t>
      </w:r>
      <w:r w:rsidRPr="00530D57">
        <w:t xml:space="preserve">best addressed by adopting </w:t>
      </w:r>
      <w:r w:rsidR="00F74A10" w:rsidRPr="00530D57">
        <w:t>an</w:t>
      </w:r>
      <w:r w:rsidR="000332A9" w:rsidRPr="00530D57">
        <w:t xml:space="preserve"> alternative. Views</w:t>
      </w:r>
      <w:r w:rsidR="003A1BB9" w:rsidRPr="00530D57">
        <w:t xml:space="preserve"> </w:t>
      </w:r>
      <w:r w:rsidRPr="00530D57">
        <w:t xml:space="preserve">about problems with the current sentence aggravation model </w:t>
      </w:r>
      <w:r w:rsidR="005B1B0E" w:rsidRPr="00530D57">
        <w:t>are summarised in the previous section</w:t>
      </w:r>
      <w:r w:rsidR="000332A9" w:rsidRPr="00530D57">
        <w:t>.</w:t>
      </w:r>
      <w:r w:rsidRPr="00530D57">
        <w:t xml:space="preserve"> </w:t>
      </w:r>
    </w:p>
    <w:p w14:paraId="0F045C1B" w14:textId="1C0320C4" w:rsidR="005F0830" w:rsidRPr="00530D57" w:rsidRDefault="005F0830" w:rsidP="002F5E4F">
      <w:pPr>
        <w:pStyle w:val="Numberedpara"/>
      </w:pPr>
      <w:r w:rsidRPr="00530D57">
        <w:t xml:space="preserve">There was </w:t>
      </w:r>
      <w:r w:rsidR="00EF7104" w:rsidRPr="00530D57">
        <w:t>significant</w:t>
      </w:r>
      <w:r w:rsidRPr="00530D57">
        <w:t xml:space="preserve"> crossover in submitters’ </w:t>
      </w:r>
      <w:r w:rsidR="00EC40EC" w:rsidRPr="00530D57">
        <w:t>reasoning</w:t>
      </w:r>
      <w:r w:rsidRPr="00530D57">
        <w:t xml:space="preserve"> between </w:t>
      </w:r>
      <w:r w:rsidR="004D29B6" w:rsidRPr="00530D57">
        <w:t xml:space="preserve">those who favoured </w:t>
      </w:r>
      <w:r w:rsidR="000C21D2" w:rsidRPr="00530D57">
        <w:t>a specific model and those who did not express a preference</w:t>
      </w:r>
      <w:r w:rsidR="003F3174" w:rsidRPr="00530D57">
        <w:t xml:space="preserve">. </w:t>
      </w:r>
    </w:p>
    <w:p w14:paraId="354E2870" w14:textId="3A1E0C24" w:rsidR="005F0830" w:rsidRPr="00530D57" w:rsidRDefault="4313CFF0" w:rsidP="00896331">
      <w:pPr>
        <w:pStyle w:val="Numberedpara"/>
        <w:numPr>
          <w:ilvl w:val="1"/>
          <w:numId w:val="71"/>
        </w:numPr>
      </w:pPr>
      <w:r w:rsidRPr="00530D57">
        <w:lastRenderedPageBreak/>
        <w:t xml:space="preserve">Five submitters </w:t>
      </w:r>
      <w:r w:rsidR="66A57C28" w:rsidRPr="00530D57">
        <w:t xml:space="preserve">said a different model would </w:t>
      </w:r>
      <w:r w:rsidR="2C8C6EBE" w:rsidRPr="00530D57">
        <w:t>improve d</w:t>
      </w:r>
      <w:r w:rsidR="68DD3A25" w:rsidRPr="00530D57">
        <w:t xml:space="preserve">enunciation </w:t>
      </w:r>
      <w:r w:rsidR="2C8C6EBE" w:rsidRPr="00530D57">
        <w:t>of hate crime</w:t>
      </w:r>
      <w:r w:rsidR="4F3D5426" w:rsidRPr="00530D57">
        <w:t>.</w:t>
      </w:r>
      <w:r w:rsidR="005F0830" w:rsidRPr="00530D57">
        <w:rPr>
          <w:vertAlign w:val="superscript"/>
        </w:rPr>
        <w:footnoteReference w:id="379"/>
      </w:r>
      <w:r w:rsidR="68DD3A25" w:rsidRPr="00530D57">
        <w:t xml:space="preserve"> </w:t>
      </w:r>
      <w:r w:rsidR="1310C75C" w:rsidRPr="00530D57">
        <w:t>They</w:t>
      </w:r>
      <w:r w:rsidR="4F3D5426" w:rsidRPr="00530D57">
        <w:t xml:space="preserve"> </w:t>
      </w:r>
      <w:r w:rsidR="787ABC79" w:rsidRPr="00530D57">
        <w:t>thought</w:t>
      </w:r>
      <w:r w:rsidR="68DD3A25" w:rsidRPr="00530D57">
        <w:t xml:space="preserve"> that a </w:t>
      </w:r>
      <w:r w:rsidR="06325F75" w:rsidRPr="00530D57">
        <w:t>different model</w:t>
      </w:r>
      <w:r w:rsidR="68DD3A25" w:rsidRPr="00530D57">
        <w:t xml:space="preserve"> would reassure communities, provide accountability for harm suffered and send a message that hate</w:t>
      </w:r>
      <w:r w:rsidR="00F23568">
        <w:t>-</w:t>
      </w:r>
      <w:r w:rsidR="68DD3A25" w:rsidRPr="00530D57">
        <w:t xml:space="preserve">motivated offending is not tolerated by the community. </w:t>
      </w:r>
    </w:p>
    <w:p w14:paraId="1272261C" w14:textId="3EAAFF55" w:rsidR="005F0830" w:rsidRPr="00530D57" w:rsidRDefault="4CD79FB9" w:rsidP="00896331">
      <w:pPr>
        <w:pStyle w:val="Numberedpara"/>
        <w:numPr>
          <w:ilvl w:val="1"/>
          <w:numId w:val="71"/>
        </w:numPr>
      </w:pPr>
      <w:r w:rsidRPr="00530D57">
        <w:t xml:space="preserve">Six submitters thought a different model would </w:t>
      </w:r>
      <w:r w:rsidR="68DD3A25" w:rsidRPr="00530D57">
        <w:t>Improve recording and monitoring of hate crime.</w:t>
      </w:r>
      <w:r w:rsidR="005F0830" w:rsidRPr="00530D57">
        <w:rPr>
          <w:vertAlign w:val="superscript"/>
        </w:rPr>
        <w:footnoteReference w:id="380"/>
      </w:r>
      <w:r w:rsidR="68DD3A25" w:rsidRPr="00530D57">
        <w:t xml:space="preserve"> </w:t>
      </w:r>
      <w:r w:rsidRPr="00530D57">
        <w:t xml:space="preserve">They said </w:t>
      </w:r>
      <w:r w:rsidR="6E3B7E75" w:rsidRPr="00530D57">
        <w:t>there would be</w:t>
      </w:r>
      <w:r w:rsidR="68DD3A25" w:rsidRPr="00530D57">
        <w:t xml:space="preserve"> practical benefits through more systematic collection of data and a </w:t>
      </w:r>
      <w:r w:rsidR="3351DA95" w:rsidRPr="00530D57">
        <w:t xml:space="preserve">clear </w:t>
      </w:r>
      <w:r w:rsidR="68DD3A25" w:rsidRPr="00530D57">
        <w:t>mechanism to identify and track hate crime offenders.</w:t>
      </w:r>
    </w:p>
    <w:p w14:paraId="402CB658" w14:textId="6515B00B" w:rsidR="005F0830" w:rsidRPr="00530D57" w:rsidRDefault="1AA5B3C1" w:rsidP="00896331">
      <w:pPr>
        <w:pStyle w:val="Numberedpara"/>
        <w:numPr>
          <w:ilvl w:val="1"/>
          <w:numId w:val="71"/>
        </w:numPr>
      </w:pPr>
      <w:r w:rsidRPr="00530D57">
        <w:t>T</w:t>
      </w:r>
      <w:r w:rsidR="34BC48C7" w:rsidRPr="00530D57">
        <w:t>wo submitters</w:t>
      </w:r>
      <w:r w:rsidR="09336526" w:rsidRPr="00530D57">
        <w:t xml:space="preserve"> </w:t>
      </w:r>
      <w:r w:rsidR="34BC48C7" w:rsidRPr="00530D57">
        <w:t>said</w:t>
      </w:r>
      <w:r w:rsidR="21606951" w:rsidRPr="00530D57">
        <w:t xml:space="preserve"> a different model </w:t>
      </w:r>
      <w:r w:rsidR="32313B2B" w:rsidRPr="00530D57">
        <w:t>would lead to more</w:t>
      </w:r>
      <w:r w:rsidR="68DD3A25" w:rsidRPr="00530D57">
        <w:t xml:space="preserve"> consistent investigation and prosecution of hate crimes.</w:t>
      </w:r>
      <w:r w:rsidR="005F0830" w:rsidRPr="00530D57">
        <w:rPr>
          <w:vertAlign w:val="superscript"/>
        </w:rPr>
        <w:footnoteReference w:id="381"/>
      </w:r>
      <w:r w:rsidR="68DD3A25" w:rsidRPr="00530D57">
        <w:t xml:space="preserve"> </w:t>
      </w:r>
      <w:r w:rsidR="32313B2B" w:rsidRPr="00530D57">
        <w:t xml:space="preserve">These submitters </w:t>
      </w:r>
      <w:r w:rsidR="68DD3A25" w:rsidRPr="00530D57">
        <w:t xml:space="preserve">commented that </w:t>
      </w:r>
      <w:r w:rsidR="32313B2B" w:rsidRPr="00530D57">
        <w:t xml:space="preserve">there would be </w:t>
      </w:r>
      <w:r w:rsidR="505C7FA2" w:rsidRPr="00530D57">
        <w:t>greater</w:t>
      </w:r>
      <w:r w:rsidR="68DD3A25" w:rsidRPr="00530D57">
        <w:t xml:space="preserve"> incentive</w:t>
      </w:r>
      <w:r w:rsidR="505C7FA2" w:rsidRPr="00530D57">
        <w:t xml:space="preserve"> </w:t>
      </w:r>
      <w:r w:rsidR="58DE9DB1" w:rsidRPr="00530D57">
        <w:t xml:space="preserve">to obtain evidence </w:t>
      </w:r>
      <w:r w:rsidR="23860807" w:rsidRPr="00530D57">
        <w:t xml:space="preserve">to support a case </w:t>
      </w:r>
      <w:r w:rsidR="00F23EA2">
        <w:t>if</w:t>
      </w:r>
      <w:r w:rsidR="00F23EA2" w:rsidRPr="00530D57">
        <w:t xml:space="preserve"> </w:t>
      </w:r>
      <w:r w:rsidR="52875BEE" w:rsidRPr="00530D57">
        <w:t xml:space="preserve">hate motivation </w:t>
      </w:r>
      <w:r w:rsidR="00F23EA2">
        <w:t>wa</w:t>
      </w:r>
      <w:r w:rsidR="52875BEE" w:rsidRPr="00530D57">
        <w:t>s an element of the offence.</w:t>
      </w:r>
    </w:p>
    <w:p w14:paraId="0E5C3453" w14:textId="3602418A" w:rsidR="005F0830" w:rsidRPr="00530D57" w:rsidRDefault="152FCD46" w:rsidP="00896331">
      <w:pPr>
        <w:pStyle w:val="Numberedpara"/>
        <w:numPr>
          <w:ilvl w:val="1"/>
          <w:numId w:val="71"/>
        </w:numPr>
      </w:pPr>
      <w:r w:rsidRPr="00530D57">
        <w:t xml:space="preserve">Three submitters said that </w:t>
      </w:r>
      <w:r w:rsidR="56B6F169" w:rsidRPr="00530D57">
        <w:t>a different</w:t>
      </w:r>
      <w:r w:rsidR="68DD3A25" w:rsidRPr="00530D57">
        <w:t xml:space="preserve"> model </w:t>
      </w:r>
      <w:r w:rsidR="3BEEF4F2" w:rsidRPr="00530D57">
        <w:t>would be fairer to defendants.</w:t>
      </w:r>
      <w:r w:rsidR="005F0830" w:rsidRPr="00530D57">
        <w:rPr>
          <w:rStyle w:val="FootnoteReference"/>
        </w:rPr>
        <w:footnoteReference w:id="382"/>
      </w:r>
      <w:r w:rsidR="68DD3A25" w:rsidRPr="00530D57">
        <w:t xml:space="preserve"> </w:t>
      </w:r>
      <w:r w:rsidR="71DF99EA" w:rsidRPr="00530D57">
        <w:t xml:space="preserve">They </w:t>
      </w:r>
      <w:r w:rsidR="007F7176">
        <w:t>considered</w:t>
      </w:r>
      <w:r w:rsidR="06ADC267" w:rsidRPr="00530D57">
        <w:t xml:space="preserve"> requiring hate motivation to be proven as an element of the offence </w:t>
      </w:r>
      <w:r w:rsidR="007F7176">
        <w:t>would be</w:t>
      </w:r>
      <w:r w:rsidR="06ADC267" w:rsidRPr="00530D57">
        <w:t xml:space="preserve"> more transparent and </w:t>
      </w:r>
      <w:r w:rsidR="68DD3A25" w:rsidRPr="00530D57">
        <w:t xml:space="preserve">provide clarity to a defendant about the nature of the offending of which they are accused. </w:t>
      </w:r>
      <w:r w:rsidR="00C36EF6">
        <w:t>The Law Association of New Zealand Criminal Law Committee</w:t>
      </w:r>
      <w:r w:rsidR="68DD3A25" w:rsidRPr="00530D57">
        <w:t xml:space="preserve"> said this would avoid scenarios where an offender pleads guilty based on the summary of facts without appreciating that they could be sentenced later on the basis their behaviour amounted to a hate crime. </w:t>
      </w:r>
    </w:p>
    <w:p w14:paraId="02500C47" w14:textId="617C22C1" w:rsidR="005F0830" w:rsidRPr="00530D57" w:rsidRDefault="005F0830" w:rsidP="004D64D8">
      <w:pPr>
        <w:pStyle w:val="Heading3"/>
      </w:pPr>
      <w:r w:rsidRPr="00530D57">
        <w:t>Opposition</w:t>
      </w:r>
    </w:p>
    <w:p w14:paraId="53F3B524" w14:textId="36678A39" w:rsidR="005F0830" w:rsidRPr="00530D57" w:rsidRDefault="00B56F12" w:rsidP="002F5E4F">
      <w:pPr>
        <w:pStyle w:val="Numberedpara"/>
      </w:pPr>
      <w:r w:rsidRPr="00530D57" w:rsidDel="79824AFE">
        <w:t>T</w:t>
      </w:r>
      <w:r w:rsidRPr="00530D57" w:rsidDel="68DD3A25">
        <w:t>hirty-</w:t>
      </w:r>
      <w:r w:rsidRPr="00530D57" w:rsidDel="00B56F12">
        <w:t>eight</w:t>
      </w:r>
      <w:r w:rsidRPr="00530D57" w:rsidDel="68DD3A25">
        <w:t xml:space="preserve"> </w:t>
      </w:r>
      <w:r w:rsidR="68DD3A25" w:rsidRPr="00530D57">
        <w:t xml:space="preserve">submitters opposed adopting a different </w:t>
      </w:r>
      <w:r w:rsidR="008C173F">
        <w:t>legal</w:t>
      </w:r>
      <w:r w:rsidR="68DD3A25" w:rsidRPr="00530D57">
        <w:t xml:space="preserve"> model.</w:t>
      </w:r>
      <w:r w:rsidR="005F0830" w:rsidRPr="00530D57">
        <w:rPr>
          <w:rStyle w:val="FootnoteReference"/>
        </w:rPr>
        <w:footnoteReference w:id="383"/>
      </w:r>
      <w:r w:rsidR="68DD3A25" w:rsidRPr="00530D57">
        <w:t xml:space="preserve"> Among </w:t>
      </w:r>
      <w:r w:rsidR="325083E9" w:rsidRPr="00530D57">
        <w:t>these</w:t>
      </w:r>
      <w:r w:rsidR="68DD3A25" w:rsidRPr="00530D57">
        <w:t xml:space="preserve"> </w:t>
      </w:r>
      <w:r w:rsidR="325083E9" w:rsidRPr="00530D57">
        <w:t>submitters</w:t>
      </w:r>
      <w:r w:rsidR="68DD3A25" w:rsidRPr="00530D57">
        <w:t xml:space="preserve">, </w:t>
      </w:r>
      <w:r w:rsidR="7C5DDFD0" w:rsidRPr="00530D57">
        <w:t>fifteen</w:t>
      </w:r>
      <w:r w:rsidR="0E857A10" w:rsidRPr="00530D57">
        <w:t xml:space="preserve"> </w:t>
      </w:r>
      <w:r w:rsidR="68DD3A25" w:rsidRPr="00530D57">
        <w:t>specific</w:t>
      </w:r>
      <w:r w:rsidR="5ACBE30B" w:rsidRPr="00530D57">
        <w:t>ally</w:t>
      </w:r>
      <w:r w:rsidR="68DD3A25" w:rsidRPr="00530D57">
        <w:t xml:space="preserve"> </w:t>
      </w:r>
      <w:r w:rsidR="325083E9" w:rsidRPr="00530D57">
        <w:t>referred to</w:t>
      </w:r>
      <w:r w:rsidR="68DD3A25" w:rsidRPr="00530D57">
        <w:t xml:space="preserve"> the Scottish hybrid model</w:t>
      </w:r>
      <w:r w:rsidR="005F0830" w:rsidRPr="00530D57">
        <w:rPr>
          <w:rStyle w:val="FootnoteReference"/>
        </w:rPr>
        <w:footnoteReference w:id="384"/>
      </w:r>
      <w:r w:rsidR="68DD3A25" w:rsidRPr="00530D57">
        <w:t xml:space="preserve"> </w:t>
      </w:r>
      <w:r w:rsidR="00AC0385" w:rsidRPr="00AC0385">
        <w:t>Some of these submitters commented on either the specific offence model or the Scottish hybrid model, but many of the reasons they gave could apply to either model. For this reason we discuss their general feedback together. Specific feedback on the Scottish hybrid model is discussed later in this section</w:t>
      </w:r>
      <w:r w:rsidR="00EB4FF3">
        <w:t>.</w:t>
      </w:r>
    </w:p>
    <w:p w14:paraId="09E1AD53" w14:textId="01C7B928" w:rsidR="005F0830" w:rsidRPr="00530D57" w:rsidRDefault="68DD3A25" w:rsidP="002F5E4F">
      <w:pPr>
        <w:pStyle w:val="Numberedpara"/>
      </w:pPr>
      <w:r w:rsidRPr="00530D57">
        <w:lastRenderedPageBreak/>
        <w:t xml:space="preserve">Fourteen submitters thought the current law </w:t>
      </w:r>
      <w:r w:rsidR="005F0830" w:rsidRPr="00530D57">
        <w:t xml:space="preserve">(with or without reform) </w:t>
      </w:r>
      <w:r w:rsidR="00AF0CBA" w:rsidRPr="00530D57">
        <w:t xml:space="preserve">is </w:t>
      </w:r>
      <w:r w:rsidRPr="00530D57">
        <w:t xml:space="preserve">adequate so change </w:t>
      </w:r>
      <w:r w:rsidR="00433E45" w:rsidRPr="00530D57">
        <w:t xml:space="preserve">to a different model </w:t>
      </w:r>
      <w:r w:rsidRPr="00530D57">
        <w:t xml:space="preserve">is </w:t>
      </w:r>
      <w:r w:rsidR="008861D2" w:rsidRPr="00530D57">
        <w:t>un</w:t>
      </w:r>
      <w:r w:rsidRPr="00530D57">
        <w:t>necessary</w:t>
      </w:r>
      <w:r w:rsidR="005F0830" w:rsidRPr="00530D57">
        <w:rPr>
          <w:rStyle w:val="FootnoteReference"/>
        </w:rPr>
        <w:footnoteReference w:id="385"/>
      </w:r>
      <w:r w:rsidRPr="00530D57">
        <w:t xml:space="preserve"> or there is a lack of evidence that change to a different model offers sufficient benefit over the status quo.</w:t>
      </w:r>
      <w:r w:rsidR="005F0830" w:rsidRPr="00530D57">
        <w:rPr>
          <w:rStyle w:val="FootnoteReference"/>
        </w:rPr>
        <w:footnoteReference w:id="386"/>
      </w:r>
      <w:r w:rsidRPr="00530D57">
        <w:t xml:space="preserve"> </w:t>
      </w:r>
    </w:p>
    <w:p w14:paraId="7709A420" w14:textId="4F76947D" w:rsidR="005F0830" w:rsidRPr="00530D57" w:rsidRDefault="68DD3A25" w:rsidP="002F5E4F">
      <w:pPr>
        <w:pStyle w:val="Numberedpara"/>
      </w:pPr>
      <w:r w:rsidRPr="00530D57">
        <w:t xml:space="preserve">Eleven submitters </w:t>
      </w:r>
      <w:r w:rsidR="2829CE08" w:rsidRPr="00530D57">
        <w:t>were concerned</w:t>
      </w:r>
      <w:r w:rsidRPr="00530D57">
        <w:t xml:space="preserve"> that </w:t>
      </w:r>
      <w:r w:rsidR="684E9FC7" w:rsidRPr="00530D57">
        <w:t>a different</w:t>
      </w:r>
      <w:r w:rsidRPr="00530D57">
        <w:t xml:space="preserve"> model would increase the complexity and cost of investigating and prosecuting hate crime. Some made general comments that complexi</w:t>
      </w:r>
      <w:r w:rsidR="00C4DB3E" w:rsidRPr="00530D57">
        <w:t>ty and cost</w:t>
      </w:r>
      <w:r w:rsidRPr="00530D57">
        <w:t xml:space="preserve"> should be avoided.</w:t>
      </w:r>
      <w:r w:rsidR="005F0830" w:rsidRPr="00530D57">
        <w:rPr>
          <w:rStyle w:val="FootnoteReference"/>
        </w:rPr>
        <w:footnoteReference w:id="387"/>
      </w:r>
      <w:r w:rsidRPr="00530D57">
        <w:t xml:space="preserve"> Other submitters </w:t>
      </w:r>
      <w:r w:rsidR="00C4DB3E" w:rsidRPr="00530D57">
        <w:t>elaborated with</w:t>
      </w:r>
      <w:r w:rsidRPr="00530D57">
        <w:t xml:space="preserve"> specific concerns:</w:t>
      </w:r>
    </w:p>
    <w:p w14:paraId="47EA4C7F" w14:textId="3243BBE2" w:rsidR="005F0830" w:rsidRPr="00530D57" w:rsidRDefault="00B8198B" w:rsidP="00896331">
      <w:pPr>
        <w:pStyle w:val="Numberedpara"/>
        <w:numPr>
          <w:ilvl w:val="1"/>
          <w:numId w:val="71"/>
        </w:numPr>
      </w:pPr>
      <w:r w:rsidRPr="00530D57">
        <w:t>T</w:t>
      </w:r>
      <w:r w:rsidR="00C4DB3E" w:rsidRPr="00530D57">
        <w:t xml:space="preserve">hree submitters </w:t>
      </w:r>
      <w:r w:rsidR="68DD3A25" w:rsidRPr="00530D57">
        <w:t>said that proving hate motivation at trial is a significant additional burden for the prosecution.</w:t>
      </w:r>
      <w:r w:rsidR="0097165A" w:rsidRPr="00530D57">
        <w:rPr>
          <w:rStyle w:val="FootnoteReference"/>
        </w:rPr>
        <w:footnoteReference w:id="388"/>
      </w:r>
      <w:r w:rsidR="68DD3A25" w:rsidRPr="00530D57">
        <w:t xml:space="preserve"> Crown Law explained that prosecutors in Aotearoa New Zealand have little experience proving motivation beyond a reasonable doubt as an element of an offence. At present, motive is usually addressed in relation to circumstantial evidence. Having to prove hate motivation beyond reasonable doubt would, depending on the test adopted, require prosecutors to prove additional actus reus or mens rea elements. </w:t>
      </w:r>
    </w:p>
    <w:p w14:paraId="02857B22" w14:textId="6FDFE071" w:rsidR="005F0830" w:rsidRPr="00530D57" w:rsidRDefault="000C41C3" w:rsidP="00896331">
      <w:pPr>
        <w:pStyle w:val="Numberedpara"/>
        <w:numPr>
          <w:ilvl w:val="1"/>
          <w:numId w:val="71"/>
        </w:numPr>
      </w:pPr>
      <w:r w:rsidRPr="00530D57">
        <w:t>Luke Cunningham Clere</w:t>
      </w:r>
      <w:r w:rsidR="005F0830" w:rsidRPr="00530D57">
        <w:t xml:space="preserve"> suggested there may be difficulties collecting the necessary evidence to prove hate motivation and there would be additional trial time spent resolving evidential matters.</w:t>
      </w:r>
    </w:p>
    <w:p w14:paraId="55D17668" w14:textId="06E34D48" w:rsidR="005F0830" w:rsidRPr="00530D57" w:rsidRDefault="00306D4B" w:rsidP="00896331">
      <w:pPr>
        <w:pStyle w:val="Numberedpara"/>
        <w:numPr>
          <w:ilvl w:val="1"/>
          <w:numId w:val="71"/>
        </w:numPr>
      </w:pPr>
      <w:r w:rsidRPr="00530D57">
        <w:t xml:space="preserve">The </w:t>
      </w:r>
      <w:r w:rsidR="2A192861" w:rsidRPr="00530D57">
        <w:t xml:space="preserve">New Zealand Federation of Business and Professional Women </w:t>
      </w:r>
      <w:r w:rsidR="68DD3A25" w:rsidRPr="00530D57">
        <w:t xml:space="preserve">said more offences might go unreported or not result in conviction due to the burden that collecting necessary evidence places on victims. This would apply particularly to victims of sex-based crime who already find </w:t>
      </w:r>
      <w:r w:rsidR="412BBE27" w:rsidRPr="00530D57">
        <w:t>engaging with the</w:t>
      </w:r>
      <w:r w:rsidR="68DD3A25" w:rsidRPr="00530D57">
        <w:t xml:space="preserve"> legal process difficult.</w:t>
      </w:r>
    </w:p>
    <w:p w14:paraId="54A43B70" w14:textId="53009DC2" w:rsidR="005F0830" w:rsidRPr="00530D57" w:rsidRDefault="005F0830" w:rsidP="00A910F3">
      <w:pPr>
        <w:pStyle w:val="Numberedpara"/>
      </w:pPr>
      <w:r w:rsidRPr="00530D57">
        <w:t xml:space="preserve">Three submitters </w:t>
      </w:r>
      <w:r w:rsidR="00876901" w:rsidRPr="00530D57">
        <w:t>observed that</w:t>
      </w:r>
      <w:r w:rsidR="00C47607" w:rsidRPr="00530D57">
        <w:t xml:space="preserve"> prosecutorial</w:t>
      </w:r>
      <w:r w:rsidRPr="00530D57">
        <w:t xml:space="preserve"> decision-making</w:t>
      </w:r>
      <w:r w:rsidR="00AB54CC" w:rsidRPr="00530D57">
        <w:t xml:space="preserve"> under an alternative model</w:t>
      </w:r>
      <w:r w:rsidR="00592F36" w:rsidRPr="00530D57">
        <w:t xml:space="preserve"> could</w:t>
      </w:r>
      <w:r w:rsidRPr="00530D57">
        <w:t xml:space="preserve"> lead </w:t>
      </w:r>
      <w:r w:rsidR="00592F36" w:rsidRPr="00530D57">
        <w:t xml:space="preserve">to </w:t>
      </w:r>
      <w:r w:rsidRPr="00530D57">
        <w:t xml:space="preserve">hate motivation </w:t>
      </w:r>
      <w:r w:rsidR="009F0988" w:rsidRPr="00530D57">
        <w:t>going</w:t>
      </w:r>
      <w:r w:rsidRPr="00530D57">
        <w:t xml:space="preserve"> unrecognised</w:t>
      </w:r>
      <w:r w:rsidR="000C0CED" w:rsidRPr="00530D57">
        <w:t>.</w:t>
      </w:r>
      <w:r w:rsidR="000B328B">
        <w:t xml:space="preserve"> </w:t>
      </w:r>
      <w:r w:rsidR="42007A56" w:rsidRPr="00530D57">
        <w:t>Crown Law and Luke Cunningham Clere</w:t>
      </w:r>
      <w:r w:rsidR="6365FEA5" w:rsidRPr="00530D57">
        <w:t xml:space="preserve"> </w:t>
      </w:r>
      <w:r w:rsidR="6626552B" w:rsidRPr="00530D57">
        <w:t>suggested</w:t>
      </w:r>
      <w:r w:rsidR="68DD3A25" w:rsidRPr="00530D57">
        <w:t xml:space="preserve"> that prosecutors </w:t>
      </w:r>
      <w:r w:rsidR="5440FE53" w:rsidRPr="00530D57">
        <w:t>could</w:t>
      </w:r>
      <w:r w:rsidR="68DD3A25" w:rsidRPr="00530D57">
        <w:t xml:space="preserve"> take a “risk-averse” approach </w:t>
      </w:r>
      <w:r w:rsidR="539B08F6" w:rsidRPr="00530D57">
        <w:t xml:space="preserve">and </w:t>
      </w:r>
      <w:r w:rsidR="68DD3A25" w:rsidRPr="00530D57">
        <w:t xml:space="preserve">pursue a base offence rather than a hate-motivated one. Luke Cunningham Clere </w:t>
      </w:r>
      <w:r w:rsidR="24B34149" w:rsidRPr="00530D57">
        <w:t>observed</w:t>
      </w:r>
      <w:r w:rsidR="68DD3A25" w:rsidRPr="00530D57">
        <w:t xml:space="preserve"> that the “result may be that only cases fitting the stereotypical depiction of hate crimes (such as Nazi symbols painted on synagogues) would be pursued under the hate crime offences”.</w:t>
      </w:r>
      <w:r w:rsidR="00BC5358" w:rsidRPr="00530D57">
        <w:t xml:space="preserve"> </w:t>
      </w:r>
      <w:r w:rsidR="000C1180" w:rsidRPr="00530D57">
        <w:t xml:space="preserve">The </w:t>
      </w:r>
      <w:r w:rsidRPr="00530D57">
        <w:t xml:space="preserve">New Zealand Jewish Council expressed concern that </w:t>
      </w:r>
      <w:r w:rsidR="0013723A" w:rsidRPr="00530D57">
        <w:t>a</w:t>
      </w:r>
      <w:r w:rsidRPr="00530D57">
        <w:t xml:space="preserve"> </w:t>
      </w:r>
      <w:r w:rsidR="00C7336A" w:rsidRPr="00530D57">
        <w:t>gap may emerge</w:t>
      </w:r>
      <w:r w:rsidRPr="00530D57">
        <w:t xml:space="preserve"> </w:t>
      </w:r>
      <w:r w:rsidR="00C7336A" w:rsidRPr="00530D57">
        <w:t>due</w:t>
      </w:r>
      <w:r w:rsidRPr="00530D57">
        <w:t xml:space="preserve"> to underlying bias</w:t>
      </w:r>
      <w:r w:rsidR="00644782" w:rsidRPr="00530D57">
        <w:t xml:space="preserve"> </w:t>
      </w:r>
      <w:r w:rsidR="00980FB8" w:rsidRPr="00530D57">
        <w:t>about</w:t>
      </w:r>
      <w:r w:rsidR="00644782" w:rsidRPr="00530D57">
        <w:t xml:space="preserve"> </w:t>
      </w:r>
      <w:r w:rsidRPr="00530D57">
        <w:t xml:space="preserve">Jewish people </w:t>
      </w:r>
      <w:r w:rsidR="00544560" w:rsidRPr="00530D57">
        <w:t>and</w:t>
      </w:r>
      <w:r w:rsidR="005659BF" w:rsidRPr="00530D57">
        <w:t xml:space="preserve"> </w:t>
      </w:r>
      <w:r w:rsidR="0013723A" w:rsidRPr="00530D57">
        <w:t xml:space="preserve">the </w:t>
      </w:r>
      <w:r w:rsidR="0033420C" w:rsidRPr="00530D57">
        <w:t xml:space="preserve">complicated </w:t>
      </w:r>
      <w:r w:rsidR="00334AA7" w:rsidRPr="00530D57">
        <w:t xml:space="preserve">relationship </w:t>
      </w:r>
      <w:r w:rsidR="003A396E" w:rsidRPr="00530D57">
        <w:t>between</w:t>
      </w:r>
      <w:r w:rsidRPr="00530D57">
        <w:t xml:space="preserve"> anti-Jewish hostility and views about Zionism</w:t>
      </w:r>
      <w:r w:rsidR="00F61EBD" w:rsidRPr="00530D57">
        <w:t xml:space="preserve"> influencing decision-making</w:t>
      </w:r>
      <w:r w:rsidRPr="00530D57">
        <w:t>.</w:t>
      </w:r>
    </w:p>
    <w:p w14:paraId="50956D9C" w14:textId="0E32C477" w:rsidR="005F0830" w:rsidRPr="00530D57" w:rsidRDefault="3CE72597" w:rsidP="001D4D80">
      <w:pPr>
        <w:pStyle w:val="Numberedpara"/>
      </w:pPr>
      <w:r w:rsidRPr="00530D57">
        <w:t>Twenty-one submitters made comments</w:t>
      </w:r>
      <w:r w:rsidR="437F8FC7" w:rsidRPr="00530D57">
        <w:t xml:space="preserve"> expressing concern </w:t>
      </w:r>
      <w:r w:rsidR="202627F8" w:rsidRPr="00530D57">
        <w:t>about</w:t>
      </w:r>
      <w:r w:rsidRPr="00530D57">
        <w:t xml:space="preserve"> </w:t>
      </w:r>
      <w:r w:rsidR="063E2F1B" w:rsidRPr="00530D57">
        <w:t>hate motivation as an element of an offence.</w:t>
      </w:r>
      <w:r w:rsidR="00FE5441" w:rsidRPr="00530D57">
        <w:rPr>
          <w:rStyle w:val="FootnoteReference"/>
        </w:rPr>
        <w:footnoteReference w:id="389"/>
      </w:r>
      <w:r w:rsidR="00774577">
        <w:t xml:space="preserve"> </w:t>
      </w:r>
      <w:r w:rsidR="005F0830" w:rsidRPr="00530D57">
        <w:t xml:space="preserve">Submitters </w:t>
      </w:r>
      <w:r w:rsidR="00F65735" w:rsidRPr="00530D57">
        <w:t>said</w:t>
      </w:r>
      <w:r w:rsidR="005F0830" w:rsidRPr="00530D57">
        <w:t xml:space="preserve"> that </w:t>
      </w:r>
      <w:r w:rsidR="00423F88" w:rsidRPr="00530D57">
        <w:t>adopting a different model</w:t>
      </w:r>
      <w:r w:rsidR="005F0830" w:rsidRPr="00530D57">
        <w:t xml:space="preserve"> would suppress unpopular viewpoints or </w:t>
      </w:r>
      <w:r w:rsidR="00540895" w:rsidRPr="00530D57">
        <w:t xml:space="preserve">result in </w:t>
      </w:r>
      <w:r w:rsidR="005F0830" w:rsidRPr="00530D57">
        <w:t xml:space="preserve">self-censorship and avoidance of expressing unacceptable views. </w:t>
      </w:r>
      <w:r w:rsidR="008E1E35" w:rsidRPr="00530D57">
        <w:t>Most of</w:t>
      </w:r>
      <w:r w:rsidR="005F0830" w:rsidRPr="00530D57">
        <w:t xml:space="preserve"> </w:t>
      </w:r>
      <w:r w:rsidR="00A4075C" w:rsidRPr="00530D57">
        <w:t xml:space="preserve">these </w:t>
      </w:r>
      <w:r w:rsidR="005F0830" w:rsidRPr="00530D57">
        <w:t xml:space="preserve">submitters described </w:t>
      </w:r>
      <w:r w:rsidR="00325E6F" w:rsidRPr="00530D57">
        <w:t>adoption of a different model</w:t>
      </w:r>
      <w:r w:rsidR="005F0830" w:rsidRPr="00530D57">
        <w:t xml:space="preserve"> as </w:t>
      </w:r>
      <w:r w:rsidR="005F0830" w:rsidRPr="00530D57">
        <w:lastRenderedPageBreak/>
        <w:t xml:space="preserve">“overreach”, a “slippery slope” or </w:t>
      </w:r>
      <w:r w:rsidR="000366E3" w:rsidRPr="00530D57">
        <w:t>criticised</w:t>
      </w:r>
      <w:r w:rsidR="005F0830" w:rsidRPr="00530D57">
        <w:t xml:space="preserve"> including motivation as part of an offence </w:t>
      </w:r>
      <w:r w:rsidR="000366E3" w:rsidRPr="00530D57">
        <w:t>as</w:t>
      </w:r>
      <w:r w:rsidR="005F0830" w:rsidRPr="00530D57">
        <w:t xml:space="preserve"> “too subjective”</w:t>
      </w:r>
      <w:r w:rsidR="00054A69" w:rsidRPr="00530D57">
        <w:t xml:space="preserve"> due to</w:t>
      </w:r>
      <w:r w:rsidR="005F0830" w:rsidRPr="00530D57">
        <w:t xml:space="preserve"> concern </w:t>
      </w:r>
      <w:r w:rsidR="00ED0A0B" w:rsidRPr="00530D57">
        <w:t>that it would</w:t>
      </w:r>
      <w:r w:rsidR="005F0830" w:rsidRPr="00530D57">
        <w:t xml:space="preserve"> ero</w:t>
      </w:r>
      <w:r w:rsidR="00ED0A0B" w:rsidRPr="00530D57">
        <w:t>de</w:t>
      </w:r>
      <w:r w:rsidR="005F0830" w:rsidRPr="00530D57">
        <w:t xml:space="preserve"> or infringe rights to freedom of expression and thought. </w:t>
      </w:r>
    </w:p>
    <w:p w14:paraId="72EBA64E" w14:textId="77777777" w:rsidR="00995D5B" w:rsidRDefault="68DD3A25" w:rsidP="6A35053A">
      <w:pPr>
        <w:pStyle w:val="Numberedpara"/>
      </w:pPr>
      <w:r w:rsidRPr="00530D57">
        <w:t xml:space="preserve">Submitters </w:t>
      </w:r>
      <w:r w:rsidR="00FA1013">
        <w:t xml:space="preserve">who </w:t>
      </w:r>
      <w:r w:rsidR="00EE5767">
        <w:t xml:space="preserve">objected to including hate motivation as an element of an offence </w:t>
      </w:r>
      <w:r w:rsidR="1B656E01" w:rsidRPr="00530D57">
        <w:t xml:space="preserve">also voiced concern </w:t>
      </w:r>
      <w:r w:rsidR="575863AA" w:rsidRPr="00530D57">
        <w:t>that rel</w:t>
      </w:r>
      <w:r w:rsidR="00EE5767">
        <w:t>ying</w:t>
      </w:r>
      <w:r w:rsidRPr="00530D57">
        <w:t xml:space="preserve"> on assessment</w:t>
      </w:r>
      <w:r w:rsidR="00972451">
        <w:t>s</w:t>
      </w:r>
      <w:r w:rsidRPr="00530D57">
        <w:t xml:space="preserve"> of a person’s motivation</w:t>
      </w:r>
      <w:r w:rsidR="575863AA" w:rsidRPr="00530D57">
        <w:t xml:space="preserve"> would lead to</w:t>
      </w:r>
      <w:r w:rsidR="1B656E01" w:rsidRPr="00530D57">
        <w:t xml:space="preserve"> selective</w:t>
      </w:r>
      <w:r w:rsidR="4709522C" w:rsidRPr="00530D57">
        <w:t>, unfair enforcement</w:t>
      </w:r>
      <w:r w:rsidRPr="00530D57">
        <w:t xml:space="preserve">. </w:t>
      </w:r>
    </w:p>
    <w:p w14:paraId="0F9AD83D" w14:textId="37DEA1A2" w:rsidR="005F0830" w:rsidRPr="00530D57" w:rsidRDefault="0ED887BE" w:rsidP="00896331">
      <w:pPr>
        <w:pStyle w:val="Numberedpara"/>
        <w:numPr>
          <w:ilvl w:val="1"/>
          <w:numId w:val="71"/>
        </w:numPr>
      </w:pPr>
      <w:r w:rsidRPr="00530D57">
        <w:t>Some</w:t>
      </w:r>
      <w:r w:rsidR="68DD3A25" w:rsidRPr="00530D57">
        <w:t xml:space="preserve"> pointed to the possibility that prosecution for an offence could be instigated </w:t>
      </w:r>
      <w:r w:rsidR="4FE68AA7" w:rsidRPr="00530D57">
        <w:t>in support of</w:t>
      </w:r>
      <w:r w:rsidR="68DD3A25" w:rsidRPr="00530D57">
        <w:t xml:space="preserve"> political orthodoxy. For example, Family First </w:t>
      </w:r>
      <w:r w:rsidR="005F6989">
        <w:t>referred to the</w:t>
      </w:r>
      <w:r w:rsidR="68DD3A25" w:rsidRPr="00530D57">
        <w:t xml:space="preserve"> arson </w:t>
      </w:r>
      <w:r w:rsidR="005F6989">
        <w:t>of</w:t>
      </w:r>
      <w:r w:rsidR="005F6989" w:rsidRPr="00530D57">
        <w:t xml:space="preserve"> </w:t>
      </w:r>
      <w:r w:rsidR="68DD3A25" w:rsidRPr="00530D57">
        <w:t xml:space="preserve">the Rainbow Youth Centre in Tauranga in 2022. </w:t>
      </w:r>
      <w:r w:rsidR="00471347">
        <w:t>It said d</w:t>
      </w:r>
      <w:r w:rsidR="68DD3A25" w:rsidRPr="00530D57">
        <w:t xml:space="preserve">espite public claims this offending was motivated by hostility towards the LGBTQ+ community, the judge sentencing the arsonists under </w:t>
      </w:r>
      <w:r w:rsidR="00471347">
        <w:t xml:space="preserve">the </w:t>
      </w:r>
      <w:r w:rsidR="68DD3A25" w:rsidRPr="00530D57">
        <w:t>current law rejected that assertion.</w:t>
      </w:r>
      <w:r w:rsidR="005F0830" w:rsidRPr="00530D57">
        <w:rPr>
          <w:vertAlign w:val="superscript"/>
        </w:rPr>
        <w:footnoteReference w:id="390"/>
      </w:r>
      <w:r w:rsidR="68DD3A25" w:rsidRPr="00530D57">
        <w:t xml:space="preserve"> Family First said these events show that enforcement </w:t>
      </w:r>
      <w:r w:rsidR="1081A68F" w:rsidRPr="00530D57">
        <w:t xml:space="preserve">of hate crime offences </w:t>
      </w:r>
      <w:r w:rsidR="52F4F6AB" w:rsidRPr="00530D57">
        <w:t>is</w:t>
      </w:r>
      <w:r w:rsidR="68DD3A25" w:rsidRPr="00530D57">
        <w:t xml:space="preserve"> unlikely to be “objective” but rather </w:t>
      </w:r>
      <w:r w:rsidR="003D6E88">
        <w:t xml:space="preserve">would be </w:t>
      </w:r>
      <w:r w:rsidR="68DD3A25" w:rsidRPr="00530D57">
        <w:t xml:space="preserve">driven by a “political set of decisions by individual officers and others”. </w:t>
      </w:r>
    </w:p>
    <w:p w14:paraId="4266491E" w14:textId="54E5D1BC" w:rsidR="005F0830" w:rsidRPr="00530D57" w:rsidRDefault="004D2157" w:rsidP="00896331">
      <w:pPr>
        <w:pStyle w:val="Numberedpara"/>
        <w:numPr>
          <w:ilvl w:val="1"/>
          <w:numId w:val="71"/>
        </w:numPr>
      </w:pPr>
      <w:r w:rsidRPr="00530D57">
        <w:t xml:space="preserve">The </w:t>
      </w:r>
      <w:r w:rsidR="005F0830" w:rsidRPr="00530D57">
        <w:t xml:space="preserve">Public Defence Service </w:t>
      </w:r>
      <w:r w:rsidR="0078558C" w:rsidRPr="00530D57">
        <w:t>was concerned</w:t>
      </w:r>
      <w:r w:rsidR="005F0830" w:rsidRPr="00530D57">
        <w:t xml:space="preserve"> that enforcement of the law could be perceived as biased even if well-intentioned. </w:t>
      </w:r>
      <w:r w:rsidR="00717C51" w:rsidRPr="00530D57">
        <w:t xml:space="preserve">They said that </w:t>
      </w:r>
      <w:r w:rsidR="00CE6A40">
        <w:t xml:space="preserve">if the </w:t>
      </w:r>
      <w:r w:rsidR="005F0830" w:rsidRPr="00530D57">
        <w:t>law focuse</w:t>
      </w:r>
      <w:r w:rsidR="00717C51" w:rsidRPr="00530D57">
        <w:t>d</w:t>
      </w:r>
      <w:r w:rsidR="005F0830" w:rsidRPr="00530D57">
        <w:t xml:space="preserve"> </w:t>
      </w:r>
      <w:r w:rsidR="00CE6A40">
        <w:t>on</w:t>
      </w:r>
      <w:r w:rsidR="00CE6A40" w:rsidRPr="00530D57">
        <w:t xml:space="preserve"> </w:t>
      </w:r>
      <w:r w:rsidR="005F0830" w:rsidRPr="00530D57">
        <w:t>motivation</w:t>
      </w:r>
      <w:r w:rsidR="00A80C70">
        <w:t>,</w:t>
      </w:r>
      <w:r w:rsidR="005F0830" w:rsidRPr="00530D57">
        <w:t xml:space="preserve"> the state </w:t>
      </w:r>
      <w:r w:rsidR="00CE6A40">
        <w:t>may be</w:t>
      </w:r>
      <w:r w:rsidR="00CE6A40" w:rsidRPr="00530D57">
        <w:t xml:space="preserve"> </w:t>
      </w:r>
      <w:r w:rsidR="005F0830" w:rsidRPr="00530D57">
        <w:t xml:space="preserve">perceived to be acting in a biased manner </w:t>
      </w:r>
      <w:r w:rsidR="001050BC" w:rsidRPr="00530D57">
        <w:t>if</w:t>
      </w:r>
      <w:r w:rsidR="005F0830" w:rsidRPr="00530D57">
        <w:t xml:space="preserve"> it enforces the law against a person from one group but not </w:t>
      </w:r>
      <w:r w:rsidR="00A80C70">
        <w:t>another</w:t>
      </w:r>
      <w:r w:rsidR="005F0830" w:rsidRPr="00530D57">
        <w:t xml:space="preserve">. </w:t>
      </w:r>
    </w:p>
    <w:p w14:paraId="690FDD23" w14:textId="18503C60" w:rsidR="005F0830" w:rsidRPr="00530D57" w:rsidRDefault="0041786D" w:rsidP="00EF2283">
      <w:pPr>
        <w:pStyle w:val="Numberedpara"/>
      </w:pPr>
      <w:r w:rsidRPr="00530D57">
        <w:t xml:space="preserve">The </w:t>
      </w:r>
      <w:r w:rsidR="005F0830" w:rsidRPr="00530D57">
        <w:t xml:space="preserve">Free Speech Union analysed both </w:t>
      </w:r>
      <w:r w:rsidR="00B70D67" w:rsidRPr="00530D57">
        <w:t xml:space="preserve">alternative models </w:t>
      </w:r>
      <w:r w:rsidR="005F0830" w:rsidRPr="00530D57">
        <w:t>in terms of whether they were a justified limit on the right to freedom of expression according to the N</w:t>
      </w:r>
      <w:r w:rsidR="00DB6FFC">
        <w:t xml:space="preserve">ew </w:t>
      </w:r>
      <w:r w:rsidR="005F0830" w:rsidRPr="00530D57">
        <w:t>Z</w:t>
      </w:r>
      <w:r w:rsidR="00DB6FFC">
        <w:t>ealand</w:t>
      </w:r>
      <w:r w:rsidR="005F0830" w:rsidRPr="00530D57">
        <w:t xml:space="preserve"> Bill of Rights</w:t>
      </w:r>
      <w:r w:rsidR="00DB6FFC">
        <w:t xml:space="preserve"> Act 1990</w:t>
      </w:r>
      <w:r w:rsidR="005F0830" w:rsidRPr="00530D57">
        <w:t xml:space="preserve">. </w:t>
      </w:r>
      <w:r w:rsidR="00DB6FFC">
        <w:t>It</w:t>
      </w:r>
      <w:r w:rsidR="005F0830" w:rsidRPr="00530D57">
        <w:t xml:space="preserve"> applied a proportionality test </w:t>
      </w:r>
      <w:r w:rsidR="00153682" w:rsidRPr="00530D57">
        <w:t>and</w:t>
      </w:r>
      <w:r w:rsidR="005F0830" w:rsidRPr="00530D57">
        <w:t xml:space="preserve"> concluded that the alternative models are not demonstrably justified </w:t>
      </w:r>
      <w:r w:rsidR="00153682" w:rsidRPr="00530D57">
        <w:t>in terms of that test.</w:t>
      </w:r>
    </w:p>
    <w:p w14:paraId="49143E77" w14:textId="7A9775B2" w:rsidR="005F0830" w:rsidRPr="00530D57" w:rsidRDefault="4D2E16AA" w:rsidP="002F5E4F">
      <w:pPr>
        <w:pStyle w:val="Numberedpara"/>
      </w:pPr>
      <w:r w:rsidRPr="00530D57">
        <w:t>Three submitters expressed concern</w:t>
      </w:r>
      <w:r w:rsidR="68DD3A25" w:rsidRPr="00530D57">
        <w:t xml:space="preserve"> that hate crime offences and </w:t>
      </w:r>
      <w:r w:rsidR="74B4238F" w:rsidRPr="00530D57">
        <w:t>harsher</w:t>
      </w:r>
      <w:r w:rsidR="68DD3A25" w:rsidRPr="00530D57">
        <w:t xml:space="preserve"> sentences would have a disproportionate</w:t>
      </w:r>
      <w:r w:rsidR="74B4238F" w:rsidRPr="00530D57">
        <w:t xml:space="preserve">, </w:t>
      </w:r>
      <w:r w:rsidR="452992AB" w:rsidRPr="00530D57">
        <w:t>negative</w:t>
      </w:r>
      <w:r w:rsidR="68DD3A25" w:rsidRPr="00530D57">
        <w:t xml:space="preserve"> impact on Māori</w:t>
      </w:r>
      <w:r w:rsidR="05D67689" w:rsidRPr="00530D57">
        <w:t xml:space="preserve"> </w:t>
      </w:r>
      <w:r w:rsidR="74B4238F" w:rsidRPr="00530D57">
        <w:t>and other minorities</w:t>
      </w:r>
      <w:r w:rsidR="452992AB" w:rsidRPr="00530D57">
        <w:t xml:space="preserve"> </w:t>
      </w:r>
      <w:r w:rsidR="7DF37126" w:rsidRPr="00530D57">
        <w:t xml:space="preserve">due to their </w:t>
      </w:r>
      <w:r w:rsidR="7F8CF7F8" w:rsidRPr="00530D57">
        <w:t>overrepresen</w:t>
      </w:r>
      <w:r w:rsidR="7DF37126" w:rsidRPr="00530D57">
        <w:t>tation</w:t>
      </w:r>
      <w:r w:rsidR="7F8CF7F8" w:rsidRPr="00530D57">
        <w:t xml:space="preserve"> </w:t>
      </w:r>
      <w:r w:rsidR="7DF37126" w:rsidRPr="00530D57">
        <w:t>in</w:t>
      </w:r>
      <w:r w:rsidR="7F8CF7F8" w:rsidRPr="00530D57">
        <w:t xml:space="preserve"> the justice system.</w:t>
      </w:r>
      <w:r w:rsidR="00A04B8F" w:rsidRPr="00530D57">
        <w:rPr>
          <w:rStyle w:val="FootnoteReference"/>
        </w:rPr>
        <w:footnoteReference w:id="391"/>
      </w:r>
      <w:r w:rsidR="68DD3A25" w:rsidRPr="00530D57">
        <w:t xml:space="preserve"> </w:t>
      </w:r>
    </w:p>
    <w:p w14:paraId="11F8A821" w14:textId="5E7FD2FF" w:rsidR="005F0830" w:rsidRPr="00530D57" w:rsidRDefault="00B06464" w:rsidP="002F5E4F">
      <w:pPr>
        <w:pStyle w:val="Numberedpara"/>
      </w:pPr>
      <w:r w:rsidRPr="00530D57">
        <w:t xml:space="preserve">Some submitters gave other reasons not to adopt a different legal model or questioned the potential advantages of changing the legal model discussed in </w:t>
      </w:r>
      <w:r w:rsidR="00D825D3" w:rsidRPr="00530D57">
        <w:t>our</w:t>
      </w:r>
      <w:r w:rsidRPr="00530D57">
        <w:t xml:space="preserve"> </w:t>
      </w:r>
      <w:r w:rsidR="00D825D3" w:rsidRPr="00530D57">
        <w:t>C</w:t>
      </w:r>
      <w:r w:rsidRPr="00530D57">
        <w:t xml:space="preserve">onsultation </w:t>
      </w:r>
      <w:r w:rsidR="00D825D3" w:rsidRPr="00530D57">
        <w:t>P</w:t>
      </w:r>
      <w:r w:rsidRPr="00530D57">
        <w:t xml:space="preserve">aper. </w:t>
      </w:r>
      <w:r w:rsidR="005F0830" w:rsidRPr="00530D57">
        <w:t xml:space="preserve">Submitters </w:t>
      </w:r>
      <w:r w:rsidR="0012151E" w:rsidRPr="00530D57">
        <w:t>c</w:t>
      </w:r>
      <w:r w:rsidR="000D6CF6" w:rsidRPr="00530D57">
        <w:t>ommen</w:t>
      </w:r>
      <w:r w:rsidR="00580658" w:rsidRPr="00530D57">
        <w:t>ts included:</w:t>
      </w:r>
    </w:p>
    <w:p w14:paraId="0B56C140" w14:textId="02C1C561" w:rsidR="005F0830" w:rsidRPr="00530D57" w:rsidRDefault="008A77F0" w:rsidP="00896331">
      <w:pPr>
        <w:pStyle w:val="Numberedpara"/>
        <w:numPr>
          <w:ilvl w:val="1"/>
          <w:numId w:val="71"/>
        </w:numPr>
      </w:pPr>
      <w:r w:rsidRPr="00530D57">
        <w:t>C</w:t>
      </w:r>
      <w:r w:rsidR="2CA421B4" w:rsidRPr="00530D57">
        <w:t xml:space="preserve">riminal law </w:t>
      </w:r>
      <w:r w:rsidR="23E9C0C1" w:rsidRPr="00530D57">
        <w:t xml:space="preserve">should </w:t>
      </w:r>
      <w:r w:rsidR="6C3B07BB" w:rsidRPr="00530D57">
        <w:t>not</w:t>
      </w:r>
      <w:r w:rsidR="23E9C0C1" w:rsidRPr="00530D57">
        <w:t xml:space="preserve"> be used for the purpose of </w:t>
      </w:r>
      <w:r w:rsidR="39E048E6" w:rsidRPr="00530D57">
        <w:t xml:space="preserve">“symbolic” </w:t>
      </w:r>
      <w:r w:rsidR="65F1D500" w:rsidRPr="00530D57">
        <w:t>denunciation</w:t>
      </w:r>
      <w:r w:rsidRPr="00530D57">
        <w:t>.</w:t>
      </w:r>
      <w:r w:rsidR="00580658" w:rsidRPr="00530D57">
        <w:rPr>
          <w:rStyle w:val="FootnoteReference"/>
        </w:rPr>
        <w:footnoteReference w:id="392"/>
      </w:r>
    </w:p>
    <w:p w14:paraId="1A405DC3" w14:textId="002F71BB" w:rsidR="005F0830" w:rsidRPr="00530D57" w:rsidRDefault="008A77F0" w:rsidP="00896331">
      <w:pPr>
        <w:pStyle w:val="Numberedpara"/>
        <w:numPr>
          <w:ilvl w:val="1"/>
          <w:numId w:val="71"/>
        </w:numPr>
      </w:pPr>
      <w:r w:rsidRPr="00530D57">
        <w:t>A</w:t>
      </w:r>
      <w:r w:rsidR="0045298E">
        <w:t xml:space="preserve">lthough </w:t>
      </w:r>
      <w:r w:rsidR="00486E7C">
        <w:t>the specific offence model</w:t>
      </w:r>
      <w:r w:rsidR="6B39FA13" w:rsidRPr="00530D57">
        <w:t xml:space="preserve"> </w:t>
      </w:r>
      <w:r w:rsidR="4163A076" w:rsidRPr="00530D57">
        <w:t xml:space="preserve">would have </w:t>
      </w:r>
      <w:r w:rsidR="4B86C520" w:rsidRPr="00530D57">
        <w:t xml:space="preserve">a </w:t>
      </w:r>
      <w:r w:rsidR="68DD3A25" w:rsidRPr="00530D57">
        <w:t xml:space="preserve">“clear symbolic benefit” </w:t>
      </w:r>
      <w:r w:rsidR="4B86C520" w:rsidRPr="00530D57">
        <w:t>of</w:t>
      </w:r>
      <w:r w:rsidR="6AF6273B" w:rsidRPr="00530D57">
        <w:t xml:space="preserve"> </w:t>
      </w:r>
      <w:r w:rsidR="68DD3A25" w:rsidRPr="00530D57">
        <w:t>denounc</w:t>
      </w:r>
      <w:r w:rsidR="4B86C520" w:rsidRPr="00530D57">
        <w:t>ing</w:t>
      </w:r>
      <w:r w:rsidR="6AF6273B" w:rsidRPr="00530D57">
        <w:t xml:space="preserve"> of</w:t>
      </w:r>
      <w:r w:rsidR="68DD3A25" w:rsidRPr="00530D57">
        <w:t xml:space="preserve"> hate crime, </w:t>
      </w:r>
      <w:r w:rsidR="207CD97E" w:rsidRPr="00530D57">
        <w:t xml:space="preserve">that </w:t>
      </w:r>
      <w:r w:rsidR="68DD3A25" w:rsidRPr="00530D57">
        <w:t>denunciatory effect would be muted if hate crime offences simply mirrored basic offences and had broad protected categories.</w:t>
      </w:r>
      <w:r w:rsidR="00C10837" w:rsidRPr="00530D57">
        <w:rPr>
          <w:rStyle w:val="FootnoteReference"/>
        </w:rPr>
        <w:footnoteReference w:id="393"/>
      </w:r>
    </w:p>
    <w:p w14:paraId="3259CD72" w14:textId="475867D5" w:rsidR="005F0830" w:rsidRPr="00530D57" w:rsidRDefault="00B42114" w:rsidP="00896331">
      <w:pPr>
        <w:pStyle w:val="Numberedpara"/>
        <w:numPr>
          <w:ilvl w:val="1"/>
          <w:numId w:val="71"/>
        </w:numPr>
      </w:pPr>
      <w:r w:rsidRPr="00530D57">
        <w:t>A</w:t>
      </w:r>
      <w:r w:rsidR="68DD3A25" w:rsidRPr="00530D57">
        <w:t xml:space="preserve"> different model would </w:t>
      </w:r>
      <w:r w:rsidR="213968F5" w:rsidRPr="00530D57">
        <w:t>not affect</w:t>
      </w:r>
      <w:r w:rsidR="68DD3A25" w:rsidRPr="00530D57">
        <w:t xml:space="preserve"> a person’s choice to report hate crime or authorities’ inclination to investigate and prosecute it.</w:t>
      </w:r>
      <w:r w:rsidR="00294CC1" w:rsidRPr="00530D57">
        <w:rPr>
          <w:rStyle w:val="FootnoteReference"/>
        </w:rPr>
        <w:footnoteReference w:id="394"/>
      </w:r>
      <w:r w:rsidR="68DD3A25" w:rsidRPr="00530D57">
        <w:t xml:space="preserve"> </w:t>
      </w:r>
      <w:r w:rsidR="495736BC" w:rsidRPr="00530D57">
        <w:t>L</w:t>
      </w:r>
      <w:r w:rsidR="68DD3A25" w:rsidRPr="00530D57">
        <w:t xml:space="preserve">ow reporting rates are not limited to hate crimes and </w:t>
      </w:r>
      <w:r w:rsidR="00FB6430">
        <w:t>are</w:t>
      </w:r>
      <w:r w:rsidR="68DD3A25" w:rsidRPr="00530D57">
        <w:t xml:space="preserve"> </w:t>
      </w:r>
      <w:r w:rsidR="5E795D4C" w:rsidRPr="00530D57">
        <w:t>driven by</w:t>
      </w:r>
      <w:r w:rsidR="68DD3A25" w:rsidRPr="00530D57">
        <w:t xml:space="preserve"> perception</w:t>
      </w:r>
      <w:r w:rsidR="00FB6430">
        <w:t>s</w:t>
      </w:r>
      <w:r w:rsidR="68DD3A25" w:rsidRPr="00530D57">
        <w:t xml:space="preserve"> </w:t>
      </w:r>
      <w:r w:rsidR="5E795D4C" w:rsidRPr="00530D57">
        <w:t>of</w:t>
      </w:r>
      <w:r w:rsidR="68DD3A25" w:rsidRPr="00530D57">
        <w:t xml:space="preserve"> the triviality of the </w:t>
      </w:r>
      <w:r w:rsidR="5E795D4C" w:rsidRPr="00530D57">
        <w:t>offending</w:t>
      </w:r>
      <w:r w:rsidR="68DD3A25" w:rsidRPr="00530D57">
        <w:t xml:space="preserve"> and that Police will not be interested. </w:t>
      </w:r>
    </w:p>
    <w:p w14:paraId="3A2B4C75" w14:textId="69AB0D38" w:rsidR="005F0830" w:rsidRPr="00530D57" w:rsidRDefault="00B42114" w:rsidP="00896331">
      <w:pPr>
        <w:pStyle w:val="Numberedpara"/>
        <w:numPr>
          <w:ilvl w:val="1"/>
          <w:numId w:val="71"/>
        </w:numPr>
      </w:pPr>
      <w:r w:rsidRPr="00530D57">
        <w:lastRenderedPageBreak/>
        <w:t>R</w:t>
      </w:r>
      <w:r w:rsidR="23757649" w:rsidRPr="00530D57">
        <w:t xml:space="preserve">equiring </w:t>
      </w:r>
      <w:r w:rsidR="68DD3A25" w:rsidRPr="00530D57">
        <w:t xml:space="preserve">hate motivation be proven beyond reasonable doubt at trial </w:t>
      </w:r>
      <w:r w:rsidR="285C3307" w:rsidRPr="00530D57">
        <w:t xml:space="preserve">would </w:t>
      </w:r>
      <w:r w:rsidR="0A568B23" w:rsidRPr="00530D57">
        <w:t>not</w:t>
      </w:r>
      <w:r w:rsidR="285C3307" w:rsidRPr="00530D57">
        <w:t xml:space="preserve"> be any </w:t>
      </w:r>
      <w:r w:rsidR="68DD3A25" w:rsidRPr="00530D57">
        <w:t xml:space="preserve">fairer </w:t>
      </w:r>
      <w:r w:rsidR="285C3307" w:rsidRPr="00530D57">
        <w:t>to a defendant</w:t>
      </w:r>
      <w:r w:rsidR="226B7B15" w:rsidRPr="00530D57">
        <w:t xml:space="preserve"> because </w:t>
      </w:r>
      <w:r w:rsidR="006E5FE3" w:rsidRPr="00530D57">
        <w:t xml:space="preserve">the law </w:t>
      </w:r>
      <w:r w:rsidR="226B7B15" w:rsidRPr="00530D57">
        <w:t xml:space="preserve">already </w:t>
      </w:r>
      <w:r w:rsidR="68DD3A25" w:rsidRPr="00530D57">
        <w:t xml:space="preserve">requires </w:t>
      </w:r>
      <w:r w:rsidR="226B7B15" w:rsidRPr="00530D57">
        <w:t xml:space="preserve">a </w:t>
      </w:r>
      <w:r w:rsidR="68DD3A25" w:rsidRPr="00530D57">
        <w:t xml:space="preserve">disputed aggravating factor </w:t>
      </w:r>
      <w:r w:rsidR="6C51D3DE" w:rsidRPr="00530D57">
        <w:t xml:space="preserve">to </w:t>
      </w:r>
      <w:r w:rsidR="68DD3A25" w:rsidRPr="00530D57">
        <w:t>be prove</w:t>
      </w:r>
      <w:r w:rsidR="34AF47C3" w:rsidRPr="00530D57">
        <w:t>n</w:t>
      </w:r>
      <w:r w:rsidR="68DD3A25" w:rsidRPr="00530D57">
        <w:t xml:space="preserve"> beyond reasonable doubt by the prosecution.</w:t>
      </w:r>
      <w:r w:rsidR="00220432" w:rsidRPr="00530D57">
        <w:rPr>
          <w:rStyle w:val="FootnoteReference"/>
        </w:rPr>
        <w:footnoteReference w:id="395"/>
      </w:r>
    </w:p>
    <w:p w14:paraId="4B54EF79" w14:textId="1C49CFE0" w:rsidR="005F0830" w:rsidRPr="00530D57" w:rsidRDefault="00F42366" w:rsidP="00896331">
      <w:pPr>
        <w:pStyle w:val="Numberedpara"/>
        <w:numPr>
          <w:ilvl w:val="1"/>
          <w:numId w:val="71"/>
        </w:numPr>
      </w:pPr>
      <w:r w:rsidRPr="00530D57">
        <w:t>I</w:t>
      </w:r>
      <w:r w:rsidR="19DAA808" w:rsidRPr="00530D57">
        <w:t>f sex were recognised as a protected characteristic</w:t>
      </w:r>
      <w:r w:rsidR="00A86FAB">
        <w:t xml:space="preserve"> under a different legal model</w:t>
      </w:r>
      <w:r w:rsidR="741E3E9D" w:rsidRPr="00530D57">
        <w:t xml:space="preserve">, </w:t>
      </w:r>
      <w:r w:rsidR="39A88418" w:rsidRPr="00530D57">
        <w:t xml:space="preserve">it would introduce </w:t>
      </w:r>
      <w:r w:rsidR="68DD3A25" w:rsidRPr="00530D57">
        <w:t xml:space="preserve">a hierarchy </w:t>
      </w:r>
      <w:r w:rsidR="539613E0" w:rsidRPr="00530D57">
        <w:t>or different threshold</w:t>
      </w:r>
      <w:r w:rsidR="0A45864B" w:rsidRPr="00530D57">
        <w:t>s</w:t>
      </w:r>
      <w:r w:rsidR="539613E0" w:rsidRPr="00530D57">
        <w:t xml:space="preserve"> that must be met </w:t>
      </w:r>
      <w:r w:rsidR="39A88418" w:rsidRPr="00530D57">
        <w:t xml:space="preserve">for </w:t>
      </w:r>
      <w:r w:rsidR="68DD3A25" w:rsidRPr="00530D57">
        <w:t>sexual offences</w:t>
      </w:r>
      <w:r w:rsidR="79455443" w:rsidRPr="00530D57">
        <w:t xml:space="preserve"> </w:t>
      </w:r>
      <w:r w:rsidR="68DD3A25" w:rsidRPr="00530D57">
        <w:t xml:space="preserve">based on whether </w:t>
      </w:r>
      <w:r w:rsidR="79455443" w:rsidRPr="00530D57">
        <w:t>a</w:t>
      </w:r>
      <w:r w:rsidR="68DD3A25" w:rsidRPr="00530D57">
        <w:t xml:space="preserve"> perpetrator’s hostility </w:t>
      </w:r>
      <w:r w:rsidR="605127B0" w:rsidRPr="00530D57">
        <w:t>towards</w:t>
      </w:r>
      <w:r w:rsidR="68DD3A25" w:rsidRPr="00530D57">
        <w:t xml:space="preserve"> women </w:t>
      </w:r>
      <w:r w:rsidR="605127B0" w:rsidRPr="00530D57">
        <w:t>could</w:t>
      </w:r>
      <w:r w:rsidR="68DD3A25" w:rsidRPr="00530D57">
        <w:t xml:space="preserve"> be proven</w:t>
      </w:r>
      <w:r w:rsidR="19DAA808" w:rsidRPr="00530D57">
        <w:t>.</w:t>
      </w:r>
      <w:r w:rsidR="008627F6" w:rsidRPr="00530D57">
        <w:rPr>
          <w:rStyle w:val="FootnoteReference"/>
        </w:rPr>
        <w:footnoteReference w:id="396"/>
      </w:r>
      <w:r w:rsidR="68DD3A25" w:rsidRPr="00530D57">
        <w:t xml:space="preserve"> </w:t>
      </w:r>
    </w:p>
    <w:p w14:paraId="1473D1A5" w14:textId="29B9B6EE" w:rsidR="005F0830" w:rsidRPr="00530D57" w:rsidRDefault="004D2157" w:rsidP="00896331">
      <w:pPr>
        <w:pStyle w:val="Numberedpara"/>
        <w:numPr>
          <w:ilvl w:val="1"/>
          <w:numId w:val="71"/>
        </w:numPr>
      </w:pPr>
      <w:r w:rsidRPr="00530D57">
        <w:t>P</w:t>
      </w:r>
      <w:r w:rsidR="68DD3A25" w:rsidRPr="00530D57">
        <w:t xml:space="preserve">rosecutors could intimidate an accused </w:t>
      </w:r>
      <w:r w:rsidR="071C90CA" w:rsidRPr="00530D57">
        <w:t xml:space="preserve">person </w:t>
      </w:r>
      <w:r w:rsidR="68DD3A25" w:rsidRPr="00530D57">
        <w:t>to plead guilty to a base offence</w:t>
      </w:r>
      <w:r w:rsidRPr="00530D57">
        <w:t>,</w:t>
      </w:r>
      <w:r w:rsidR="063730DE" w:rsidRPr="00530D57">
        <w:t xml:space="preserve"> </w:t>
      </w:r>
      <w:r w:rsidR="3EC02E77" w:rsidRPr="00530D57">
        <w:t>which is</w:t>
      </w:r>
      <w:r w:rsidR="68DD3A25" w:rsidRPr="00530D57">
        <w:t xml:space="preserve"> a violation of the</w:t>
      </w:r>
      <w:r w:rsidR="063730DE" w:rsidRPr="00530D57">
        <w:t>ir</w:t>
      </w:r>
      <w:r w:rsidR="68DD3A25" w:rsidRPr="00530D57">
        <w:t xml:space="preserve"> right not to not to testify against </w:t>
      </w:r>
      <w:r w:rsidR="063730DE" w:rsidRPr="00530D57">
        <w:t>themselves</w:t>
      </w:r>
      <w:r w:rsidR="68DD3A25" w:rsidRPr="00530D57">
        <w:t xml:space="preserve"> or to confess guilt.</w:t>
      </w:r>
      <w:r w:rsidR="002529E6" w:rsidRPr="00530D57">
        <w:rPr>
          <w:rStyle w:val="FootnoteReference"/>
        </w:rPr>
        <w:footnoteReference w:id="397"/>
      </w:r>
    </w:p>
    <w:p w14:paraId="172AE7AB" w14:textId="2C2332D1" w:rsidR="00526EBA" w:rsidRPr="00530D57" w:rsidRDefault="004D2157" w:rsidP="00896331">
      <w:pPr>
        <w:pStyle w:val="Numberedpara"/>
        <w:numPr>
          <w:ilvl w:val="1"/>
          <w:numId w:val="71"/>
        </w:numPr>
      </w:pPr>
      <w:r w:rsidRPr="00530D57">
        <w:t>H</w:t>
      </w:r>
      <w:r w:rsidR="0EDB8310" w:rsidRPr="00530D57">
        <w:t xml:space="preserve">arsher penalties </w:t>
      </w:r>
      <w:r w:rsidR="529E0D2D" w:rsidRPr="00530D57">
        <w:t xml:space="preserve">do </w:t>
      </w:r>
      <w:r w:rsidR="00FE1E14">
        <w:t>not</w:t>
      </w:r>
      <w:r w:rsidR="529E0D2D" w:rsidRPr="00530D57">
        <w:t xml:space="preserve"> </w:t>
      </w:r>
      <w:r w:rsidR="161A2AD4" w:rsidRPr="00530D57">
        <w:t xml:space="preserve">deter </w:t>
      </w:r>
      <w:r w:rsidR="529E0D2D" w:rsidRPr="00530D57">
        <w:t xml:space="preserve">people from offending so </w:t>
      </w:r>
      <w:r w:rsidR="5337055B" w:rsidRPr="00530D57">
        <w:t>that is not a reasonable justification</w:t>
      </w:r>
      <w:r w:rsidR="529E0D2D" w:rsidRPr="00530D57">
        <w:t xml:space="preserve"> </w:t>
      </w:r>
      <w:r w:rsidR="00CE287C" w:rsidRPr="00530D57">
        <w:t>for</w:t>
      </w:r>
      <w:r w:rsidR="529E0D2D" w:rsidRPr="00530D57">
        <w:t xml:space="preserve"> </w:t>
      </w:r>
      <w:r w:rsidR="5337055B" w:rsidRPr="00530D57">
        <w:t>adopt</w:t>
      </w:r>
      <w:r w:rsidR="00CE287C" w:rsidRPr="00530D57">
        <w:t>ing</w:t>
      </w:r>
      <w:r w:rsidR="5337055B" w:rsidRPr="00530D57">
        <w:t xml:space="preserve"> </w:t>
      </w:r>
      <w:r w:rsidR="62355B85" w:rsidRPr="00530D57">
        <w:t xml:space="preserve">the </w:t>
      </w:r>
      <w:r w:rsidR="68DD3A25" w:rsidRPr="00530D57">
        <w:t>specific offence</w:t>
      </w:r>
      <w:r w:rsidR="62355B85" w:rsidRPr="00530D57">
        <w:t xml:space="preserve"> model</w:t>
      </w:r>
      <w:r w:rsidR="68DD3A25" w:rsidRPr="00530D57">
        <w:t>.</w:t>
      </w:r>
      <w:r w:rsidR="00184690" w:rsidRPr="00530D57">
        <w:rPr>
          <w:rStyle w:val="FootnoteReference"/>
        </w:rPr>
        <w:footnoteReference w:id="398"/>
      </w:r>
      <w:r w:rsidR="68DD3A25" w:rsidRPr="00530D57">
        <w:t xml:space="preserve"> </w:t>
      </w:r>
    </w:p>
    <w:p w14:paraId="3A3E74DE" w14:textId="6649D833" w:rsidR="005F0830" w:rsidRPr="00530D57" w:rsidRDefault="004D2157" w:rsidP="00896331">
      <w:pPr>
        <w:pStyle w:val="Numberedpara"/>
        <w:numPr>
          <w:ilvl w:val="1"/>
          <w:numId w:val="71"/>
        </w:numPr>
      </w:pPr>
      <w:r w:rsidRPr="00530D57">
        <w:t>T</w:t>
      </w:r>
      <w:r w:rsidR="68DD3A25" w:rsidRPr="00530D57">
        <w:t>reating a person more harshly in the context of hate crime may be counterproductive because it could strengthen their hostility.</w:t>
      </w:r>
      <w:r w:rsidR="00526EBA" w:rsidRPr="00530D57">
        <w:rPr>
          <w:rStyle w:val="FootnoteReference"/>
        </w:rPr>
        <w:footnoteReference w:id="399"/>
      </w:r>
    </w:p>
    <w:p w14:paraId="09163EE5" w14:textId="77777777" w:rsidR="005F0830" w:rsidRPr="00530D57" w:rsidRDefault="005F0830" w:rsidP="005F0830">
      <w:pPr>
        <w:pStyle w:val="Heading3"/>
      </w:pPr>
      <w:r w:rsidRPr="00530D57">
        <w:t>Feedback on the Scottish hybrid model</w:t>
      </w:r>
    </w:p>
    <w:p w14:paraId="46742F44" w14:textId="7E926C22" w:rsidR="005F0830" w:rsidRPr="00530D57" w:rsidRDefault="005F0830" w:rsidP="002F5E4F">
      <w:pPr>
        <w:pStyle w:val="Numberedpara"/>
      </w:pPr>
      <w:r w:rsidRPr="00530D57">
        <w:t xml:space="preserve">As outlined above, five submitters </w:t>
      </w:r>
      <w:r w:rsidR="00560332" w:rsidRPr="00530D57">
        <w:t>explicitly</w:t>
      </w:r>
      <w:r w:rsidRPr="00530D57">
        <w:t xml:space="preserve"> preferred the Scottish hybrid model over the specific offence model. </w:t>
      </w:r>
      <w:r w:rsidR="00DA75A9" w:rsidRPr="00530D57">
        <w:t xml:space="preserve">Their </w:t>
      </w:r>
      <w:r w:rsidR="00560332" w:rsidRPr="00530D57">
        <w:t xml:space="preserve">general </w:t>
      </w:r>
      <w:r w:rsidR="002D0847" w:rsidRPr="00530D57">
        <w:t>views about the advantages of adopting a different model are capture</w:t>
      </w:r>
      <w:r w:rsidR="00F10921" w:rsidRPr="00530D57">
        <w:t>d</w:t>
      </w:r>
      <w:r w:rsidR="002D0847" w:rsidRPr="00530D57">
        <w:t xml:space="preserve"> </w:t>
      </w:r>
      <w:r w:rsidR="00F10921" w:rsidRPr="00530D57">
        <w:t>above.</w:t>
      </w:r>
      <w:r w:rsidRPr="00530D57">
        <w:t xml:space="preserve"> </w:t>
      </w:r>
    </w:p>
    <w:p w14:paraId="7246264E" w14:textId="00E744B3" w:rsidR="005F0830" w:rsidRPr="00530D57" w:rsidRDefault="391DC199" w:rsidP="002F5E4F">
      <w:pPr>
        <w:pStyle w:val="Numberedpara"/>
      </w:pPr>
      <w:r w:rsidRPr="00530D57">
        <w:t>These</w:t>
      </w:r>
      <w:r w:rsidR="68DD3A25" w:rsidRPr="00530D57">
        <w:t xml:space="preserve"> submitters </w:t>
      </w:r>
      <w:r w:rsidR="6AC1D735" w:rsidRPr="00530D57">
        <w:t>preferred</w:t>
      </w:r>
      <w:r w:rsidR="68DD3A25" w:rsidRPr="00530D57">
        <w:t xml:space="preserve"> the Scottish hybrid model over the specific offence </w:t>
      </w:r>
      <w:r w:rsidR="0DE32601" w:rsidRPr="00530D57">
        <w:t xml:space="preserve">model </w:t>
      </w:r>
      <w:r w:rsidR="68DD3A25" w:rsidRPr="00530D57">
        <w:t>because they regarded it as simpler and more flexible — it applies to a wide range of offences without the need to create new ones.</w:t>
      </w:r>
      <w:r w:rsidR="008C23ED" w:rsidRPr="00530D57">
        <w:rPr>
          <w:rStyle w:val="FootnoteReference"/>
        </w:rPr>
        <w:footnoteReference w:id="400"/>
      </w:r>
      <w:r w:rsidR="555B177E" w:rsidRPr="00530D57">
        <w:t xml:space="preserve"> </w:t>
      </w:r>
      <w:r w:rsidR="2025D42B" w:rsidRPr="00530D57">
        <w:t xml:space="preserve">For example, </w:t>
      </w:r>
      <w:r w:rsidR="00C36EF6">
        <w:t>The Law Association of New Zealand Criminal Law Committee</w:t>
      </w:r>
      <w:r w:rsidR="68DD3A25" w:rsidRPr="00530D57">
        <w:t xml:space="preserve"> </w:t>
      </w:r>
      <w:r w:rsidR="1851DA3C" w:rsidRPr="00530D57">
        <w:t>said</w:t>
      </w:r>
      <w:r w:rsidR="68DD3A25" w:rsidRPr="00530D57">
        <w:t xml:space="preserve"> that separate hate crime offences might “struggle to accommodate the varied nature of hate-motivated offending” but the hybrid model “ensures that all crimes can be treated as hate crimes when appropriate.”</w:t>
      </w:r>
      <w:r w:rsidR="5190CB7D" w:rsidRPr="00530D57">
        <w:t xml:space="preserve"> </w:t>
      </w:r>
    </w:p>
    <w:p w14:paraId="28C6745B" w14:textId="77777777" w:rsidR="00FF28D6" w:rsidRDefault="00714848" w:rsidP="00192E6D">
      <w:pPr>
        <w:pStyle w:val="Numberedpara"/>
      </w:pPr>
      <w:r>
        <w:t>Other</w:t>
      </w:r>
      <w:r w:rsidRPr="00530D57">
        <w:t xml:space="preserve"> </w:t>
      </w:r>
      <w:r w:rsidR="6728C7C7" w:rsidRPr="00530D57">
        <w:t xml:space="preserve">submitters </w:t>
      </w:r>
      <w:r w:rsidR="00F04156">
        <w:t>gave</w:t>
      </w:r>
      <w:r w:rsidR="6728C7C7" w:rsidRPr="00530D57">
        <w:t xml:space="preserve"> </w:t>
      </w:r>
      <w:r w:rsidR="0A94219F" w:rsidRPr="00530D57">
        <w:t xml:space="preserve">specific </w:t>
      </w:r>
      <w:r w:rsidR="3C20D99C" w:rsidRPr="00530D57">
        <w:t xml:space="preserve">reasons </w:t>
      </w:r>
      <w:r w:rsidR="00F04156">
        <w:t>for not</w:t>
      </w:r>
      <w:r w:rsidR="3C20D99C" w:rsidRPr="00530D57">
        <w:t xml:space="preserve"> adopting</w:t>
      </w:r>
      <w:r w:rsidR="6728C7C7" w:rsidRPr="00530D57">
        <w:t xml:space="preserve"> the Scottish hybrid model. </w:t>
      </w:r>
    </w:p>
    <w:p w14:paraId="3814EEE9" w14:textId="56F24ED0" w:rsidR="005F0830" w:rsidRPr="00530D57" w:rsidRDefault="00736251" w:rsidP="00896331">
      <w:pPr>
        <w:pStyle w:val="Numberedpara"/>
        <w:numPr>
          <w:ilvl w:val="1"/>
          <w:numId w:val="71"/>
        </w:numPr>
      </w:pPr>
      <w:r>
        <w:t>Some</w:t>
      </w:r>
      <w:r w:rsidR="005F0830" w:rsidRPr="00530D57">
        <w:t xml:space="preserve"> thought it </w:t>
      </w:r>
      <w:r w:rsidR="00406FEE">
        <w:t>is</w:t>
      </w:r>
      <w:r w:rsidR="005F0830" w:rsidRPr="00530D57">
        <w:t xml:space="preserve"> problematic that the model applies to any offence regardless of severity. </w:t>
      </w:r>
      <w:r w:rsidR="001C1951">
        <w:t xml:space="preserve">Dr </w:t>
      </w:r>
      <w:r w:rsidR="005F0830" w:rsidRPr="00530D57">
        <w:t xml:space="preserve">David Harvey criticised this as a “backdoor” method to introduce a wide range of hate crime offences rather than defining only certain offending as a hate crime. </w:t>
      </w:r>
      <w:r w:rsidR="0078324B">
        <w:t xml:space="preserve">The </w:t>
      </w:r>
      <w:r w:rsidR="005F0830" w:rsidRPr="00530D57">
        <w:t xml:space="preserve">Free Speech Union said that including less serious crimes may undermine public confidence because it “dilutes focus on more serious hate crime”. </w:t>
      </w:r>
    </w:p>
    <w:p w14:paraId="161E3265" w14:textId="4A99B01D" w:rsidR="005F0830" w:rsidRPr="00530D57" w:rsidRDefault="4AA901E0" w:rsidP="00896331">
      <w:pPr>
        <w:pStyle w:val="Numberedpara"/>
        <w:numPr>
          <w:ilvl w:val="1"/>
          <w:numId w:val="71"/>
        </w:numPr>
      </w:pPr>
      <w:r w:rsidRPr="00530D57">
        <w:t xml:space="preserve">Two submitters </w:t>
      </w:r>
      <w:r w:rsidR="68DD3A25" w:rsidRPr="00530D57">
        <w:t>cautioned against adopting the Scottish hybrid model because it originates in a different constitutional and cultural context.</w:t>
      </w:r>
      <w:r w:rsidR="008D11A9" w:rsidRPr="00530D57">
        <w:rPr>
          <w:rStyle w:val="FootnoteReference"/>
        </w:rPr>
        <w:footnoteReference w:id="401"/>
      </w:r>
      <w:r w:rsidR="68DD3A25" w:rsidRPr="00530D57">
        <w:t xml:space="preserve"> They implied that there could be unforeseen, unintended consequences if adopted outside that particular setting.</w:t>
      </w:r>
    </w:p>
    <w:p w14:paraId="6E98FAD7" w14:textId="251987C3" w:rsidR="00990768" w:rsidRPr="00530D57" w:rsidRDefault="00BF5B4B" w:rsidP="00BE2CF7">
      <w:pPr>
        <w:pStyle w:val="Heading2"/>
      </w:pPr>
      <w:bookmarkStart w:id="56" w:name="_Toc207093276"/>
      <w:r w:rsidRPr="00530D57">
        <w:lastRenderedPageBreak/>
        <w:t>Base o</w:t>
      </w:r>
      <w:r w:rsidR="00990768" w:rsidRPr="00530D57">
        <w:t xml:space="preserve">ffences </w:t>
      </w:r>
      <w:r w:rsidR="00F86565" w:rsidRPr="00530D57">
        <w:t>covered by</w:t>
      </w:r>
      <w:r w:rsidRPr="00530D57">
        <w:t xml:space="preserve"> </w:t>
      </w:r>
      <w:r w:rsidR="00C50F28" w:rsidRPr="00530D57">
        <w:t xml:space="preserve">the </w:t>
      </w:r>
      <w:r w:rsidRPr="00530D57">
        <w:t>specific offence model</w:t>
      </w:r>
      <w:bookmarkEnd w:id="56"/>
    </w:p>
    <w:p w14:paraId="22C00C59" w14:textId="3220F4E4" w:rsidR="00BF5B4B" w:rsidRPr="00530D57" w:rsidRDefault="00571101" w:rsidP="002F5E4F">
      <w:pPr>
        <w:pStyle w:val="Numberedpara"/>
      </w:pPr>
      <w:r w:rsidRPr="00530D57">
        <w:t xml:space="preserve">In </w:t>
      </w:r>
      <w:r w:rsidR="0009752D" w:rsidRPr="00530D57">
        <w:t>our</w:t>
      </w:r>
      <w:r w:rsidRPr="00530D57">
        <w:t xml:space="preserve"> Consultation Paper, we explain</w:t>
      </w:r>
      <w:r w:rsidR="008269C6" w:rsidRPr="00530D57">
        <w:t>ed</w:t>
      </w:r>
      <w:r w:rsidRPr="00530D57">
        <w:t xml:space="preserve"> that if we </w:t>
      </w:r>
      <w:r w:rsidR="005D5097" w:rsidRPr="00530D57">
        <w:t xml:space="preserve">were to recommend adopting </w:t>
      </w:r>
      <w:r w:rsidR="00F83632" w:rsidRPr="00530D57">
        <w:t>the</w:t>
      </w:r>
      <w:r w:rsidR="005D5097" w:rsidRPr="00530D57">
        <w:t xml:space="preserve"> specific offence model </w:t>
      </w:r>
      <w:r w:rsidR="00F83632" w:rsidRPr="00530D57">
        <w:t>we would need to</w:t>
      </w:r>
      <w:r w:rsidR="005D5097" w:rsidRPr="00530D57">
        <w:t xml:space="preserve"> decide which base offences </w:t>
      </w:r>
      <w:r w:rsidR="00372D2E" w:rsidRPr="00530D57">
        <w:t xml:space="preserve">any hate crime offence should cover. </w:t>
      </w:r>
      <w:r w:rsidR="00934072" w:rsidRPr="00530D57">
        <w:t xml:space="preserve">Nineteen submitters provided feedback on this issue. They made comments about the criteria that should be used to determine which offences should be included as well as suggesting categories </w:t>
      </w:r>
      <w:r w:rsidR="00224945">
        <w:t>of offences</w:t>
      </w:r>
      <w:r w:rsidR="00934072" w:rsidRPr="00530D57">
        <w:t xml:space="preserve"> or specific offences that should be either included or excluded</w:t>
      </w:r>
      <w:r w:rsidR="00F92E5E" w:rsidRPr="00530D57">
        <w:t>.</w:t>
      </w:r>
    </w:p>
    <w:p w14:paraId="40BC5806" w14:textId="1BC8A789" w:rsidR="00FC57D7" w:rsidRPr="00530D57" w:rsidRDefault="000909B1" w:rsidP="00575B9E">
      <w:pPr>
        <w:pStyle w:val="Heading3"/>
      </w:pPr>
      <w:r w:rsidRPr="00530D57">
        <w:t>Views</w:t>
      </w:r>
      <w:r w:rsidR="00FC57D7" w:rsidRPr="00530D57">
        <w:t xml:space="preserve"> about criteria</w:t>
      </w:r>
    </w:p>
    <w:p w14:paraId="2F16790F" w14:textId="1CFA066A" w:rsidR="004B3CEA" w:rsidRPr="00530D57" w:rsidRDefault="2A3B16C1" w:rsidP="004B3CEA">
      <w:pPr>
        <w:pStyle w:val="Numberedpara"/>
      </w:pPr>
      <w:r w:rsidRPr="00530D57">
        <w:t>Luke Cunningham Clere</w:t>
      </w:r>
      <w:r w:rsidR="560E56BE" w:rsidRPr="00530D57">
        <w:t xml:space="preserve"> said the criteria developed by the Law Commission of England and Wales provide helpful guidance in selecting which offences should be included. Mark Walters, a co-author of the Sussex University law reform project on hate crime, </w:t>
      </w:r>
      <w:r w:rsidR="00781DFA">
        <w:t>noted</w:t>
      </w:r>
      <w:r w:rsidR="560E56BE" w:rsidRPr="00530D57">
        <w:t xml:space="preserve"> that review recommended expan</w:t>
      </w:r>
      <w:r w:rsidR="00781DFA">
        <w:t>ding</w:t>
      </w:r>
      <w:r w:rsidR="560E56BE" w:rsidRPr="00530D57">
        <w:t xml:space="preserve"> the current offence categories in England and Wales based on </w:t>
      </w:r>
      <w:r w:rsidR="00781DFA">
        <w:t>an</w:t>
      </w:r>
      <w:r w:rsidR="560E56BE" w:rsidRPr="00530D57">
        <w:t xml:space="preserve"> examination of statistics and </w:t>
      </w:r>
      <w:r w:rsidR="00781DFA">
        <w:t xml:space="preserve">the </w:t>
      </w:r>
      <w:r w:rsidR="560E56BE" w:rsidRPr="00530D57">
        <w:t xml:space="preserve">views of interviewees. </w:t>
      </w:r>
      <w:r w:rsidR="00826F65" w:rsidRPr="00530D57">
        <w:t>T</w:t>
      </w:r>
      <w:r w:rsidR="560E56BE" w:rsidRPr="00530D57">
        <w:t xml:space="preserve">he decision about which offences are included in New Zealand law should be determined on a similar basis. </w:t>
      </w:r>
    </w:p>
    <w:p w14:paraId="621CEBDD" w14:textId="5EE8B96C" w:rsidR="008A437E" w:rsidRPr="00530D57" w:rsidRDefault="665D50CA" w:rsidP="002F5E4F">
      <w:pPr>
        <w:pStyle w:val="Numberedpara"/>
      </w:pPr>
      <w:r w:rsidRPr="00530D57">
        <w:t xml:space="preserve">On the other hand, the </w:t>
      </w:r>
      <w:r w:rsidR="009531AF" w:rsidRPr="00530D57">
        <w:t>New Zealand Law Society</w:t>
      </w:r>
      <w:r w:rsidR="39FA39A0" w:rsidRPr="00530D57">
        <w:t xml:space="preserve"> expressed “concerns regarding the challenge of finding a principled basis on which to decide what ‘base’ offences to include (and those to exclude).”</w:t>
      </w:r>
      <w:r w:rsidR="008A437E" w:rsidRPr="00530D57">
        <w:rPr>
          <w:rStyle w:val="FootnoteReference"/>
        </w:rPr>
        <w:footnoteReference w:id="402"/>
      </w:r>
      <w:r w:rsidR="39FA39A0" w:rsidRPr="00530D57">
        <w:t xml:space="preserve"> </w:t>
      </w:r>
    </w:p>
    <w:p w14:paraId="1F441B3D" w14:textId="77777777" w:rsidR="00F76AC6" w:rsidRPr="00530D57" w:rsidRDefault="00F76AC6" w:rsidP="008A643E">
      <w:pPr>
        <w:pStyle w:val="Heading3"/>
      </w:pPr>
      <w:r w:rsidRPr="00530D57">
        <w:t>Views on offences or types of offences to include</w:t>
      </w:r>
    </w:p>
    <w:p w14:paraId="789F0439" w14:textId="786971FA" w:rsidR="00A84CF8" w:rsidRPr="00530D57" w:rsidRDefault="28FACCD4" w:rsidP="002F5E4F">
      <w:pPr>
        <w:pStyle w:val="Numberedpara"/>
      </w:pPr>
      <w:r w:rsidRPr="00530D57">
        <w:t>Fifteen</w:t>
      </w:r>
      <w:r w:rsidR="0546C85C" w:rsidRPr="00530D57">
        <w:t xml:space="preserve"> submitters commented on the base offences that should be covered by specific hate crime offences.</w:t>
      </w:r>
      <w:r w:rsidR="00681730" w:rsidRPr="00530D57">
        <w:rPr>
          <w:rStyle w:val="FootnoteReference"/>
        </w:rPr>
        <w:footnoteReference w:id="403"/>
      </w:r>
    </w:p>
    <w:p w14:paraId="18044A4D" w14:textId="509D553B" w:rsidR="00FC57D7" w:rsidRPr="00530D57" w:rsidRDefault="22BB5567" w:rsidP="002F5E4F">
      <w:pPr>
        <w:pStyle w:val="Numberedpara"/>
      </w:pPr>
      <w:r w:rsidRPr="00530D57">
        <w:t>The</w:t>
      </w:r>
      <w:r w:rsidR="1B5D3708" w:rsidRPr="00530D57">
        <w:t xml:space="preserve"> Royal </w:t>
      </w:r>
      <w:r w:rsidRPr="00530D57">
        <w:t>Commission recommended</w:t>
      </w:r>
      <w:r w:rsidR="1B5D3708" w:rsidRPr="00530D57">
        <w:t xml:space="preserve"> that if hate crime offences were created they should include offences corresponding to the offences of offensive behaviour or language, assaults, wilful damage, intimidation, arson and intentional damage.</w:t>
      </w:r>
      <w:r w:rsidR="236EA43E" w:rsidRPr="00530D57">
        <w:t xml:space="preserve"> </w:t>
      </w:r>
      <w:r w:rsidR="1B5D3708" w:rsidRPr="00530D57">
        <w:t xml:space="preserve">Two submitters agreed </w:t>
      </w:r>
      <w:r w:rsidR="4E7E89F5" w:rsidRPr="00530D57">
        <w:t>explicitly</w:t>
      </w:r>
      <w:r w:rsidR="1B5D3708" w:rsidRPr="00530D57">
        <w:t xml:space="preserve"> with</w:t>
      </w:r>
      <w:r w:rsidR="236EA43E" w:rsidRPr="00530D57">
        <w:t xml:space="preserve"> that recommendation</w:t>
      </w:r>
      <w:r w:rsidR="1B5D3708" w:rsidRPr="00530D57">
        <w:t>.</w:t>
      </w:r>
      <w:r w:rsidR="00FC57D7" w:rsidRPr="00530D57">
        <w:rPr>
          <w:rStyle w:val="FootnoteReference"/>
        </w:rPr>
        <w:footnoteReference w:id="404"/>
      </w:r>
    </w:p>
    <w:p w14:paraId="77A327B0" w14:textId="290462E1" w:rsidR="00FC57D7" w:rsidRPr="00530D57" w:rsidRDefault="1B5D3708" w:rsidP="002F5E4F">
      <w:pPr>
        <w:pStyle w:val="Numberedpara"/>
      </w:pPr>
      <w:r w:rsidRPr="00530D57">
        <w:t>Three submitters</w:t>
      </w:r>
      <w:r w:rsidR="68D48EBA" w:rsidRPr="00530D57">
        <w:t xml:space="preserve"> explicitly</w:t>
      </w:r>
      <w:r w:rsidRPr="00530D57">
        <w:t xml:space="preserve"> disagreed with the Royal Commission’s recommendation</w:t>
      </w:r>
      <w:r w:rsidR="4CB63DA4" w:rsidRPr="00530D57">
        <w:t xml:space="preserve"> </w:t>
      </w:r>
      <w:r w:rsidRPr="00530D57">
        <w:t>that offensive behaviour or language should be included.</w:t>
      </w:r>
      <w:r w:rsidR="00FC57D7" w:rsidRPr="00530D57">
        <w:rPr>
          <w:rStyle w:val="FootnoteReference"/>
        </w:rPr>
        <w:footnoteReference w:id="405"/>
      </w:r>
      <w:r w:rsidRPr="00530D57">
        <w:t xml:space="preserve"> </w:t>
      </w:r>
      <w:r w:rsidR="4CB63DA4" w:rsidRPr="00530D57">
        <w:t>They</w:t>
      </w:r>
      <w:r w:rsidRPr="00530D57">
        <w:t xml:space="preserve"> objected on the basis that offensiveness </w:t>
      </w:r>
      <w:r w:rsidR="003D6AD6">
        <w:t>is</w:t>
      </w:r>
      <w:r w:rsidRPr="00530D57">
        <w:t xml:space="preserve"> not serious enough for inclusion and it </w:t>
      </w:r>
      <w:r w:rsidR="003D6AD6">
        <w:t>is</w:t>
      </w:r>
      <w:r w:rsidRPr="00530D57">
        <w:t xml:space="preserve"> open to interpretation what is “offensive”</w:t>
      </w:r>
      <w:r w:rsidR="003D6AD6">
        <w:t>.</w:t>
      </w:r>
      <w:r w:rsidRPr="00530D57">
        <w:t xml:space="preserve"> </w:t>
      </w:r>
      <w:r w:rsidR="003D6AD6">
        <w:t>T</w:t>
      </w:r>
      <w:r w:rsidR="139C5AC0" w:rsidRPr="00530D57">
        <w:t xml:space="preserve">hey thought </w:t>
      </w:r>
      <w:r w:rsidRPr="00530D57">
        <w:t>hate crime law would</w:t>
      </w:r>
      <w:r w:rsidR="139C5AC0" w:rsidRPr="00530D57">
        <w:t xml:space="preserve">, as a result, </w:t>
      </w:r>
      <w:r w:rsidRPr="00530D57">
        <w:t xml:space="preserve">be applied subjectively. </w:t>
      </w:r>
    </w:p>
    <w:p w14:paraId="4B2EA524" w14:textId="40405CBA" w:rsidR="00FC57D7" w:rsidRPr="00530D57" w:rsidRDefault="6D1AFB94" w:rsidP="002F5E4F">
      <w:pPr>
        <w:pStyle w:val="Numberedpara"/>
      </w:pPr>
      <w:r w:rsidRPr="00530D57">
        <w:t>Seven</w:t>
      </w:r>
      <w:r w:rsidR="1B5D3708" w:rsidRPr="00530D57">
        <w:t xml:space="preserve"> submitters thought that offences should be limited to those with a high degree of seriousness </w:t>
      </w:r>
      <w:r w:rsidR="27B371B8" w:rsidRPr="00530D57">
        <w:t xml:space="preserve">in the sense </w:t>
      </w:r>
      <w:r w:rsidR="00A97FD3">
        <w:t xml:space="preserve">that </w:t>
      </w:r>
      <w:r w:rsidR="1B5D3708" w:rsidRPr="00530D57">
        <w:t xml:space="preserve">they inflict </w:t>
      </w:r>
      <w:r w:rsidR="52A53981" w:rsidRPr="00530D57">
        <w:t>ph</w:t>
      </w:r>
      <w:r w:rsidR="27B371B8" w:rsidRPr="00530D57">
        <w:t xml:space="preserve">ysical </w:t>
      </w:r>
      <w:r w:rsidR="1B5D3708" w:rsidRPr="00530D57">
        <w:t xml:space="preserve">harm or </w:t>
      </w:r>
      <w:r w:rsidR="451EEF92" w:rsidRPr="00530D57">
        <w:t>involve</w:t>
      </w:r>
      <w:r w:rsidR="1B5D3708" w:rsidRPr="00530D57">
        <w:t xml:space="preserve"> violence.</w:t>
      </w:r>
      <w:r w:rsidR="00FC57D7" w:rsidRPr="00530D57">
        <w:rPr>
          <w:rStyle w:val="FootnoteReference"/>
        </w:rPr>
        <w:footnoteReference w:id="406"/>
      </w:r>
      <w:r w:rsidR="1B5D3708" w:rsidRPr="00530D57">
        <w:t xml:space="preserve"> The harm or violence could </w:t>
      </w:r>
      <w:r w:rsidR="2E5787B2" w:rsidRPr="00530D57">
        <w:t xml:space="preserve">impact </w:t>
      </w:r>
      <w:r w:rsidR="1B5D3708" w:rsidRPr="00530D57">
        <w:t>a person or property.</w:t>
      </w:r>
    </w:p>
    <w:p w14:paraId="57822726" w14:textId="6FDAE6EA" w:rsidR="00FC57D7" w:rsidRPr="00530D57" w:rsidRDefault="1B5D3708" w:rsidP="002F5E4F">
      <w:pPr>
        <w:pStyle w:val="Numberedpara"/>
      </w:pPr>
      <w:r w:rsidRPr="00530D57">
        <w:lastRenderedPageBreak/>
        <w:t>Regarding violent offences against a person, submitters commonly gave “assault” as an example of this type of offending</w:t>
      </w:r>
      <w:r w:rsidR="001B3D6F">
        <w:t>,</w:t>
      </w:r>
      <w:r w:rsidRPr="00530D57">
        <w:t xml:space="preserve"> with the next most common example being rape or sexual assault. One submitter </w:t>
      </w:r>
      <w:r w:rsidR="5205EA43" w:rsidRPr="00530D57">
        <w:t>specified</w:t>
      </w:r>
      <w:r w:rsidRPr="00530D57">
        <w:t xml:space="preserve"> </w:t>
      </w:r>
      <w:r w:rsidR="5205EA43" w:rsidRPr="00530D57">
        <w:t xml:space="preserve">that </w:t>
      </w:r>
      <w:r w:rsidRPr="00530D57">
        <w:t xml:space="preserve">other violent offences they </w:t>
      </w:r>
      <w:r w:rsidR="008B17BB">
        <w:t xml:space="preserve">thought are serious enough to be </w:t>
      </w:r>
      <w:r w:rsidR="64227F19" w:rsidRPr="00530D57">
        <w:t>includ</w:t>
      </w:r>
      <w:r w:rsidR="1C38F9F2" w:rsidRPr="00530D57">
        <w:t>ed</w:t>
      </w:r>
      <w:r w:rsidRPr="00530D57">
        <w:t xml:space="preserve"> </w:t>
      </w:r>
      <w:r w:rsidR="008B17BB">
        <w:t xml:space="preserve">are </w:t>
      </w:r>
      <w:r w:rsidRPr="00530D57">
        <w:t>domestic violence and genital mutilation.</w:t>
      </w:r>
      <w:r w:rsidR="00FC57D7" w:rsidRPr="00530D57">
        <w:rPr>
          <w:rStyle w:val="FootnoteReference"/>
        </w:rPr>
        <w:footnoteReference w:id="407"/>
      </w:r>
    </w:p>
    <w:p w14:paraId="3724CB2D" w14:textId="67A3DF26" w:rsidR="00FC57D7" w:rsidRPr="00530D57" w:rsidRDefault="1B5D3708" w:rsidP="002F5E4F">
      <w:pPr>
        <w:pStyle w:val="Numberedpara"/>
      </w:pPr>
      <w:r w:rsidRPr="00530D57">
        <w:t>Regarding offences involving damage to property, submitters commonly gave examples of arson, intentional/wilful damage or vandalism. One submitter said that vandalism of religious sites specifically should be included.</w:t>
      </w:r>
      <w:r w:rsidR="00FC57D7" w:rsidRPr="00530D57">
        <w:rPr>
          <w:rStyle w:val="FootnoteReference"/>
        </w:rPr>
        <w:footnoteReference w:id="408"/>
      </w:r>
      <w:r w:rsidRPr="00530D57">
        <w:t xml:space="preserve"> </w:t>
      </w:r>
    </w:p>
    <w:p w14:paraId="2774153F" w14:textId="5853387A" w:rsidR="004F3E6E" w:rsidRPr="00530D57" w:rsidRDefault="56FC691F" w:rsidP="004F3E6E">
      <w:pPr>
        <w:pStyle w:val="Numberedpara"/>
      </w:pPr>
      <w:r w:rsidRPr="00530D57">
        <w:t>Six</w:t>
      </w:r>
      <w:r w:rsidR="32056D58" w:rsidRPr="00530D57">
        <w:t xml:space="preserve"> </w:t>
      </w:r>
      <w:r w:rsidR="72019E54" w:rsidRPr="00530D57">
        <w:t xml:space="preserve">submitters </w:t>
      </w:r>
      <w:r w:rsidR="5C6F637F" w:rsidRPr="00530D57">
        <w:t xml:space="preserve">said </w:t>
      </w:r>
      <w:r w:rsidR="651278C6" w:rsidRPr="00530D57">
        <w:t>some</w:t>
      </w:r>
      <w:r w:rsidR="1B5D3708" w:rsidRPr="00530D57">
        <w:t xml:space="preserve"> </w:t>
      </w:r>
      <w:r w:rsidR="15EFF40A" w:rsidRPr="00530D57">
        <w:t>conduct</w:t>
      </w:r>
      <w:r w:rsidR="1B5D3708" w:rsidRPr="00530D57">
        <w:t xml:space="preserve"> </w:t>
      </w:r>
      <w:r w:rsidR="651278C6" w:rsidRPr="00530D57">
        <w:t xml:space="preserve">that does not </w:t>
      </w:r>
      <w:r w:rsidR="1B5D3708" w:rsidRPr="00530D57">
        <w:t>involve physical harm to people or property</w:t>
      </w:r>
      <w:r w:rsidR="651278C6" w:rsidRPr="00530D57">
        <w:t xml:space="preserve"> should </w:t>
      </w:r>
      <w:r w:rsidR="0EA78732" w:rsidRPr="00530D57">
        <w:t xml:space="preserve">be considered a hate crime </w:t>
      </w:r>
      <w:r w:rsidR="3FAF2887" w:rsidRPr="00530D57">
        <w:t xml:space="preserve">under </w:t>
      </w:r>
      <w:r w:rsidR="00C96380" w:rsidRPr="00530D57">
        <w:t>the</w:t>
      </w:r>
      <w:r w:rsidR="3FAF2887" w:rsidRPr="00530D57">
        <w:t xml:space="preserve"> specific offence model</w:t>
      </w:r>
      <w:r w:rsidR="1B5D3708" w:rsidRPr="00530D57">
        <w:t>.</w:t>
      </w:r>
      <w:r w:rsidR="00FC57D7" w:rsidRPr="00530D57">
        <w:rPr>
          <w:rStyle w:val="FootnoteReference"/>
        </w:rPr>
        <w:footnoteReference w:id="409"/>
      </w:r>
      <w:r w:rsidR="1B5D3708" w:rsidRPr="00530D57">
        <w:t xml:space="preserve"> </w:t>
      </w:r>
      <w:r w:rsidR="3178076B" w:rsidRPr="00530D57">
        <w:t xml:space="preserve">Most </w:t>
      </w:r>
      <w:r w:rsidR="7EFA1D68" w:rsidRPr="00530D57">
        <w:t xml:space="preserve">of </w:t>
      </w:r>
      <w:r w:rsidR="3178076B" w:rsidRPr="00530D57">
        <w:t xml:space="preserve">the </w:t>
      </w:r>
      <w:r w:rsidR="7EFA1D68" w:rsidRPr="00530D57">
        <w:t xml:space="preserve">conduct </w:t>
      </w:r>
      <w:r w:rsidR="3178076B" w:rsidRPr="00530D57">
        <w:t xml:space="preserve">mentioned </w:t>
      </w:r>
      <w:r w:rsidR="10CBB570" w:rsidRPr="00530D57">
        <w:t xml:space="preserve">reflects an existing offence </w:t>
      </w:r>
      <w:r w:rsidR="0B8E6EB1" w:rsidRPr="00530D57">
        <w:t>but</w:t>
      </w:r>
      <w:r w:rsidR="633FF3F6" w:rsidRPr="00530D57">
        <w:t xml:space="preserve"> some does not. </w:t>
      </w:r>
      <w:r w:rsidR="0B8E6EB1" w:rsidRPr="00530D57">
        <w:t>C</w:t>
      </w:r>
      <w:r w:rsidR="38B05DE6" w:rsidRPr="00530D57">
        <w:t>onduct</w:t>
      </w:r>
      <w:r w:rsidR="1B5D3708" w:rsidRPr="00530D57">
        <w:t xml:space="preserve"> </w:t>
      </w:r>
      <w:r w:rsidR="5E1461D4" w:rsidRPr="00530D57">
        <w:t xml:space="preserve">these </w:t>
      </w:r>
      <w:r w:rsidR="1B5D3708" w:rsidRPr="00530D57">
        <w:t xml:space="preserve">submitters </w:t>
      </w:r>
      <w:r w:rsidR="1253ACA6" w:rsidRPr="00530D57">
        <w:t>thought should be a hate</w:t>
      </w:r>
      <w:r w:rsidR="00C96380" w:rsidRPr="00530D57">
        <w:t xml:space="preserve"> </w:t>
      </w:r>
      <w:r w:rsidR="1253ACA6" w:rsidRPr="00530D57">
        <w:t xml:space="preserve">crime offence </w:t>
      </w:r>
      <w:r w:rsidR="1B5D3708" w:rsidRPr="00530D57">
        <w:t xml:space="preserve">included: </w:t>
      </w:r>
    </w:p>
    <w:p w14:paraId="53633BE3" w14:textId="77777777" w:rsidR="004F3E6E" w:rsidRPr="00530D57" w:rsidRDefault="29AAB07C" w:rsidP="00896331">
      <w:pPr>
        <w:pStyle w:val="Numberedpara"/>
        <w:numPr>
          <w:ilvl w:val="1"/>
          <w:numId w:val="71"/>
        </w:numPr>
      </w:pPr>
      <w:r w:rsidRPr="00530D57">
        <w:t>b</w:t>
      </w:r>
      <w:r w:rsidR="1B5D3708" w:rsidRPr="00530D57">
        <w:t>urglary;</w:t>
      </w:r>
      <w:r w:rsidR="00FC57D7" w:rsidRPr="00530D57">
        <w:rPr>
          <w:rStyle w:val="FootnoteReference"/>
        </w:rPr>
        <w:footnoteReference w:id="410"/>
      </w:r>
    </w:p>
    <w:p w14:paraId="316B711E" w14:textId="721D31E2" w:rsidR="004F3E6E" w:rsidRPr="00530D57" w:rsidRDefault="1B5D3708" w:rsidP="00896331">
      <w:pPr>
        <w:pStyle w:val="Numberedpara"/>
        <w:numPr>
          <w:ilvl w:val="1"/>
          <w:numId w:val="71"/>
        </w:numPr>
      </w:pPr>
      <w:r w:rsidRPr="00530D57">
        <w:t>offences of dishonesty such as fraud, forgery and theft;</w:t>
      </w:r>
      <w:r w:rsidR="00FC57D7" w:rsidRPr="00530D57">
        <w:rPr>
          <w:rStyle w:val="FootnoteReference"/>
        </w:rPr>
        <w:footnoteReference w:id="411"/>
      </w:r>
    </w:p>
    <w:p w14:paraId="24A988A9" w14:textId="77777777" w:rsidR="004F3E6E" w:rsidRPr="00530D57" w:rsidRDefault="1B5D3708" w:rsidP="00896331">
      <w:pPr>
        <w:pStyle w:val="Numberedpara"/>
        <w:numPr>
          <w:ilvl w:val="1"/>
          <w:numId w:val="71"/>
        </w:numPr>
      </w:pPr>
      <w:r w:rsidRPr="00530D57">
        <w:t>offences that disturb public order;</w:t>
      </w:r>
      <w:r w:rsidR="00FC57D7" w:rsidRPr="00530D57">
        <w:rPr>
          <w:rStyle w:val="FootnoteReference"/>
        </w:rPr>
        <w:footnoteReference w:id="412"/>
      </w:r>
    </w:p>
    <w:p w14:paraId="71044790" w14:textId="77777777" w:rsidR="004F3E6E" w:rsidRPr="00530D57" w:rsidRDefault="1B5D3708" w:rsidP="00896331">
      <w:pPr>
        <w:pStyle w:val="Numberedpara"/>
        <w:numPr>
          <w:ilvl w:val="1"/>
          <w:numId w:val="71"/>
        </w:numPr>
      </w:pPr>
      <w:r w:rsidRPr="00530D57">
        <w:t>verbal abuse or threats;</w:t>
      </w:r>
      <w:r w:rsidR="00FC57D7" w:rsidRPr="00530D57">
        <w:rPr>
          <w:rStyle w:val="FootnoteReference"/>
        </w:rPr>
        <w:footnoteReference w:id="413"/>
      </w:r>
    </w:p>
    <w:p w14:paraId="43E02D6A" w14:textId="77777777" w:rsidR="004F3E6E" w:rsidRPr="00530D57" w:rsidRDefault="1B5D3708" w:rsidP="00896331">
      <w:pPr>
        <w:pStyle w:val="Numberedpara"/>
        <w:numPr>
          <w:ilvl w:val="1"/>
          <w:numId w:val="71"/>
        </w:numPr>
      </w:pPr>
      <w:r w:rsidRPr="00530D57">
        <w:t>harassment</w:t>
      </w:r>
      <w:r w:rsidR="3AFB628B" w:rsidRPr="00530D57">
        <w:t xml:space="preserve"> and</w:t>
      </w:r>
      <w:r w:rsidRPr="00530D57">
        <w:t xml:space="preserve"> stalking;</w:t>
      </w:r>
      <w:r w:rsidR="00FC57D7" w:rsidRPr="00530D57">
        <w:rPr>
          <w:rStyle w:val="FootnoteReference"/>
        </w:rPr>
        <w:footnoteReference w:id="414"/>
      </w:r>
    </w:p>
    <w:p w14:paraId="5116EAC0" w14:textId="62F36F0A" w:rsidR="004F3E6E" w:rsidRPr="00530D57" w:rsidRDefault="1B5D3708" w:rsidP="00896331">
      <w:pPr>
        <w:pStyle w:val="Numberedpara"/>
        <w:numPr>
          <w:ilvl w:val="1"/>
          <w:numId w:val="71"/>
        </w:numPr>
      </w:pPr>
      <w:r w:rsidRPr="00530D57">
        <w:t>doxxing;</w:t>
      </w:r>
      <w:r w:rsidR="00FC57D7" w:rsidRPr="00530D57">
        <w:rPr>
          <w:rStyle w:val="FootnoteReference"/>
        </w:rPr>
        <w:footnoteReference w:id="415"/>
      </w:r>
      <w:r w:rsidR="008A77F0" w:rsidRPr="00530D57">
        <w:t xml:space="preserve"> and</w:t>
      </w:r>
    </w:p>
    <w:p w14:paraId="2407CEF3" w14:textId="2B0A9C32" w:rsidR="00FC57D7" w:rsidRPr="00530D57" w:rsidRDefault="1B5D3708" w:rsidP="00896331">
      <w:pPr>
        <w:pStyle w:val="Numberedpara"/>
        <w:numPr>
          <w:ilvl w:val="1"/>
          <w:numId w:val="71"/>
        </w:numPr>
      </w:pPr>
      <w:r w:rsidRPr="00530D57">
        <w:t>coercive faith conversion or acts that undermine a person’s faith.</w:t>
      </w:r>
      <w:r w:rsidR="00FC57D7" w:rsidRPr="00530D57">
        <w:rPr>
          <w:rStyle w:val="FootnoteReference"/>
        </w:rPr>
        <w:footnoteReference w:id="416"/>
      </w:r>
      <w:r w:rsidRPr="00530D57">
        <w:t xml:space="preserve"> </w:t>
      </w:r>
    </w:p>
    <w:p w14:paraId="5A9B153F" w14:textId="336059D0" w:rsidR="00FC57D7" w:rsidRPr="00530D57" w:rsidRDefault="00581697" w:rsidP="002F5E4F">
      <w:pPr>
        <w:pStyle w:val="Numberedpara"/>
      </w:pPr>
      <w:r>
        <w:t>Two submitters</w:t>
      </w:r>
      <w:r w:rsidR="00A903BD" w:rsidRPr="00530D57">
        <w:t xml:space="preserve"> </w:t>
      </w:r>
      <w:r w:rsidR="00FC57D7" w:rsidRPr="00530D57">
        <w:t xml:space="preserve">thought that lower-level offending should be included because disabled people are victims of a wide range of offending </w:t>
      </w:r>
      <w:r w:rsidR="00EB6933" w:rsidRPr="00530D57">
        <w:t>and</w:t>
      </w:r>
      <w:r w:rsidR="00FC57D7" w:rsidRPr="00530D57">
        <w:t xml:space="preserve"> the impact on them would not be recognised sufficiently by limiting the scope of hate crime to serious offending.</w:t>
      </w:r>
      <w:r>
        <w:rPr>
          <w:rStyle w:val="FootnoteReference"/>
        </w:rPr>
        <w:footnoteReference w:id="417"/>
      </w:r>
    </w:p>
    <w:p w14:paraId="0A8AEAFB" w14:textId="00A20ECF" w:rsidR="00FC57D7" w:rsidRPr="00530D57" w:rsidRDefault="00FC57D7" w:rsidP="002F5E4F">
      <w:pPr>
        <w:pStyle w:val="Numberedpara"/>
      </w:pPr>
      <w:r w:rsidRPr="00530D57">
        <w:t xml:space="preserve">Inclusive Aotearoa said that communities they </w:t>
      </w:r>
      <w:r w:rsidR="0041411B" w:rsidRPr="00530D57">
        <w:t>engage with</w:t>
      </w:r>
      <w:r w:rsidRPr="00530D57">
        <w:t xml:space="preserve"> experience behaviour such as threats, stalking and doxxing. They said this should be addressed by hate crime law because this offending furthers a primary goal of those who commit hate crime to “put the community in its place, to make people fearful so they decrease their public presence”. </w:t>
      </w:r>
    </w:p>
    <w:p w14:paraId="0E65518A" w14:textId="1E255835" w:rsidR="00FC57D7" w:rsidRPr="00530D57" w:rsidRDefault="00FC57D7" w:rsidP="008A643E">
      <w:pPr>
        <w:pStyle w:val="Heading3"/>
      </w:pPr>
      <w:r w:rsidRPr="00530D57">
        <w:lastRenderedPageBreak/>
        <w:t>Views about inclusion of murder</w:t>
      </w:r>
      <w:r w:rsidR="00C473D2" w:rsidRPr="00530D57">
        <w:t xml:space="preserve"> as a hate crime offence</w:t>
      </w:r>
    </w:p>
    <w:p w14:paraId="5FF5D101" w14:textId="4D333E32" w:rsidR="00FC57D7" w:rsidRPr="00530D57" w:rsidRDefault="00FC57D7" w:rsidP="002F5E4F">
      <w:pPr>
        <w:pStyle w:val="Numberedpara"/>
      </w:pPr>
      <w:r w:rsidRPr="00530D57">
        <w:t xml:space="preserve">In </w:t>
      </w:r>
      <w:r w:rsidR="004B7A3B" w:rsidRPr="00530D57">
        <w:t>our</w:t>
      </w:r>
      <w:r w:rsidRPr="00530D57">
        <w:t xml:space="preserve"> Consultation Paper, we noted that hate crime offences do not typically cover serious crimes already punishable by life imprisonment (such as murder). The reason for this is that the maximum penalty would be the same as for the base offence. However, this does mean other potential benefits of hate crime offences would not apply to these very serious offences. </w:t>
      </w:r>
    </w:p>
    <w:p w14:paraId="74600434" w14:textId="50AAF151" w:rsidR="00FC57D7" w:rsidRPr="00530D57" w:rsidRDefault="005344C6" w:rsidP="002F5E4F">
      <w:pPr>
        <w:pStyle w:val="Numberedpara"/>
      </w:pPr>
      <w:r>
        <w:t>In their joint submission, t</w:t>
      </w:r>
      <w:r w:rsidR="00F61A43">
        <w:t xml:space="preserve">he </w:t>
      </w:r>
      <w:r w:rsidR="3C7FD780" w:rsidRPr="00530D57">
        <w:t>Disabled Persons Assembly and VisAble</w:t>
      </w:r>
      <w:r w:rsidR="0CD43BE0" w:rsidRPr="00530D57">
        <w:t xml:space="preserve"> </w:t>
      </w:r>
      <w:r w:rsidR="00446FD0" w:rsidRPr="00530D57">
        <w:t xml:space="preserve">said </w:t>
      </w:r>
      <w:r w:rsidR="1B5D3708" w:rsidRPr="00530D57">
        <w:t xml:space="preserve">murder </w:t>
      </w:r>
      <w:r w:rsidR="0CD43BE0" w:rsidRPr="00530D57">
        <w:t>or</w:t>
      </w:r>
      <w:r w:rsidR="1B5D3708" w:rsidRPr="00530D57">
        <w:t xml:space="preserve"> attempted murder </w:t>
      </w:r>
      <w:r w:rsidR="00C03B20" w:rsidRPr="00530D57">
        <w:t>should be included</w:t>
      </w:r>
      <w:r w:rsidR="00A421A6" w:rsidRPr="00530D57">
        <w:t>.</w:t>
      </w:r>
      <w:r w:rsidR="000037C4" w:rsidRPr="00530D57">
        <w:t xml:space="preserve"> </w:t>
      </w:r>
      <w:r w:rsidR="00F2462E" w:rsidRPr="00530D57">
        <w:t xml:space="preserve">Dr Mark Walters </w:t>
      </w:r>
      <w:r w:rsidR="00A421A6" w:rsidRPr="00530D57">
        <w:t xml:space="preserve">said “homicide offences” should be included. Neither </w:t>
      </w:r>
      <w:r w:rsidR="00270BE3">
        <w:t>gave specific reasons why.</w:t>
      </w:r>
      <w:r w:rsidR="0F0A0A87" w:rsidRPr="00530D57">
        <w:t xml:space="preserve"> </w:t>
      </w:r>
    </w:p>
    <w:p w14:paraId="73C08BBC" w14:textId="302CF8EE" w:rsidR="00FC57D7" w:rsidRPr="00530D57" w:rsidRDefault="00FC57D7" w:rsidP="00140B97">
      <w:pPr>
        <w:pStyle w:val="Numberedpara"/>
      </w:pPr>
      <w:r w:rsidRPr="00530D57">
        <w:t xml:space="preserve">Two submitters </w:t>
      </w:r>
      <w:r w:rsidR="006E7CF4" w:rsidRPr="00530D57">
        <w:t xml:space="preserve">commented about the exclusion of </w:t>
      </w:r>
      <w:r w:rsidRPr="00530D57">
        <w:t>murder</w:t>
      </w:r>
      <w:r w:rsidR="00FC64F3" w:rsidRPr="00530D57">
        <w:t xml:space="preserve"> </w:t>
      </w:r>
      <w:r w:rsidR="000037C4" w:rsidRPr="00530D57">
        <w:t>as a hate crime offence</w:t>
      </w:r>
      <w:r w:rsidRPr="00530D57">
        <w:t>.</w:t>
      </w:r>
      <w:r w:rsidR="00140B97" w:rsidRPr="00530D57">
        <w:t xml:space="preserve"> </w:t>
      </w:r>
      <w:r w:rsidRPr="00530D57">
        <w:t>Luke Cunningham Cl</w:t>
      </w:r>
      <w:r w:rsidR="00F758E1" w:rsidRPr="00530D57">
        <w:t>e</w:t>
      </w:r>
      <w:r w:rsidRPr="00530D57">
        <w:t xml:space="preserve">re said it was “sensible” to limit hate crime offences to those proposed by </w:t>
      </w:r>
      <w:r w:rsidR="001E110B" w:rsidRPr="00530D57">
        <w:t xml:space="preserve">the </w:t>
      </w:r>
      <w:r w:rsidRPr="00530D57">
        <w:t>Royal Commission</w:t>
      </w:r>
      <w:r w:rsidR="00024F5C" w:rsidRPr="00530D57">
        <w:t>,</w:t>
      </w:r>
      <w:r w:rsidRPr="00530D57">
        <w:t xml:space="preserve"> which did not include murder. Graeme Edgeler </w:t>
      </w:r>
      <w:r w:rsidR="001515CE" w:rsidRPr="00530D57">
        <w:t>suggested</w:t>
      </w:r>
      <w:r w:rsidRPr="00530D57">
        <w:t xml:space="preserve"> that</w:t>
      </w:r>
      <w:r w:rsidR="001E110B" w:rsidRPr="00530D57">
        <w:t>, rather than</w:t>
      </w:r>
      <w:r w:rsidRPr="00530D57">
        <w:t xml:space="preserve"> a separate, hate-motivated offence of murder, the 17-year minimum </w:t>
      </w:r>
      <w:r w:rsidR="00420378">
        <w:t>period of</w:t>
      </w:r>
      <w:r w:rsidRPr="00530D57">
        <w:t xml:space="preserve"> imprisonment should apply </w:t>
      </w:r>
      <w:r w:rsidR="00305CF5" w:rsidRPr="00530D57">
        <w:t>automatically if</w:t>
      </w:r>
      <w:r w:rsidRPr="00530D57">
        <w:t xml:space="preserve"> a person was found guilty </w:t>
      </w:r>
      <w:r w:rsidR="008F62E5" w:rsidRPr="00530D57">
        <w:t>and</w:t>
      </w:r>
      <w:r w:rsidRPr="00530D57">
        <w:t xml:space="preserve"> hate motivation was an aggravating factor.</w:t>
      </w:r>
    </w:p>
    <w:p w14:paraId="3CBD9253" w14:textId="77777777" w:rsidR="00FC57D7" w:rsidRPr="00530D57" w:rsidRDefault="00FC57D7" w:rsidP="008A643E">
      <w:pPr>
        <w:pStyle w:val="Heading3"/>
      </w:pPr>
      <w:r w:rsidRPr="00530D57">
        <w:t>Other feedback</w:t>
      </w:r>
    </w:p>
    <w:p w14:paraId="02674196" w14:textId="2AEBF4E3" w:rsidR="002F649F" w:rsidRPr="00530D57" w:rsidRDefault="09BD8FA1" w:rsidP="00ED0B61">
      <w:pPr>
        <w:pStyle w:val="Numberedpara"/>
      </w:pPr>
      <w:r w:rsidRPr="00530D57">
        <w:t xml:space="preserve">Two submitters </w:t>
      </w:r>
      <w:r w:rsidR="1332AE02" w:rsidRPr="00530D57">
        <w:t xml:space="preserve">expressed concern that </w:t>
      </w:r>
      <w:r w:rsidR="1B5D3708" w:rsidRPr="00530D57">
        <w:t>offences involv</w:t>
      </w:r>
      <w:r w:rsidR="6EC031D0" w:rsidRPr="00530D57">
        <w:t>ing</w:t>
      </w:r>
      <w:r w:rsidR="1B5D3708" w:rsidRPr="00530D57">
        <w:t xml:space="preserve"> property damage</w:t>
      </w:r>
      <w:r w:rsidR="1332AE02" w:rsidRPr="00530D57">
        <w:t xml:space="preserve"> or </w:t>
      </w:r>
      <w:r w:rsidR="1B5D3708" w:rsidRPr="00530D57">
        <w:t xml:space="preserve">trespass </w:t>
      </w:r>
      <w:r w:rsidR="0C5B2A20" w:rsidRPr="00530D57">
        <w:t xml:space="preserve">often </w:t>
      </w:r>
      <w:r w:rsidR="207DA49D" w:rsidRPr="00530D57">
        <w:t>appl</w:t>
      </w:r>
      <w:r w:rsidR="6C1EFD94" w:rsidRPr="00530D57">
        <w:t>y</w:t>
      </w:r>
      <w:r w:rsidR="207DA49D" w:rsidRPr="00530D57">
        <w:t xml:space="preserve"> </w:t>
      </w:r>
      <w:r w:rsidR="0C5B2A20" w:rsidRPr="00530D57">
        <w:t>whe</w:t>
      </w:r>
      <w:r w:rsidR="6C1EFD94" w:rsidRPr="00530D57">
        <w:t>n</w:t>
      </w:r>
      <w:r w:rsidR="0C5B2A20" w:rsidRPr="00530D57">
        <w:t xml:space="preserve"> people</w:t>
      </w:r>
      <w:r w:rsidR="207DA49D" w:rsidRPr="00530D57">
        <w:t xml:space="preserve"> </w:t>
      </w:r>
      <w:r w:rsidR="25236AA1" w:rsidRPr="00530D57">
        <w:t>engage in legitimate</w:t>
      </w:r>
      <w:r w:rsidR="207DA49D" w:rsidRPr="00530D57">
        <w:t xml:space="preserve"> protest</w:t>
      </w:r>
      <w:r w:rsidR="01061A1A" w:rsidRPr="00530D57">
        <w:t xml:space="preserve"> action.</w:t>
      </w:r>
      <w:r w:rsidR="007678E5" w:rsidRPr="00530D57">
        <w:rPr>
          <w:rStyle w:val="FootnoteReference"/>
        </w:rPr>
        <w:footnoteReference w:id="418"/>
      </w:r>
      <w:r w:rsidR="01061A1A" w:rsidRPr="00530D57">
        <w:t xml:space="preserve"> </w:t>
      </w:r>
      <w:r w:rsidR="4302B7E6" w:rsidRPr="00530D57">
        <w:t xml:space="preserve">They </w:t>
      </w:r>
      <w:r w:rsidR="12EA9D22" w:rsidRPr="00530D57">
        <w:t>thought</w:t>
      </w:r>
      <w:r w:rsidR="4302B7E6" w:rsidRPr="00530D57">
        <w:t xml:space="preserve"> </w:t>
      </w:r>
      <w:r w:rsidR="47BBEAF9" w:rsidRPr="00530D57">
        <w:t xml:space="preserve">actions </w:t>
      </w:r>
      <w:r w:rsidR="4302B7E6" w:rsidRPr="00530D57">
        <w:t xml:space="preserve">in this context </w:t>
      </w:r>
      <w:r w:rsidR="47BBEAF9" w:rsidRPr="00530D57">
        <w:t xml:space="preserve">should </w:t>
      </w:r>
      <w:r w:rsidR="12EA9D22" w:rsidRPr="00530D57">
        <w:t xml:space="preserve">not </w:t>
      </w:r>
      <w:r w:rsidR="47BBEAF9" w:rsidRPr="00530D57">
        <w:t>be hate crime</w:t>
      </w:r>
      <w:r w:rsidR="32960204" w:rsidRPr="00530D57">
        <w:t>s</w:t>
      </w:r>
      <w:r w:rsidR="47BBEAF9" w:rsidRPr="00530D57">
        <w:t>.</w:t>
      </w:r>
    </w:p>
    <w:p w14:paraId="7947F362" w14:textId="11034CE0" w:rsidR="003F3212" w:rsidRPr="00530D57" w:rsidRDefault="00A65847" w:rsidP="002E2C3C">
      <w:pPr>
        <w:pStyle w:val="Heading2"/>
      </w:pPr>
      <w:bookmarkStart w:id="57" w:name="_Toc207093277"/>
      <w:r w:rsidRPr="00530D57">
        <w:t>K</w:t>
      </w:r>
      <w:r w:rsidR="003C1EB7" w:rsidRPr="00530D57">
        <w:t xml:space="preserve">eeping the sentence aggravation model if </w:t>
      </w:r>
      <w:r w:rsidRPr="00530D57">
        <w:t>a different</w:t>
      </w:r>
      <w:r w:rsidR="003C1EB7" w:rsidRPr="00530D57">
        <w:t xml:space="preserve"> model is adopted</w:t>
      </w:r>
      <w:bookmarkEnd w:id="57"/>
    </w:p>
    <w:p w14:paraId="56E6A6F4" w14:textId="65A92D93" w:rsidR="00A65847" w:rsidRPr="00530D57" w:rsidRDefault="00A65847" w:rsidP="00732B16">
      <w:pPr>
        <w:pStyle w:val="Numberedpara"/>
      </w:pPr>
      <w:r w:rsidRPr="00530D57">
        <w:t xml:space="preserve">In </w:t>
      </w:r>
      <w:r w:rsidR="00BC0526" w:rsidRPr="00530D57">
        <w:t>our</w:t>
      </w:r>
      <w:r w:rsidRPr="00530D57">
        <w:t xml:space="preserve"> Consultation Paper, we </w:t>
      </w:r>
      <w:r w:rsidR="00834FEB">
        <w:t>said</w:t>
      </w:r>
      <w:r w:rsidR="00833D5D" w:rsidRPr="00530D57">
        <w:t xml:space="preserve"> that if either of the alternative models were adopted</w:t>
      </w:r>
      <w:r w:rsidR="00683301" w:rsidRPr="00530D57">
        <w:t xml:space="preserve">, we would need to decide whether to keep the existing sentence aggravation model </w:t>
      </w:r>
      <w:r w:rsidR="00FD1A78" w:rsidRPr="00530D57">
        <w:t>(or an amended form</w:t>
      </w:r>
      <w:r w:rsidR="00983E34" w:rsidRPr="00530D57">
        <w:t xml:space="preserve"> of it</w:t>
      </w:r>
      <w:r w:rsidR="00FD1A78" w:rsidRPr="00530D57">
        <w:t xml:space="preserve">) or to replace it </w:t>
      </w:r>
      <w:r w:rsidR="001924DB" w:rsidRPr="00FE11FB">
        <w:t xml:space="preserve">completely. </w:t>
      </w:r>
      <w:r w:rsidR="00B01C5B" w:rsidRPr="00FE11FB">
        <w:t>Twenty submi</w:t>
      </w:r>
      <w:r w:rsidR="00B01C5B" w:rsidRPr="00530D57">
        <w:t>tters gave feedback on this issue.</w:t>
      </w:r>
    </w:p>
    <w:p w14:paraId="12D9C423" w14:textId="7C1ECE59" w:rsidR="00D4181A" w:rsidRPr="00530D57" w:rsidRDefault="004315F0" w:rsidP="00442340">
      <w:pPr>
        <w:pStyle w:val="Numberedpara"/>
      </w:pPr>
      <w:r>
        <w:t xml:space="preserve">Fourteen </w:t>
      </w:r>
      <w:r w:rsidR="135A06DF" w:rsidRPr="00530D57">
        <w:t xml:space="preserve">submitters said the sentence aggravation model should be </w:t>
      </w:r>
      <w:r w:rsidR="147706DA" w:rsidRPr="00530D57">
        <w:t>kept</w:t>
      </w:r>
      <w:r w:rsidR="135A06DF" w:rsidRPr="00530D57">
        <w:t>.</w:t>
      </w:r>
      <w:r w:rsidR="00297E84" w:rsidRPr="00530D57">
        <w:rPr>
          <w:rStyle w:val="FootnoteReference"/>
        </w:rPr>
        <w:footnoteReference w:id="419"/>
      </w:r>
      <w:r w:rsidR="135A06DF" w:rsidRPr="00530D57">
        <w:t xml:space="preserve"> </w:t>
      </w:r>
      <w:r w:rsidR="00456949">
        <w:t xml:space="preserve">Some </w:t>
      </w:r>
      <w:r w:rsidR="00E74C13">
        <w:t xml:space="preserve">of these submitters </w:t>
      </w:r>
      <w:r w:rsidR="00637D3E">
        <w:t xml:space="preserve">did not express </w:t>
      </w:r>
      <w:r w:rsidR="00A065D6">
        <w:t xml:space="preserve">which </w:t>
      </w:r>
      <w:r w:rsidR="00565DD2">
        <w:t xml:space="preserve">of the different </w:t>
      </w:r>
      <w:r w:rsidR="00A065D6">
        <w:t>model</w:t>
      </w:r>
      <w:r w:rsidR="00565DD2">
        <w:t>s</w:t>
      </w:r>
      <w:r w:rsidR="00A065D6">
        <w:t xml:space="preserve"> sentence agg</w:t>
      </w:r>
      <w:r w:rsidR="00D44602">
        <w:t>ravation should be retained alongside</w:t>
      </w:r>
      <w:r w:rsidR="00637D3E">
        <w:t xml:space="preserve"> but </w:t>
      </w:r>
      <w:r w:rsidR="009369C9">
        <w:t xml:space="preserve">generally </w:t>
      </w:r>
      <w:r w:rsidR="00637D3E">
        <w:t>favour</w:t>
      </w:r>
      <w:r w:rsidR="00062AEC">
        <w:t>ed</w:t>
      </w:r>
      <w:r w:rsidR="00637D3E">
        <w:t xml:space="preserve"> a </w:t>
      </w:r>
      <w:r w:rsidR="00F6700F">
        <w:t xml:space="preserve">flexible, </w:t>
      </w:r>
      <w:r w:rsidR="00637D3E">
        <w:t>compre</w:t>
      </w:r>
      <w:r w:rsidR="0011310B">
        <w:t>hensive approach</w:t>
      </w:r>
      <w:r w:rsidR="002E4875">
        <w:t>.</w:t>
      </w:r>
      <w:r w:rsidR="009B7BF8">
        <w:rPr>
          <w:rStyle w:val="FootnoteReference"/>
        </w:rPr>
        <w:footnoteReference w:id="420"/>
      </w:r>
      <w:r w:rsidR="00CC12DB">
        <w:t xml:space="preserve"> </w:t>
      </w:r>
      <w:r w:rsidR="0011310B">
        <w:t>Other</w:t>
      </w:r>
      <w:r w:rsidR="00E74C13">
        <w:t xml:space="preserve"> submitters</w:t>
      </w:r>
      <w:r w:rsidR="0011310B">
        <w:t xml:space="preserve"> </w:t>
      </w:r>
      <w:r w:rsidR="00051E55">
        <w:t>said that sentence aggravation should be kept</w:t>
      </w:r>
      <w:r w:rsidR="007B0E36">
        <w:t xml:space="preserve"> </w:t>
      </w:r>
      <w:r w:rsidR="00BD68BE">
        <w:t xml:space="preserve">only </w:t>
      </w:r>
      <w:r w:rsidR="00CF4289">
        <w:t>if</w:t>
      </w:r>
      <w:r w:rsidR="007B0E36">
        <w:t xml:space="preserve"> the specific offences model </w:t>
      </w:r>
      <w:r w:rsidR="00CF4289">
        <w:t>is adopted</w:t>
      </w:r>
      <w:r w:rsidR="00EB48D8">
        <w:t xml:space="preserve"> because it would</w:t>
      </w:r>
      <w:r w:rsidR="00145C23">
        <w:t xml:space="preserve"> </w:t>
      </w:r>
      <w:r w:rsidR="135A06DF" w:rsidRPr="00530D57">
        <w:t xml:space="preserve">address </w:t>
      </w:r>
      <w:r w:rsidR="005845E2">
        <w:t xml:space="preserve">circumstances </w:t>
      </w:r>
      <w:r w:rsidR="002C6923">
        <w:t xml:space="preserve">where </w:t>
      </w:r>
      <w:r w:rsidR="75076BC1" w:rsidRPr="00530D57">
        <w:t xml:space="preserve">there </w:t>
      </w:r>
      <w:r w:rsidR="00F34586">
        <w:t>is</w:t>
      </w:r>
      <w:r w:rsidR="00272990" w:rsidRPr="00530D57">
        <w:t xml:space="preserve"> </w:t>
      </w:r>
      <w:r w:rsidR="75076BC1" w:rsidRPr="00530D57">
        <w:t xml:space="preserve">no specific hate </w:t>
      </w:r>
      <w:r w:rsidR="222C4065" w:rsidRPr="00530D57">
        <w:t>offence.</w:t>
      </w:r>
      <w:r w:rsidR="00DA0A80">
        <w:rPr>
          <w:rStyle w:val="FootnoteReference"/>
        </w:rPr>
        <w:footnoteReference w:id="421"/>
      </w:r>
      <w:r w:rsidR="29B36BB6" w:rsidRPr="00530D57">
        <w:t xml:space="preserve"> </w:t>
      </w:r>
      <w:r w:rsidR="2548507A" w:rsidRPr="00530D57">
        <w:t xml:space="preserve">One </w:t>
      </w:r>
      <w:r w:rsidR="4457874D" w:rsidRPr="00530D57">
        <w:t xml:space="preserve">submitter </w:t>
      </w:r>
      <w:r w:rsidR="2548507A" w:rsidRPr="00530D57">
        <w:t xml:space="preserve">said </w:t>
      </w:r>
      <w:r w:rsidR="00FD6BBC">
        <w:t xml:space="preserve">sentence aggravation should be retained alongside specific </w:t>
      </w:r>
      <w:r w:rsidR="00FD6BBC">
        <w:lastRenderedPageBreak/>
        <w:t xml:space="preserve">offences because </w:t>
      </w:r>
      <w:r w:rsidR="3BD2371A" w:rsidRPr="00530D57">
        <w:t>it</w:t>
      </w:r>
      <w:r w:rsidR="2548507A" w:rsidRPr="00530D57">
        <w:t xml:space="preserve"> would </w:t>
      </w:r>
      <w:r w:rsidR="003064FC">
        <w:t>allow</w:t>
      </w:r>
      <w:r w:rsidR="00752FD3">
        <w:t xml:space="preserve"> </w:t>
      </w:r>
      <w:r w:rsidR="00ED263D">
        <w:t xml:space="preserve">direct comparison of </w:t>
      </w:r>
      <w:r w:rsidR="00A41596">
        <w:t xml:space="preserve">the </w:t>
      </w:r>
      <w:r w:rsidR="00ED263D">
        <w:t xml:space="preserve">two models to </w:t>
      </w:r>
      <w:r w:rsidR="003064FC">
        <w:t>see</w:t>
      </w:r>
      <w:r w:rsidR="2548507A" w:rsidRPr="00530D57">
        <w:t xml:space="preserve"> whether reform was successful</w:t>
      </w:r>
      <w:r w:rsidR="00250955">
        <w:t>.</w:t>
      </w:r>
      <w:r w:rsidR="2548507A" w:rsidRPr="00530D57">
        <w:t>.</w:t>
      </w:r>
      <w:r w:rsidR="001C1C98" w:rsidRPr="00530D57">
        <w:rPr>
          <w:rStyle w:val="FootnoteReference"/>
        </w:rPr>
        <w:footnoteReference w:id="422"/>
      </w:r>
      <w:r w:rsidR="24B44E09" w:rsidRPr="00530D57">
        <w:t xml:space="preserve"> </w:t>
      </w:r>
    </w:p>
    <w:p w14:paraId="26D68738" w14:textId="073640E0" w:rsidR="00297E84" w:rsidRPr="00530D57" w:rsidRDefault="00716DFB" w:rsidP="002F5E4F">
      <w:pPr>
        <w:pStyle w:val="Numberedpara"/>
      </w:pPr>
      <w:r>
        <w:t xml:space="preserve">Two submitters who favoured adopting the Scottish hybrid model said sentence aggravation </w:t>
      </w:r>
      <w:r w:rsidR="00026FB4">
        <w:t>should be kept</w:t>
      </w:r>
      <w:r w:rsidR="000377B7" w:rsidRPr="000377B7">
        <w:t xml:space="preserve"> </w:t>
      </w:r>
      <w:r w:rsidR="000377B7">
        <w:t>alongside it</w:t>
      </w:r>
      <w:r w:rsidR="003F6C7B">
        <w:t>.</w:t>
      </w:r>
      <w:r w:rsidR="00D94127">
        <w:rPr>
          <w:rStyle w:val="FootnoteReference"/>
        </w:rPr>
        <w:footnoteReference w:id="423"/>
      </w:r>
      <w:r w:rsidR="00911A79">
        <w:t xml:space="preserve"> </w:t>
      </w:r>
      <w:r w:rsidR="008D11B8">
        <w:t>Other s</w:t>
      </w:r>
      <w:r w:rsidR="00B211E2">
        <w:t xml:space="preserve">ubmitters </w:t>
      </w:r>
      <w:r w:rsidR="00DB4956">
        <w:t xml:space="preserve">however </w:t>
      </w:r>
      <w:r w:rsidR="000377B7">
        <w:t>remarked</w:t>
      </w:r>
      <w:r w:rsidR="000377B7" w:rsidDel="000377B7">
        <w:t xml:space="preserve"> </w:t>
      </w:r>
      <w:r w:rsidR="00B211E2">
        <w:t>on the disadvantage</w:t>
      </w:r>
      <w:r w:rsidR="00B034C1">
        <w:t>s</w:t>
      </w:r>
      <w:r w:rsidR="00B211E2">
        <w:t xml:space="preserve"> of </w:t>
      </w:r>
      <w:r w:rsidR="00D407B1">
        <w:t>this approach</w:t>
      </w:r>
      <w:r w:rsidR="008D7574">
        <w:t xml:space="preserve">. </w:t>
      </w:r>
      <w:r w:rsidR="00BC5FC8" w:rsidRPr="00530D57">
        <w:t xml:space="preserve">The </w:t>
      </w:r>
      <w:r w:rsidR="009531AF" w:rsidRPr="00530D57">
        <w:t>New Zealand Law Society</w:t>
      </w:r>
      <w:r w:rsidR="00BC5FC8" w:rsidRPr="00530D57">
        <w:t xml:space="preserve"> said operating the</w:t>
      </w:r>
      <w:r w:rsidR="00C66292" w:rsidRPr="00530D57">
        <w:t>se</w:t>
      </w:r>
      <w:r w:rsidR="00BC5FC8" w:rsidRPr="00530D57">
        <w:t xml:space="preserve"> </w:t>
      </w:r>
      <w:r w:rsidR="00C66292" w:rsidRPr="00530D57">
        <w:t>models</w:t>
      </w:r>
      <w:r w:rsidR="00BC5FC8" w:rsidRPr="00530D57">
        <w:t xml:space="preserve"> in tandem </w:t>
      </w:r>
      <w:r w:rsidR="00A36C01">
        <w:t>“risks excessive complexity</w:t>
      </w:r>
      <w:r w:rsidR="00CC2992">
        <w:t>”</w:t>
      </w:r>
      <w:r w:rsidR="000A10E7" w:rsidRPr="00530D57">
        <w:t>.</w:t>
      </w:r>
      <w:r w:rsidR="00BC5FC8" w:rsidRPr="00530D57">
        <w:t xml:space="preserve"> </w:t>
      </w:r>
      <w:r w:rsidR="00C36EF6">
        <w:t>The Law Association of New Zealand Criminal Law Committee</w:t>
      </w:r>
      <w:r w:rsidR="00A30470" w:rsidRPr="00530D57">
        <w:t xml:space="preserve"> </w:t>
      </w:r>
      <w:r w:rsidR="00BA6567" w:rsidRPr="00530D57">
        <w:t xml:space="preserve">said </w:t>
      </w:r>
      <w:r w:rsidR="00091F4F" w:rsidRPr="00530D57">
        <w:t>i</w:t>
      </w:r>
      <w:r w:rsidR="00933CE7" w:rsidRPr="00530D57">
        <w:t xml:space="preserve">t would </w:t>
      </w:r>
      <w:r w:rsidR="00E870F4">
        <w:t xml:space="preserve">undermine the Scottish hybrid model </w:t>
      </w:r>
      <w:r w:rsidR="00C84040">
        <w:t xml:space="preserve">because </w:t>
      </w:r>
      <w:r w:rsidR="00164126">
        <w:t xml:space="preserve">it would </w:t>
      </w:r>
      <w:r w:rsidR="00BA6567" w:rsidRPr="00530D57">
        <w:t xml:space="preserve">disincentivise prosecutors </w:t>
      </w:r>
      <w:r w:rsidR="00933CE7" w:rsidRPr="00530D57">
        <w:t>from</w:t>
      </w:r>
      <w:r w:rsidR="00091F4F" w:rsidRPr="00530D57">
        <w:t xml:space="preserve"> considering</w:t>
      </w:r>
      <w:r w:rsidR="00933CE7" w:rsidRPr="00530D57">
        <w:t xml:space="preserve"> </w:t>
      </w:r>
      <w:r w:rsidR="00BA6567" w:rsidRPr="00530D57">
        <w:t xml:space="preserve">hate motivation </w:t>
      </w:r>
      <w:r w:rsidR="00B80092">
        <w:t>at</w:t>
      </w:r>
      <w:r w:rsidR="00BA6567" w:rsidRPr="00530D57">
        <w:t xml:space="preserve"> </w:t>
      </w:r>
      <w:r w:rsidR="00E30FF0">
        <w:t xml:space="preserve">the </w:t>
      </w:r>
      <w:r w:rsidR="00BA6567" w:rsidRPr="00530D57">
        <w:t xml:space="preserve">outset of proceedings. </w:t>
      </w:r>
    </w:p>
    <w:p w14:paraId="0F0E3794" w14:textId="304BE1BD" w:rsidR="00297E84" w:rsidRPr="00530D57" w:rsidRDefault="135A06DF" w:rsidP="002F5E4F">
      <w:pPr>
        <w:pStyle w:val="Numberedpara"/>
      </w:pPr>
      <w:r w:rsidRPr="00530D57">
        <w:t xml:space="preserve">Four submitters said that sentence aggravation should not be </w:t>
      </w:r>
      <w:r w:rsidR="204DCC32" w:rsidRPr="00530D57">
        <w:t>kept</w:t>
      </w:r>
      <w:r w:rsidR="235B3BDF" w:rsidRPr="00530D57">
        <w:t xml:space="preserve"> regardless of the mode</w:t>
      </w:r>
      <w:r w:rsidR="7840A48B" w:rsidRPr="00530D57">
        <w:t>l adopted</w:t>
      </w:r>
      <w:r w:rsidRPr="00530D57">
        <w:t>.</w:t>
      </w:r>
      <w:r w:rsidR="00297E84" w:rsidRPr="00530D57">
        <w:rPr>
          <w:rStyle w:val="FootnoteReference"/>
        </w:rPr>
        <w:footnoteReference w:id="424"/>
      </w:r>
      <w:r w:rsidRPr="00530D57">
        <w:t xml:space="preserve"> </w:t>
      </w:r>
      <w:r w:rsidR="1279EE81" w:rsidRPr="00530D57">
        <w:t>They</w:t>
      </w:r>
      <w:r w:rsidRPr="00530D57">
        <w:t xml:space="preserve"> </w:t>
      </w:r>
      <w:r w:rsidR="1279EE81" w:rsidRPr="00530D57">
        <w:t xml:space="preserve">said </w:t>
      </w:r>
      <w:r w:rsidRPr="00530D57">
        <w:t xml:space="preserve">it was </w:t>
      </w:r>
      <w:r w:rsidR="5255CA1A" w:rsidRPr="00530D57">
        <w:t xml:space="preserve">either </w:t>
      </w:r>
      <w:r w:rsidRPr="00530D57">
        <w:t>unnecessary or too complex.</w:t>
      </w:r>
      <w:r w:rsidR="004C447A">
        <w:t xml:space="preserve"> Luke Cunningham Clere did not </w:t>
      </w:r>
      <w:r w:rsidR="0066370C">
        <w:t xml:space="preserve">express a clear position but </w:t>
      </w:r>
      <w:r w:rsidR="00643138">
        <w:t xml:space="preserve">said there may be procedural fairness concerns raised </w:t>
      </w:r>
      <w:r w:rsidR="00270955">
        <w:t xml:space="preserve">if the Crown could choose to prove hate motivation at trial or sentencing. </w:t>
      </w:r>
    </w:p>
    <w:p w14:paraId="388C1454" w14:textId="77777777" w:rsidR="00BA6F32" w:rsidRPr="00530D57" w:rsidRDefault="00BA6F32" w:rsidP="006E6841"/>
    <w:p w14:paraId="3FBBE18C" w14:textId="77777777" w:rsidR="00DA206E" w:rsidRPr="00530D57" w:rsidRDefault="00DA206E" w:rsidP="006E6841">
      <w:pPr>
        <w:sectPr w:rsidR="00DA206E" w:rsidRPr="00530D57" w:rsidSect="004E3A8E">
          <w:pgSz w:w="11906" w:h="16838" w:code="9"/>
          <w:pgMar w:top="1134" w:right="1134" w:bottom="1134" w:left="1701" w:header="499" w:footer="499" w:gutter="0"/>
          <w:cols w:space="720"/>
          <w:noEndnote/>
        </w:sectPr>
      </w:pPr>
    </w:p>
    <w:p w14:paraId="31093DA5" w14:textId="69BE5879" w:rsidR="00C22E37" w:rsidRPr="00530D57" w:rsidRDefault="00475488" w:rsidP="001D5A00">
      <w:pPr>
        <w:pStyle w:val="Heading1nonum"/>
        <w:spacing w:before="480"/>
        <w:sectPr w:rsidR="00C22E37" w:rsidRPr="00530D57" w:rsidSect="00C22E37">
          <w:pgSz w:w="11906" w:h="16838" w:code="9"/>
          <w:pgMar w:top="1134" w:right="1134" w:bottom="1134" w:left="1701" w:header="499" w:footer="499" w:gutter="0"/>
          <w:cols w:space="720"/>
          <w:noEndnote/>
        </w:sectPr>
      </w:pPr>
      <w:bookmarkStart w:id="58" w:name="_Toc207093278"/>
      <w:r w:rsidRPr="00530D57">
        <w:lastRenderedPageBreak/>
        <w:t xml:space="preserve">Appendix </w:t>
      </w:r>
      <w:r w:rsidR="008708CD" w:rsidRPr="00530D57">
        <w:t>1</w:t>
      </w:r>
      <w:r w:rsidRPr="00530D57">
        <w:t xml:space="preserve">: </w:t>
      </w:r>
      <w:r w:rsidR="000D5216">
        <w:t>L</w:t>
      </w:r>
      <w:r w:rsidR="0015642A">
        <w:t xml:space="preserve">ist of </w:t>
      </w:r>
      <w:r w:rsidR="00A43986" w:rsidRPr="00530D57">
        <w:t>submitters</w:t>
      </w:r>
      <w:bookmarkEnd w:id="58"/>
    </w:p>
    <w:p w14:paraId="571F3E77" w14:textId="39E7396A" w:rsidR="001D5A00" w:rsidRDefault="001D5A00" w:rsidP="001D5A00">
      <w:r w:rsidRPr="00530D57">
        <w:rPr>
          <w:rFonts w:asciiTheme="minorHAnsi" w:hAnsiTheme="minorHAnsi"/>
          <w:noProof/>
          <w:lang w:eastAsia="en-NZ"/>
        </w:rPr>
        <mc:AlternateContent>
          <mc:Choice Requires="wpg">
            <w:drawing>
              <wp:anchor distT="0" distB="0" distL="114300" distR="114300" simplePos="0" relativeHeight="251658253" behindDoc="1" locked="0" layoutInCell="1" allowOverlap="1" wp14:anchorId="7692613C" wp14:editId="36B16DFC">
                <wp:simplePos x="0" y="0"/>
                <wp:positionH relativeFrom="page">
                  <wp:posOffset>1080135</wp:posOffset>
                </wp:positionH>
                <wp:positionV relativeFrom="paragraph">
                  <wp:posOffset>42478</wp:posOffset>
                </wp:positionV>
                <wp:extent cx="1332230" cy="1270"/>
                <wp:effectExtent l="0" t="19050" r="20320" b="17780"/>
                <wp:wrapNone/>
                <wp:docPr id="537417454" name="Group 537417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417" y="535"/>
                          <a:chExt cx="2098" cy="2"/>
                        </a:xfrm>
                      </wpg:grpSpPr>
                      <wps:wsp>
                        <wps:cNvPr id="904698419" name="Freeform 3"/>
                        <wps:cNvSpPr>
                          <a:spLocks/>
                        </wps:cNvSpPr>
                        <wps:spPr bwMode="auto">
                          <a:xfrm>
                            <a:off x="1417" y="535"/>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73AB6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0A9C60" id="Group 537417454" o:spid="_x0000_s1026" style="position:absolute;margin-left:85.05pt;margin-top:3.35pt;width:104.9pt;height:.1pt;z-index:-251658227;mso-position-horizontal-relative:page" coordorigin="1417,535"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">
                <v:shape id="Freeform 3" o:spid="_x0000_s1027" style="position:absolute;left:1417;top:535;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" path="m,l2098,e" filled="f" strokecolor="#73ab6e" strokeweight="3pt">
                  <v:path arrowok="t" o:connecttype="custom" o:connectlocs="0,0;2098,0" o:connectangles="0,0"/>
                </v:shape>
                <w10:wrap anchorx="page"/>
              </v:group>
            </w:pict>
          </mc:Fallback>
        </mc:AlternateContent>
      </w:r>
    </w:p>
    <w:p w14:paraId="25549BBC" w14:textId="77777777" w:rsidR="001D5A00" w:rsidRDefault="001D5A00" w:rsidP="001D5A00"/>
    <w:p w14:paraId="3A9AE078" w14:textId="1993D356" w:rsidR="00A863BC" w:rsidRPr="00530D57" w:rsidRDefault="00D36FB6" w:rsidP="00D36FB6">
      <w:pPr>
        <w:pStyle w:val="Heading2"/>
      </w:pPr>
      <w:bookmarkStart w:id="59" w:name="_Toc206755202"/>
      <w:bookmarkStart w:id="60" w:name="_Toc207093279"/>
      <w:r w:rsidRPr="00530D57">
        <w:t>Individuals</w:t>
      </w:r>
      <w:bookmarkEnd w:id="59"/>
      <w:bookmarkEnd w:id="60"/>
    </w:p>
    <w:p w14:paraId="5558304A" w14:textId="2B1E0B0E" w:rsidR="00835529" w:rsidRPr="00530D57" w:rsidRDefault="00835529" w:rsidP="007A0A8A">
      <w:r w:rsidRPr="00530D57">
        <w:t>Madeline Ash</w:t>
      </w:r>
    </w:p>
    <w:p w14:paraId="33416EE2" w14:textId="77777777" w:rsidR="00835529" w:rsidRPr="00530D57" w:rsidRDefault="00835529" w:rsidP="007A0A8A">
      <w:r w:rsidRPr="00530D57">
        <w:t>George Balani</w:t>
      </w:r>
    </w:p>
    <w:p w14:paraId="09954077" w14:textId="77777777" w:rsidR="00835529" w:rsidRPr="00530D57" w:rsidRDefault="00835529" w:rsidP="007A0A8A">
      <w:r w:rsidRPr="00530D57">
        <w:t>Kevin Bird</w:t>
      </w:r>
    </w:p>
    <w:p w14:paraId="5AB4955F" w14:textId="354E6AA3" w:rsidR="00835529" w:rsidRPr="00530D57" w:rsidRDefault="00C36EF6" w:rsidP="007A0A8A">
      <w:r>
        <w:t>Dr David Bromell</w:t>
      </w:r>
    </w:p>
    <w:p w14:paraId="5CD347FC" w14:textId="77777777" w:rsidR="00835529" w:rsidRPr="00530D57" w:rsidRDefault="00835529" w:rsidP="007A0A8A">
      <w:r w:rsidRPr="00530D57">
        <w:t>Grace Carroll</w:t>
      </w:r>
    </w:p>
    <w:p w14:paraId="307D6CA8" w14:textId="77777777" w:rsidR="00835529" w:rsidRPr="00530D57" w:rsidRDefault="00835529" w:rsidP="007A0A8A">
      <w:r w:rsidRPr="00530D57">
        <w:t>Trevor Dance</w:t>
      </w:r>
    </w:p>
    <w:p w14:paraId="2BC47918" w14:textId="77777777" w:rsidR="00835529" w:rsidRPr="00530D57" w:rsidRDefault="00835529" w:rsidP="007A0A8A">
      <w:r w:rsidRPr="00530D57">
        <w:t>Gary Durey</w:t>
      </w:r>
    </w:p>
    <w:p w14:paraId="2B66508E" w14:textId="77777777" w:rsidR="00835529" w:rsidRPr="00530D57" w:rsidRDefault="00835529" w:rsidP="007A0A8A">
      <w:r w:rsidRPr="00530D57">
        <w:t>Graeme Edgeler</w:t>
      </w:r>
    </w:p>
    <w:p w14:paraId="0F2D3254" w14:textId="77777777" w:rsidR="00835529" w:rsidRPr="00530D57" w:rsidRDefault="00835529" w:rsidP="007A0A8A">
      <w:r w:rsidRPr="00530D57">
        <w:t>Clive Elliot KC</w:t>
      </w:r>
    </w:p>
    <w:p w14:paraId="53F072B7" w14:textId="77777777" w:rsidR="00835529" w:rsidRPr="00530D57" w:rsidRDefault="00835529" w:rsidP="007A0A8A">
      <w:r w:rsidRPr="00530D57">
        <w:t>David F</w:t>
      </w:r>
    </w:p>
    <w:p w14:paraId="71171D29" w14:textId="77777777" w:rsidR="00835529" w:rsidRPr="00530D57" w:rsidRDefault="00835529" w:rsidP="007A0A8A">
      <w:r w:rsidRPr="00530D57">
        <w:t>Michael Fitzgerald</w:t>
      </w:r>
    </w:p>
    <w:p w14:paraId="1EC69C1E" w14:textId="77777777" w:rsidR="00835529" w:rsidRPr="00530D57" w:rsidRDefault="00835529" w:rsidP="007A0A8A">
      <w:r w:rsidRPr="00530D57">
        <w:t>Ken Gorbey</w:t>
      </w:r>
    </w:p>
    <w:p w14:paraId="445FE5DE" w14:textId="77777777" w:rsidR="00835529" w:rsidRPr="00530D57" w:rsidRDefault="00835529" w:rsidP="007A0A8A">
      <w:r w:rsidRPr="00530D57">
        <w:t>M Guenole</w:t>
      </w:r>
    </w:p>
    <w:p w14:paraId="5E9D7686" w14:textId="77777777" w:rsidR="00835529" w:rsidRPr="00530D57" w:rsidRDefault="00835529" w:rsidP="007A0A8A">
      <w:r w:rsidRPr="00530D57">
        <w:t>Dr David Harvey</w:t>
      </w:r>
    </w:p>
    <w:p w14:paraId="59D8CF11" w14:textId="77777777" w:rsidR="00835529" w:rsidRPr="00530D57" w:rsidRDefault="00835529" w:rsidP="007A0A8A">
      <w:r w:rsidRPr="00530D57">
        <w:t>Dr Sanjana Hattotuwa</w:t>
      </w:r>
    </w:p>
    <w:p w14:paraId="45A06295" w14:textId="77777777" w:rsidR="00835529" w:rsidRPr="00530D57" w:rsidRDefault="00835529" w:rsidP="007A0A8A">
      <w:r w:rsidRPr="00530D57">
        <w:t>Russell Hoban</w:t>
      </w:r>
    </w:p>
    <w:p w14:paraId="148444D9" w14:textId="77777777" w:rsidR="00835529" w:rsidRPr="00530D57" w:rsidRDefault="00835529" w:rsidP="007A0A8A">
      <w:r w:rsidRPr="00530D57">
        <w:t>Brian Jones</w:t>
      </w:r>
    </w:p>
    <w:p w14:paraId="2E0BCE12" w14:textId="77777777" w:rsidR="00835529" w:rsidRPr="00530D57" w:rsidRDefault="00835529" w:rsidP="007A0A8A">
      <w:r w:rsidRPr="00530D57">
        <w:t>Ruth Jones</w:t>
      </w:r>
    </w:p>
    <w:p w14:paraId="4F2611EF" w14:textId="77777777" w:rsidR="00835529" w:rsidRPr="00530D57" w:rsidRDefault="00835529" w:rsidP="007A0A8A">
      <w:r w:rsidRPr="00530D57">
        <w:t>Karun Lakshman</w:t>
      </w:r>
    </w:p>
    <w:p w14:paraId="028AEB86" w14:textId="77777777" w:rsidR="00835529" w:rsidRPr="00530D57" w:rsidRDefault="00835529" w:rsidP="007A0A8A">
      <w:r w:rsidRPr="00530D57">
        <w:t>Rex Landy</w:t>
      </w:r>
    </w:p>
    <w:p w14:paraId="267A2429" w14:textId="77777777" w:rsidR="00835529" w:rsidRPr="00530D57" w:rsidRDefault="00835529" w:rsidP="007A0A8A">
      <w:r w:rsidRPr="00530D57">
        <w:t>Maire Leadbeater</w:t>
      </w:r>
    </w:p>
    <w:p w14:paraId="36CA0061" w14:textId="77777777" w:rsidR="00835529" w:rsidRPr="00530D57" w:rsidRDefault="00835529" w:rsidP="007A0A8A">
      <w:r w:rsidRPr="00530D57">
        <w:t>David Le Breton</w:t>
      </w:r>
    </w:p>
    <w:p w14:paraId="7E7D5EA7" w14:textId="77777777" w:rsidR="00835529" w:rsidRPr="002942E0" w:rsidRDefault="00835529" w:rsidP="007A0A8A">
      <w:pPr>
        <w:rPr>
          <w:szCs w:val="20"/>
        </w:rPr>
      </w:pPr>
      <w:r w:rsidRPr="00530D57">
        <w:t xml:space="preserve">Richard Lillywhite </w:t>
      </w:r>
    </w:p>
    <w:p w14:paraId="4B86433E" w14:textId="77777777" w:rsidR="00835529" w:rsidRPr="00530D57" w:rsidRDefault="00835529" w:rsidP="007A0A8A">
      <w:r w:rsidRPr="00530D57">
        <w:t>Amos Mann</w:t>
      </w:r>
    </w:p>
    <w:p w14:paraId="7C973617" w14:textId="77777777" w:rsidR="00B42F4A" w:rsidRPr="00530D57" w:rsidRDefault="00835529" w:rsidP="007A0A8A">
      <w:r w:rsidRPr="00530D57">
        <w:t>Andrew Marchant</w:t>
      </w:r>
    </w:p>
    <w:p w14:paraId="2595E27E" w14:textId="67CB4807" w:rsidR="00835529" w:rsidRPr="00530D57" w:rsidRDefault="00835529" w:rsidP="007A0A8A">
      <w:r w:rsidRPr="00530D57">
        <w:t>Dr Kyle R Matthews</w:t>
      </w:r>
    </w:p>
    <w:p w14:paraId="021EBE3D" w14:textId="77777777" w:rsidR="00835529" w:rsidRPr="00530D57" w:rsidRDefault="00835529" w:rsidP="007A0A8A">
      <w:r w:rsidRPr="00530D57">
        <w:t>Dr John McDonald-Wharry</w:t>
      </w:r>
    </w:p>
    <w:p w14:paraId="7BBD31D4" w14:textId="77777777" w:rsidR="00BE49AF" w:rsidRDefault="00BE49AF" w:rsidP="007A0A8A"/>
    <w:p w14:paraId="046BD35E" w14:textId="77777777" w:rsidR="00BE49AF" w:rsidRDefault="00BE49AF" w:rsidP="007A0A8A"/>
    <w:p w14:paraId="6C84AE8C" w14:textId="77777777" w:rsidR="00BE49AF" w:rsidRDefault="00BE49AF" w:rsidP="007A0A8A"/>
    <w:p w14:paraId="79CB0152" w14:textId="77777777" w:rsidR="00BE49AF" w:rsidRDefault="00BE49AF" w:rsidP="007A0A8A"/>
    <w:p w14:paraId="1142BBE3" w14:textId="77777777" w:rsidR="00EE0258" w:rsidRDefault="00EE0258" w:rsidP="007A0A8A"/>
    <w:p w14:paraId="7074E20E" w14:textId="34FE0CED" w:rsidR="00835529" w:rsidRPr="00530D57" w:rsidRDefault="00835529" w:rsidP="007A0A8A">
      <w:r w:rsidRPr="00530D57">
        <w:t>Murray Merriman</w:t>
      </w:r>
    </w:p>
    <w:p w14:paraId="4F112042" w14:textId="4E69FA07" w:rsidR="00835529" w:rsidRPr="00530D57" w:rsidRDefault="00835529" w:rsidP="007A0A8A">
      <w:r w:rsidRPr="00530D57">
        <w:t>Graeme Minchin</w:t>
      </w:r>
    </w:p>
    <w:p w14:paraId="6CFEDC0B" w14:textId="77777777" w:rsidR="00835529" w:rsidRPr="00530D57" w:rsidRDefault="00835529" w:rsidP="007A0A8A">
      <w:r w:rsidRPr="00530D57">
        <w:t>Tim O'Sullivan</w:t>
      </w:r>
    </w:p>
    <w:p w14:paraId="77B693BD" w14:textId="4B28782D" w:rsidR="00A45841" w:rsidRPr="00530D57" w:rsidRDefault="00A45841" w:rsidP="007A0A8A">
      <w:r w:rsidRPr="00530D57">
        <w:t>Roelie van Rijs</w:t>
      </w:r>
    </w:p>
    <w:p w14:paraId="2567A4A0" w14:textId="4460236F" w:rsidR="00A45841" w:rsidRPr="00530D57" w:rsidRDefault="00A45841" w:rsidP="007A0A8A">
      <w:r w:rsidRPr="00530D57">
        <w:t>Greg Rzesniowiecki</w:t>
      </w:r>
    </w:p>
    <w:p w14:paraId="125588F1" w14:textId="77777777" w:rsidR="00835529" w:rsidRPr="00530D57" w:rsidRDefault="00835529" w:rsidP="007A0A8A">
      <w:r w:rsidRPr="00530D57">
        <w:t>Murray Stirling</w:t>
      </w:r>
    </w:p>
    <w:p w14:paraId="44ABC17D" w14:textId="6CF5A4D5" w:rsidR="006C5857" w:rsidRPr="00530D57" w:rsidRDefault="00835529" w:rsidP="007A0A8A">
      <w:r w:rsidRPr="00530D57">
        <w:t>Dr Mark Walters</w:t>
      </w:r>
    </w:p>
    <w:p w14:paraId="0A75F1A9" w14:textId="39B3E02C" w:rsidR="00835529" w:rsidRPr="002942E0" w:rsidRDefault="00835529" w:rsidP="007A0A8A">
      <w:pPr>
        <w:rPr>
          <w:szCs w:val="20"/>
        </w:rPr>
      </w:pPr>
      <w:r w:rsidRPr="00530D57">
        <w:t>Fergus Wheeler</w:t>
      </w:r>
    </w:p>
    <w:p w14:paraId="69C4A21B" w14:textId="77777777" w:rsidR="00835529" w:rsidRPr="00530D57" w:rsidRDefault="00835529" w:rsidP="007A0A8A">
      <w:r w:rsidRPr="00530D57">
        <w:t>Don Whitfield</w:t>
      </w:r>
    </w:p>
    <w:p w14:paraId="378BCB1D" w14:textId="77777777" w:rsidR="00835529" w:rsidRPr="00530D57" w:rsidRDefault="00835529" w:rsidP="007A0A8A">
      <w:r w:rsidRPr="00530D57">
        <w:t>Tamsen Williams</w:t>
      </w:r>
    </w:p>
    <w:p w14:paraId="08FBE131" w14:textId="77777777" w:rsidR="00835529" w:rsidRPr="00530D57" w:rsidRDefault="00835529" w:rsidP="007A0A8A">
      <w:r w:rsidRPr="00530D57">
        <w:t>Peter Williamson</w:t>
      </w:r>
    </w:p>
    <w:p w14:paraId="41FADD7B" w14:textId="77777777" w:rsidR="00835529" w:rsidRPr="00530D57" w:rsidRDefault="00835529" w:rsidP="007A0A8A">
      <w:r w:rsidRPr="00530D57">
        <w:t>Dr Chris Wilson</w:t>
      </w:r>
    </w:p>
    <w:p w14:paraId="500F98DD" w14:textId="77777777" w:rsidR="00835529" w:rsidRPr="00530D57" w:rsidRDefault="00835529" w:rsidP="007A0A8A">
      <w:r w:rsidRPr="00530D57">
        <w:t>Rod Young</w:t>
      </w:r>
    </w:p>
    <w:p w14:paraId="6FD2C253" w14:textId="77777777" w:rsidR="00116CED" w:rsidRPr="00530D57" w:rsidRDefault="00116CED" w:rsidP="000F0260"/>
    <w:p w14:paraId="0F52474C" w14:textId="0B7C4911" w:rsidR="00116CED" w:rsidRPr="00530D57" w:rsidRDefault="003302C0" w:rsidP="000F0260">
      <w:r w:rsidRPr="00530D57">
        <w:t xml:space="preserve">We have withheld the names of </w:t>
      </w:r>
      <w:r w:rsidR="398B1998">
        <w:t>30</w:t>
      </w:r>
      <w:r w:rsidR="00116CED" w:rsidRPr="00530D57">
        <w:t xml:space="preserve"> </w:t>
      </w:r>
      <w:r w:rsidR="00E94D2A">
        <w:t xml:space="preserve">additional </w:t>
      </w:r>
      <w:r w:rsidR="006459A9" w:rsidRPr="00530D57">
        <w:t>individual</w:t>
      </w:r>
      <w:r w:rsidR="00E532A9">
        <w:t xml:space="preserve"> submitters</w:t>
      </w:r>
      <w:r w:rsidR="006459A9" w:rsidRPr="00530D57">
        <w:t xml:space="preserve"> </w:t>
      </w:r>
      <w:r w:rsidRPr="00530D57">
        <w:t xml:space="preserve">and refer to </w:t>
      </w:r>
      <w:r w:rsidR="00B430FC" w:rsidRPr="00530D57">
        <w:t>them</w:t>
      </w:r>
      <w:r w:rsidR="005E1E56" w:rsidRPr="00530D57">
        <w:t xml:space="preserve"> by submission number</w:t>
      </w:r>
      <w:r w:rsidR="00116CED" w:rsidRPr="00530D57">
        <w:t>.</w:t>
      </w:r>
    </w:p>
    <w:p w14:paraId="3B95A1DF" w14:textId="69C24F3E" w:rsidR="007E0671" w:rsidRPr="00530D57" w:rsidRDefault="00D36FB6" w:rsidP="00D36FB6">
      <w:pPr>
        <w:pStyle w:val="Heading2"/>
      </w:pPr>
      <w:bookmarkStart w:id="61" w:name="_Toc206755203"/>
      <w:bookmarkStart w:id="62" w:name="_Toc207093280"/>
      <w:r w:rsidRPr="00530D57">
        <w:t>Organisations</w:t>
      </w:r>
      <w:bookmarkEnd w:id="61"/>
      <w:bookmarkEnd w:id="62"/>
    </w:p>
    <w:p w14:paraId="7C4CCFA1" w14:textId="6A02D39F" w:rsidR="00D36FB6" w:rsidRPr="00530D57" w:rsidRDefault="00D36FB6" w:rsidP="007A0A8A">
      <w:bookmarkStart w:id="63" w:name="_Hlk205141282"/>
      <w:r w:rsidRPr="00530D57">
        <w:t xml:space="preserve">Annette Sykes </w:t>
      </w:r>
      <w:r w:rsidR="00A83D4D" w:rsidRPr="00530D57">
        <w:t>&amp; Co</w:t>
      </w:r>
      <w:bookmarkEnd w:id="63"/>
    </w:p>
    <w:p w14:paraId="29C6460E" w14:textId="77777777" w:rsidR="00D36FB6" w:rsidRPr="00530D57" w:rsidRDefault="00D36FB6" w:rsidP="007A0A8A">
      <w:r w:rsidRPr="00530D57">
        <w:t>Destiny New Zealand</w:t>
      </w:r>
    </w:p>
    <w:p w14:paraId="367A5696" w14:textId="591B50E2" w:rsidR="00D36FB6" w:rsidRPr="00530D57" w:rsidRDefault="00D36FB6" w:rsidP="007A0A8A">
      <w:r w:rsidRPr="00530D57">
        <w:t>Disabled Persons Assembly and VisAble</w:t>
      </w:r>
      <w:r w:rsidR="006C5857" w:rsidRPr="00530D57">
        <w:t xml:space="preserve"> (joint submission)</w:t>
      </w:r>
    </w:p>
    <w:p w14:paraId="0E58879F" w14:textId="77777777" w:rsidR="00D36FB6" w:rsidRPr="00530D57" w:rsidRDefault="00D36FB6" w:rsidP="007A0A8A">
      <w:r w:rsidRPr="00530D57">
        <w:t>Donald Beasley Institute and People First New Zealand (joint submission)</w:t>
      </w:r>
    </w:p>
    <w:p w14:paraId="75578B0B" w14:textId="77777777" w:rsidR="00D36FB6" w:rsidRPr="00530D57" w:rsidRDefault="00D36FB6" w:rsidP="007A0A8A">
      <w:r w:rsidRPr="00530D57">
        <w:t>Family First</w:t>
      </w:r>
    </w:p>
    <w:p w14:paraId="3A7E0C3F" w14:textId="77777777" w:rsidR="00D36FB6" w:rsidRPr="00530D57" w:rsidRDefault="00D36FB6" w:rsidP="007A0A8A">
      <w:r w:rsidRPr="00530D57">
        <w:t>Grey Power New Zealand</w:t>
      </w:r>
    </w:p>
    <w:p w14:paraId="10A8B26B" w14:textId="087D3903" w:rsidR="00D36FB6" w:rsidRPr="00530D57" w:rsidRDefault="00D36FB6" w:rsidP="007A0A8A">
      <w:r w:rsidRPr="00530D57">
        <w:t>Inclusive Aotearoa Collective Tāhono</w:t>
      </w:r>
    </w:p>
    <w:p w14:paraId="32D16B12" w14:textId="1FB9805B" w:rsidR="00D36FB6" w:rsidRPr="00530D57" w:rsidRDefault="00D36FB6" w:rsidP="007A0A8A">
      <w:r w:rsidRPr="00530D57">
        <w:lastRenderedPageBreak/>
        <w:t>Justice for Palestine, Alternative Jewish Voices and Dayenu (joint submission)</w:t>
      </w:r>
    </w:p>
    <w:p w14:paraId="27054DDC" w14:textId="77777777" w:rsidR="00D36FB6" w:rsidRPr="00530D57" w:rsidRDefault="00D36FB6" w:rsidP="007A0A8A">
      <w:r w:rsidRPr="00530D57">
        <w:t>Free Speech Union</w:t>
      </w:r>
    </w:p>
    <w:p w14:paraId="1188ACDE" w14:textId="77777777" w:rsidR="00D36FB6" w:rsidRPr="00530D57" w:rsidRDefault="00D36FB6" w:rsidP="007A0A8A">
      <w:r w:rsidRPr="00530D57">
        <w:t>Lesbian Action for Visibility in Aotearoa</w:t>
      </w:r>
    </w:p>
    <w:p w14:paraId="435C801D" w14:textId="77777777" w:rsidR="00D36FB6" w:rsidRPr="00530D57" w:rsidRDefault="00D36FB6" w:rsidP="007A0A8A">
      <w:r w:rsidRPr="00530D57">
        <w:t>Luke Cunningham Clere</w:t>
      </w:r>
    </w:p>
    <w:p w14:paraId="4EABAC9B" w14:textId="77777777" w:rsidR="00D36FB6" w:rsidRPr="00530D57" w:rsidRDefault="00D36FB6" w:rsidP="007A0A8A">
      <w:r w:rsidRPr="00530D57">
        <w:t>Maxim Institute</w:t>
      </w:r>
    </w:p>
    <w:p w14:paraId="2B098882" w14:textId="77777777" w:rsidR="00D36FB6" w:rsidRPr="00530D57" w:rsidRDefault="00D36FB6" w:rsidP="007A0A8A">
      <w:r w:rsidRPr="00530D57">
        <w:t>Members of Te Hunga Rōia Māori o Aotearoa</w:t>
      </w:r>
    </w:p>
    <w:p w14:paraId="27C6A0AB" w14:textId="77777777" w:rsidR="00D36FB6" w:rsidRPr="00530D57" w:rsidRDefault="00D36FB6" w:rsidP="007A0A8A">
      <w:pPr>
        <w:rPr>
          <w:rFonts w:eastAsia="Metropolis Light"/>
        </w:rPr>
      </w:pPr>
      <w:r w:rsidRPr="00530D57">
        <w:rPr>
          <w:rFonts w:eastAsia="Metropolis Light"/>
        </w:rPr>
        <w:t>New Zealand Federation of Business and Professional Women</w:t>
      </w:r>
    </w:p>
    <w:p w14:paraId="0A0E97DE" w14:textId="77777777" w:rsidR="00D36FB6" w:rsidRPr="00530D57" w:rsidRDefault="00D36FB6" w:rsidP="007A0A8A">
      <w:r w:rsidRPr="00530D57">
        <w:t>New Zealand Jewish Council</w:t>
      </w:r>
    </w:p>
    <w:p w14:paraId="6CE4C7A8" w14:textId="52DB61B6" w:rsidR="00D36FB6" w:rsidRPr="00530D57" w:rsidRDefault="00FD211C" w:rsidP="007A0A8A">
      <w:pPr>
        <w:rPr>
          <w:szCs w:val="20"/>
        </w:rPr>
      </w:pPr>
      <w:r>
        <w:t>Parents of Vision Impaired</w:t>
      </w:r>
      <w:r w:rsidR="00D36FB6" w:rsidRPr="00530D57">
        <w:t xml:space="preserve"> </w:t>
      </w:r>
    </w:p>
    <w:p w14:paraId="1FCC7816" w14:textId="77777777" w:rsidR="00D36FB6" w:rsidRPr="00530D57" w:rsidRDefault="00D36FB6" w:rsidP="007A0A8A">
      <w:r w:rsidRPr="00530D57">
        <w:t>Pride in Law Otago</w:t>
      </w:r>
    </w:p>
    <w:p w14:paraId="0227A7CE" w14:textId="77777777" w:rsidR="00D36FB6" w:rsidRPr="00530D57" w:rsidRDefault="00D36FB6" w:rsidP="007A0A8A">
      <w:r w:rsidRPr="00530D57">
        <w:t>Ratonga Wawao ā-Ture Tumatanui | Public Defence Service</w:t>
      </w:r>
    </w:p>
    <w:p w14:paraId="465D4C13" w14:textId="55481B95" w:rsidR="00D36FB6" w:rsidRPr="00530D57" w:rsidRDefault="00FD211C" w:rsidP="007A0A8A">
      <w:r>
        <w:t>Sikh Council of New Zealand</w:t>
      </w:r>
    </w:p>
    <w:p w14:paraId="043C3E43" w14:textId="4DECE2C4" w:rsidR="00D36FB6" w:rsidRPr="00530D57" w:rsidRDefault="00D36FB6" w:rsidP="007A0A8A">
      <w:r w:rsidRPr="00530D57">
        <w:t>Te Kāhui o Ināia Tonu Nei</w:t>
      </w:r>
      <w:r w:rsidR="00C36EF6">
        <w:t xml:space="preserve"> Charitable Trust</w:t>
      </w:r>
    </w:p>
    <w:p w14:paraId="162D5427" w14:textId="77777777" w:rsidR="00D36FB6" w:rsidRPr="00530D57" w:rsidRDefault="00D36FB6" w:rsidP="007A0A8A">
      <w:r w:rsidRPr="00530D57">
        <w:t>Te Kāhui Ture o Aotearoa | New Zealand Law Society</w:t>
      </w:r>
    </w:p>
    <w:p w14:paraId="64021E67" w14:textId="77777777" w:rsidR="00D36FB6" w:rsidRPr="00530D57" w:rsidRDefault="00D36FB6" w:rsidP="007A0A8A">
      <w:r w:rsidRPr="00530D57">
        <w:t>Te Tari Ture o te Karauna | Crown Law</w:t>
      </w:r>
    </w:p>
    <w:p w14:paraId="40554523" w14:textId="405B26E5" w:rsidR="00D36FB6" w:rsidRPr="00530D57" w:rsidRDefault="00C36EF6" w:rsidP="007A0A8A">
      <w:r>
        <w:t>The Law Association of New Zealand Criminal Law Committee</w:t>
      </w:r>
    </w:p>
    <w:p w14:paraId="224A22E3" w14:textId="5404042D" w:rsidR="00D36FB6" w:rsidRPr="00530D57" w:rsidRDefault="00D36FB6" w:rsidP="007A0A8A">
      <w:r w:rsidRPr="00530D57">
        <w:t xml:space="preserve">The Law Association </w:t>
      </w:r>
      <w:r w:rsidR="00C36EF6">
        <w:t xml:space="preserve">of New Zealand </w:t>
      </w:r>
      <w:r w:rsidRPr="00530D57">
        <w:t>Public and Administrative Law Committee</w:t>
      </w:r>
    </w:p>
    <w:p w14:paraId="112929C5" w14:textId="77777777" w:rsidR="00D36FB6" w:rsidRPr="00530D57" w:rsidRDefault="00D36FB6" w:rsidP="007A0A8A">
      <w:r w:rsidRPr="00530D57">
        <w:t>Whaikaha | Ministry of Disabled People</w:t>
      </w:r>
    </w:p>
    <w:p w14:paraId="73343318" w14:textId="77777777" w:rsidR="00D36FB6" w:rsidRPr="00530D57" w:rsidRDefault="00D36FB6" w:rsidP="007A0A8A">
      <w:pPr>
        <w:rPr>
          <w:szCs w:val="20"/>
        </w:rPr>
      </w:pPr>
      <w:r w:rsidRPr="00530D57">
        <w:t>Women's Rights Party</w:t>
      </w:r>
    </w:p>
    <w:p w14:paraId="66A0E98E" w14:textId="77777777" w:rsidR="007E0671" w:rsidRPr="00530D57" w:rsidRDefault="007E0671" w:rsidP="007E0671"/>
    <w:p w14:paraId="717E8FF8" w14:textId="77777777" w:rsidR="007E0671" w:rsidRPr="00530D57" w:rsidRDefault="007E0671" w:rsidP="007E0671"/>
    <w:p w14:paraId="6149AD6E" w14:textId="77777777" w:rsidR="00754AA8" w:rsidRPr="00530D57" w:rsidRDefault="00754AA8" w:rsidP="007E0671">
      <w:pPr>
        <w:sectPr w:rsidR="00754AA8" w:rsidRPr="00530D57" w:rsidSect="00C22E37">
          <w:type w:val="continuous"/>
          <w:pgSz w:w="11906" w:h="16838" w:code="9"/>
          <w:pgMar w:top="1134" w:right="1134" w:bottom="1134" w:left="1701" w:header="499" w:footer="499" w:gutter="0"/>
          <w:cols w:num="2" w:space="720"/>
          <w:noEndnote/>
        </w:sectPr>
      </w:pPr>
    </w:p>
    <w:p w14:paraId="60EA0C68" w14:textId="7E10A1BA" w:rsidR="0036027D" w:rsidRPr="00530D57" w:rsidRDefault="00722135" w:rsidP="001D5A00">
      <w:pPr>
        <w:pStyle w:val="Heading1nonum"/>
        <w:spacing w:before="480"/>
      </w:pPr>
      <w:bookmarkStart w:id="64" w:name="_Toc207093281"/>
      <w:r w:rsidRPr="00530D57">
        <w:lastRenderedPageBreak/>
        <w:t>Appendix</w:t>
      </w:r>
      <w:r w:rsidR="00F31465" w:rsidRPr="00530D57">
        <w:t xml:space="preserve"> </w:t>
      </w:r>
      <w:r w:rsidR="008708CD" w:rsidRPr="00530D57">
        <w:t>2</w:t>
      </w:r>
      <w:r w:rsidR="00F31465" w:rsidRPr="00530D57">
        <w:t xml:space="preserve">: </w:t>
      </w:r>
      <w:r w:rsidR="000D5216">
        <w:t>O</w:t>
      </w:r>
      <w:r w:rsidR="00C11BC3" w:rsidRPr="00530D57">
        <w:t>ther f</w:t>
      </w:r>
      <w:r w:rsidR="006F2721" w:rsidRPr="00530D57">
        <w:t xml:space="preserve">eedback </w:t>
      </w:r>
      <w:r w:rsidR="006B5B99">
        <w:t>collated by the Free Speech Union</w:t>
      </w:r>
      <w:r w:rsidR="006F2721" w:rsidRPr="00530D57">
        <w:t xml:space="preserve"> </w:t>
      </w:r>
      <w:bookmarkEnd w:id="64"/>
    </w:p>
    <w:p w14:paraId="68D6FEEC" w14:textId="439E1162" w:rsidR="001D5A00" w:rsidRDefault="001D5A00" w:rsidP="001D5A00">
      <w:pPr>
        <w:pStyle w:val="Numberedpara"/>
        <w:numPr>
          <w:ilvl w:val="0"/>
          <w:numId w:val="0"/>
        </w:numPr>
        <w:ind w:left="567" w:hanging="567"/>
      </w:pPr>
      <w:r w:rsidRPr="00530D57">
        <w:rPr>
          <w:rFonts w:asciiTheme="minorHAnsi" w:hAnsiTheme="minorHAnsi"/>
          <w:noProof/>
          <w:lang w:eastAsia="en-NZ"/>
        </w:rPr>
        <mc:AlternateContent>
          <mc:Choice Requires="wpg">
            <w:drawing>
              <wp:anchor distT="0" distB="0" distL="114300" distR="114300" simplePos="0" relativeHeight="251658254" behindDoc="1" locked="0" layoutInCell="1" allowOverlap="1" wp14:anchorId="220DC414" wp14:editId="0C2AF4D9">
                <wp:simplePos x="0" y="0"/>
                <wp:positionH relativeFrom="page">
                  <wp:posOffset>1080135</wp:posOffset>
                </wp:positionH>
                <wp:positionV relativeFrom="paragraph">
                  <wp:posOffset>42478</wp:posOffset>
                </wp:positionV>
                <wp:extent cx="1332230" cy="1270"/>
                <wp:effectExtent l="0" t="19050" r="20320" b="17780"/>
                <wp:wrapNone/>
                <wp:docPr id="99656933" name="Group 996569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417" y="535"/>
                          <a:chExt cx="2098" cy="2"/>
                        </a:xfrm>
                      </wpg:grpSpPr>
                      <wps:wsp>
                        <wps:cNvPr id="598823177" name="Freeform 3"/>
                        <wps:cNvSpPr>
                          <a:spLocks/>
                        </wps:cNvSpPr>
                        <wps:spPr bwMode="auto">
                          <a:xfrm>
                            <a:off x="1417" y="535"/>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73AB6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308525" id="Group 99656933" o:spid="_x0000_s1026" style="position:absolute;margin-left:85.05pt;margin-top:3.35pt;width:104.9pt;height:.1pt;z-index:-251658226;mso-position-horizontal-relative:page" coordorigin="1417,535"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">
                <v:shape id="Freeform 3" o:spid="_x0000_s1027" style="position:absolute;left:1417;top:535;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" path="m,l2098,e" filled="f" strokecolor="#73ab6e" strokeweight="3pt">
                  <v:path arrowok="t" o:connecttype="custom" o:connectlocs="0,0;2098,0" o:connectangles="0,0"/>
                </v:shape>
                <w10:wrap anchorx="page"/>
              </v:group>
            </w:pict>
          </mc:Fallback>
        </mc:AlternateContent>
      </w:r>
    </w:p>
    <w:p w14:paraId="30FBD860" w14:textId="77777777" w:rsidR="001D5A00" w:rsidRDefault="001D5A00" w:rsidP="001D5A00">
      <w:pPr>
        <w:pStyle w:val="Numberedpara"/>
        <w:numPr>
          <w:ilvl w:val="0"/>
          <w:numId w:val="0"/>
        </w:numPr>
        <w:ind w:left="567"/>
      </w:pPr>
    </w:p>
    <w:p w14:paraId="5C3006DC" w14:textId="1AFE8332" w:rsidR="006F2721" w:rsidRPr="00530D57" w:rsidRDefault="0145D8A9" w:rsidP="0012595D">
      <w:pPr>
        <w:pStyle w:val="Numberedpara"/>
        <w:numPr>
          <w:ilvl w:val="0"/>
          <w:numId w:val="90"/>
        </w:numPr>
      </w:pPr>
      <w:r w:rsidRPr="00530D57">
        <w:t xml:space="preserve">In this </w:t>
      </w:r>
      <w:r w:rsidR="2A364315" w:rsidRPr="00530D57">
        <w:t>appendix</w:t>
      </w:r>
      <w:r w:rsidRPr="00530D57">
        <w:t xml:space="preserve"> we summarise </w:t>
      </w:r>
      <w:r w:rsidR="7C11633F" w:rsidRPr="00530D57">
        <w:t>views on hate crime</w:t>
      </w:r>
      <w:r w:rsidR="3B870BA4" w:rsidRPr="00530D57">
        <w:t xml:space="preserve"> collated by </w:t>
      </w:r>
      <w:r w:rsidR="53D0761F" w:rsidRPr="00530D57">
        <w:t xml:space="preserve">the </w:t>
      </w:r>
      <w:r w:rsidR="6E01340F" w:rsidRPr="00530D57">
        <w:t xml:space="preserve">Free Speech Union </w:t>
      </w:r>
      <w:r w:rsidR="02FE0DB3" w:rsidRPr="00530D57">
        <w:t xml:space="preserve">via a </w:t>
      </w:r>
      <w:r w:rsidR="6C55E468" w:rsidRPr="00530D57">
        <w:t>webform</w:t>
      </w:r>
      <w:r w:rsidR="02FE0DB3" w:rsidRPr="00530D57">
        <w:t xml:space="preserve"> template</w:t>
      </w:r>
      <w:r w:rsidR="0F51DEDE" w:rsidRPr="00530D57">
        <w:t>.</w:t>
      </w:r>
      <w:r w:rsidR="00181637" w:rsidRPr="00530D57">
        <w:rPr>
          <w:rStyle w:val="FootnoteReference"/>
        </w:rPr>
        <w:footnoteReference w:id="425"/>
      </w:r>
      <w:r w:rsidR="16F81497" w:rsidRPr="00530D57">
        <w:t xml:space="preserve"> </w:t>
      </w:r>
    </w:p>
    <w:p w14:paraId="524234BE" w14:textId="1E2C601F" w:rsidR="00487D30" w:rsidRPr="00530D57" w:rsidRDefault="504CA7A0" w:rsidP="002F5E4F">
      <w:pPr>
        <w:pStyle w:val="Numberedpara"/>
      </w:pPr>
      <w:r w:rsidRPr="00530D57">
        <w:t xml:space="preserve">We </w:t>
      </w:r>
      <w:r w:rsidR="711B440B" w:rsidRPr="00530D57">
        <w:t xml:space="preserve">have </w:t>
      </w:r>
      <w:r w:rsidR="1074540D" w:rsidRPr="00530D57">
        <w:t xml:space="preserve">considered </w:t>
      </w:r>
      <w:r w:rsidRPr="00530D57">
        <w:t xml:space="preserve">this feedback </w:t>
      </w:r>
      <w:r w:rsidR="412B5DA4" w:rsidRPr="00530D57">
        <w:t xml:space="preserve">separately </w:t>
      </w:r>
      <w:r w:rsidR="0C2E9218" w:rsidRPr="00530D57">
        <w:t>from</w:t>
      </w:r>
      <w:r w:rsidR="412B5DA4" w:rsidRPr="00530D57">
        <w:t xml:space="preserve"> </w:t>
      </w:r>
      <w:r w:rsidRPr="00530D57">
        <w:t xml:space="preserve">submissions. This is because our Consultation Paper sought views on specific matters related to the nine questions we posed. </w:t>
      </w:r>
      <w:r w:rsidR="5C732C25" w:rsidRPr="00530D57">
        <w:t>Users</w:t>
      </w:r>
      <w:r w:rsidRPr="00530D57">
        <w:t xml:space="preserve"> </w:t>
      </w:r>
      <w:r w:rsidR="5C732C25" w:rsidRPr="00530D57">
        <w:t xml:space="preserve">of </w:t>
      </w:r>
      <w:r w:rsidRPr="00530D57">
        <w:t xml:space="preserve">the Free Speech Union webform </w:t>
      </w:r>
      <w:r w:rsidR="2F5D1878" w:rsidRPr="00530D57">
        <w:t xml:space="preserve">did not respond to these questions and </w:t>
      </w:r>
      <w:r w:rsidRPr="00530D57">
        <w:t xml:space="preserve">were not directed to the paper or online submission form to engage with </w:t>
      </w:r>
      <w:r w:rsidR="4AF80C99" w:rsidRPr="00530D57">
        <w:t>them</w:t>
      </w:r>
      <w:r w:rsidRPr="00530D57">
        <w:t>.</w:t>
      </w:r>
      <w:r w:rsidR="00FA589C" w:rsidRPr="00530D57">
        <w:rPr>
          <w:rStyle w:val="FootnoteReference"/>
        </w:rPr>
        <w:footnoteReference w:id="426"/>
      </w:r>
      <w:r w:rsidRPr="00530D57">
        <w:t xml:space="preserve"> </w:t>
      </w:r>
    </w:p>
    <w:p w14:paraId="06E167FB" w14:textId="387015FE" w:rsidR="00FA589C" w:rsidRPr="00530D57" w:rsidRDefault="001371A7" w:rsidP="002F5E4F">
      <w:pPr>
        <w:pStyle w:val="Numberedpara"/>
      </w:pPr>
      <w:r w:rsidRPr="00530D57">
        <w:t xml:space="preserve">We note that </w:t>
      </w:r>
      <w:r w:rsidR="00487D30" w:rsidRPr="00530D57">
        <w:t xml:space="preserve">the </w:t>
      </w:r>
      <w:r w:rsidRPr="00530D57">
        <w:t xml:space="preserve">Free Speech Union </w:t>
      </w:r>
      <w:r w:rsidR="00FB6C36">
        <w:t xml:space="preserve">also </w:t>
      </w:r>
      <w:r w:rsidRPr="00530D57">
        <w:t xml:space="preserve">provided a separate submission on </w:t>
      </w:r>
      <w:r w:rsidR="00983E34" w:rsidRPr="00530D57">
        <w:t>our Consultation Paper</w:t>
      </w:r>
      <w:r w:rsidRPr="00530D57">
        <w:t xml:space="preserve"> on behalf of its membership</w:t>
      </w:r>
      <w:r w:rsidR="00487D30" w:rsidRPr="00530D57">
        <w:t>.</w:t>
      </w:r>
      <w:r w:rsidRPr="00530D57">
        <w:t xml:space="preserve"> </w:t>
      </w:r>
      <w:r w:rsidR="00487D30" w:rsidRPr="00530D57">
        <w:t>W</w:t>
      </w:r>
      <w:r w:rsidRPr="00530D57">
        <w:t xml:space="preserve">e </w:t>
      </w:r>
      <w:r w:rsidR="00FB6C36">
        <w:t xml:space="preserve">have </w:t>
      </w:r>
      <w:r w:rsidRPr="00530D57">
        <w:t>include</w:t>
      </w:r>
      <w:r w:rsidR="00FB6C36">
        <w:t>d</w:t>
      </w:r>
      <w:r w:rsidR="00487D30" w:rsidRPr="00530D57">
        <w:t xml:space="preserve"> this</w:t>
      </w:r>
      <w:r w:rsidRPr="00530D57">
        <w:t xml:space="preserve"> in our </w:t>
      </w:r>
      <w:r w:rsidR="00D73E8D" w:rsidRPr="00530D57">
        <w:t xml:space="preserve">summary </w:t>
      </w:r>
      <w:r w:rsidRPr="00530D57">
        <w:t>of submissions.</w:t>
      </w:r>
    </w:p>
    <w:p w14:paraId="2A24A7CE" w14:textId="0D436729" w:rsidR="00C56A8E" w:rsidRPr="00530D57" w:rsidRDefault="00051195" w:rsidP="00830B99">
      <w:pPr>
        <w:pStyle w:val="Heading2"/>
      </w:pPr>
      <w:bookmarkStart w:id="65" w:name="_Toc206755205"/>
      <w:bookmarkStart w:id="66" w:name="_Toc207093282"/>
      <w:r w:rsidRPr="00530D57">
        <w:t>Collection</w:t>
      </w:r>
      <w:bookmarkEnd w:id="65"/>
      <w:bookmarkEnd w:id="66"/>
    </w:p>
    <w:p w14:paraId="5CFE30EB" w14:textId="4B1C6C92" w:rsidR="00051195" w:rsidRPr="00530D57" w:rsidRDefault="002E06F4" w:rsidP="002F5E4F">
      <w:pPr>
        <w:pStyle w:val="Numberedpara"/>
      </w:pPr>
      <w:r w:rsidRPr="00530D57">
        <w:t xml:space="preserve">The Free Speech Union </w:t>
      </w:r>
      <w:r w:rsidR="00736012" w:rsidRPr="00530D57">
        <w:t xml:space="preserve">online </w:t>
      </w:r>
      <w:r w:rsidRPr="00530D57">
        <w:t xml:space="preserve">template provided </w:t>
      </w:r>
      <w:r w:rsidR="008A30B3" w:rsidRPr="00530D57">
        <w:t xml:space="preserve">six </w:t>
      </w:r>
      <w:r w:rsidR="007567AE" w:rsidRPr="00530D57">
        <w:t>prompt</w:t>
      </w:r>
      <w:r w:rsidR="008A30B3" w:rsidRPr="00530D57">
        <w:t xml:space="preserve"> sentences</w:t>
      </w:r>
      <w:r w:rsidR="00A12BB6" w:rsidRPr="00530D57">
        <w:t xml:space="preserve"> </w:t>
      </w:r>
      <w:r w:rsidR="00D1450E" w:rsidRPr="00530D57">
        <w:t>corresponding to</w:t>
      </w:r>
      <w:r w:rsidR="007846CA" w:rsidRPr="00530D57">
        <w:t xml:space="preserve"> </w:t>
      </w:r>
      <w:r w:rsidR="00F816BD" w:rsidRPr="00530D57">
        <w:t>opinions</w:t>
      </w:r>
      <w:r w:rsidR="007846CA" w:rsidRPr="00530D57">
        <w:t xml:space="preserve"> about hate crime </w:t>
      </w:r>
      <w:r w:rsidR="00F816BD" w:rsidRPr="00530D57">
        <w:t xml:space="preserve">law. </w:t>
      </w:r>
      <w:r w:rsidR="00051195" w:rsidRPr="00530D57">
        <w:t>The six prompt sentences were:</w:t>
      </w:r>
    </w:p>
    <w:p w14:paraId="1EA788EE" w14:textId="029DA3ED" w:rsidR="00051195" w:rsidRPr="00530D57" w:rsidRDefault="00051195" w:rsidP="00896331">
      <w:pPr>
        <w:pStyle w:val="Numberedpara"/>
        <w:numPr>
          <w:ilvl w:val="1"/>
          <w:numId w:val="71"/>
        </w:numPr>
      </w:pPr>
      <w:r w:rsidRPr="00530D57">
        <w:t>Hate crime laws lack clarity, objectivity and consistency.</w:t>
      </w:r>
    </w:p>
    <w:p w14:paraId="1C3CD8F9" w14:textId="77777777" w:rsidR="00051195" w:rsidRPr="00530D57" w:rsidRDefault="00051195" w:rsidP="00896331">
      <w:pPr>
        <w:pStyle w:val="Numberedpara"/>
        <w:numPr>
          <w:ilvl w:val="1"/>
          <w:numId w:val="71"/>
        </w:numPr>
      </w:pPr>
      <w:r w:rsidRPr="00530D57">
        <w:t>The Treaty of Waitangi promised equal rights for all. ‘Hate crime’ laws negate this.</w:t>
      </w:r>
    </w:p>
    <w:p w14:paraId="655C7902" w14:textId="77777777" w:rsidR="00051195" w:rsidRPr="00530D57" w:rsidRDefault="00051195" w:rsidP="00896331">
      <w:pPr>
        <w:pStyle w:val="Numberedpara"/>
        <w:numPr>
          <w:ilvl w:val="1"/>
          <w:numId w:val="71"/>
        </w:numPr>
      </w:pPr>
      <w:r w:rsidRPr="00530D57">
        <w:t>‘Hate crime’ laws undermine freedom of speech.</w:t>
      </w:r>
    </w:p>
    <w:p w14:paraId="279B368B" w14:textId="77777777" w:rsidR="00051195" w:rsidRPr="00530D57" w:rsidRDefault="00051195" w:rsidP="00896331">
      <w:pPr>
        <w:pStyle w:val="Numberedpara"/>
        <w:numPr>
          <w:ilvl w:val="1"/>
          <w:numId w:val="71"/>
        </w:numPr>
      </w:pPr>
      <w:r w:rsidRPr="00530D57">
        <w:t>New Zealand already addresses hate motivations in sentencing.</w:t>
      </w:r>
    </w:p>
    <w:p w14:paraId="08882CCB" w14:textId="2A2B6C33" w:rsidR="00051195" w:rsidRPr="00530D57" w:rsidRDefault="00051195" w:rsidP="00896331">
      <w:pPr>
        <w:pStyle w:val="Numberedpara"/>
        <w:numPr>
          <w:ilvl w:val="1"/>
          <w:numId w:val="71"/>
        </w:numPr>
      </w:pPr>
      <w:r w:rsidRPr="00530D57">
        <w:t xml:space="preserve">There is no objective </w:t>
      </w:r>
      <w:r w:rsidR="008819EC">
        <w:t>d</w:t>
      </w:r>
      <w:r w:rsidRPr="00530D57">
        <w:t>efinition of ‘hate’: this is an example of poor law making.</w:t>
      </w:r>
    </w:p>
    <w:p w14:paraId="6B2B275C" w14:textId="77777777" w:rsidR="00051195" w:rsidRPr="00530D57" w:rsidRDefault="00051195" w:rsidP="00896331">
      <w:pPr>
        <w:pStyle w:val="Numberedpara"/>
        <w:numPr>
          <w:ilvl w:val="1"/>
          <w:numId w:val="71"/>
        </w:numPr>
      </w:pPr>
      <w:r w:rsidRPr="00530D57">
        <w:t>We cannot legislate away ‘hate’.</w:t>
      </w:r>
    </w:p>
    <w:p w14:paraId="378AC504" w14:textId="3B1FFC93" w:rsidR="00CC076E" w:rsidRPr="00530D57" w:rsidRDefault="007611DC" w:rsidP="002F5E4F">
      <w:pPr>
        <w:pStyle w:val="Numberedpara"/>
      </w:pPr>
      <w:r w:rsidRPr="00530D57">
        <w:t>S</w:t>
      </w:r>
      <w:r w:rsidR="008A30B3" w:rsidRPr="00530D57">
        <w:t>elect</w:t>
      </w:r>
      <w:r w:rsidRPr="00530D57">
        <w:t>ing</w:t>
      </w:r>
      <w:r w:rsidR="008A30B3" w:rsidRPr="00530D57">
        <w:t xml:space="preserve"> </w:t>
      </w:r>
      <w:r w:rsidR="001C7690" w:rsidRPr="00530D57">
        <w:t>a</w:t>
      </w:r>
      <w:r w:rsidR="00201A05" w:rsidRPr="00530D57">
        <w:t xml:space="preserve"> prompt generate</w:t>
      </w:r>
      <w:r w:rsidRPr="00530D57">
        <w:t>d</w:t>
      </w:r>
      <w:r w:rsidR="00201A05" w:rsidRPr="00530D57">
        <w:t xml:space="preserve"> </w:t>
      </w:r>
      <w:r w:rsidR="002E06F4" w:rsidRPr="00530D57">
        <w:t xml:space="preserve">pre-written </w:t>
      </w:r>
      <w:r w:rsidR="0040265D" w:rsidRPr="00530D57">
        <w:t>text</w:t>
      </w:r>
      <w:r w:rsidR="002E06F4" w:rsidRPr="00530D57">
        <w:t xml:space="preserve"> </w:t>
      </w:r>
      <w:r w:rsidR="007377C1" w:rsidRPr="00530D57">
        <w:t xml:space="preserve">for inclusion </w:t>
      </w:r>
      <w:r w:rsidR="00CE080C" w:rsidRPr="00530D57">
        <w:t xml:space="preserve">in </w:t>
      </w:r>
      <w:r w:rsidR="00393F2C" w:rsidRPr="00530D57">
        <w:t xml:space="preserve">an individual user’s </w:t>
      </w:r>
      <w:r w:rsidR="007377C1" w:rsidRPr="00530D57">
        <w:t xml:space="preserve">feedback. They could select any combination of </w:t>
      </w:r>
      <w:r w:rsidR="00CE080C" w:rsidRPr="00530D57">
        <w:t>the prompts</w:t>
      </w:r>
      <w:r w:rsidR="00DF5ABD" w:rsidRPr="00530D57">
        <w:t xml:space="preserve">. </w:t>
      </w:r>
      <w:r w:rsidR="00B66DC1" w:rsidRPr="00530D57">
        <w:t xml:space="preserve">They could also </w:t>
      </w:r>
      <w:r w:rsidR="009C2782" w:rsidRPr="00530D57">
        <w:t xml:space="preserve">add </w:t>
      </w:r>
      <w:r w:rsidR="007A3152" w:rsidRPr="00530D57">
        <w:t>their own original comments</w:t>
      </w:r>
      <w:r w:rsidR="00F96095" w:rsidRPr="00530D57">
        <w:t xml:space="preserve"> in a separate</w:t>
      </w:r>
      <w:r w:rsidR="0082440C" w:rsidRPr="00530D57">
        <w:t xml:space="preserve">, free-form </w:t>
      </w:r>
      <w:r w:rsidR="00F96095" w:rsidRPr="00530D57">
        <w:t xml:space="preserve">text box or </w:t>
      </w:r>
      <w:r w:rsidR="007E5D21" w:rsidRPr="00530D57">
        <w:t>enter no text at all</w:t>
      </w:r>
      <w:r w:rsidR="00090C15" w:rsidRPr="00530D57">
        <w:t xml:space="preserve">. </w:t>
      </w:r>
    </w:p>
    <w:p w14:paraId="0368995F" w14:textId="5970FCF8" w:rsidR="002E06F4" w:rsidRPr="00530D57" w:rsidRDefault="00DD6B96" w:rsidP="002F5E4F">
      <w:pPr>
        <w:pStyle w:val="Numberedpara"/>
      </w:pPr>
      <w:r w:rsidRPr="00530D57">
        <w:t xml:space="preserve">Each </w:t>
      </w:r>
      <w:r w:rsidR="009D74B3" w:rsidRPr="00530D57">
        <w:t xml:space="preserve">prompt had multiple variations </w:t>
      </w:r>
      <w:r w:rsidR="00C42B64" w:rsidRPr="00530D57">
        <w:t>of pre-written text associated with it</w:t>
      </w:r>
      <w:r w:rsidR="00DD4614" w:rsidRPr="00530D57">
        <w:t xml:space="preserve"> </w:t>
      </w:r>
      <w:r w:rsidR="00897E30">
        <w:t>so</w:t>
      </w:r>
      <w:r w:rsidR="00897E30" w:rsidRPr="00530D57">
        <w:t xml:space="preserve"> </w:t>
      </w:r>
      <w:r w:rsidR="00DD4614" w:rsidRPr="00530D57">
        <w:t xml:space="preserve">very few responses were identical. </w:t>
      </w:r>
      <w:r w:rsidR="00DF6145" w:rsidRPr="00530D57">
        <w:t>These variations mean that a</w:t>
      </w:r>
      <w:r w:rsidR="00B42CA0" w:rsidRPr="00530D57">
        <w:t xml:space="preserve"> </w:t>
      </w:r>
      <w:r w:rsidR="00D96326" w:rsidRPr="00530D57">
        <w:t xml:space="preserve">compilation </w:t>
      </w:r>
      <w:r w:rsidR="00CC076E" w:rsidRPr="00530D57">
        <w:t xml:space="preserve">of </w:t>
      </w:r>
      <w:r w:rsidR="00CE62C7">
        <w:t xml:space="preserve">all </w:t>
      </w:r>
      <w:r w:rsidR="00CB1ED5" w:rsidRPr="00530D57">
        <w:t xml:space="preserve">the </w:t>
      </w:r>
      <w:r w:rsidR="00B42CA0" w:rsidRPr="00530D57">
        <w:t xml:space="preserve">pre-written text </w:t>
      </w:r>
      <w:r w:rsidR="00CC076E" w:rsidRPr="00530D57">
        <w:t xml:space="preserve">is too </w:t>
      </w:r>
      <w:r w:rsidR="003A6133" w:rsidRPr="00530D57">
        <w:t>lengthy</w:t>
      </w:r>
      <w:r w:rsidR="00CC076E" w:rsidRPr="00530D57">
        <w:t xml:space="preserve"> </w:t>
      </w:r>
      <w:r w:rsidR="001D5266" w:rsidRPr="00530D57">
        <w:t>to reproduce</w:t>
      </w:r>
      <w:r w:rsidR="00CE62C7">
        <w:t>. Instead,</w:t>
      </w:r>
      <w:r w:rsidR="00321A4C" w:rsidRPr="00530D57">
        <w:t xml:space="preserve"> w</w:t>
      </w:r>
      <w:r w:rsidR="00C73A2C" w:rsidRPr="00530D57">
        <w:t>e have include</w:t>
      </w:r>
      <w:r w:rsidR="00496AA6" w:rsidRPr="00530D57">
        <w:t>d</w:t>
      </w:r>
      <w:r w:rsidR="00C73A2C" w:rsidRPr="00530D57">
        <w:t xml:space="preserve"> </w:t>
      </w:r>
      <w:r w:rsidR="0004374A" w:rsidRPr="00530D57">
        <w:t xml:space="preserve">select </w:t>
      </w:r>
      <w:r w:rsidR="00C73A2C" w:rsidRPr="00530D57">
        <w:t>samples in the key themes summary table below</w:t>
      </w:r>
      <w:r w:rsidR="005504E4" w:rsidRPr="00530D57">
        <w:t xml:space="preserve">. </w:t>
      </w:r>
    </w:p>
    <w:p w14:paraId="16DAF1E5" w14:textId="5F2C4FC4" w:rsidR="00A67F9C" w:rsidRPr="00530D57" w:rsidRDefault="00A67F9C" w:rsidP="00830B99">
      <w:pPr>
        <w:pStyle w:val="Heading2"/>
      </w:pPr>
      <w:bookmarkStart w:id="67" w:name="_Toc206755206"/>
      <w:bookmarkStart w:id="68" w:name="_Toc207093283"/>
      <w:r w:rsidRPr="00530D57">
        <w:lastRenderedPageBreak/>
        <w:t>Analysis</w:t>
      </w:r>
      <w:bookmarkEnd w:id="67"/>
      <w:bookmarkEnd w:id="68"/>
    </w:p>
    <w:p w14:paraId="4CE58B5E" w14:textId="78E5AC2F" w:rsidR="00692AB2" w:rsidRPr="00530D57" w:rsidRDefault="005A471E" w:rsidP="002F5E4F">
      <w:pPr>
        <w:pStyle w:val="Numberedpara"/>
      </w:pPr>
      <w:r>
        <w:t xml:space="preserve">The </w:t>
      </w:r>
      <w:r w:rsidR="00D86D62" w:rsidRPr="00530D57">
        <w:t xml:space="preserve">Free Speech Union </w:t>
      </w:r>
      <w:r w:rsidR="00210B05" w:rsidRPr="00530D57">
        <w:t>provided</w:t>
      </w:r>
      <w:r w:rsidR="00D86D62" w:rsidRPr="00530D57">
        <w:t xml:space="preserve"> </w:t>
      </w:r>
      <w:r w:rsidR="001F0194" w:rsidRPr="00530D57">
        <w:t xml:space="preserve">us with </w:t>
      </w:r>
      <w:r w:rsidR="00210B05" w:rsidRPr="00530D57">
        <w:t xml:space="preserve">the </w:t>
      </w:r>
      <w:r>
        <w:t>collated</w:t>
      </w:r>
      <w:r w:rsidR="00210B05" w:rsidRPr="00530D57">
        <w:t xml:space="preserve"> feedback in spreadsheet format. </w:t>
      </w:r>
      <w:r w:rsidR="004F6C28" w:rsidRPr="00530D57">
        <w:t>It comprised</w:t>
      </w:r>
      <w:r w:rsidR="007915F1" w:rsidRPr="00530D57">
        <w:t xml:space="preserve"> 4,042 </w:t>
      </w:r>
      <w:r w:rsidR="00C55F94" w:rsidRPr="00530D57">
        <w:t xml:space="preserve">responses </w:t>
      </w:r>
      <w:r w:rsidR="004F6C28" w:rsidRPr="00530D57">
        <w:t>with</w:t>
      </w:r>
      <w:r w:rsidR="007915F1" w:rsidRPr="00530D57">
        <w:t xml:space="preserve"> unique email address</w:t>
      </w:r>
      <w:r>
        <w:t>es</w:t>
      </w:r>
      <w:r w:rsidR="007915F1" w:rsidRPr="00530D57">
        <w:t>.</w:t>
      </w:r>
    </w:p>
    <w:p w14:paraId="540DBBAF" w14:textId="7B3666D4" w:rsidR="008D6FDB" w:rsidRPr="00530D57" w:rsidRDefault="00184135" w:rsidP="002F5E4F">
      <w:pPr>
        <w:pStyle w:val="Numberedpara"/>
      </w:pPr>
      <w:r w:rsidRPr="00530D57">
        <w:t>Sixty-one</w:t>
      </w:r>
      <w:r w:rsidR="00484E3D" w:rsidRPr="00530D57">
        <w:t xml:space="preserve"> </w:t>
      </w:r>
      <w:r w:rsidR="00E326ED" w:rsidRPr="00530D57">
        <w:t xml:space="preserve">of these responses </w:t>
      </w:r>
      <w:r w:rsidR="00EA0A85" w:rsidRPr="00530D57">
        <w:t xml:space="preserve">were blank — they </w:t>
      </w:r>
      <w:r w:rsidR="00D727AD" w:rsidRPr="00530D57">
        <w:t xml:space="preserve">did not </w:t>
      </w:r>
      <w:r w:rsidR="00260A74" w:rsidRPr="00530D57">
        <w:t>include</w:t>
      </w:r>
      <w:r w:rsidR="00692AB2" w:rsidRPr="00530D57">
        <w:t xml:space="preserve"> </w:t>
      </w:r>
      <w:r w:rsidR="00260A74" w:rsidRPr="00530D57">
        <w:t xml:space="preserve">pre-written or </w:t>
      </w:r>
      <w:r w:rsidR="00272B2C" w:rsidRPr="00530D57">
        <w:t>original</w:t>
      </w:r>
      <w:r w:rsidR="00260A74" w:rsidRPr="00530D57">
        <w:t xml:space="preserve"> text. </w:t>
      </w:r>
      <w:r w:rsidR="00DD2879" w:rsidRPr="00530D57">
        <w:t xml:space="preserve">We </w:t>
      </w:r>
      <w:r w:rsidR="00092EEB" w:rsidRPr="00530D57">
        <w:t>assume that i</w:t>
      </w:r>
      <w:r w:rsidR="00EF3878" w:rsidRPr="00530D57">
        <w:t xml:space="preserve">ndividuals </w:t>
      </w:r>
      <w:r w:rsidR="00C020DA" w:rsidRPr="00530D57">
        <w:t xml:space="preserve">who did not enter any text </w:t>
      </w:r>
      <w:r w:rsidR="0066391F" w:rsidRPr="00530D57">
        <w:t>intended</w:t>
      </w:r>
      <w:r w:rsidR="00092EEB" w:rsidRPr="00530D57">
        <w:t xml:space="preserve"> to</w:t>
      </w:r>
      <w:r w:rsidR="00780EA6" w:rsidRPr="00530D57">
        <w:t xml:space="preserve"> express agreement </w:t>
      </w:r>
      <w:r w:rsidR="001574AB" w:rsidRPr="00530D57">
        <w:t xml:space="preserve">with </w:t>
      </w:r>
      <w:r w:rsidR="00092EEB" w:rsidRPr="00530D57">
        <w:t xml:space="preserve">at least one of the </w:t>
      </w:r>
      <w:r w:rsidR="001574AB" w:rsidRPr="00530D57">
        <w:t xml:space="preserve">six </w:t>
      </w:r>
      <w:r w:rsidR="0012637E" w:rsidRPr="00530D57">
        <w:t>prompts</w:t>
      </w:r>
      <w:r w:rsidR="001574AB" w:rsidRPr="00530D57">
        <w:t xml:space="preserve">. </w:t>
      </w:r>
      <w:r w:rsidR="00F3550E" w:rsidRPr="00530D57">
        <w:t xml:space="preserve">The balance of </w:t>
      </w:r>
      <w:r w:rsidR="00E01AAC" w:rsidRPr="00530D57">
        <w:t>responses</w:t>
      </w:r>
      <w:r w:rsidR="00F3550E" w:rsidRPr="00530D57">
        <w:t xml:space="preserve"> </w:t>
      </w:r>
      <w:r w:rsidR="00BD7649" w:rsidRPr="00530D57">
        <w:t>included</w:t>
      </w:r>
      <w:r w:rsidR="00BA0CB4" w:rsidRPr="00530D57">
        <w:t xml:space="preserve"> </w:t>
      </w:r>
      <w:r w:rsidR="00B417C6" w:rsidRPr="00530D57">
        <w:t>either</w:t>
      </w:r>
      <w:r w:rsidR="00B825D5" w:rsidRPr="00530D57">
        <w:t xml:space="preserve"> pre-written text</w:t>
      </w:r>
      <w:r w:rsidR="00570E6E" w:rsidRPr="00530D57">
        <w:t xml:space="preserve">, </w:t>
      </w:r>
      <w:r w:rsidR="00356E76" w:rsidRPr="00530D57">
        <w:t xml:space="preserve">original </w:t>
      </w:r>
      <w:r w:rsidR="007D6189" w:rsidRPr="00530D57">
        <w:t>statements</w:t>
      </w:r>
      <w:r w:rsidR="000D6019" w:rsidRPr="00530D57">
        <w:t xml:space="preserve"> or a combination of </w:t>
      </w:r>
      <w:r w:rsidR="00BD7649" w:rsidRPr="00530D57">
        <w:t>both</w:t>
      </w:r>
      <w:r w:rsidR="000D6019" w:rsidRPr="00530D57">
        <w:t>.</w:t>
      </w:r>
      <w:r w:rsidR="00356E76" w:rsidRPr="00530D57">
        <w:t xml:space="preserve"> </w:t>
      </w:r>
    </w:p>
    <w:p w14:paraId="41C57C5E" w14:textId="37F4C823" w:rsidR="00D630A1" w:rsidRPr="00530D57" w:rsidRDefault="00120CC3" w:rsidP="002F5E4F">
      <w:pPr>
        <w:pStyle w:val="Numberedpara"/>
      </w:pPr>
      <w:r w:rsidRPr="00530D57">
        <w:t>Our t</w:t>
      </w:r>
      <w:r w:rsidR="00D56359" w:rsidRPr="00530D57">
        <w:t xml:space="preserve">hematic </w:t>
      </w:r>
      <w:r w:rsidR="00110692" w:rsidRPr="00530D57">
        <w:t>breakdown</w:t>
      </w:r>
      <w:r w:rsidR="00D56359" w:rsidRPr="00530D57">
        <w:t xml:space="preserve"> derive</w:t>
      </w:r>
      <w:r w:rsidRPr="00530D57">
        <w:t>s</w:t>
      </w:r>
      <w:r w:rsidR="00D56359" w:rsidRPr="00530D57">
        <w:t xml:space="preserve"> from</w:t>
      </w:r>
      <w:r w:rsidR="005E3AAA" w:rsidRPr="00530D57">
        <w:t xml:space="preserve"> the </w:t>
      </w:r>
      <w:r w:rsidR="00337FE8" w:rsidRPr="00530D57">
        <w:t>pre-written text</w:t>
      </w:r>
      <w:r w:rsidR="005E3AAA" w:rsidRPr="00530D57">
        <w:t xml:space="preserve"> and </w:t>
      </w:r>
      <w:r w:rsidR="00B23A0E">
        <w:t xml:space="preserve">a </w:t>
      </w:r>
      <w:r w:rsidR="008E25A5" w:rsidRPr="00530D57">
        <w:t xml:space="preserve">sampling of </w:t>
      </w:r>
      <w:r w:rsidR="00927324" w:rsidRPr="00530D57">
        <w:t xml:space="preserve">individual </w:t>
      </w:r>
      <w:r w:rsidR="00AC2BAC" w:rsidRPr="00530D57">
        <w:t>entries</w:t>
      </w:r>
      <w:r w:rsidR="008E25A5" w:rsidRPr="00530D57">
        <w:t>.</w:t>
      </w:r>
      <w:r w:rsidR="005E3AAA" w:rsidRPr="00530D57">
        <w:t xml:space="preserve"> </w:t>
      </w:r>
      <w:r w:rsidR="00586675" w:rsidRPr="00530D57">
        <w:t>I</w:t>
      </w:r>
      <w:r w:rsidR="00D270CD" w:rsidRPr="00530D57">
        <w:t xml:space="preserve">ndividuals who </w:t>
      </w:r>
      <w:r w:rsidR="00B049B9" w:rsidRPr="00530D57">
        <w:t xml:space="preserve">supplemented the </w:t>
      </w:r>
      <w:r w:rsidR="007C160F" w:rsidRPr="00530D57">
        <w:t>pre-written</w:t>
      </w:r>
      <w:r w:rsidR="00B049B9" w:rsidRPr="00530D57">
        <w:t xml:space="preserve"> </w:t>
      </w:r>
      <w:r w:rsidR="007C160F" w:rsidRPr="00530D57">
        <w:t>material</w:t>
      </w:r>
      <w:r w:rsidR="00B049B9" w:rsidRPr="00530D57">
        <w:t xml:space="preserve"> with </w:t>
      </w:r>
      <w:r w:rsidR="00D270CD" w:rsidRPr="00530D57">
        <w:t xml:space="preserve">original </w:t>
      </w:r>
      <w:r w:rsidR="00586675" w:rsidRPr="00530D57">
        <w:t xml:space="preserve">comments </w:t>
      </w:r>
      <w:r w:rsidR="00D270CD" w:rsidRPr="00530D57">
        <w:t xml:space="preserve">tended to echo </w:t>
      </w:r>
      <w:r w:rsidR="003F3B1B" w:rsidRPr="00530D57">
        <w:t xml:space="preserve">the </w:t>
      </w:r>
      <w:r w:rsidR="00D270CD" w:rsidRPr="00530D57">
        <w:t>themes</w:t>
      </w:r>
      <w:r w:rsidR="0093612A" w:rsidRPr="00530D57">
        <w:t xml:space="preserve"> of the pre-written material</w:t>
      </w:r>
      <w:r w:rsidR="00016329" w:rsidRPr="00530D57">
        <w:t xml:space="preserve">. </w:t>
      </w:r>
      <w:r w:rsidR="00293641" w:rsidRPr="00530D57">
        <w:t xml:space="preserve">Their original contributions </w:t>
      </w:r>
      <w:r w:rsidR="00D7710F" w:rsidRPr="00530D57">
        <w:t xml:space="preserve">were predominantly </w:t>
      </w:r>
      <w:r w:rsidR="00D270CD" w:rsidRPr="00530D57">
        <w:t>personal reflection</w:t>
      </w:r>
      <w:r w:rsidR="00D7710F" w:rsidRPr="00530D57">
        <w:t>s</w:t>
      </w:r>
      <w:r w:rsidR="00D270CD" w:rsidRPr="00530D57">
        <w:t xml:space="preserve"> or political comment. </w:t>
      </w:r>
      <w:r w:rsidR="00477A2E" w:rsidRPr="00530D57">
        <w:t>The table below captures the dominant themes</w:t>
      </w:r>
      <w:r w:rsidR="00EF57CE" w:rsidRPr="00530D57">
        <w:t xml:space="preserve">. </w:t>
      </w:r>
    </w:p>
    <w:p w14:paraId="1A8EAC27" w14:textId="77777777" w:rsidR="008C5321" w:rsidRPr="00530D57" w:rsidRDefault="008C5321" w:rsidP="008C5321">
      <w:pPr>
        <w:pStyle w:val="Numberedpara"/>
        <w:numPr>
          <w:ilvl w:val="0"/>
          <w:numId w:val="0"/>
        </w:numPr>
        <w:ind w:left="567"/>
      </w:pPr>
    </w:p>
    <w:p w14:paraId="5040EECD" w14:textId="0CBB8102" w:rsidR="00B4526A" w:rsidRPr="00530D57" w:rsidRDefault="005329DA" w:rsidP="00EA12B0">
      <w:pPr>
        <w:rPr>
          <w:rStyle w:val="Strong"/>
          <w:b w:val="0"/>
          <w:bCs w:val="0"/>
          <w:i/>
          <w:iCs/>
          <w:color w:val="auto"/>
        </w:rPr>
      </w:pPr>
      <w:r w:rsidRPr="00530D57">
        <w:rPr>
          <w:rStyle w:val="Strong"/>
          <w:b w:val="0"/>
          <w:bCs w:val="0"/>
          <w:i/>
          <w:iCs/>
          <w:color w:val="auto"/>
        </w:rPr>
        <w:t>Screenshots of the FSU webform</w:t>
      </w:r>
      <w:r w:rsidR="00A859BA" w:rsidRPr="00530D57">
        <w:rPr>
          <w:rStyle w:val="Strong"/>
          <w:b w:val="0"/>
          <w:bCs w:val="0"/>
          <w:i/>
          <w:iCs/>
          <w:color w:val="auto"/>
        </w:rPr>
        <w:t xml:space="preserve"> prompts and instructions</w:t>
      </w:r>
    </w:p>
    <w:p w14:paraId="3390C19B" w14:textId="77777777" w:rsidR="008C5321" w:rsidRPr="00530D57" w:rsidRDefault="008C5321" w:rsidP="00EA12B0">
      <w:pPr>
        <w:rPr>
          <w:rStyle w:val="Strong"/>
          <w:b w:val="0"/>
          <w:bCs w:val="0"/>
          <w:i/>
          <w:iCs/>
          <w:color w:val="auto"/>
        </w:rPr>
      </w:pPr>
    </w:p>
    <w:p w14:paraId="66160157" w14:textId="77777777" w:rsidR="00B4526A" w:rsidRPr="00530D57" w:rsidRDefault="00B4526A" w:rsidP="00FF1047">
      <w:pPr>
        <w:pStyle w:val="Numberedpara"/>
        <w:numPr>
          <w:ilvl w:val="0"/>
          <w:numId w:val="0"/>
        </w:numPr>
        <w:ind w:left="567"/>
      </w:pPr>
      <w:r w:rsidRPr="00530D57">
        <w:rPr>
          <w:noProof/>
        </w:rPr>
        <w:drawing>
          <wp:inline distT="0" distB="0" distL="0" distR="0" wp14:anchorId="753E62C2" wp14:editId="4303996C">
            <wp:extent cx="2814578" cy="2152650"/>
            <wp:effectExtent l="0" t="0" r="5080" b="0"/>
            <wp:docPr id="343320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320608" name=""/>
                    <pic:cNvPicPr/>
                  </pic:nvPicPr>
                  <pic:blipFill>
                    <a:blip r:embed="rId26"/>
                    <a:stretch>
                      <a:fillRect/>
                    </a:stretch>
                  </pic:blipFill>
                  <pic:spPr>
                    <a:xfrm>
                      <a:off x="0" y="0"/>
                      <a:ext cx="2826665" cy="2161894"/>
                    </a:xfrm>
                    <a:prstGeom prst="rect">
                      <a:avLst/>
                    </a:prstGeom>
                  </pic:spPr>
                </pic:pic>
              </a:graphicData>
            </a:graphic>
          </wp:inline>
        </w:drawing>
      </w:r>
      <w:r w:rsidRPr="00530D57">
        <w:rPr>
          <w:noProof/>
        </w:rPr>
        <w:drawing>
          <wp:inline distT="0" distB="0" distL="0" distR="0" wp14:anchorId="7250C24D" wp14:editId="265BFC70">
            <wp:extent cx="2561463" cy="2363445"/>
            <wp:effectExtent l="0" t="0" r="0" b="0"/>
            <wp:docPr id="34301725" name="Picture 1" descr="A close up of a gav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1725" name="Picture 1" descr="A close up of a gavel&#10;&#10;AI-generated content may be incorrect."/>
                    <pic:cNvPicPr/>
                  </pic:nvPicPr>
                  <pic:blipFill>
                    <a:blip r:embed="rId27"/>
                    <a:stretch>
                      <a:fillRect/>
                    </a:stretch>
                  </pic:blipFill>
                  <pic:spPr>
                    <a:xfrm>
                      <a:off x="0" y="0"/>
                      <a:ext cx="2570639" cy="2371911"/>
                    </a:xfrm>
                    <a:prstGeom prst="rect">
                      <a:avLst/>
                    </a:prstGeom>
                  </pic:spPr>
                </pic:pic>
              </a:graphicData>
            </a:graphic>
          </wp:inline>
        </w:drawing>
      </w:r>
    </w:p>
    <w:p w14:paraId="57D1E38A" w14:textId="21EAB605" w:rsidR="00B4526A" w:rsidRPr="00530D57" w:rsidRDefault="00B4526A" w:rsidP="2ED66DE6">
      <w:pPr>
        <w:pStyle w:val="Numberedpara"/>
        <w:numPr>
          <w:ilvl w:val="0"/>
          <w:numId w:val="0"/>
        </w:numPr>
        <w:ind w:left="567"/>
        <w:sectPr w:rsidR="00B4526A" w:rsidRPr="00530D57" w:rsidSect="004E3A8E">
          <w:pgSz w:w="11906" w:h="16838" w:code="9"/>
          <w:pgMar w:top="1134" w:right="1134" w:bottom="1134" w:left="1701" w:header="499" w:footer="499" w:gutter="0"/>
          <w:cols w:space="720"/>
          <w:noEndnote/>
        </w:sectPr>
      </w:pPr>
    </w:p>
    <w:tbl>
      <w:tblPr>
        <w:tblStyle w:val="LCTable"/>
        <w:tblW w:w="14511" w:type="dxa"/>
        <w:tblLook w:val="0420" w:firstRow="1" w:lastRow="0" w:firstColumn="0" w:lastColumn="0" w:noHBand="0" w:noVBand="1"/>
      </w:tblPr>
      <w:tblGrid>
        <w:gridCol w:w="2320"/>
        <w:gridCol w:w="3686"/>
        <w:gridCol w:w="8505"/>
      </w:tblGrid>
      <w:tr w:rsidR="00BB06E0" w:rsidRPr="00530D57" w14:paraId="1295FBD7" w14:textId="77777777" w:rsidTr="001D5A00">
        <w:trPr>
          <w:cnfStyle w:val="100000000000" w:firstRow="1" w:lastRow="0" w:firstColumn="0" w:lastColumn="0" w:oddVBand="0" w:evenVBand="0" w:oddHBand="0" w:evenHBand="0" w:firstRowFirstColumn="0" w:firstRowLastColumn="0" w:lastRowFirstColumn="0" w:lastRowLastColumn="0"/>
          <w:trHeight w:val="540"/>
        </w:trPr>
        <w:tc>
          <w:tcPr>
            <w:tcW w:w="14511" w:type="dxa"/>
            <w:gridSpan w:val="3"/>
            <w:shd w:val="clear" w:color="auto" w:fill="73AB6E"/>
            <w:vAlign w:val="center"/>
          </w:tcPr>
          <w:p w14:paraId="757131F2" w14:textId="50FDD4BB" w:rsidR="00BB06E0" w:rsidRPr="00530D57" w:rsidRDefault="00BC7ACE" w:rsidP="003A1C1A">
            <w:pPr>
              <w:pStyle w:val="TableSubheadingGreen"/>
              <w:rPr>
                <w:rFonts w:ascii="Metropolis" w:hAnsi="Metropolis"/>
                <w:caps w:val="0"/>
                <w:color w:val="FFFFFF" w:themeColor="background1"/>
                <w:sz w:val="18"/>
              </w:rPr>
            </w:pPr>
            <w:r w:rsidRPr="00530D57">
              <w:rPr>
                <w:rFonts w:ascii="Metropolis" w:hAnsi="Metropolis"/>
                <w:color w:val="FFFFFF" w:themeColor="background1"/>
                <w:sz w:val="18"/>
              </w:rPr>
              <w:lastRenderedPageBreak/>
              <w:t>Key themes summary</w:t>
            </w:r>
          </w:p>
        </w:tc>
      </w:tr>
      <w:tr w:rsidR="00156D2E" w:rsidRPr="00530D57" w14:paraId="2F959251" w14:textId="77777777" w:rsidTr="00197568">
        <w:tc>
          <w:tcPr>
            <w:tcW w:w="2320" w:type="dxa"/>
            <w:vAlign w:val="center"/>
          </w:tcPr>
          <w:p w14:paraId="53DDDD5D" w14:textId="577FC04C" w:rsidR="00156D2E" w:rsidRPr="001D5A00" w:rsidRDefault="00DE1B30" w:rsidP="00B0666E">
            <w:pPr>
              <w:pStyle w:val="TableSubheadingGreen"/>
              <w:rPr>
                <w:rStyle w:val="Strong"/>
                <w:b/>
                <w:bCs w:val="0"/>
                <w:color w:val="73AB6E"/>
              </w:rPr>
            </w:pPr>
            <w:r w:rsidRPr="001D5A00">
              <w:rPr>
                <w:rStyle w:val="Strong"/>
                <w:b/>
                <w:bCs w:val="0"/>
                <w:color w:val="73AB6E"/>
              </w:rPr>
              <w:t>Theme</w:t>
            </w:r>
          </w:p>
        </w:tc>
        <w:tc>
          <w:tcPr>
            <w:tcW w:w="3686" w:type="dxa"/>
            <w:vAlign w:val="center"/>
          </w:tcPr>
          <w:p w14:paraId="01821420" w14:textId="30DC4348" w:rsidR="00156D2E" w:rsidRPr="001D5A00" w:rsidRDefault="0030563C" w:rsidP="00B0666E">
            <w:pPr>
              <w:pStyle w:val="TableSubheadingGreen"/>
              <w:rPr>
                <w:rStyle w:val="Strong"/>
                <w:b/>
                <w:bCs w:val="0"/>
                <w:color w:val="73AB6E"/>
              </w:rPr>
            </w:pPr>
            <w:r w:rsidRPr="001D5A00">
              <w:rPr>
                <w:rStyle w:val="Strong"/>
                <w:b/>
                <w:bCs w:val="0"/>
                <w:color w:val="73AB6E"/>
              </w:rPr>
              <w:t>Explanation</w:t>
            </w:r>
          </w:p>
        </w:tc>
        <w:tc>
          <w:tcPr>
            <w:tcW w:w="8505" w:type="dxa"/>
            <w:vAlign w:val="center"/>
          </w:tcPr>
          <w:p w14:paraId="764AD335" w14:textId="452F9E1A" w:rsidR="00156D2E" w:rsidRPr="001D5A00" w:rsidRDefault="00277767" w:rsidP="00B0666E">
            <w:pPr>
              <w:pStyle w:val="TableSubheadingGreen"/>
              <w:rPr>
                <w:rStyle w:val="Strong"/>
                <w:b/>
                <w:bCs w:val="0"/>
                <w:color w:val="73AB6E"/>
              </w:rPr>
            </w:pPr>
            <w:r w:rsidRPr="001D5A00">
              <w:rPr>
                <w:rStyle w:val="Strong"/>
                <w:b/>
                <w:bCs w:val="0"/>
                <w:color w:val="73AB6E"/>
              </w:rPr>
              <w:t>S</w:t>
            </w:r>
            <w:r w:rsidRPr="001D5A00">
              <w:rPr>
                <w:rStyle w:val="Strong"/>
                <w:b/>
                <w:color w:val="73AB6E"/>
              </w:rPr>
              <w:t>amples of a</w:t>
            </w:r>
            <w:r w:rsidR="00477A2E" w:rsidRPr="001D5A00">
              <w:rPr>
                <w:rStyle w:val="Strong"/>
                <w:b/>
                <w:bCs w:val="0"/>
                <w:color w:val="73AB6E"/>
              </w:rPr>
              <w:t>pplicable pre-written text</w:t>
            </w:r>
          </w:p>
        </w:tc>
      </w:tr>
      <w:tr w:rsidR="00DE05C7" w:rsidRPr="00530D57" w14:paraId="3C6E73B8" w14:textId="77777777" w:rsidTr="00197568">
        <w:tc>
          <w:tcPr>
            <w:tcW w:w="2320" w:type="dxa"/>
            <w:vAlign w:val="center"/>
          </w:tcPr>
          <w:p w14:paraId="1EEB2260" w14:textId="46F7ABA0" w:rsidR="00DE05C7" w:rsidRPr="00530D57" w:rsidRDefault="00DE05C7" w:rsidP="003A1C1A">
            <w:pPr>
              <w:rPr>
                <w:b/>
                <w:bCs/>
                <w:szCs w:val="20"/>
              </w:rPr>
            </w:pPr>
            <w:r w:rsidRPr="00530D57">
              <w:rPr>
                <w:b/>
                <w:bCs/>
                <w:szCs w:val="20"/>
              </w:rPr>
              <w:t>Retention of existing law</w:t>
            </w:r>
            <w:r w:rsidR="00AD0B51" w:rsidRPr="00530D57">
              <w:rPr>
                <w:b/>
                <w:bCs/>
                <w:szCs w:val="20"/>
              </w:rPr>
              <w:t xml:space="preserve"> / </w:t>
            </w:r>
            <w:r w:rsidR="00456E63">
              <w:rPr>
                <w:b/>
                <w:bCs/>
                <w:szCs w:val="20"/>
              </w:rPr>
              <w:t>o</w:t>
            </w:r>
            <w:r w:rsidR="00AD0B51" w:rsidRPr="00530D57">
              <w:rPr>
                <w:b/>
                <w:bCs/>
                <w:szCs w:val="20"/>
              </w:rPr>
              <w:t>pposition to creating new offences</w:t>
            </w:r>
          </w:p>
        </w:tc>
        <w:tc>
          <w:tcPr>
            <w:tcW w:w="3686" w:type="dxa"/>
            <w:vAlign w:val="center"/>
          </w:tcPr>
          <w:p w14:paraId="3D928A5A" w14:textId="539989BB" w:rsidR="00DE05C7" w:rsidRPr="00530D57" w:rsidRDefault="00DE05C7" w:rsidP="003A1C1A">
            <w:pPr>
              <w:rPr>
                <w:szCs w:val="20"/>
              </w:rPr>
            </w:pPr>
            <w:r w:rsidRPr="00530D57">
              <w:rPr>
                <w:szCs w:val="20"/>
              </w:rPr>
              <w:t xml:space="preserve">Statements in this category viewed the current </w:t>
            </w:r>
            <w:r w:rsidR="00586675" w:rsidRPr="00530D57">
              <w:rPr>
                <w:szCs w:val="20"/>
              </w:rPr>
              <w:t xml:space="preserve">sentence </w:t>
            </w:r>
            <w:r w:rsidRPr="00530D57">
              <w:rPr>
                <w:szCs w:val="20"/>
              </w:rPr>
              <w:t>aggravation approach as sufficient to address hate-motivated offending</w:t>
            </w:r>
            <w:r w:rsidR="00462378" w:rsidRPr="00530D57">
              <w:rPr>
                <w:szCs w:val="20"/>
              </w:rPr>
              <w:t>.</w:t>
            </w:r>
          </w:p>
        </w:tc>
        <w:tc>
          <w:tcPr>
            <w:tcW w:w="8505" w:type="dxa"/>
            <w:vAlign w:val="center"/>
          </w:tcPr>
          <w:p w14:paraId="0D6B08C4" w14:textId="1A31B1AC" w:rsidR="00DE05C7" w:rsidRPr="00530D57" w:rsidRDefault="00DE05C7" w:rsidP="003A1C1A">
            <w:pPr>
              <w:rPr>
                <w:szCs w:val="20"/>
              </w:rPr>
            </w:pPr>
            <w:r w:rsidRPr="00530D57">
              <w:rPr>
                <w:szCs w:val="20"/>
              </w:rPr>
              <w:t>New Zealand's existing legal framework effectively tackles crimes driven by hate. The Sentencing Act 2002 ensures that judges take motivation into account during sentencing, along with other relevant considerations, enabling them to make well-rounded decisions for each case.</w:t>
            </w:r>
          </w:p>
          <w:p w14:paraId="5958BD99" w14:textId="46BDEDAB" w:rsidR="00E066A0" w:rsidRPr="00530D57" w:rsidRDefault="00E066A0" w:rsidP="00BC7ACE">
            <w:pPr>
              <w:rPr>
                <w:szCs w:val="20"/>
              </w:rPr>
            </w:pPr>
            <w:r w:rsidRPr="00530D57">
              <w:t>The primary concern is whether a legal model of ‘hate’ can be objectively applied, and it cannot, because 'hate' is a subjective emotion. New Zealand should keep its existing system, where hate is viewed as an aggravating factor during sentencing, rather than creating new offences.</w:t>
            </w:r>
          </w:p>
        </w:tc>
      </w:tr>
      <w:tr w:rsidR="00DE05C7" w:rsidRPr="00530D57" w14:paraId="1C9D4E6E" w14:textId="77777777" w:rsidTr="00197568">
        <w:tc>
          <w:tcPr>
            <w:tcW w:w="2320" w:type="dxa"/>
            <w:vAlign w:val="center"/>
          </w:tcPr>
          <w:p w14:paraId="4238C0DC" w14:textId="7D723EB0" w:rsidR="00DE05C7" w:rsidRPr="00530D57" w:rsidRDefault="00DE05C7" w:rsidP="003A1C1A">
            <w:pPr>
              <w:rPr>
                <w:b/>
                <w:bCs/>
                <w:szCs w:val="20"/>
              </w:rPr>
            </w:pPr>
            <w:r w:rsidRPr="00530D57">
              <w:rPr>
                <w:b/>
                <w:bCs/>
                <w:szCs w:val="20"/>
              </w:rPr>
              <w:t>Legal clarity</w:t>
            </w:r>
          </w:p>
        </w:tc>
        <w:tc>
          <w:tcPr>
            <w:tcW w:w="3686" w:type="dxa"/>
            <w:vAlign w:val="center"/>
          </w:tcPr>
          <w:p w14:paraId="6CE16EF9" w14:textId="536035CB" w:rsidR="00DE05C7" w:rsidRPr="00530D57" w:rsidRDefault="00DE05C7" w:rsidP="003A1C1A">
            <w:pPr>
              <w:rPr>
                <w:szCs w:val="20"/>
              </w:rPr>
            </w:pPr>
            <w:r w:rsidRPr="00530D57">
              <w:rPr>
                <w:szCs w:val="20"/>
              </w:rPr>
              <w:t>Statements in this category focused on objectivity, predictability and equal application of the law.</w:t>
            </w:r>
          </w:p>
        </w:tc>
        <w:tc>
          <w:tcPr>
            <w:tcW w:w="8505" w:type="dxa"/>
            <w:vAlign w:val="center"/>
          </w:tcPr>
          <w:p w14:paraId="727E680D" w14:textId="77777777" w:rsidR="00AB1502" w:rsidRPr="00530D57" w:rsidRDefault="00DE05C7" w:rsidP="003A1C1A">
            <w:pPr>
              <w:rPr>
                <w:szCs w:val="20"/>
              </w:rPr>
            </w:pPr>
            <w:r w:rsidRPr="00530D57">
              <w:rPr>
                <w:szCs w:val="20"/>
              </w:rPr>
              <w:t xml:space="preserve">'Hate crime' is inherently subjective, meaning my interpretation of it, though valid, reflects a personal viewpoint, like anyone else's. Without a legal definition of 'hate,' we rely on everyday understandings of terms such as ill-will, spite, contempt, and dislike. </w:t>
            </w:r>
          </w:p>
          <w:p w14:paraId="5108BDAC" w14:textId="77777777" w:rsidR="00032E71" w:rsidRPr="00530D57" w:rsidRDefault="00DE05C7" w:rsidP="003A1C1A">
            <w:pPr>
              <w:rPr>
                <w:szCs w:val="20"/>
              </w:rPr>
            </w:pPr>
            <w:r w:rsidRPr="00530D57">
              <w:rPr>
                <w:szCs w:val="20"/>
              </w:rPr>
              <w:t xml:space="preserve">Some criminal activity is motivated by hate, but New Zealand already addresses hate motivations under the 'aggravated and mitigating factors' in Section 9 of the Sentencing Act. This allows judges to use discretion within an objective framework to assess motivations. The law must remain objective, with judges trusted to apply their discerning legal judgment. </w:t>
            </w:r>
          </w:p>
          <w:p w14:paraId="2E8AC466" w14:textId="65AA4AE9" w:rsidR="00DE05C7" w:rsidRPr="00530D57" w:rsidRDefault="00DE05C7" w:rsidP="003A1C1A">
            <w:pPr>
              <w:rPr>
                <w:szCs w:val="20"/>
              </w:rPr>
            </w:pPr>
            <w:r w:rsidRPr="00530D57">
              <w:rPr>
                <w:szCs w:val="20"/>
              </w:rPr>
              <w:t>It should not be subjective, as this contradicts a fundamental principle of the Rule of Law: the law must be clear and predictable. The Consultation Paper recognises this, highlighting “the need for certainty in the criminal law” and stressing that “offences must be clearly defined so that people can know in advance what is prohibited and the maximum penalty for non-compliance.” (3.16d(i), p.18).</w:t>
            </w:r>
          </w:p>
        </w:tc>
      </w:tr>
      <w:tr w:rsidR="00DE05C7" w:rsidRPr="00530D57" w14:paraId="1AC7DC8D" w14:textId="77777777" w:rsidTr="00197568">
        <w:tc>
          <w:tcPr>
            <w:tcW w:w="2320" w:type="dxa"/>
            <w:vAlign w:val="center"/>
          </w:tcPr>
          <w:p w14:paraId="2BFB8EAD" w14:textId="104A21A4" w:rsidR="00DE05C7" w:rsidRPr="00530D57" w:rsidRDefault="00B259DC" w:rsidP="003A1C1A">
            <w:pPr>
              <w:rPr>
                <w:b/>
                <w:bCs/>
                <w:szCs w:val="20"/>
              </w:rPr>
            </w:pPr>
            <w:r w:rsidRPr="00530D57">
              <w:rPr>
                <w:b/>
                <w:bCs/>
                <w:szCs w:val="20"/>
              </w:rPr>
              <w:t>Democratic v</w:t>
            </w:r>
            <w:r w:rsidR="00A46BCD" w:rsidRPr="00530D57">
              <w:rPr>
                <w:b/>
                <w:bCs/>
                <w:szCs w:val="20"/>
              </w:rPr>
              <w:t xml:space="preserve">alues </w:t>
            </w:r>
            <w:r w:rsidRPr="00530D57">
              <w:rPr>
                <w:b/>
                <w:bCs/>
                <w:szCs w:val="20"/>
              </w:rPr>
              <w:t>and</w:t>
            </w:r>
            <w:r w:rsidR="00A46BCD" w:rsidRPr="00530D57">
              <w:rPr>
                <w:b/>
                <w:bCs/>
                <w:szCs w:val="20"/>
              </w:rPr>
              <w:t xml:space="preserve"> rights</w:t>
            </w:r>
          </w:p>
        </w:tc>
        <w:tc>
          <w:tcPr>
            <w:tcW w:w="3686" w:type="dxa"/>
            <w:vAlign w:val="center"/>
          </w:tcPr>
          <w:p w14:paraId="46DAAA72" w14:textId="7D45E41C" w:rsidR="00111D16" w:rsidRPr="00530D57" w:rsidRDefault="00DE05C7" w:rsidP="003A1C1A">
            <w:pPr>
              <w:rPr>
                <w:szCs w:val="20"/>
              </w:rPr>
            </w:pPr>
            <w:r w:rsidRPr="00530D57">
              <w:rPr>
                <w:szCs w:val="20"/>
              </w:rPr>
              <w:t xml:space="preserve">Statements in this category asserted that </w:t>
            </w:r>
            <w:r w:rsidR="00C66A9F" w:rsidRPr="00530D57">
              <w:rPr>
                <w:szCs w:val="20"/>
              </w:rPr>
              <w:t xml:space="preserve">specific </w:t>
            </w:r>
            <w:r w:rsidRPr="00530D57">
              <w:rPr>
                <w:szCs w:val="20"/>
              </w:rPr>
              <w:t xml:space="preserve">hate crime </w:t>
            </w:r>
            <w:r w:rsidR="00E33907" w:rsidRPr="00530D57">
              <w:rPr>
                <w:szCs w:val="20"/>
              </w:rPr>
              <w:t>offences</w:t>
            </w:r>
            <w:r w:rsidR="00111D16" w:rsidRPr="00530D57">
              <w:rPr>
                <w:szCs w:val="20"/>
              </w:rPr>
              <w:t>:</w:t>
            </w:r>
          </w:p>
          <w:p w14:paraId="0D196C16" w14:textId="786AA6C8" w:rsidR="00111D16" w:rsidRPr="00530D57" w:rsidRDefault="00DE05C7" w:rsidP="008A77F0">
            <w:pPr>
              <w:pStyle w:val="ListBullet"/>
              <w:ind w:left="335" w:hanging="283"/>
              <w:jc w:val="left"/>
            </w:pPr>
            <w:r w:rsidRPr="00530D57">
              <w:lastRenderedPageBreak/>
              <w:t>conflict with</w:t>
            </w:r>
            <w:r w:rsidR="00BF195B" w:rsidRPr="00530D57">
              <w:t xml:space="preserve"> </w:t>
            </w:r>
            <w:r w:rsidR="00216083" w:rsidRPr="00530D57">
              <w:t>equality before the law</w:t>
            </w:r>
            <w:r w:rsidR="00586675" w:rsidRPr="00530D57">
              <w:t>; and</w:t>
            </w:r>
          </w:p>
          <w:p w14:paraId="6C9D4B9A" w14:textId="7F1DCF4E" w:rsidR="00A7545F" w:rsidRPr="00530D57" w:rsidRDefault="007177C8" w:rsidP="008A77F0">
            <w:pPr>
              <w:pStyle w:val="ListBullet"/>
              <w:ind w:left="335" w:hanging="283"/>
              <w:jc w:val="left"/>
            </w:pPr>
            <w:r w:rsidRPr="00530D57">
              <w:t>impact</w:t>
            </w:r>
            <w:r w:rsidR="000D226B" w:rsidRPr="00530D57">
              <w:t xml:space="preserve"> </w:t>
            </w:r>
            <w:r w:rsidR="00DE05C7" w:rsidRPr="00530D57">
              <w:t xml:space="preserve">freedom of expression </w:t>
            </w:r>
            <w:r w:rsidR="00F509B9" w:rsidRPr="00530D57">
              <w:t>and</w:t>
            </w:r>
            <w:r w:rsidR="00DE05C7" w:rsidRPr="00530D57">
              <w:t xml:space="preserve"> thought</w:t>
            </w:r>
            <w:r w:rsidR="00F149D6" w:rsidRPr="00530D57">
              <w:t>.</w:t>
            </w:r>
          </w:p>
        </w:tc>
        <w:tc>
          <w:tcPr>
            <w:tcW w:w="8505" w:type="dxa"/>
            <w:vAlign w:val="center"/>
          </w:tcPr>
          <w:p w14:paraId="6AABF922" w14:textId="77777777" w:rsidR="008F5CA6" w:rsidRPr="00530D57" w:rsidRDefault="008F5CA6" w:rsidP="003A1C1A">
            <w:pPr>
              <w:rPr>
                <w:szCs w:val="20"/>
              </w:rPr>
            </w:pPr>
            <w:r w:rsidRPr="00530D57">
              <w:rPr>
                <w:szCs w:val="20"/>
              </w:rPr>
              <w:lastRenderedPageBreak/>
              <w:t xml:space="preserve">I am strongly against the establishment of specific 'hate crimes.' While crime is defined by objective legal principles, 'hate' is a personal emotion. The legal system is effective in regulating actions, but it cannot accurately address emotions. Furthermore, the subjective nature of 'hate' means that definitions of hate crimes would differ from </w:t>
            </w:r>
            <w:r w:rsidRPr="00530D57">
              <w:rPr>
                <w:szCs w:val="20"/>
              </w:rPr>
              <w:lastRenderedPageBreak/>
              <w:t>person to person and evolve over time, making it an unreliable and unfair basis for law. This could also open the door to misuse and manipulation.</w:t>
            </w:r>
          </w:p>
          <w:p w14:paraId="2AB36D9C" w14:textId="12949F32" w:rsidR="00972AF6" w:rsidRPr="00530D57" w:rsidRDefault="00DE05C7" w:rsidP="003A1C1A">
            <w:pPr>
              <w:rPr>
                <w:szCs w:val="20"/>
              </w:rPr>
            </w:pPr>
            <w:r w:rsidRPr="00530D57">
              <w:rPr>
                <w:szCs w:val="20"/>
              </w:rPr>
              <w:t xml:space="preserve">I am deeply concerned that hate crime laws could erode fundamental human rights, including freedom of thought, speech, association, and legal equality. As highlighted in section 3.48, these laws could lead individuals to self-censor for fear that their statements may later be used against them in legal proceedings. This would suppress open discourse and damage social relationships. Such an outcome is highly concerning. The state should not impose a constant shadow over conversations in New Zealand. </w:t>
            </w:r>
          </w:p>
          <w:p w14:paraId="7D1E9763" w14:textId="370A8C41" w:rsidR="00B9310A" w:rsidRPr="00530D57" w:rsidRDefault="00DE05C7" w:rsidP="003A1C1A">
            <w:pPr>
              <w:rPr>
                <w:szCs w:val="20"/>
              </w:rPr>
            </w:pPr>
            <w:r w:rsidRPr="00530D57">
              <w:rPr>
                <w:szCs w:val="20"/>
              </w:rPr>
              <w:t>We firmly oppose the claim of a “growing consensus” that human rights obligations require hate crime legislation. The idea that 'hate crime' laws could act as a “mechanism for elimination of discrimination” (3.44, p.24) is especially alarming, as it embodies an authoritarian impulse. True discrimination cannot be eliminated without violating core human freedoms.</w:t>
            </w:r>
          </w:p>
          <w:p w14:paraId="2B69F424" w14:textId="0420E5DA" w:rsidR="00DE05C7" w:rsidRPr="00530D57" w:rsidRDefault="00DE05C7" w:rsidP="003A1C1A">
            <w:pPr>
              <w:rPr>
                <w:szCs w:val="20"/>
              </w:rPr>
            </w:pPr>
            <w:r w:rsidRPr="00530D57">
              <w:rPr>
                <w:szCs w:val="20"/>
              </w:rPr>
              <w:t>I reject the notion of protected characteristics. Every individual is a unique minority. Elevating certain traits above others undermines the principle of equality before the law.</w:t>
            </w:r>
          </w:p>
        </w:tc>
      </w:tr>
      <w:tr w:rsidR="00DE05C7" w:rsidRPr="00530D57" w14:paraId="064AD676" w14:textId="77777777" w:rsidTr="00197568">
        <w:tc>
          <w:tcPr>
            <w:tcW w:w="2320" w:type="dxa"/>
            <w:vAlign w:val="center"/>
          </w:tcPr>
          <w:p w14:paraId="1A533576" w14:textId="08295C60" w:rsidR="00DE05C7" w:rsidRPr="00530D57" w:rsidRDefault="00DE05C7" w:rsidP="003A1C1A">
            <w:pPr>
              <w:rPr>
                <w:b/>
                <w:bCs/>
                <w:szCs w:val="20"/>
              </w:rPr>
            </w:pPr>
            <w:r w:rsidRPr="00530D57">
              <w:rPr>
                <w:b/>
                <w:bCs/>
                <w:szCs w:val="20"/>
              </w:rPr>
              <w:lastRenderedPageBreak/>
              <w:t>Role of tikanga Māori / Treaty of Waitangi</w:t>
            </w:r>
          </w:p>
        </w:tc>
        <w:tc>
          <w:tcPr>
            <w:tcW w:w="3686" w:type="dxa"/>
            <w:vAlign w:val="center"/>
          </w:tcPr>
          <w:p w14:paraId="0536A718" w14:textId="6DC3454E" w:rsidR="00DE05C7" w:rsidRPr="00530D57" w:rsidRDefault="00DE05C7" w:rsidP="003A1C1A">
            <w:pPr>
              <w:rPr>
                <w:szCs w:val="20"/>
              </w:rPr>
            </w:pPr>
            <w:r w:rsidRPr="00530D57">
              <w:rPr>
                <w:szCs w:val="20"/>
              </w:rPr>
              <w:t xml:space="preserve">Statements in this category expressed </w:t>
            </w:r>
            <w:r w:rsidR="00B14361" w:rsidRPr="00530D57">
              <w:rPr>
                <w:szCs w:val="20"/>
              </w:rPr>
              <w:t>concern</w:t>
            </w:r>
            <w:r w:rsidRPr="00530D57">
              <w:rPr>
                <w:szCs w:val="20"/>
              </w:rPr>
              <w:t xml:space="preserve"> that considering these </w:t>
            </w:r>
            <w:r w:rsidR="003F642C" w:rsidRPr="00530D57">
              <w:rPr>
                <w:szCs w:val="20"/>
              </w:rPr>
              <w:t>matters</w:t>
            </w:r>
            <w:r w:rsidRPr="00530D57">
              <w:rPr>
                <w:szCs w:val="20"/>
              </w:rPr>
              <w:t xml:space="preserve"> </w:t>
            </w:r>
            <w:r w:rsidR="003F642C" w:rsidRPr="00530D57">
              <w:rPr>
                <w:szCs w:val="20"/>
              </w:rPr>
              <w:t xml:space="preserve">as part of reform </w:t>
            </w:r>
            <w:r w:rsidRPr="00530D57">
              <w:rPr>
                <w:szCs w:val="20"/>
              </w:rPr>
              <w:t>would undermine legal equality. Other statements dismissed the relevance of tikanga</w:t>
            </w:r>
            <w:r w:rsidR="0032029C" w:rsidRPr="00530D57">
              <w:rPr>
                <w:szCs w:val="20"/>
              </w:rPr>
              <w:t xml:space="preserve"> to </w:t>
            </w:r>
            <w:r w:rsidR="000E395B" w:rsidRPr="00530D57">
              <w:rPr>
                <w:szCs w:val="20"/>
              </w:rPr>
              <w:t xml:space="preserve">law </w:t>
            </w:r>
            <w:r w:rsidR="0032029C" w:rsidRPr="00530D57">
              <w:rPr>
                <w:szCs w:val="20"/>
              </w:rPr>
              <w:t>reform.</w:t>
            </w:r>
          </w:p>
        </w:tc>
        <w:tc>
          <w:tcPr>
            <w:tcW w:w="8505" w:type="dxa"/>
            <w:vAlign w:val="center"/>
          </w:tcPr>
          <w:p w14:paraId="3A884B56" w14:textId="147106E0" w:rsidR="00972AF6" w:rsidRPr="00530D57" w:rsidRDefault="005C677C" w:rsidP="003A1C1A">
            <w:pPr>
              <w:rPr>
                <w:szCs w:val="20"/>
              </w:rPr>
            </w:pPr>
            <w:r w:rsidRPr="00530D57">
              <w:rPr>
                <w:szCs w:val="20"/>
              </w:rPr>
              <w:t>The Treaty’s role in the justice system raises critical issues, particularly regarding the potential introduction of a dual framework rooted in tikanga principles, which may grant Māori communities judicial authority in enforcing 'hate crime' laws.</w:t>
            </w:r>
          </w:p>
          <w:p w14:paraId="2BC534EC" w14:textId="77777777" w:rsidR="00383DB3" w:rsidRPr="00530D57" w:rsidRDefault="00DE05C7" w:rsidP="003A1C1A">
            <w:pPr>
              <w:rPr>
                <w:szCs w:val="20"/>
              </w:rPr>
            </w:pPr>
            <w:r w:rsidRPr="00530D57">
              <w:rPr>
                <w:szCs w:val="20"/>
              </w:rPr>
              <w:t>Upholding commitments under the Treaty of Waitangi is best achieved by refraining from promoting 'hate crime' legislation. Te Tiriti o Waitangi obliges the Crown to provide equal treatment to all New Zealand citizens. This means prioritising fairness and consistency over policies that introduce different rights based on identity characteristics.</w:t>
            </w:r>
          </w:p>
          <w:p w14:paraId="64BB7380" w14:textId="7142D3D3" w:rsidR="00DE05C7" w:rsidRPr="00530D57" w:rsidRDefault="00DE05C7" w:rsidP="003A1C1A">
            <w:pPr>
              <w:rPr>
                <w:szCs w:val="20"/>
              </w:rPr>
            </w:pPr>
            <w:r w:rsidRPr="00530D57">
              <w:rPr>
                <w:szCs w:val="20"/>
              </w:rPr>
              <w:t>International experiences show that laws attempting to regulate 'hate'—a highly subjective term—have often led to unintended consequences, including the prosecution of the very minority groups they were meant to protect.</w:t>
            </w:r>
          </w:p>
        </w:tc>
      </w:tr>
    </w:tbl>
    <w:p w14:paraId="59D68F7A" w14:textId="77777777" w:rsidR="0036027D" w:rsidRDefault="0036027D" w:rsidP="0036027D"/>
    <w:sectPr w:rsidR="0036027D" w:rsidSect="00197568">
      <w:pgSz w:w="16838" w:h="11906" w:orient="landscape" w:code="9"/>
      <w:pgMar w:top="1134" w:right="1134" w:bottom="1134" w:left="1134" w:header="499" w:footer="499"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D6DA6" w14:textId="77777777" w:rsidR="00921FB3" w:rsidRPr="00530D57" w:rsidRDefault="00921FB3">
      <w:r w:rsidRPr="00530D57">
        <w:separator/>
      </w:r>
    </w:p>
    <w:p w14:paraId="26D45505" w14:textId="77777777" w:rsidR="00921FB3" w:rsidRPr="00530D57" w:rsidRDefault="00921FB3"/>
    <w:p w14:paraId="3ACE60E1" w14:textId="77777777" w:rsidR="00921FB3" w:rsidRPr="00530D57" w:rsidRDefault="00921FB3"/>
    <w:p w14:paraId="1A677D32" w14:textId="77777777" w:rsidR="00921FB3" w:rsidRPr="00530D57" w:rsidRDefault="00921FB3"/>
  </w:endnote>
  <w:endnote w:type="continuationSeparator" w:id="0">
    <w:p w14:paraId="55F51B21" w14:textId="77777777" w:rsidR="00921FB3" w:rsidRPr="00530D57" w:rsidRDefault="00921FB3">
      <w:r w:rsidRPr="00530D57">
        <w:continuationSeparator/>
      </w:r>
    </w:p>
    <w:p w14:paraId="371EA2EC" w14:textId="77777777" w:rsidR="00921FB3" w:rsidRPr="00530D57" w:rsidRDefault="00921FB3"/>
    <w:p w14:paraId="2D5CFAB9" w14:textId="77777777" w:rsidR="00921FB3" w:rsidRPr="00530D57" w:rsidRDefault="00921FB3"/>
    <w:p w14:paraId="630B4D84" w14:textId="77777777" w:rsidR="00921FB3" w:rsidRPr="00530D57" w:rsidRDefault="00921FB3"/>
  </w:endnote>
  <w:endnote w:type="continuationNotice" w:id="1">
    <w:p w14:paraId="60F6DDA0" w14:textId="77777777" w:rsidR="00921FB3" w:rsidRPr="00530D57" w:rsidRDefault="00921F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Mäori">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ropolis Light">
    <w:panose1 w:val="00000500000000000000"/>
    <w:charset w:val="00"/>
    <w:family w:val="modern"/>
    <w:notTrueType/>
    <w:pitch w:val="variable"/>
    <w:sig w:usb0="00000007" w:usb1="00000000" w:usb2="00000000" w:usb3="00000000" w:csb0="00000093" w:csb1="00000000"/>
  </w:font>
  <w:font w:name="Metropolis">
    <w:altName w:val="Calibri"/>
    <w:panose1 w:val="00000500000000000000"/>
    <w:charset w:val="00"/>
    <w:family w:val="modern"/>
    <w:notTrueType/>
    <w:pitch w:val="variable"/>
    <w:sig w:usb0="00000007" w:usb1="00000000"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Metropolis Black">
    <w:panose1 w:val="00000A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___WRD_EMBED_SUB_42">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B2BA7" w14:textId="77777777" w:rsidR="002B5528" w:rsidRDefault="002B5528">
    <w:pPr>
      <w:pStyle w:val="Footer"/>
    </w:pPr>
    <w:r>
      <w:rPr>
        <w:noProof/>
        <w:lang w:eastAsia="en-NZ"/>
      </w:rPr>
      <w:drawing>
        <wp:anchor distT="0" distB="0" distL="114300" distR="114300" simplePos="0" relativeHeight="251658241" behindDoc="0" locked="0" layoutInCell="1" allowOverlap="1" wp14:anchorId="35308F0D" wp14:editId="76C584F8">
          <wp:simplePos x="0" y="0"/>
          <wp:positionH relativeFrom="page">
            <wp:posOffset>146636</wp:posOffset>
          </wp:positionH>
          <wp:positionV relativeFrom="page">
            <wp:posOffset>9571600</wp:posOffset>
          </wp:positionV>
          <wp:extent cx="7242810" cy="1014095"/>
          <wp:effectExtent l="0" t="0" r="0" b="0"/>
          <wp:wrapNone/>
          <wp:docPr id="25405385" name="Picture 25405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242810" cy="10140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0570C" w14:textId="77777777" w:rsidR="002B5528" w:rsidRDefault="002B5528">
    <w:pPr>
      <w:pStyle w:val="Footer"/>
    </w:pPr>
  </w:p>
  <w:p w14:paraId="4F185654" w14:textId="77777777" w:rsidR="002B5528" w:rsidRDefault="002B55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0790B" w14:textId="23C0574A" w:rsidR="00337A41" w:rsidRPr="00337A41" w:rsidRDefault="00337A41" w:rsidP="00337A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38989" w14:textId="77777777" w:rsidR="002D6D9B" w:rsidRPr="00530D57" w:rsidRDefault="002D6D9B" w:rsidP="00FE5AEC">
    <w:pPr>
      <w:pStyle w:val="Footer"/>
      <w:framePr w:wrap="around" w:vAnchor="text" w:hAnchor="margin" w:xAlign="right" w:y="1"/>
      <w:tabs>
        <w:tab w:val="clear" w:pos="4536"/>
        <w:tab w:val="clear" w:pos="9072"/>
      </w:tabs>
      <w:rPr>
        <w:rStyle w:val="PageNumber"/>
      </w:rPr>
    </w:pPr>
  </w:p>
  <w:p w14:paraId="3B103C57" w14:textId="77777777" w:rsidR="002D6D9B" w:rsidRPr="00530D57" w:rsidRDefault="002D6D9B" w:rsidP="00FE5AE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C3CDB" w14:textId="77777777" w:rsidR="00BD27B7" w:rsidRPr="00530D57" w:rsidRDefault="00BD27B7" w:rsidP="00FE5AEC">
    <w:pPr>
      <w:pStyle w:val="Footer"/>
      <w:framePr w:wrap="around" w:vAnchor="text" w:hAnchor="margin" w:xAlign="right" w:y="1"/>
      <w:tabs>
        <w:tab w:val="clear" w:pos="4536"/>
        <w:tab w:val="clear" w:pos="9072"/>
      </w:tabs>
      <w:rPr>
        <w:rStyle w:val="PageNumber"/>
      </w:rPr>
    </w:pPr>
  </w:p>
  <w:p w14:paraId="4B075BE6" w14:textId="77777777" w:rsidR="00BD27B7" w:rsidRPr="00530D57" w:rsidRDefault="00BD27B7" w:rsidP="00FE5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DA066" w14:textId="77777777" w:rsidR="00921FB3" w:rsidRPr="00530D57" w:rsidRDefault="00921FB3">
      <w:r w:rsidRPr="00530D57">
        <w:separator/>
      </w:r>
    </w:p>
  </w:footnote>
  <w:footnote w:type="continuationSeparator" w:id="0">
    <w:p w14:paraId="53414553" w14:textId="77777777" w:rsidR="00921FB3" w:rsidRPr="00530D57" w:rsidRDefault="00921FB3">
      <w:r w:rsidRPr="00530D57">
        <w:continuationSeparator/>
      </w:r>
    </w:p>
    <w:p w14:paraId="0A0D6BC7" w14:textId="77777777" w:rsidR="00921FB3" w:rsidRPr="00530D57" w:rsidRDefault="00921FB3"/>
    <w:p w14:paraId="3FEC76FA" w14:textId="77777777" w:rsidR="00921FB3" w:rsidRPr="00530D57" w:rsidRDefault="00921FB3"/>
    <w:p w14:paraId="6D9D2BCF" w14:textId="77777777" w:rsidR="00921FB3" w:rsidRPr="00530D57" w:rsidRDefault="00921FB3"/>
  </w:footnote>
  <w:footnote w:type="continuationNotice" w:id="1">
    <w:p w14:paraId="30543CB9" w14:textId="77777777" w:rsidR="00921FB3" w:rsidRPr="00530D57" w:rsidRDefault="00921FB3">
      <w:pPr>
        <w:spacing w:after="0" w:line="240" w:lineRule="auto"/>
      </w:pPr>
    </w:p>
  </w:footnote>
  <w:footnote w:id="2">
    <w:p w14:paraId="3BF4E5FD" w14:textId="5EA6DD42" w:rsidR="00631C0D" w:rsidRPr="00530D57" w:rsidRDefault="00631C0D">
      <w:pPr>
        <w:pStyle w:val="FootnoteText"/>
      </w:pPr>
      <w:r w:rsidRPr="00530D57">
        <w:rPr>
          <w:rStyle w:val="FootnoteReference"/>
        </w:rPr>
        <w:footnoteRef/>
      </w:r>
      <w:r w:rsidRPr="00530D57">
        <w:t xml:space="preserve"> </w:t>
      </w:r>
      <w:r w:rsidRPr="00530D57">
        <w:tab/>
        <w:t xml:space="preserve">There is also one submission (Submission 50) that we decided not to publish </w:t>
      </w:r>
      <w:r w:rsidR="000F4E22">
        <w:t>at all</w:t>
      </w:r>
      <w:r w:rsidRPr="00530D57">
        <w:t xml:space="preserve"> to protect the privacy of the submitter and third parties, and because publication could expose the Law Commission to legal liability.</w:t>
      </w:r>
      <w:r w:rsidR="00472356">
        <w:t xml:space="preserve"> We refer to it in this document by the submission number.</w:t>
      </w:r>
    </w:p>
  </w:footnote>
  <w:footnote w:id="3">
    <w:p w14:paraId="157BBCED" w14:textId="3EED43E5" w:rsidR="00C6715F" w:rsidRPr="00530D57" w:rsidRDefault="00C6715F" w:rsidP="00770949">
      <w:pPr>
        <w:pStyle w:val="FootnoteText"/>
      </w:pPr>
      <w:r w:rsidRPr="00530D57">
        <w:rPr>
          <w:rStyle w:val="FootnoteReference"/>
          <w:color w:val="0D0D0D" w:themeColor="text1" w:themeTint="F2"/>
          <w:sz w:val="15"/>
          <w:vertAlign w:val="baseline"/>
        </w:rPr>
        <w:footnoteRef/>
      </w:r>
      <w:r w:rsidR="0DE169CE" w:rsidRPr="00530D57">
        <w:t xml:space="preserve">  </w:t>
      </w:r>
      <w:r w:rsidRPr="00530D57">
        <w:tab/>
      </w:r>
      <w:r w:rsidR="0DE169CE" w:rsidRPr="00530D57">
        <w:t xml:space="preserve">Disabled Persons Assembly and VisAble (joint submission); Clive Elliot KC; Dr Sanjana Hattotuwa; Russell Hoban; Submission 26; Submission 77; and </w:t>
      </w:r>
      <w:r w:rsidR="00C36EF6">
        <w:t>Te Kāhui o Ināia Tonu Nei Charitable Trust</w:t>
      </w:r>
      <w:r w:rsidR="0DE169CE" w:rsidRPr="00530D57">
        <w:t xml:space="preserve">. </w:t>
      </w:r>
    </w:p>
  </w:footnote>
  <w:footnote w:id="4">
    <w:p w14:paraId="3EAFDABE" w14:textId="6C03979C" w:rsidR="00D85462" w:rsidRPr="00530D57" w:rsidRDefault="00D85462" w:rsidP="00770949">
      <w:pPr>
        <w:pStyle w:val="FootnoteText"/>
      </w:pPr>
      <w:r w:rsidRPr="00530D57">
        <w:rPr>
          <w:rStyle w:val="FootnoteReference"/>
          <w:color w:val="0D0D0D" w:themeColor="text1" w:themeTint="F2"/>
          <w:sz w:val="15"/>
          <w:vertAlign w:val="baseline"/>
        </w:rPr>
        <w:footnoteRef/>
      </w:r>
      <w:r w:rsidR="0DE169CE" w:rsidRPr="00530D57">
        <w:t xml:space="preserve"> </w:t>
      </w:r>
      <w:r w:rsidRPr="00530D57">
        <w:tab/>
      </w:r>
      <w:r w:rsidR="0DE169CE" w:rsidRPr="00530D57">
        <w:t>George Balani; Gary Durey; David F; M Guenole; Rex Landy; Richard Lillywhite; Andrew Marchant; Graeme Minchin; Submission 53; Submission 60; Submission 62; Submission 64; Submission 65; Submission 68; Submission 71; Submission 73; Submission 76; Submission 79; and Fergus Wheeler.</w:t>
      </w:r>
    </w:p>
  </w:footnote>
  <w:footnote w:id="5">
    <w:p w14:paraId="51C64EEA" w14:textId="54E91BCE" w:rsidR="00852482" w:rsidRPr="00530D57" w:rsidRDefault="00852482" w:rsidP="00770949">
      <w:pPr>
        <w:pStyle w:val="FootnoteText"/>
      </w:pPr>
      <w:r w:rsidRPr="00530D57">
        <w:rPr>
          <w:rStyle w:val="FootnoteReference"/>
          <w:color w:val="0D0D0D" w:themeColor="text1" w:themeTint="F2"/>
          <w:sz w:val="15"/>
          <w:vertAlign w:val="baseline"/>
        </w:rPr>
        <w:footnoteRef/>
      </w:r>
      <w:r w:rsidR="0DE169CE" w:rsidRPr="00530D57">
        <w:t xml:space="preserve"> </w:t>
      </w:r>
      <w:r w:rsidRPr="00530D57">
        <w:tab/>
      </w:r>
      <w:r w:rsidR="0DE169CE" w:rsidRPr="00530D57">
        <w:t xml:space="preserve">George Balani; </w:t>
      </w:r>
      <w:r w:rsidR="00C36EF6">
        <w:t>Dr David Bromell</w:t>
      </w:r>
      <w:r w:rsidR="0DE169CE" w:rsidRPr="00530D57">
        <w:t xml:space="preserve">; Destiny Church; Gary Durey; David F; Family First; Free Speech Union; Dr David Harvey; Brian Jones; Karun Lakshman; Maire Leadbeater; David Le Breton; Lesbian Action for Visibility in Aotearoa; Dr John McDonald-Wharry; Tim O’Sullivan; Submission 53; Submission 62; Submission </w:t>
      </w:r>
      <w:r w:rsidR="0094125E">
        <w:t xml:space="preserve">63; </w:t>
      </w:r>
      <w:r w:rsidR="0DE169CE" w:rsidRPr="00530D57">
        <w:t xml:space="preserve">Submission 64; Submission 65; Submission 76; Submission 78; Submission 79; Submission 88; </w:t>
      </w:r>
      <w:r w:rsidR="00C36EF6">
        <w:t>The Law Association of New Zealand Public and Administrative Law Committee</w:t>
      </w:r>
      <w:r w:rsidR="0DE169CE" w:rsidRPr="00530D57">
        <w:t>; Fergus Wheeler; and Women’s Rights Party.</w:t>
      </w:r>
    </w:p>
  </w:footnote>
  <w:footnote w:id="6">
    <w:p w14:paraId="29139E38" w14:textId="7A8A2594" w:rsidR="008E1F6D" w:rsidRPr="00530D57" w:rsidRDefault="008E1F6D" w:rsidP="008E1F6D">
      <w:pPr>
        <w:pStyle w:val="FootnoteText"/>
        <w:rPr>
          <w:highlight w:val="green"/>
        </w:rPr>
      </w:pPr>
      <w:r w:rsidRPr="00530D57">
        <w:rPr>
          <w:rStyle w:val="FootnoteReference"/>
        </w:rPr>
        <w:footnoteRef/>
      </w:r>
      <w:r w:rsidRPr="00530D57">
        <w:t xml:space="preserve"> </w:t>
      </w:r>
      <w:r w:rsidRPr="00530D57">
        <w:tab/>
        <w:t xml:space="preserve">Grace Carroll; </w:t>
      </w:r>
      <w:r w:rsidR="0C0509C3" w:rsidRPr="00530D57">
        <w:t>Submission 26; and Submission 90.</w:t>
      </w:r>
    </w:p>
  </w:footnote>
  <w:footnote w:id="7">
    <w:p w14:paraId="15776495" w14:textId="357F3111" w:rsidR="008E1F6D" w:rsidRPr="00530D57" w:rsidRDefault="008E1F6D" w:rsidP="008E1F6D">
      <w:pPr>
        <w:pStyle w:val="FootnoteText"/>
      </w:pPr>
      <w:r w:rsidRPr="00530D57">
        <w:rPr>
          <w:rStyle w:val="FootnoteReference"/>
        </w:rPr>
        <w:footnoteRef/>
      </w:r>
      <w:r w:rsidR="0DE169CE" w:rsidRPr="00530D57">
        <w:t xml:space="preserve"> </w:t>
      </w:r>
      <w:r w:rsidRPr="00530D57">
        <w:tab/>
      </w:r>
      <w:r w:rsidR="0DE169CE" w:rsidRPr="00530D57">
        <w:t>Dr David Harvey; Free Speech Union; and Karun Lakshman.</w:t>
      </w:r>
    </w:p>
  </w:footnote>
  <w:footnote w:id="8">
    <w:p w14:paraId="4B60F6B2" w14:textId="124F7A0E" w:rsidR="00420123" w:rsidRPr="00530D57" w:rsidRDefault="00420123" w:rsidP="00420123">
      <w:pPr>
        <w:pStyle w:val="FootnoteText"/>
      </w:pPr>
      <w:r w:rsidRPr="00530D57">
        <w:rPr>
          <w:rStyle w:val="FootnoteReference"/>
        </w:rPr>
        <w:footnoteRef/>
      </w:r>
      <w:r w:rsidR="51B7C6D5" w:rsidRPr="00530D57">
        <w:t xml:space="preserve"> </w:t>
      </w:r>
      <w:r w:rsidRPr="00530D57">
        <w:tab/>
      </w:r>
      <w:r w:rsidR="00C36EF6">
        <w:t>Dr David Bromell</w:t>
      </w:r>
      <w:r w:rsidR="51B7C6D5" w:rsidRPr="00530D57">
        <w:t xml:space="preserve">; </w:t>
      </w:r>
      <w:r w:rsidR="00153C2D">
        <w:t>Inclusive Aotearoa Collective Tāhono</w:t>
      </w:r>
      <w:r w:rsidR="51B7C6D5" w:rsidRPr="00530D57">
        <w:t xml:space="preserve">; </w:t>
      </w:r>
      <w:r w:rsidR="004D0C06">
        <w:t>Justice for Palestine, Alternative Jewish Voices and Dayenu</w:t>
      </w:r>
      <w:r w:rsidR="51B7C6D5" w:rsidRPr="00530D57">
        <w:t xml:space="preserve"> (joint submission); Luke Cunningham Clere; Dr Kyle R Matthews; Members of Te Hunga Rōia Māori o Aotearoa; Murray Stirling; Submission 77; </w:t>
      </w:r>
      <w:r w:rsidR="00C36EF6">
        <w:t>Te Kāhui o Ināia Tonu Nei Charitable Trust</w:t>
      </w:r>
      <w:r w:rsidR="51B7C6D5" w:rsidRPr="00530D57">
        <w:t>; Dr Chris Wilson; and Women’s Rights Party.</w:t>
      </w:r>
    </w:p>
  </w:footnote>
  <w:footnote w:id="9">
    <w:p w14:paraId="15ACABE2" w14:textId="38A1A530" w:rsidR="00420123" w:rsidRPr="00530D57" w:rsidRDefault="00420123" w:rsidP="00420123">
      <w:pPr>
        <w:pStyle w:val="FootnoteText"/>
      </w:pPr>
      <w:r w:rsidRPr="00530D57">
        <w:rPr>
          <w:rStyle w:val="FootnoteReference"/>
        </w:rPr>
        <w:footnoteRef/>
      </w:r>
      <w:r w:rsidR="51B7C6D5" w:rsidRPr="00530D57">
        <w:t xml:space="preserve"> </w:t>
      </w:r>
      <w:r w:rsidRPr="00530D57">
        <w:tab/>
      </w:r>
      <w:r w:rsidR="00C36EF6">
        <w:t>Dr David Bromell</w:t>
      </w:r>
      <w:r w:rsidR="51B7C6D5" w:rsidRPr="00530D57">
        <w:t xml:space="preserve">; </w:t>
      </w:r>
      <w:r w:rsidR="00153C2D">
        <w:t>Inclusive Aotearoa Collective Tāhono</w:t>
      </w:r>
      <w:r w:rsidR="51B7C6D5" w:rsidRPr="00530D57">
        <w:t xml:space="preserve">; </w:t>
      </w:r>
      <w:r w:rsidR="004D0C06">
        <w:t>Justice for Palestine, Alternative Jewish Voices and Dayenu</w:t>
      </w:r>
      <w:r w:rsidR="51B7C6D5" w:rsidRPr="00530D57">
        <w:t xml:space="preserve"> (joint submission); Luke Cunningham Clere</w:t>
      </w:r>
      <w:r w:rsidR="00254709">
        <w:t>;</w:t>
      </w:r>
      <w:r w:rsidR="51B7C6D5" w:rsidRPr="00530D57">
        <w:t xml:space="preserve"> and Women’s Rights Party.</w:t>
      </w:r>
    </w:p>
  </w:footnote>
  <w:footnote w:id="10">
    <w:p w14:paraId="1C4ABB85" w14:textId="43B795F1" w:rsidR="00420123" w:rsidRPr="00530D57" w:rsidRDefault="00420123" w:rsidP="00420123">
      <w:pPr>
        <w:pStyle w:val="FootnoteText"/>
      </w:pPr>
      <w:r w:rsidRPr="00530D57">
        <w:rPr>
          <w:rStyle w:val="FootnoteReference"/>
        </w:rPr>
        <w:footnoteRef/>
      </w:r>
      <w:r w:rsidR="51B7C6D5" w:rsidRPr="00530D57">
        <w:t xml:space="preserve"> </w:t>
      </w:r>
      <w:r w:rsidRPr="00530D57">
        <w:tab/>
      </w:r>
      <w:r w:rsidR="00153C2D">
        <w:t>Inclusive Aotearoa Collective Tāhono</w:t>
      </w:r>
      <w:r w:rsidR="51B7C6D5" w:rsidRPr="00530D57">
        <w:t xml:space="preserve">; and </w:t>
      </w:r>
      <w:r w:rsidR="00C36EF6">
        <w:t>Te Kāhui o Ināia Tonu Nei Charitable Trust</w:t>
      </w:r>
      <w:r w:rsidR="51B7C6D5" w:rsidRPr="00530D57">
        <w:t>.</w:t>
      </w:r>
    </w:p>
  </w:footnote>
  <w:footnote w:id="11">
    <w:p w14:paraId="19180C2C" w14:textId="7ED20172" w:rsidR="00420123" w:rsidRPr="00530D57" w:rsidRDefault="00420123" w:rsidP="00420123">
      <w:pPr>
        <w:pStyle w:val="FootnoteText"/>
      </w:pPr>
      <w:r w:rsidRPr="00530D57">
        <w:rPr>
          <w:rStyle w:val="FootnoteReference"/>
        </w:rPr>
        <w:footnoteRef/>
      </w:r>
      <w:r w:rsidR="0DE169CE" w:rsidRPr="00530D57">
        <w:t xml:space="preserve"> </w:t>
      </w:r>
      <w:r w:rsidRPr="00530D57">
        <w:tab/>
      </w:r>
      <w:r w:rsidR="0DE169CE" w:rsidRPr="00530D57">
        <w:t xml:space="preserve">Dr Kyle R Matthews. </w:t>
      </w:r>
    </w:p>
  </w:footnote>
  <w:footnote w:id="12">
    <w:p w14:paraId="1149923F" w14:textId="617E7BCF" w:rsidR="00420123" w:rsidRPr="00530D57" w:rsidRDefault="00420123" w:rsidP="00420123">
      <w:pPr>
        <w:pStyle w:val="FootnoteText"/>
      </w:pPr>
      <w:r w:rsidRPr="00530D57">
        <w:rPr>
          <w:rStyle w:val="FootnoteReference"/>
        </w:rPr>
        <w:footnoteRef/>
      </w:r>
      <w:r w:rsidR="51B7C6D5" w:rsidRPr="00530D57">
        <w:t xml:space="preserve"> </w:t>
      </w:r>
      <w:r w:rsidRPr="00530D57">
        <w:tab/>
      </w:r>
      <w:r w:rsidR="51B7C6D5" w:rsidRPr="00530D57">
        <w:t xml:space="preserve">Madeline Ash; Grace Carroll; Disabled Persons Assembly and VisAble (joint submission); Donald Beasley Institute and People First New Zealand (joint submission); Michael Fitzgerald; Dr David Harvey; </w:t>
      </w:r>
      <w:r w:rsidR="00153C2D">
        <w:t>Inclusive Aotearoa Collective Tāhono</w:t>
      </w:r>
      <w:r w:rsidR="51B7C6D5" w:rsidRPr="00530D57">
        <w:t xml:space="preserve">; Luke Cunningham Clere; Maxim Institute; </w:t>
      </w:r>
      <w:r w:rsidR="00FD211C">
        <w:t>Parents of Vision Impaired</w:t>
      </w:r>
      <w:r w:rsidR="51B7C6D5" w:rsidRPr="00530D57">
        <w:t xml:space="preserve">; Pride in Law Otago; Murray Stirling; Submission 43; Submission 63; </w:t>
      </w:r>
      <w:r w:rsidR="00C36EF6">
        <w:t>Te Kāhui o Ināia Tonu Nei Charitable Trust</w:t>
      </w:r>
      <w:r w:rsidR="51B7C6D5" w:rsidRPr="00530D57">
        <w:t xml:space="preserve">; </w:t>
      </w:r>
      <w:r w:rsidR="00C36EF6">
        <w:t>The Law Association of New Zealand Public and Administrative Law Committee</w:t>
      </w:r>
      <w:r w:rsidR="51B7C6D5" w:rsidRPr="00530D57">
        <w:t>; Dr Mark Walters; Dr Chris Wilson; and Women’s Rights Party.</w:t>
      </w:r>
    </w:p>
  </w:footnote>
  <w:footnote w:id="13">
    <w:p w14:paraId="3E0F6D1A" w14:textId="32AB3F79" w:rsidR="00420123" w:rsidRPr="00530D57" w:rsidRDefault="00420123" w:rsidP="00420123">
      <w:pPr>
        <w:pStyle w:val="FootnoteText"/>
      </w:pPr>
      <w:r w:rsidRPr="00530D57">
        <w:rPr>
          <w:rStyle w:val="FootnoteReference"/>
        </w:rPr>
        <w:footnoteRef/>
      </w:r>
      <w:r w:rsidRPr="00530D57">
        <w:t xml:space="preserve"> </w:t>
      </w:r>
      <w:r w:rsidRPr="00530D57">
        <w:tab/>
      </w:r>
      <w:r w:rsidR="69AFCFDE" w:rsidRPr="00530D57">
        <w:t>Madeline Ash; Grace Carrol; Disabled Persons Assembly</w:t>
      </w:r>
      <w:r w:rsidR="46961666" w:rsidRPr="00530D57">
        <w:t xml:space="preserve"> and VisAble (joint submission);</w:t>
      </w:r>
      <w:r w:rsidR="69AFCFDE" w:rsidRPr="00530D57">
        <w:t xml:space="preserve"> Donald Beasley Institute and People First New Zealand</w:t>
      </w:r>
      <w:r w:rsidR="46961666" w:rsidRPr="00530D57">
        <w:t xml:space="preserve"> (joint submission);</w:t>
      </w:r>
      <w:r w:rsidR="69AFCFDE" w:rsidRPr="00530D57">
        <w:t xml:space="preserve"> Michael Fitzgerald; </w:t>
      </w:r>
      <w:r w:rsidR="00FD211C">
        <w:t>Parents of Vision Impaired</w:t>
      </w:r>
      <w:r w:rsidR="69AFCFDE" w:rsidRPr="00530D57">
        <w:t xml:space="preserve">; Pride in Law Otago; Submission 43; and </w:t>
      </w:r>
      <w:r w:rsidR="00C36EF6">
        <w:t>The Law Association of New Zealand Public and Administrative Law Committee</w:t>
      </w:r>
      <w:r w:rsidR="69AFCFDE" w:rsidRPr="00530D57">
        <w:t>.</w:t>
      </w:r>
    </w:p>
  </w:footnote>
  <w:footnote w:id="14">
    <w:p w14:paraId="3D9D8307" w14:textId="2851522D" w:rsidR="00420123" w:rsidRPr="00530D57" w:rsidRDefault="00420123" w:rsidP="00420123">
      <w:pPr>
        <w:pStyle w:val="FootnoteText"/>
      </w:pPr>
      <w:r w:rsidRPr="00530D57">
        <w:rPr>
          <w:rStyle w:val="FootnoteReference"/>
        </w:rPr>
        <w:footnoteRef/>
      </w:r>
      <w:r w:rsidRPr="00530D57">
        <w:t xml:space="preserve"> </w:t>
      </w:r>
      <w:r w:rsidRPr="00530D57">
        <w:tab/>
      </w:r>
      <w:r w:rsidR="69AFCFDE" w:rsidRPr="00530D57">
        <w:t>Grace Carroll; Donald Beasley Institute and People First New Zealand</w:t>
      </w:r>
      <w:r w:rsidR="46961666" w:rsidRPr="00530D57">
        <w:t xml:space="preserve"> (joint submission);</w:t>
      </w:r>
      <w:r w:rsidR="69AFCFDE" w:rsidRPr="00530D57">
        <w:t xml:space="preserve"> Michael Fitzgerald; Dr David Harvey; </w:t>
      </w:r>
      <w:r w:rsidR="00FD211C">
        <w:t>Parents of Vision Impaired</w:t>
      </w:r>
      <w:r w:rsidR="69AFCFDE" w:rsidRPr="00530D57">
        <w:t>; and Submission 43.</w:t>
      </w:r>
    </w:p>
  </w:footnote>
  <w:footnote w:id="15">
    <w:p w14:paraId="0C1FCBB1" w14:textId="56E2A935" w:rsidR="00420123" w:rsidRPr="00530D57" w:rsidRDefault="00420123" w:rsidP="00420123">
      <w:pPr>
        <w:pStyle w:val="FootnoteText"/>
      </w:pPr>
      <w:r w:rsidRPr="00530D57">
        <w:rPr>
          <w:rStyle w:val="FootnoteReference"/>
        </w:rPr>
        <w:footnoteRef/>
      </w:r>
      <w:r w:rsidRPr="00530D57">
        <w:t xml:space="preserve"> </w:t>
      </w:r>
      <w:r w:rsidRPr="00530D57">
        <w:tab/>
        <w:t>Disabled Persons Assembly</w:t>
      </w:r>
      <w:r w:rsidR="46961666" w:rsidRPr="00530D57">
        <w:t xml:space="preserve"> and VisAble (joint submission);</w:t>
      </w:r>
      <w:r w:rsidR="0C0509C3" w:rsidRPr="00530D57">
        <w:t xml:space="preserve"> Dr David Harvey; and Submission 43.</w:t>
      </w:r>
    </w:p>
  </w:footnote>
  <w:footnote w:id="16">
    <w:p w14:paraId="3AD602E5" w14:textId="13C61375" w:rsidR="00420123" w:rsidRPr="00530D57" w:rsidRDefault="00420123" w:rsidP="00420123">
      <w:pPr>
        <w:pStyle w:val="FootnoteText"/>
      </w:pPr>
      <w:r w:rsidRPr="00530D57">
        <w:rPr>
          <w:rStyle w:val="FootnoteReference"/>
        </w:rPr>
        <w:footnoteRef/>
      </w:r>
      <w:r w:rsidRPr="00530D57">
        <w:t xml:space="preserve"> </w:t>
      </w:r>
      <w:r w:rsidRPr="00530D57">
        <w:tab/>
      </w:r>
      <w:r w:rsidR="0C0509C3" w:rsidRPr="00530D57">
        <w:t xml:space="preserve">Dr </w:t>
      </w:r>
      <w:r w:rsidRPr="00530D57">
        <w:t xml:space="preserve">Mark Walters. </w:t>
      </w:r>
    </w:p>
  </w:footnote>
  <w:footnote w:id="17">
    <w:p w14:paraId="10AF3FD8" w14:textId="4516503F" w:rsidR="00420123" w:rsidRPr="00530D57" w:rsidRDefault="00420123" w:rsidP="00420123">
      <w:pPr>
        <w:pStyle w:val="FootnoteText"/>
      </w:pPr>
      <w:r w:rsidRPr="00530D57">
        <w:rPr>
          <w:rStyle w:val="FootnoteReference"/>
        </w:rPr>
        <w:footnoteRef/>
      </w:r>
      <w:r w:rsidR="51B7C6D5" w:rsidRPr="00530D57">
        <w:t xml:space="preserve"> </w:t>
      </w:r>
      <w:r w:rsidRPr="00530D57">
        <w:tab/>
      </w:r>
      <w:r w:rsidR="51B7C6D5" w:rsidRPr="00530D57">
        <w:t xml:space="preserve">Madeline Ash; Grace Carroll; Dr David Harvey; </w:t>
      </w:r>
      <w:r w:rsidR="00153C2D">
        <w:t>Inclusive Aotearoa Collective Tāhono</w:t>
      </w:r>
      <w:r w:rsidR="51B7C6D5" w:rsidRPr="00530D57">
        <w:t xml:space="preserve">; Luke Cunningham Clere; Pride in Law Otago; Murray Stirling; Submission 43; </w:t>
      </w:r>
      <w:r w:rsidR="00C36EF6">
        <w:t>The Law Association of New Zealand Public and Administrative Law Committee</w:t>
      </w:r>
      <w:r w:rsidR="51B7C6D5" w:rsidRPr="00530D57">
        <w:t>; Dr Mark Walters; and Women’s Rights Party.</w:t>
      </w:r>
    </w:p>
  </w:footnote>
  <w:footnote w:id="18">
    <w:p w14:paraId="28D3DF8C" w14:textId="0F89AD5B" w:rsidR="00420123" w:rsidRPr="00530D57" w:rsidRDefault="00420123" w:rsidP="00420123">
      <w:pPr>
        <w:pStyle w:val="FootnoteText"/>
      </w:pPr>
      <w:r w:rsidRPr="00530D57">
        <w:rPr>
          <w:rStyle w:val="FootnoteReference"/>
        </w:rPr>
        <w:footnoteRef/>
      </w:r>
      <w:r w:rsidR="51B7C6D5" w:rsidRPr="00530D57">
        <w:t xml:space="preserve"> </w:t>
      </w:r>
      <w:r w:rsidRPr="00530D57">
        <w:tab/>
      </w:r>
      <w:r w:rsidR="51B7C6D5" w:rsidRPr="00530D57">
        <w:t xml:space="preserve">Grace Carroll; </w:t>
      </w:r>
      <w:r w:rsidR="00153C2D">
        <w:t>Inclusive Aotearoa Collective Tāhono</w:t>
      </w:r>
      <w:r w:rsidR="51B7C6D5" w:rsidRPr="00530D57">
        <w:t>; Submission 43; and Women’s Rights Party.</w:t>
      </w:r>
    </w:p>
  </w:footnote>
  <w:footnote w:id="19">
    <w:p w14:paraId="6333C903" w14:textId="49E06E91" w:rsidR="00420123" w:rsidRPr="00530D57" w:rsidRDefault="00420123" w:rsidP="00420123">
      <w:pPr>
        <w:pStyle w:val="FootnoteText"/>
      </w:pPr>
      <w:r w:rsidRPr="00530D57">
        <w:rPr>
          <w:rStyle w:val="FootnoteReference"/>
        </w:rPr>
        <w:footnoteRef/>
      </w:r>
      <w:r w:rsidR="51B7C6D5" w:rsidRPr="00530D57">
        <w:t xml:space="preserve"> </w:t>
      </w:r>
      <w:r w:rsidRPr="00530D57">
        <w:tab/>
      </w:r>
      <w:r w:rsidR="00153C2D">
        <w:t>Inclusive Aotearoa Collective Tāhono</w:t>
      </w:r>
      <w:r w:rsidR="51B7C6D5" w:rsidRPr="00530D57">
        <w:t>;</w:t>
      </w:r>
      <w:r w:rsidR="00E645C9">
        <w:t xml:space="preserve"> </w:t>
      </w:r>
      <w:r w:rsidR="51B7C6D5" w:rsidRPr="00530D57">
        <w:t xml:space="preserve">Dr Mark Walters; and Women’s Rights Party. </w:t>
      </w:r>
    </w:p>
  </w:footnote>
  <w:footnote w:id="20">
    <w:p w14:paraId="54B3590C" w14:textId="48DCFFC0" w:rsidR="00420123" w:rsidRPr="00530D57" w:rsidRDefault="00420123" w:rsidP="00420123">
      <w:pPr>
        <w:pStyle w:val="FootnoteText"/>
      </w:pPr>
      <w:r w:rsidRPr="00530D57">
        <w:rPr>
          <w:rStyle w:val="FootnoteReference"/>
        </w:rPr>
        <w:footnoteRef/>
      </w:r>
      <w:r w:rsidRPr="00530D57">
        <w:t xml:space="preserve"> </w:t>
      </w:r>
      <w:r w:rsidRPr="00530D57">
        <w:tab/>
      </w:r>
      <w:r w:rsidR="69AFCFDE" w:rsidRPr="00530D57">
        <w:t>Submission 43; and</w:t>
      </w:r>
      <w:r w:rsidR="00EB425E" w:rsidRPr="00530D57">
        <w:t xml:space="preserve"> </w:t>
      </w:r>
      <w:r w:rsidR="69AFCFDE" w:rsidRPr="00530D57">
        <w:t xml:space="preserve">Dr </w:t>
      </w:r>
      <w:r w:rsidRPr="00530D57">
        <w:t xml:space="preserve">Mark Walters. </w:t>
      </w:r>
    </w:p>
  </w:footnote>
  <w:footnote w:id="21">
    <w:p w14:paraId="7F6BFCD8" w14:textId="25AD0035" w:rsidR="00420123" w:rsidRPr="00530D57" w:rsidRDefault="00420123" w:rsidP="00420123">
      <w:pPr>
        <w:pStyle w:val="FootnoteText"/>
      </w:pPr>
      <w:r w:rsidRPr="00530D57">
        <w:rPr>
          <w:rStyle w:val="FootnoteReference"/>
        </w:rPr>
        <w:footnoteRef/>
      </w:r>
      <w:r w:rsidRPr="00530D57">
        <w:t xml:space="preserve"> </w:t>
      </w:r>
      <w:r w:rsidRPr="00530D57">
        <w:tab/>
      </w:r>
      <w:r w:rsidR="00C36EF6">
        <w:t>Te Kāhui o Ināia Tonu Nei Charitable Trust</w:t>
      </w:r>
      <w:r w:rsidRPr="00530D57">
        <w:t xml:space="preserve">. </w:t>
      </w:r>
    </w:p>
  </w:footnote>
  <w:footnote w:id="22">
    <w:p w14:paraId="6CCFE25A" w14:textId="5E14901D" w:rsidR="00420123" w:rsidRPr="00530D57" w:rsidRDefault="00420123" w:rsidP="00420123">
      <w:pPr>
        <w:pStyle w:val="FootnoteText"/>
      </w:pPr>
      <w:r w:rsidRPr="00530D57">
        <w:rPr>
          <w:rStyle w:val="FootnoteReference"/>
        </w:rPr>
        <w:footnoteRef/>
      </w:r>
      <w:r w:rsidR="51B7C6D5" w:rsidRPr="00530D57">
        <w:t xml:space="preserve"> </w:t>
      </w:r>
      <w:r w:rsidRPr="00530D57">
        <w:tab/>
      </w:r>
      <w:r w:rsidR="51B7C6D5" w:rsidRPr="00530D57">
        <w:t xml:space="preserve">Grace Carroll; Dr David Harvey; </w:t>
      </w:r>
      <w:r w:rsidR="00153C2D">
        <w:t>Inclusive Aotearoa Collective Tāhono</w:t>
      </w:r>
      <w:r w:rsidR="51B7C6D5" w:rsidRPr="00530D57">
        <w:t>; Luke Cunningham Clere;</w:t>
      </w:r>
      <w:r w:rsidR="00EB425E" w:rsidRPr="00530D57">
        <w:t xml:space="preserve"> </w:t>
      </w:r>
      <w:r w:rsidR="51B7C6D5" w:rsidRPr="00530D57">
        <w:t>Submission 43; Submission 63; Dr Mark Walters; and Dr Chris Wilson.</w:t>
      </w:r>
    </w:p>
  </w:footnote>
  <w:footnote w:id="23">
    <w:p w14:paraId="7E2B8882" w14:textId="7CB0F239" w:rsidR="00420123" w:rsidRPr="00530D57" w:rsidRDefault="00420123" w:rsidP="00420123">
      <w:pPr>
        <w:pStyle w:val="FootnoteText"/>
      </w:pPr>
      <w:r w:rsidRPr="00530D57">
        <w:rPr>
          <w:rStyle w:val="FootnoteReference"/>
        </w:rPr>
        <w:footnoteRef/>
      </w:r>
      <w:r w:rsidR="51B7C6D5" w:rsidRPr="00530D57">
        <w:t xml:space="preserve"> </w:t>
      </w:r>
      <w:r w:rsidRPr="00530D57">
        <w:tab/>
      </w:r>
      <w:r w:rsidR="51B7C6D5" w:rsidRPr="00530D57">
        <w:t xml:space="preserve">Grace Carroll; Dr David Harvey; </w:t>
      </w:r>
      <w:r w:rsidR="00153C2D">
        <w:t>Inclusive Aotearoa Collective Tāhono</w:t>
      </w:r>
      <w:r w:rsidR="51B7C6D5" w:rsidRPr="00530D57">
        <w:t>; Luke Cunningham Clere; Dr Mark Walters; and Dr Chris Wilson.</w:t>
      </w:r>
    </w:p>
  </w:footnote>
  <w:footnote w:id="24">
    <w:p w14:paraId="6720E021" w14:textId="50507204" w:rsidR="00420123" w:rsidRPr="00530D57" w:rsidRDefault="00420123" w:rsidP="00420123">
      <w:pPr>
        <w:pStyle w:val="FootnoteText"/>
      </w:pPr>
      <w:r w:rsidRPr="00530D57">
        <w:rPr>
          <w:rStyle w:val="FootnoteReference"/>
        </w:rPr>
        <w:footnoteRef/>
      </w:r>
      <w:r w:rsidRPr="00530D57">
        <w:t xml:space="preserve"> </w:t>
      </w:r>
      <w:r w:rsidRPr="00530D57">
        <w:tab/>
        <w:t>Dr David Harvey</w:t>
      </w:r>
      <w:r w:rsidR="69AFCFDE" w:rsidRPr="00530D57">
        <w:t>; Dr</w:t>
      </w:r>
      <w:r w:rsidR="009E658B">
        <w:t xml:space="preserve"> </w:t>
      </w:r>
      <w:r w:rsidRPr="00530D57">
        <w:t>Mark Walters</w:t>
      </w:r>
      <w:r w:rsidR="69AFCFDE" w:rsidRPr="00530D57">
        <w:t>; and Dr Chris Wilson.</w:t>
      </w:r>
    </w:p>
  </w:footnote>
  <w:footnote w:id="25">
    <w:p w14:paraId="73434A65" w14:textId="77777777" w:rsidR="00420123" w:rsidRPr="00530D57" w:rsidRDefault="00420123" w:rsidP="00420123">
      <w:pPr>
        <w:pStyle w:val="FootnoteText"/>
      </w:pPr>
      <w:r w:rsidRPr="00530D57">
        <w:rPr>
          <w:rStyle w:val="FootnoteReference"/>
        </w:rPr>
        <w:footnoteRef/>
      </w:r>
      <w:r w:rsidRPr="00530D57">
        <w:t xml:space="preserve"> </w:t>
      </w:r>
      <w:r w:rsidRPr="00530D57">
        <w:tab/>
        <w:t>Dr David Harvey.</w:t>
      </w:r>
    </w:p>
  </w:footnote>
  <w:footnote w:id="26">
    <w:p w14:paraId="601F0F06" w14:textId="4EE6803D" w:rsidR="00B8240B" w:rsidRPr="00530D57" w:rsidRDefault="00B8240B" w:rsidP="00B8240B">
      <w:pPr>
        <w:pStyle w:val="FootnoteText"/>
      </w:pPr>
      <w:r w:rsidRPr="00530D57">
        <w:rPr>
          <w:rStyle w:val="FootnoteReference"/>
        </w:rPr>
        <w:footnoteRef/>
      </w:r>
      <w:r w:rsidR="69AFCFDE" w:rsidRPr="00530D57">
        <w:t xml:space="preserve"> </w:t>
      </w:r>
      <w:r w:rsidRPr="00530D57">
        <w:tab/>
      </w:r>
      <w:r w:rsidR="69AFCFDE" w:rsidRPr="00530D57">
        <w:t>Luke Cunningham Clere; and</w:t>
      </w:r>
      <w:r w:rsidR="00282B40" w:rsidRPr="00530D57">
        <w:t xml:space="preserve"> </w:t>
      </w:r>
      <w:r w:rsidR="69AFCFDE" w:rsidRPr="00530D57">
        <w:t>Murray Stirling.</w:t>
      </w:r>
    </w:p>
  </w:footnote>
  <w:footnote w:id="27">
    <w:p w14:paraId="229040F5" w14:textId="3932DF9E" w:rsidR="00B8240B" w:rsidRPr="00530D57" w:rsidRDefault="00B8240B" w:rsidP="00B8240B">
      <w:pPr>
        <w:pStyle w:val="FootnoteText"/>
      </w:pPr>
      <w:r w:rsidRPr="00530D57">
        <w:rPr>
          <w:rStyle w:val="FootnoteReference"/>
        </w:rPr>
        <w:footnoteRef/>
      </w:r>
      <w:r w:rsidR="69AFCFDE" w:rsidRPr="00530D57">
        <w:t xml:space="preserve"> </w:t>
      </w:r>
      <w:r w:rsidRPr="00530D57">
        <w:tab/>
      </w:r>
      <w:r w:rsidR="69AFCFDE" w:rsidRPr="00530D57">
        <w:t>Dr David Harvey;</w:t>
      </w:r>
      <w:r w:rsidR="009E658B">
        <w:t xml:space="preserve"> </w:t>
      </w:r>
      <w:r w:rsidR="69AFCFDE" w:rsidRPr="00530D57">
        <w:t xml:space="preserve">Submission 43; and Women’s Rights Party. </w:t>
      </w:r>
    </w:p>
  </w:footnote>
  <w:footnote w:id="28">
    <w:p w14:paraId="22D7DEC6" w14:textId="525E513E" w:rsidR="69AFCFDE" w:rsidRPr="00530D57" w:rsidRDefault="002C3DC0" w:rsidP="69AFCFDE">
      <w:pPr>
        <w:pStyle w:val="FootnoteText"/>
      </w:pPr>
      <w:r w:rsidRPr="00530D57">
        <w:rPr>
          <w:rStyle w:val="FootnoteReference"/>
        </w:rPr>
        <w:footnoteRef/>
      </w:r>
      <w:r w:rsidR="0DE169CE" w:rsidRPr="00530D57">
        <w:t xml:space="preserve"> </w:t>
      </w:r>
      <w:r w:rsidRPr="00530D57">
        <w:tab/>
      </w:r>
      <w:r w:rsidR="0DE169CE" w:rsidRPr="00530D57">
        <w:t xml:space="preserve">Madeline Ash; George Balani; Kevin Bird; </w:t>
      </w:r>
      <w:r w:rsidR="00C36EF6">
        <w:t>Dr David Bromell</w:t>
      </w:r>
      <w:r w:rsidR="0DE169CE" w:rsidRPr="00530D57">
        <w:t>; Destiny Church; Te Tari Ture o te Karauna | Crown Law; Free Speech Union; Dr David Harvey; Dr Sanjana Hattotuwa; Te Kāhui Ture o Aotearoa | New Zealand Law Society; Dr Kyle R Matthews; Submission 72; Submission 90; Dr Chris Wilson; and Women’s Rights Party.</w:t>
      </w:r>
    </w:p>
  </w:footnote>
  <w:footnote w:id="29">
    <w:p w14:paraId="04523DDF" w14:textId="58ADAAAE" w:rsidR="00420123" w:rsidRPr="00530D57" w:rsidRDefault="00420123" w:rsidP="00420123">
      <w:pPr>
        <w:pStyle w:val="FootnoteText"/>
      </w:pPr>
      <w:r w:rsidRPr="00530D57">
        <w:rPr>
          <w:rStyle w:val="FootnoteReference"/>
        </w:rPr>
        <w:footnoteRef/>
      </w:r>
      <w:r w:rsidRPr="00530D57">
        <w:t xml:space="preserve"> </w:t>
      </w:r>
      <w:r w:rsidRPr="00530D57">
        <w:tab/>
        <w:t>Dr Sanjana Hattotuwa</w:t>
      </w:r>
      <w:r w:rsidR="69AFCFDE" w:rsidRPr="00530D57">
        <w:t>;</w:t>
      </w:r>
      <w:r w:rsidRPr="00530D57">
        <w:t xml:space="preserve"> and</w:t>
      </w:r>
      <w:r w:rsidR="69AFCFDE" w:rsidRPr="00530D57">
        <w:t xml:space="preserve"> </w:t>
      </w:r>
      <w:r w:rsidRPr="00530D57">
        <w:t xml:space="preserve">Dr Chris Wilson. </w:t>
      </w:r>
    </w:p>
  </w:footnote>
  <w:footnote w:id="30">
    <w:p w14:paraId="621C4949" w14:textId="04EC13A0" w:rsidR="00420123" w:rsidRPr="00530D57" w:rsidRDefault="00420123" w:rsidP="00420123">
      <w:pPr>
        <w:pStyle w:val="FootnoteText"/>
      </w:pPr>
      <w:r w:rsidRPr="00530D57">
        <w:rPr>
          <w:rStyle w:val="FootnoteReference"/>
        </w:rPr>
        <w:footnoteRef/>
      </w:r>
      <w:r w:rsidR="0DE169CE" w:rsidRPr="00530D57">
        <w:t xml:space="preserve"> </w:t>
      </w:r>
      <w:r w:rsidRPr="00530D57">
        <w:tab/>
      </w:r>
      <w:r w:rsidR="0DE169CE" w:rsidRPr="00530D57">
        <w:t xml:space="preserve">George Balani; Kevin Bird; Destiny Church; Free Speech Union; Submission 72; and Submission 90. </w:t>
      </w:r>
    </w:p>
  </w:footnote>
  <w:footnote w:id="31">
    <w:p w14:paraId="723454FA" w14:textId="165E0AE7" w:rsidR="00420123" w:rsidRPr="00530D57" w:rsidRDefault="00420123" w:rsidP="00420123">
      <w:pPr>
        <w:pStyle w:val="FootnoteText"/>
      </w:pPr>
      <w:r w:rsidRPr="00530D57">
        <w:rPr>
          <w:rStyle w:val="FootnoteReference"/>
        </w:rPr>
        <w:footnoteRef/>
      </w:r>
      <w:r w:rsidR="0DE169CE" w:rsidRPr="00530D57">
        <w:t xml:space="preserve"> </w:t>
      </w:r>
      <w:r w:rsidRPr="00530D57">
        <w:tab/>
      </w:r>
      <w:r w:rsidR="0DE169CE" w:rsidRPr="00530D57">
        <w:t>Te Tari Ture o te Karauna | Crown Law; and Dr David Harvey.</w:t>
      </w:r>
    </w:p>
  </w:footnote>
  <w:footnote w:id="32">
    <w:p w14:paraId="6FC2CDFB" w14:textId="65B088B4" w:rsidR="00420123" w:rsidRPr="00530D57" w:rsidRDefault="00420123" w:rsidP="00420123">
      <w:pPr>
        <w:pStyle w:val="FootnoteText"/>
      </w:pPr>
      <w:r w:rsidRPr="00530D57">
        <w:rPr>
          <w:rStyle w:val="FootnoteReference"/>
        </w:rPr>
        <w:footnoteRef/>
      </w:r>
      <w:r w:rsidRPr="00530D57">
        <w:t xml:space="preserve"> </w:t>
      </w:r>
      <w:r w:rsidRPr="00530D57">
        <w:tab/>
      </w:r>
      <w:r w:rsidR="69AFCFDE" w:rsidRPr="00530D57">
        <w:t xml:space="preserve">Te Kāhui Ture o Aotearoa | </w:t>
      </w:r>
      <w:r w:rsidRPr="00530D57">
        <w:t xml:space="preserve">New Zealand Law Society. </w:t>
      </w:r>
    </w:p>
  </w:footnote>
  <w:footnote w:id="33">
    <w:p w14:paraId="14D8BBFC" w14:textId="09D6DDDE" w:rsidR="00420123" w:rsidRPr="00530D57" w:rsidRDefault="00420123" w:rsidP="00420123">
      <w:pPr>
        <w:pStyle w:val="FootnoteText"/>
      </w:pPr>
      <w:r w:rsidRPr="00530D57">
        <w:rPr>
          <w:rStyle w:val="FootnoteReference"/>
        </w:rPr>
        <w:footnoteRef/>
      </w:r>
      <w:r w:rsidR="6A35053A" w:rsidRPr="00530D57">
        <w:t xml:space="preserve"> </w:t>
      </w:r>
      <w:r w:rsidRPr="00530D57">
        <w:tab/>
      </w:r>
      <w:bookmarkStart w:id="30" w:name="_Hlk201843850"/>
      <w:r w:rsidR="6A35053A" w:rsidRPr="00530D57">
        <w:t xml:space="preserve">Annette Sykes </w:t>
      </w:r>
      <w:r w:rsidR="00D30A36">
        <w:t>&amp;</w:t>
      </w:r>
      <w:r w:rsidR="6A35053A" w:rsidRPr="00530D57">
        <w:t xml:space="preserve"> Co; Destiny Church; Disabled Persons Assembly and VisAble (joint submission); Donald Beasley Institute and People First New Zealand (joint submission); David F; Grey Power New Zealand; Dr Sanjana Hattotuwa; </w:t>
      </w:r>
      <w:r w:rsidR="00153C2D">
        <w:t>Inclusive Aotearoa Collective Tāhono</w:t>
      </w:r>
      <w:r w:rsidR="6A35053A" w:rsidRPr="00530D57">
        <w:t xml:space="preserve">; </w:t>
      </w:r>
      <w:r w:rsidR="004D0C06">
        <w:t>Justice for Palestine, Alternative Jewish Voices and Dayenu</w:t>
      </w:r>
      <w:r w:rsidR="6A35053A" w:rsidRPr="00530D57">
        <w:t xml:space="preserve"> (joint submission); Luke Cunningham Clere; Members of Te Hunga Rōia Māori o Aotearoa; Whaikaha | Ministry for Disabled Peoples; New Zealand Federation of Business and Professional Women; New Zealand Jewish Council; Ratonga Wawao ā-Ture Tūmatanui | Public Defence Service; </w:t>
      </w:r>
      <w:r w:rsidR="00FD211C">
        <w:t>Sikh Council of New Zealand</w:t>
      </w:r>
      <w:r w:rsidR="6A35053A" w:rsidRPr="00530D57">
        <w:t>; Murray Stirling; Submission 26; Submission 43; Submission 57; Submission 62; Submission 75; Submission 77; Submission 78; Te Kāhui Ināia Tonu Nei; Tamsen Williams; Dr Chris Wilson; and Women’s Rights Party.</w:t>
      </w:r>
    </w:p>
    <w:bookmarkEnd w:id="30"/>
  </w:footnote>
  <w:footnote w:id="34">
    <w:p w14:paraId="01DC9F60" w14:textId="662A6366" w:rsidR="00420123" w:rsidRPr="00530D57" w:rsidRDefault="00420123" w:rsidP="00420123">
      <w:pPr>
        <w:pStyle w:val="FootnoteText"/>
      </w:pPr>
      <w:r w:rsidRPr="00530D57">
        <w:rPr>
          <w:rStyle w:val="FootnoteReference"/>
        </w:rPr>
        <w:footnoteRef/>
      </w:r>
      <w:r w:rsidR="6A35053A" w:rsidRPr="00530D57">
        <w:t xml:space="preserve"> </w:t>
      </w:r>
      <w:r w:rsidRPr="00530D57">
        <w:tab/>
      </w:r>
      <w:r w:rsidR="6A35053A" w:rsidRPr="00530D57">
        <w:t>David F; Luke Cunningham Clere; New Zealand Federation of Business and Professional Women; Ratonga Wawao ā-Ture Tūmatanui | Public Defence Service; Submission 77; Tamsen Williams; Dr Chris Wilson; and</w:t>
      </w:r>
      <w:r w:rsidR="00FE43B6">
        <w:t xml:space="preserve"> </w:t>
      </w:r>
      <w:r w:rsidR="6A35053A" w:rsidRPr="00530D57">
        <w:t>Women’s Rights Party.</w:t>
      </w:r>
    </w:p>
  </w:footnote>
  <w:footnote w:id="35">
    <w:p w14:paraId="07DAE75E" w14:textId="65E7E3B8" w:rsidR="00420123" w:rsidRPr="00530D57" w:rsidRDefault="00420123" w:rsidP="00420123">
      <w:pPr>
        <w:pStyle w:val="FootnoteText"/>
      </w:pPr>
      <w:r w:rsidRPr="00530D57">
        <w:rPr>
          <w:rStyle w:val="FootnoteReference"/>
        </w:rPr>
        <w:footnoteRef/>
      </w:r>
      <w:r w:rsidRPr="00530D57">
        <w:t xml:space="preserve"> </w:t>
      </w:r>
      <w:r w:rsidRPr="00530D57">
        <w:tab/>
      </w:r>
      <w:bookmarkStart w:id="31" w:name="_Hlk198129595"/>
      <w:r w:rsidR="004D0C06">
        <w:t>Justice for Palestine, Alternative Jewish Voices and Dayenu</w:t>
      </w:r>
      <w:r w:rsidRPr="00530D57">
        <w:t xml:space="preserve"> (joint submission</w:t>
      </w:r>
      <w:r w:rsidR="46961666" w:rsidRPr="00530D57">
        <w:t xml:space="preserve">); </w:t>
      </w:r>
      <w:r w:rsidR="69AFCFDE" w:rsidRPr="00530D57">
        <w:t>New Zealand Jewish Council; and Submission 78.</w:t>
      </w:r>
      <w:r w:rsidRPr="00530D57">
        <w:t xml:space="preserve"> </w:t>
      </w:r>
      <w:bookmarkEnd w:id="31"/>
    </w:p>
  </w:footnote>
  <w:footnote w:id="36">
    <w:p w14:paraId="73EAAB2F" w14:textId="1143602A" w:rsidR="00420123" w:rsidRPr="00530D57" w:rsidRDefault="00420123" w:rsidP="00420123">
      <w:pPr>
        <w:pStyle w:val="FootnoteText"/>
      </w:pPr>
      <w:r w:rsidRPr="00530D57">
        <w:rPr>
          <w:rStyle w:val="FootnoteReference"/>
        </w:rPr>
        <w:footnoteRef/>
      </w:r>
      <w:r w:rsidR="0DE169CE" w:rsidRPr="00530D57">
        <w:t xml:space="preserve"> </w:t>
      </w:r>
      <w:r w:rsidRPr="00530D57">
        <w:tab/>
      </w:r>
      <w:bookmarkStart w:id="32" w:name="_Hlk201843886"/>
      <w:r w:rsidR="004D0C06">
        <w:t>Justice for Palestine, Alternative Jewish Voices and Dayenu</w:t>
      </w:r>
      <w:r w:rsidR="0DE169CE" w:rsidRPr="00530D57">
        <w:t xml:space="preserve"> </w:t>
      </w:r>
      <w:bookmarkEnd w:id="32"/>
      <w:r w:rsidR="0DE169CE" w:rsidRPr="00530D57">
        <w:t>(joint submission).</w:t>
      </w:r>
    </w:p>
  </w:footnote>
  <w:footnote w:id="37">
    <w:p w14:paraId="08CFA10E" w14:textId="77777777" w:rsidR="008F2151" w:rsidRPr="00530D57" w:rsidRDefault="008F2151" w:rsidP="008F2151">
      <w:pPr>
        <w:pStyle w:val="FootnoteText"/>
      </w:pPr>
      <w:r w:rsidRPr="00530D57">
        <w:rPr>
          <w:rStyle w:val="FootnoteReference"/>
        </w:rPr>
        <w:footnoteRef/>
      </w:r>
      <w:r w:rsidRPr="00530D57">
        <w:t xml:space="preserve"> </w:t>
      </w:r>
      <w:r w:rsidRPr="00530D57">
        <w:tab/>
        <w:t>Submission 43.</w:t>
      </w:r>
    </w:p>
  </w:footnote>
  <w:footnote w:id="38">
    <w:p w14:paraId="40A07CA3" w14:textId="0C7F6E25" w:rsidR="00420123" w:rsidRPr="00530D57" w:rsidRDefault="00420123" w:rsidP="00420123">
      <w:pPr>
        <w:pStyle w:val="FootnoteText"/>
      </w:pPr>
      <w:r w:rsidRPr="00530D57">
        <w:rPr>
          <w:rStyle w:val="FootnoteReference"/>
        </w:rPr>
        <w:footnoteRef/>
      </w:r>
      <w:r w:rsidRPr="00530D57">
        <w:t xml:space="preserve"> </w:t>
      </w:r>
      <w:r w:rsidRPr="00530D57">
        <w:tab/>
      </w:r>
      <w:r w:rsidR="00FD211C">
        <w:t>Sikh Council of New Zealand</w:t>
      </w:r>
      <w:r w:rsidR="69AFCFDE" w:rsidRPr="00530D57">
        <w:t>.</w:t>
      </w:r>
    </w:p>
  </w:footnote>
  <w:footnote w:id="39">
    <w:p w14:paraId="67DA444A" w14:textId="77777777" w:rsidR="00420123" w:rsidRPr="00530D57" w:rsidRDefault="00420123" w:rsidP="00420123">
      <w:pPr>
        <w:pStyle w:val="FootnoteText"/>
      </w:pPr>
      <w:r w:rsidRPr="00530D57">
        <w:rPr>
          <w:rStyle w:val="FootnoteReference"/>
        </w:rPr>
        <w:footnoteRef/>
      </w:r>
      <w:r w:rsidRPr="00530D57">
        <w:t xml:space="preserve"> </w:t>
      </w:r>
      <w:r w:rsidRPr="00530D57">
        <w:tab/>
        <w:t xml:space="preserve">Destiny Church. </w:t>
      </w:r>
    </w:p>
  </w:footnote>
  <w:footnote w:id="40">
    <w:p w14:paraId="3B7ACB3C" w14:textId="451C6CBB" w:rsidR="00420123" w:rsidRPr="00530D57" w:rsidRDefault="00420123" w:rsidP="00420123">
      <w:pPr>
        <w:pStyle w:val="FootnoteText"/>
      </w:pPr>
      <w:r w:rsidRPr="00530D57">
        <w:rPr>
          <w:rStyle w:val="FootnoteReference"/>
        </w:rPr>
        <w:footnoteRef/>
      </w:r>
      <w:r w:rsidRPr="00530D57">
        <w:t xml:space="preserve"> </w:t>
      </w:r>
      <w:r w:rsidRPr="00530D57">
        <w:tab/>
      </w:r>
      <w:r w:rsidR="69AFCFDE" w:rsidRPr="00530D57">
        <w:t>Submission 57.</w:t>
      </w:r>
    </w:p>
  </w:footnote>
  <w:footnote w:id="41">
    <w:p w14:paraId="70D39C67" w14:textId="46242DB5" w:rsidR="00420123" w:rsidRPr="00530D57" w:rsidRDefault="00420123" w:rsidP="00420123">
      <w:pPr>
        <w:pStyle w:val="FootnoteText"/>
      </w:pPr>
      <w:r w:rsidRPr="00530D57">
        <w:rPr>
          <w:rStyle w:val="FootnoteReference"/>
        </w:rPr>
        <w:footnoteRef/>
      </w:r>
      <w:r w:rsidRPr="00530D57">
        <w:t xml:space="preserve"> </w:t>
      </w:r>
      <w:r w:rsidRPr="00530D57">
        <w:tab/>
      </w:r>
      <w:r w:rsidR="69AFCFDE" w:rsidRPr="00530D57">
        <w:t xml:space="preserve">Dr </w:t>
      </w:r>
      <w:r w:rsidRPr="00530D57">
        <w:t>Sanjana Hattotuwa</w:t>
      </w:r>
      <w:r w:rsidR="69AFCFDE" w:rsidRPr="00530D57">
        <w:t>; Submission 26; and Submission 77.</w:t>
      </w:r>
    </w:p>
  </w:footnote>
  <w:footnote w:id="42">
    <w:p w14:paraId="012412EF" w14:textId="55616BB8" w:rsidR="00420123" w:rsidRPr="00530D57" w:rsidRDefault="00420123" w:rsidP="00420123">
      <w:pPr>
        <w:pStyle w:val="FootnoteText"/>
      </w:pPr>
      <w:r w:rsidRPr="00530D57">
        <w:rPr>
          <w:rStyle w:val="FootnoteReference"/>
        </w:rPr>
        <w:footnoteRef/>
      </w:r>
      <w:r w:rsidRPr="00530D57">
        <w:t xml:space="preserve"> </w:t>
      </w:r>
      <w:r w:rsidRPr="00530D57">
        <w:tab/>
      </w:r>
      <w:r w:rsidR="00C36EF6">
        <w:t>Te Kāhui o Ināia Tonu Nei Charitable Trust</w:t>
      </w:r>
      <w:r w:rsidRPr="00530D57">
        <w:t xml:space="preserve">. </w:t>
      </w:r>
    </w:p>
  </w:footnote>
  <w:footnote w:id="43">
    <w:p w14:paraId="5FF70382" w14:textId="481EF539" w:rsidR="00420123" w:rsidRPr="00530D57" w:rsidRDefault="00420123" w:rsidP="00420123">
      <w:pPr>
        <w:pStyle w:val="FootnoteText"/>
      </w:pPr>
      <w:r w:rsidRPr="00530D57">
        <w:rPr>
          <w:rStyle w:val="FootnoteReference"/>
        </w:rPr>
        <w:footnoteRef/>
      </w:r>
      <w:r w:rsidR="51B7C6D5" w:rsidRPr="00530D57">
        <w:t xml:space="preserve"> </w:t>
      </w:r>
      <w:r w:rsidRPr="00530D57">
        <w:tab/>
      </w:r>
      <w:r w:rsidR="0034381A" w:rsidRPr="00530D57">
        <w:t>Annette Sykes &amp; Co</w:t>
      </w:r>
      <w:r w:rsidRPr="00530D57">
        <w:t>.</w:t>
      </w:r>
    </w:p>
  </w:footnote>
  <w:footnote w:id="44">
    <w:p w14:paraId="224E8445" w14:textId="407DFECB" w:rsidR="00420123" w:rsidRPr="00530D57" w:rsidRDefault="00420123" w:rsidP="00420123">
      <w:pPr>
        <w:pStyle w:val="FootnoteText"/>
      </w:pPr>
      <w:r w:rsidRPr="00530D57">
        <w:rPr>
          <w:rStyle w:val="FootnoteReference"/>
        </w:rPr>
        <w:footnoteRef/>
      </w:r>
      <w:r w:rsidRPr="00530D57">
        <w:t xml:space="preserve"> </w:t>
      </w:r>
      <w:r w:rsidRPr="00530D57">
        <w:tab/>
      </w:r>
      <w:r w:rsidR="69AFCFDE" w:rsidRPr="00530D57">
        <w:t xml:space="preserve">Dr </w:t>
      </w:r>
      <w:r w:rsidRPr="00530D57">
        <w:t>Sanjana Hattotuwa.</w:t>
      </w:r>
    </w:p>
  </w:footnote>
  <w:footnote w:id="45">
    <w:p w14:paraId="456E5A1E" w14:textId="42E74F6B" w:rsidR="00420123" w:rsidRPr="00530D57" w:rsidRDefault="00420123" w:rsidP="00420123">
      <w:pPr>
        <w:pStyle w:val="FootnoteText"/>
      </w:pPr>
      <w:r w:rsidRPr="00530D57">
        <w:rPr>
          <w:rStyle w:val="FootnoteReference"/>
        </w:rPr>
        <w:footnoteRef/>
      </w:r>
      <w:r w:rsidR="51B7C6D5" w:rsidRPr="00530D57">
        <w:t xml:space="preserve"> </w:t>
      </w:r>
      <w:r w:rsidRPr="00530D57">
        <w:tab/>
      </w:r>
      <w:r w:rsidR="00153C2D">
        <w:t>Inclusive Aotearoa Collective Tāhono</w:t>
      </w:r>
      <w:r w:rsidR="51B7C6D5" w:rsidRPr="00530D57">
        <w:t xml:space="preserve">; </w:t>
      </w:r>
      <w:r w:rsidR="004D0C06">
        <w:t>Justice for Palestine, Alternative Jewish Voices and Dayenu</w:t>
      </w:r>
      <w:r w:rsidR="51B7C6D5" w:rsidRPr="00530D57">
        <w:t xml:space="preserve"> (joint submission); Murray Stirling; and </w:t>
      </w:r>
      <w:r w:rsidR="00C36EF6">
        <w:t>Te Kāhui o Ināia Tonu Nei Charitable Trust</w:t>
      </w:r>
      <w:r w:rsidR="51B7C6D5" w:rsidRPr="00530D57">
        <w:t xml:space="preserve">. </w:t>
      </w:r>
    </w:p>
  </w:footnote>
  <w:footnote w:id="46">
    <w:p w14:paraId="35841AB3" w14:textId="7DC5E5E7" w:rsidR="00420123" w:rsidRPr="00530D57" w:rsidRDefault="00420123" w:rsidP="00420123">
      <w:pPr>
        <w:pStyle w:val="FootnoteText"/>
      </w:pPr>
      <w:r w:rsidRPr="00530D57">
        <w:rPr>
          <w:rStyle w:val="FootnoteReference"/>
        </w:rPr>
        <w:footnoteRef/>
      </w:r>
      <w:r w:rsidRPr="00530D57">
        <w:t xml:space="preserve"> </w:t>
      </w:r>
      <w:r w:rsidRPr="00530D57">
        <w:tab/>
        <w:t>Grey Power</w:t>
      </w:r>
      <w:r w:rsidR="69AFCFDE" w:rsidRPr="00530D57">
        <w:t xml:space="preserve"> New Zealand; Submission 26; Submission 62; Submission 75; and </w:t>
      </w:r>
      <w:r w:rsidR="00C36EF6">
        <w:t>Te Kāhui o Ināia Tonu Nei Charitable Trust</w:t>
      </w:r>
      <w:r w:rsidR="69AFCFDE" w:rsidRPr="00530D57">
        <w:t>.</w:t>
      </w:r>
    </w:p>
  </w:footnote>
  <w:footnote w:id="47">
    <w:p w14:paraId="28010ACA" w14:textId="77777777" w:rsidR="00420123" w:rsidRPr="00530D57" w:rsidRDefault="00420123" w:rsidP="00420123">
      <w:pPr>
        <w:pStyle w:val="FootnoteText"/>
      </w:pPr>
      <w:r w:rsidRPr="00530D57">
        <w:rPr>
          <w:rStyle w:val="FootnoteReference"/>
        </w:rPr>
        <w:footnoteRef/>
      </w:r>
      <w:r w:rsidRPr="00530D57">
        <w:t xml:space="preserve"> </w:t>
      </w:r>
      <w:r w:rsidRPr="00530D57">
        <w:tab/>
        <w:t xml:space="preserve">Destiny Church. </w:t>
      </w:r>
    </w:p>
  </w:footnote>
  <w:footnote w:id="48">
    <w:p w14:paraId="5AE40259" w14:textId="4A81ECB5" w:rsidR="00F17E2D" w:rsidRPr="00530D57" w:rsidRDefault="00F17E2D" w:rsidP="00F17E2D">
      <w:pPr>
        <w:pStyle w:val="FootnoteText"/>
      </w:pPr>
      <w:r w:rsidRPr="00530D57">
        <w:rPr>
          <w:rStyle w:val="FootnoteReference"/>
        </w:rPr>
        <w:footnoteRef/>
      </w:r>
      <w:r w:rsidRPr="00530D57">
        <w:t xml:space="preserve"> </w:t>
      </w:r>
      <w:r w:rsidRPr="00530D57">
        <w:tab/>
      </w:r>
      <w:r w:rsidR="69AFCFDE" w:rsidRPr="00530D57">
        <w:t>Submission 77.</w:t>
      </w:r>
    </w:p>
  </w:footnote>
  <w:footnote w:id="49">
    <w:p w14:paraId="4B079EFB" w14:textId="3FCB97F9" w:rsidR="00420123" w:rsidRPr="00530D57" w:rsidRDefault="00420123" w:rsidP="00420123">
      <w:pPr>
        <w:pStyle w:val="FootnoteText"/>
      </w:pPr>
      <w:r w:rsidRPr="00530D57">
        <w:rPr>
          <w:rStyle w:val="FootnoteReference"/>
        </w:rPr>
        <w:footnoteRef/>
      </w:r>
      <w:r w:rsidR="0DE169CE" w:rsidRPr="00530D57">
        <w:t xml:space="preserve"> </w:t>
      </w:r>
      <w:r w:rsidRPr="00530D57">
        <w:tab/>
      </w:r>
      <w:r w:rsidR="0DE169CE" w:rsidRPr="00530D57">
        <w:t>Disabled Persons Assembly and VisAble (joint submission); Donald Beasley Institute and People First New Zealand (joint submission); and Whaikaha | Ministry of Disabled People</w:t>
      </w:r>
      <w:r w:rsidR="00775D4F">
        <w:t>.</w:t>
      </w:r>
    </w:p>
  </w:footnote>
  <w:footnote w:id="50">
    <w:p w14:paraId="7E6AD47A" w14:textId="798FA70F" w:rsidR="00420123" w:rsidRPr="00530D57" w:rsidRDefault="00420123" w:rsidP="00420123">
      <w:pPr>
        <w:pStyle w:val="FootnoteText"/>
      </w:pPr>
      <w:r w:rsidRPr="00530D57">
        <w:rPr>
          <w:rStyle w:val="FootnoteReference"/>
        </w:rPr>
        <w:footnoteRef/>
      </w:r>
      <w:r w:rsidRPr="00530D57">
        <w:t xml:space="preserve"> </w:t>
      </w:r>
      <w:r w:rsidRPr="00530D57">
        <w:tab/>
      </w:r>
      <w:r w:rsidR="46961666" w:rsidRPr="00530D57">
        <w:t>Submission 26.</w:t>
      </w:r>
    </w:p>
  </w:footnote>
  <w:footnote w:id="51">
    <w:p w14:paraId="73A6DC1E" w14:textId="440415D5" w:rsidR="00420123" w:rsidRPr="00530D57" w:rsidRDefault="00420123" w:rsidP="00420123">
      <w:pPr>
        <w:pStyle w:val="FootnoteText"/>
      </w:pPr>
      <w:r w:rsidRPr="00530D57">
        <w:rPr>
          <w:rStyle w:val="FootnoteReference"/>
        </w:rPr>
        <w:footnoteRef/>
      </w:r>
      <w:r w:rsidRPr="00530D57">
        <w:t xml:space="preserve"> </w:t>
      </w:r>
      <w:r w:rsidRPr="00530D57">
        <w:tab/>
      </w:r>
      <w:r w:rsidR="51B7C6D5" w:rsidRPr="00530D57">
        <w:t xml:space="preserve">Madeline Ash; David F; Donald Beasley Institute and People First New Zealand (joint submission); Family First; Grey Power New Zealand; Russell Hoban; </w:t>
      </w:r>
      <w:r w:rsidR="00153C2D">
        <w:t>Inclusive Aotearoa Collective Tāhono</w:t>
      </w:r>
      <w:r w:rsidR="51B7C6D5" w:rsidRPr="00530D57">
        <w:t xml:space="preserve">; </w:t>
      </w:r>
      <w:r w:rsidR="004D0C06">
        <w:t>Justice for Palestine, Alternative Jewish Voices and Dayenu</w:t>
      </w:r>
      <w:r w:rsidR="51B7C6D5" w:rsidRPr="00530D57">
        <w:t xml:space="preserve"> (joint submission); Murray Stirling; Submission 26; Submission 50; </w:t>
      </w:r>
      <w:r w:rsidR="0069324F" w:rsidRPr="00530D57">
        <w:t xml:space="preserve">Submission 55; </w:t>
      </w:r>
      <w:r w:rsidR="51B7C6D5" w:rsidRPr="00530D57">
        <w:t xml:space="preserve">Submission 57; Submission 81; </w:t>
      </w:r>
      <w:r w:rsidR="00C36EF6">
        <w:t>Te Kāhui o Ināia Tonu Nei Charitable Trust</w:t>
      </w:r>
      <w:r w:rsidR="51B7C6D5" w:rsidRPr="00530D57">
        <w:t>; and Women’s Rights Party.</w:t>
      </w:r>
    </w:p>
  </w:footnote>
  <w:footnote w:id="52">
    <w:p w14:paraId="25E9D5F2" w14:textId="37AAC8BB" w:rsidR="00CA0985" w:rsidRDefault="00CA0985">
      <w:pPr>
        <w:pStyle w:val="FootnoteText"/>
      </w:pPr>
      <w:r>
        <w:rPr>
          <w:rStyle w:val="FootnoteReference"/>
        </w:rPr>
        <w:footnoteRef/>
      </w:r>
      <w:r>
        <w:t xml:space="preserve"> </w:t>
      </w:r>
      <w:r>
        <w:tab/>
      </w:r>
      <w:r w:rsidRPr="00530D57">
        <w:t xml:space="preserve">Madeline Ash; Disabled Persons Assembly and VisAble (joint submission); </w:t>
      </w:r>
      <w:r w:rsidR="00C36EF6">
        <w:t>Te Kāhui o Ināia Tonu Nei Charitable Trust</w:t>
      </w:r>
      <w:r>
        <w:t xml:space="preserve">; </w:t>
      </w:r>
      <w:r w:rsidRPr="00530D57">
        <w:t>Te Kāhui Ture o Aoteaoroa | New Zealand Law Society;</w:t>
      </w:r>
      <w:r>
        <w:t xml:space="preserve"> </w:t>
      </w:r>
      <w:r w:rsidRPr="00530D57">
        <w:t>Ratonga Wawao ā-Tūmatanui | Public Defence Service; and Dr Mark Walters.</w:t>
      </w:r>
    </w:p>
  </w:footnote>
  <w:footnote w:id="53">
    <w:p w14:paraId="34217E83" w14:textId="1BCAB97D" w:rsidR="00AA6C89" w:rsidRPr="00530D57" w:rsidRDefault="00AA6C89" w:rsidP="00C74A6A">
      <w:pPr>
        <w:pStyle w:val="FootnoteText"/>
      </w:pPr>
      <w:r w:rsidRPr="00530D57">
        <w:rPr>
          <w:rStyle w:val="FootnoteReference"/>
        </w:rPr>
        <w:footnoteRef/>
      </w:r>
      <w:r w:rsidR="0DE169CE" w:rsidRPr="00530D57">
        <w:t xml:space="preserve"> </w:t>
      </w:r>
      <w:r w:rsidRPr="00530D57">
        <w:tab/>
      </w:r>
      <w:r w:rsidR="51B7C6D5" w:rsidRPr="00530D57">
        <w:t>Rex Landy; Submission 64; Submission 65; Submission 73; Submission 78; and Roelie van Rijs.</w:t>
      </w:r>
    </w:p>
  </w:footnote>
  <w:footnote w:id="54">
    <w:p w14:paraId="64322925" w14:textId="08F9F55A" w:rsidR="00145ED5" w:rsidRPr="00530D57" w:rsidRDefault="00145ED5" w:rsidP="002F440F">
      <w:pPr>
        <w:pStyle w:val="FootnoteText"/>
      </w:pPr>
      <w:r w:rsidRPr="00530D57">
        <w:rPr>
          <w:rStyle w:val="FootnoteReference"/>
        </w:rPr>
        <w:footnoteRef/>
      </w:r>
      <w:r w:rsidRPr="00530D57">
        <w:t xml:space="preserve"> </w:t>
      </w:r>
      <w:r w:rsidRPr="00530D57">
        <w:tab/>
      </w:r>
      <w:r w:rsidR="46961666" w:rsidRPr="00530D57">
        <w:t xml:space="preserve">Dr </w:t>
      </w:r>
      <w:r w:rsidRPr="00530D57">
        <w:t>Sanjana Hattuwa</w:t>
      </w:r>
      <w:r w:rsidR="46961666" w:rsidRPr="00530D57">
        <w:t xml:space="preserve">; Russell Hoban; and </w:t>
      </w:r>
      <w:r w:rsidR="00C36EF6">
        <w:t>Te Kāhui o Ināia Tonu Nei Charitable Trust</w:t>
      </w:r>
      <w:r w:rsidR="46961666" w:rsidRPr="00530D57">
        <w:t>.</w:t>
      </w:r>
    </w:p>
  </w:footnote>
  <w:footnote w:id="55">
    <w:p w14:paraId="736154EB" w14:textId="77777777" w:rsidR="00145ED5" w:rsidRPr="00530D57" w:rsidRDefault="00145ED5" w:rsidP="00145ED5">
      <w:pPr>
        <w:pStyle w:val="FootnoteText"/>
      </w:pPr>
      <w:r w:rsidRPr="00530D57">
        <w:rPr>
          <w:rStyle w:val="FootnoteReference"/>
        </w:rPr>
        <w:footnoteRef/>
      </w:r>
      <w:r w:rsidRPr="00530D57">
        <w:t xml:space="preserve"> </w:t>
      </w:r>
      <w:r w:rsidRPr="00530D57">
        <w:tab/>
        <w:t xml:space="preserve">Madeline Ash. </w:t>
      </w:r>
    </w:p>
  </w:footnote>
  <w:footnote w:id="56">
    <w:p w14:paraId="7803AB76" w14:textId="77777777" w:rsidR="00145ED5" w:rsidRPr="00530D57" w:rsidRDefault="00145ED5" w:rsidP="00145ED5">
      <w:pPr>
        <w:pStyle w:val="FootnoteText"/>
      </w:pPr>
      <w:r w:rsidRPr="00530D57">
        <w:rPr>
          <w:rStyle w:val="FootnoteReference"/>
        </w:rPr>
        <w:footnoteRef/>
      </w:r>
      <w:r w:rsidRPr="00530D57">
        <w:t xml:space="preserve"> </w:t>
      </w:r>
      <w:r w:rsidRPr="00530D57">
        <w:tab/>
        <w:t xml:space="preserve">Madeline Ash. </w:t>
      </w:r>
    </w:p>
  </w:footnote>
  <w:footnote w:id="57">
    <w:p w14:paraId="3FD5C3E1" w14:textId="2E5D5431" w:rsidR="00145ED5" w:rsidRPr="00530D57" w:rsidRDefault="00145ED5" w:rsidP="00145ED5">
      <w:pPr>
        <w:pStyle w:val="FootnoteText"/>
      </w:pPr>
      <w:r w:rsidRPr="00530D57">
        <w:rPr>
          <w:rStyle w:val="FootnoteReference"/>
        </w:rPr>
        <w:footnoteRef/>
      </w:r>
      <w:r w:rsidR="0DE169CE" w:rsidRPr="00530D57">
        <w:t xml:space="preserve"> </w:t>
      </w:r>
      <w:r w:rsidRPr="00530D57">
        <w:tab/>
      </w:r>
      <w:r w:rsidR="0DE169CE" w:rsidRPr="00530D57">
        <w:t>Madeline Ash; and Submission 43.</w:t>
      </w:r>
    </w:p>
  </w:footnote>
  <w:footnote w:id="58">
    <w:p w14:paraId="06C86BE1" w14:textId="266CD5BA" w:rsidR="00145ED5" w:rsidRPr="00530D57" w:rsidRDefault="00145ED5" w:rsidP="00145ED5">
      <w:pPr>
        <w:pStyle w:val="FootnoteText"/>
      </w:pPr>
      <w:r w:rsidRPr="00530D57">
        <w:rPr>
          <w:rStyle w:val="FootnoteReference"/>
        </w:rPr>
        <w:footnoteRef/>
      </w:r>
      <w:r w:rsidRPr="00530D57">
        <w:t xml:space="preserve"> </w:t>
      </w:r>
      <w:r w:rsidRPr="00530D57">
        <w:tab/>
      </w:r>
      <w:r w:rsidR="46961666" w:rsidRPr="00530D57">
        <w:t>Submission 43.</w:t>
      </w:r>
    </w:p>
  </w:footnote>
  <w:footnote w:id="59">
    <w:p w14:paraId="51DF41BF" w14:textId="4907F805" w:rsidR="00145ED5" w:rsidRPr="00530D57" w:rsidRDefault="00145ED5" w:rsidP="00145ED5">
      <w:pPr>
        <w:pStyle w:val="FootnoteText"/>
      </w:pPr>
      <w:r w:rsidRPr="00530D57">
        <w:rPr>
          <w:rStyle w:val="FootnoteReference"/>
        </w:rPr>
        <w:footnoteRef/>
      </w:r>
      <w:r w:rsidRPr="00530D57">
        <w:t xml:space="preserve"> </w:t>
      </w:r>
      <w:r w:rsidRPr="00530D57">
        <w:tab/>
      </w:r>
      <w:r w:rsidR="46961666" w:rsidRPr="00530D57">
        <w:t>Submission 43.</w:t>
      </w:r>
    </w:p>
  </w:footnote>
  <w:footnote w:id="60">
    <w:p w14:paraId="4AF01F24" w14:textId="2AE34B73" w:rsidR="00626FD3" w:rsidRPr="00530D57" w:rsidDel="00C670FC" w:rsidRDefault="00626FD3">
      <w:pPr>
        <w:pStyle w:val="FootnoteText"/>
      </w:pPr>
      <w:r w:rsidRPr="00530D57" w:rsidDel="00C670FC">
        <w:rPr>
          <w:rStyle w:val="FootnoteReference"/>
        </w:rPr>
        <w:footnoteRef/>
      </w:r>
      <w:r w:rsidRPr="00530D57">
        <w:t xml:space="preserve"> </w:t>
      </w:r>
      <w:r w:rsidRPr="00530D57">
        <w:tab/>
      </w:r>
      <w:r w:rsidR="008B310E" w:rsidRPr="008B310E">
        <w:t>Annette Sykes &amp; Co; Madeline Ash; Grace Carroll;</w:t>
      </w:r>
      <w:r w:rsidR="00B44FFB">
        <w:t xml:space="preserve"> </w:t>
      </w:r>
      <w:r w:rsidR="00B44FFB" w:rsidRPr="00B44FFB">
        <w:t>Disabled Persons Assembly and VisAble (joint submission)</w:t>
      </w:r>
      <w:r w:rsidR="008B310E" w:rsidRPr="008B310E">
        <w:t xml:space="preserve">; Michael Fitzgerald; Free Speech Union; Dr David Harvey; </w:t>
      </w:r>
      <w:r w:rsidR="00153C2D">
        <w:t>Inclusive Aotearoa Collective Tāhono</w:t>
      </w:r>
      <w:r w:rsidR="008B310E" w:rsidRPr="008B310E">
        <w:t xml:space="preserve">; Lesbian Action for Visibility in Aotearoa; Luke Cunningham Clere; Maxim Institute; Pride in Law Otago; </w:t>
      </w:r>
      <w:r w:rsidR="00FD211C">
        <w:t>Sikh Council of New Zealand</w:t>
      </w:r>
      <w:r w:rsidR="008B310E" w:rsidRPr="008B310E">
        <w:t xml:space="preserve">; Murray Stirling; </w:t>
      </w:r>
      <w:r w:rsidR="00B919E0" w:rsidRPr="00530D57">
        <w:t xml:space="preserve">Submission 43; </w:t>
      </w:r>
      <w:r w:rsidR="008B310E" w:rsidRPr="008B310E">
        <w:t xml:space="preserve">Submission 50; Submission 72; Submission 77; </w:t>
      </w:r>
      <w:r w:rsidR="00C36EF6">
        <w:t>Te Kāhui o Ināia Tonu Nei Charitable Trust</w:t>
      </w:r>
      <w:r w:rsidR="008B310E" w:rsidRPr="008B310E">
        <w:t xml:space="preserve">; </w:t>
      </w:r>
      <w:r w:rsidR="00C36EF6">
        <w:t>The Law Association of New Zealand Criminal Law Committee</w:t>
      </w:r>
      <w:r w:rsidR="008B310E" w:rsidRPr="008B310E">
        <w:t xml:space="preserve">; </w:t>
      </w:r>
      <w:r w:rsidR="00C36EF6">
        <w:t>The Law Association of New Zealand Public and Administrative Law Committee</w:t>
      </w:r>
      <w:r w:rsidR="008B310E" w:rsidRPr="008B310E">
        <w:t>; Dr Mark Walters; Dr Chris Wilson</w:t>
      </w:r>
      <w:r w:rsidR="008B310E">
        <w:t xml:space="preserve">. </w:t>
      </w:r>
    </w:p>
  </w:footnote>
  <w:footnote w:id="61">
    <w:p w14:paraId="2560D12C" w14:textId="578CF68A" w:rsidR="00145ED5" w:rsidRPr="00530D57" w:rsidRDefault="00145ED5" w:rsidP="00145ED5">
      <w:pPr>
        <w:pStyle w:val="FootnoteText"/>
      </w:pPr>
      <w:r w:rsidRPr="00530D57">
        <w:rPr>
          <w:rStyle w:val="FootnoteReference"/>
        </w:rPr>
        <w:footnoteRef/>
      </w:r>
      <w:r w:rsidRPr="00530D57">
        <w:t xml:space="preserve"> </w:t>
      </w:r>
      <w:r w:rsidRPr="00530D57">
        <w:tab/>
      </w:r>
      <w:r w:rsidR="51B7C6D5" w:rsidRPr="00530D57">
        <w:t xml:space="preserve">Madeline Ash; Grace Carroll; Disabled Persons Assembly and VisAble (joint submission); Donald Beasley Institute and People First New Zealand (joint submission); Michael Fitzgerald; Dr David Harvey; Inclusive Aotearoa Collective |  Tāhono; Luke Cunningham Clere; Maxim Institute; </w:t>
      </w:r>
      <w:r w:rsidR="00FD211C">
        <w:t>Parents of Vision Impaired</w:t>
      </w:r>
      <w:r w:rsidR="51B7C6D5" w:rsidRPr="00530D57">
        <w:t xml:space="preserve">; Pride in Law Otago; Murray Stirling; Submission 43; </w:t>
      </w:r>
      <w:r w:rsidR="00C36EF6">
        <w:t>Te Kāhui o Ināia Tonu Nei Charitable Trust</w:t>
      </w:r>
      <w:r w:rsidR="51B7C6D5" w:rsidRPr="00530D57">
        <w:t xml:space="preserve">; </w:t>
      </w:r>
      <w:r w:rsidR="00C36EF6">
        <w:t>The Law Association of New Zealand Public and Administrative Law Committee</w:t>
      </w:r>
      <w:r w:rsidR="51B7C6D5" w:rsidRPr="00530D57">
        <w:t>; Dr Chris Wilson; Dr Mark Walters; and Women’s Rights Party.</w:t>
      </w:r>
    </w:p>
  </w:footnote>
  <w:footnote w:id="62">
    <w:p w14:paraId="1BBFAB20" w14:textId="4DF9A1FC" w:rsidR="00145ED5" w:rsidRPr="00530D57" w:rsidRDefault="00145ED5" w:rsidP="00145ED5">
      <w:pPr>
        <w:pStyle w:val="FootnoteText"/>
      </w:pPr>
      <w:r w:rsidRPr="00530D57">
        <w:rPr>
          <w:rStyle w:val="FootnoteReference"/>
        </w:rPr>
        <w:footnoteRef/>
      </w:r>
      <w:r w:rsidRPr="00530D57">
        <w:t xml:space="preserve"> </w:t>
      </w:r>
      <w:r w:rsidRPr="00530D57">
        <w:tab/>
      </w:r>
      <w:r w:rsidR="46961666" w:rsidRPr="00530D57">
        <w:t xml:space="preserve">Madeline Ash; Grace Carroll; Disabled Persons Assembly and VisAble (joint submission); Donald Beasley Institute and People First New Zealand (joint submission); Michael Fitzgerald; Dr David Harvey; Luke Cunningham Clere; </w:t>
      </w:r>
      <w:r w:rsidR="00FD211C">
        <w:t>Parents of Vision Impaired</w:t>
      </w:r>
      <w:r w:rsidR="46961666" w:rsidRPr="00530D57">
        <w:t xml:space="preserve">; Submission 43; and </w:t>
      </w:r>
      <w:r w:rsidR="00C36EF6">
        <w:t>The Law Association of New Zealand Public and Administrative Law Committee</w:t>
      </w:r>
      <w:r w:rsidR="46961666" w:rsidRPr="00530D57">
        <w:t>.</w:t>
      </w:r>
    </w:p>
  </w:footnote>
  <w:footnote w:id="63">
    <w:p w14:paraId="74ECBE23" w14:textId="24A04E84" w:rsidR="00145ED5" w:rsidRPr="00530D57" w:rsidRDefault="00145ED5" w:rsidP="51B7C6D5">
      <w:pPr>
        <w:pStyle w:val="FootnoteText"/>
      </w:pPr>
      <w:r w:rsidRPr="00530D57">
        <w:rPr>
          <w:rStyle w:val="FootnoteReference"/>
        </w:rPr>
        <w:footnoteRef/>
      </w:r>
      <w:r w:rsidRPr="00530D57">
        <w:t xml:space="preserve"> </w:t>
      </w:r>
      <w:r w:rsidRPr="00530D57">
        <w:tab/>
      </w:r>
      <w:r w:rsidR="51B7C6D5" w:rsidRPr="00530D57">
        <w:t xml:space="preserve">Madeline Ash; Grace Carroll; Dr David Harvey; </w:t>
      </w:r>
      <w:r w:rsidR="00153C2D">
        <w:t>Inclusive Aotearoa Collective Tāhono</w:t>
      </w:r>
      <w:r w:rsidR="51B7C6D5" w:rsidRPr="00530D57">
        <w:t xml:space="preserve">; Luke Cunningham Clere; Pride in Law Otago; Murray Stirling; Submission 43; </w:t>
      </w:r>
      <w:r w:rsidR="00C36EF6">
        <w:t>The Law Association of New Zealand Public and Administrative Law Committee</w:t>
      </w:r>
      <w:r w:rsidR="51B7C6D5" w:rsidRPr="00530D57">
        <w:t>; Dr Mark Walters; and Women’s Rights Party.</w:t>
      </w:r>
    </w:p>
  </w:footnote>
  <w:footnote w:id="64">
    <w:p w14:paraId="789DCF98" w14:textId="6B99F0D7" w:rsidR="00145ED5" w:rsidRPr="00530D57" w:rsidRDefault="00145ED5" w:rsidP="00145ED5">
      <w:pPr>
        <w:pStyle w:val="FootnoteText"/>
      </w:pPr>
      <w:r w:rsidRPr="00530D57">
        <w:rPr>
          <w:rStyle w:val="FootnoteReference"/>
        </w:rPr>
        <w:footnoteRef/>
      </w:r>
      <w:r w:rsidRPr="00530D57">
        <w:t xml:space="preserve"> </w:t>
      </w:r>
      <w:r w:rsidRPr="00530D57">
        <w:tab/>
      </w:r>
      <w:r w:rsidR="46961666" w:rsidRPr="00530D57">
        <w:t>Grace Carroll; Dr David Harvey; Inclusive Aotearoa; Luke Cunningham Clere; Submission 43; Submission 63; Dr Mark Walters; and Dr Chris Wilson.</w:t>
      </w:r>
    </w:p>
  </w:footnote>
  <w:footnote w:id="65">
    <w:p w14:paraId="41BFC87A" w14:textId="19EF08F9" w:rsidR="00145ED5" w:rsidRPr="00530D57" w:rsidRDefault="00145ED5" w:rsidP="00145ED5">
      <w:pPr>
        <w:pStyle w:val="FootnoteText"/>
      </w:pPr>
      <w:r w:rsidRPr="00530D57">
        <w:rPr>
          <w:rStyle w:val="FootnoteReference"/>
        </w:rPr>
        <w:footnoteRef/>
      </w:r>
      <w:r w:rsidR="0DE169CE" w:rsidRPr="00530D57">
        <w:t xml:space="preserve"> </w:t>
      </w:r>
      <w:r w:rsidRPr="00530D57">
        <w:tab/>
      </w:r>
      <w:r w:rsidR="0DE169CE" w:rsidRPr="00530D57">
        <w:t>Dr David Harvey; Maxim Institute; Pride in Law Otago;</w:t>
      </w:r>
      <w:r w:rsidR="00B15C35" w:rsidRPr="00530D57">
        <w:t xml:space="preserve"> </w:t>
      </w:r>
      <w:r w:rsidR="0DE169CE" w:rsidRPr="00530D57">
        <w:t xml:space="preserve">and </w:t>
      </w:r>
      <w:r w:rsidR="00C36EF6">
        <w:t>The Law Association of New Zealand Public and Administrative Law Committee</w:t>
      </w:r>
      <w:r w:rsidR="0DE169CE" w:rsidRPr="00530D57">
        <w:t>.</w:t>
      </w:r>
    </w:p>
  </w:footnote>
  <w:footnote w:id="66">
    <w:p w14:paraId="757AD3BF" w14:textId="38BF38D2" w:rsidR="00145ED5" w:rsidRPr="00530D57" w:rsidRDefault="00145ED5" w:rsidP="00145ED5">
      <w:pPr>
        <w:pStyle w:val="FootnoteText"/>
      </w:pPr>
      <w:r w:rsidRPr="00530D57">
        <w:rPr>
          <w:rStyle w:val="FootnoteReference"/>
        </w:rPr>
        <w:footnoteRef/>
      </w:r>
      <w:r w:rsidRPr="00530D57">
        <w:t xml:space="preserve"> </w:t>
      </w:r>
      <w:r w:rsidRPr="00530D57">
        <w:tab/>
        <w:t>Maxim institute</w:t>
      </w:r>
      <w:r w:rsidR="46961666" w:rsidRPr="00530D57">
        <w:t>;</w:t>
      </w:r>
      <w:r w:rsidRPr="00530D57">
        <w:t xml:space="preserve"> and Pride in Law Otago.</w:t>
      </w:r>
    </w:p>
  </w:footnote>
  <w:footnote w:id="67">
    <w:p w14:paraId="041A4804" w14:textId="3AA1909D" w:rsidR="00145ED5" w:rsidRPr="00530D57" w:rsidRDefault="00145ED5" w:rsidP="00145ED5">
      <w:pPr>
        <w:pStyle w:val="FootnoteText"/>
      </w:pPr>
      <w:r w:rsidRPr="00530D57">
        <w:rPr>
          <w:rStyle w:val="FootnoteReference"/>
        </w:rPr>
        <w:footnoteRef/>
      </w:r>
      <w:r w:rsidR="0DE169CE" w:rsidRPr="00530D57">
        <w:t xml:space="preserve"> </w:t>
      </w:r>
      <w:r w:rsidRPr="00530D57">
        <w:tab/>
      </w:r>
      <w:r w:rsidR="00C36EF6">
        <w:t>The Law Association of New Zealand Public and Administrative Law Committee</w:t>
      </w:r>
      <w:r w:rsidR="0DE169CE" w:rsidRPr="00530D57">
        <w:t>.</w:t>
      </w:r>
    </w:p>
  </w:footnote>
  <w:footnote w:id="68">
    <w:p w14:paraId="7F497E37" w14:textId="6F7F515E" w:rsidR="00145ED5" w:rsidRPr="00530D57" w:rsidRDefault="00145ED5" w:rsidP="00145ED5">
      <w:pPr>
        <w:pStyle w:val="FootnoteText"/>
      </w:pPr>
      <w:r w:rsidRPr="00530D57">
        <w:rPr>
          <w:rStyle w:val="FootnoteReference"/>
        </w:rPr>
        <w:footnoteRef/>
      </w:r>
      <w:r w:rsidRPr="00530D57">
        <w:t xml:space="preserve"> </w:t>
      </w:r>
      <w:r w:rsidRPr="00530D57">
        <w:tab/>
      </w:r>
      <w:r w:rsidR="46961666" w:rsidRPr="00530D57">
        <w:t xml:space="preserve">Dr </w:t>
      </w:r>
      <w:r w:rsidRPr="00530D57">
        <w:t>David Harvey.</w:t>
      </w:r>
    </w:p>
  </w:footnote>
  <w:footnote w:id="69">
    <w:p w14:paraId="7264D943" w14:textId="1A4312EB" w:rsidR="00145ED5" w:rsidRPr="00530D57" w:rsidRDefault="00145ED5" w:rsidP="00145ED5">
      <w:pPr>
        <w:pStyle w:val="FootnoteText"/>
      </w:pPr>
      <w:r w:rsidRPr="00530D57">
        <w:rPr>
          <w:rStyle w:val="FootnoteReference"/>
        </w:rPr>
        <w:footnoteRef/>
      </w:r>
      <w:r w:rsidRPr="00530D57">
        <w:t xml:space="preserve"> </w:t>
      </w:r>
      <w:r w:rsidRPr="00530D57">
        <w:tab/>
      </w:r>
      <w:r w:rsidR="00546BEC" w:rsidRPr="00530D57">
        <w:t xml:space="preserve">Annette Sykes &amp; Co; </w:t>
      </w:r>
      <w:r w:rsidR="0DE169CE" w:rsidRPr="00530D57">
        <w:t xml:space="preserve">Dr David Harvey; Luke Cunningham Clere; Te Kāhui Ture o Aotearoa | New Zealand Law Society; </w:t>
      </w:r>
      <w:r w:rsidR="00C36EF6">
        <w:t>The Law Association of New Zealand Criminal Law Committee</w:t>
      </w:r>
      <w:r w:rsidR="0DE169CE" w:rsidRPr="00530D57">
        <w:t xml:space="preserve">; </w:t>
      </w:r>
      <w:r w:rsidR="00C36EF6">
        <w:t>The Law Association of New Zealand Public and Administrative Law Committee</w:t>
      </w:r>
      <w:r w:rsidR="0DE169CE" w:rsidRPr="00530D57">
        <w:t>; and Dr Chris Wilson.</w:t>
      </w:r>
    </w:p>
  </w:footnote>
  <w:footnote w:id="70">
    <w:p w14:paraId="4F825C55" w14:textId="79FC0E1D" w:rsidR="00145ED5" w:rsidRPr="00530D57" w:rsidRDefault="00145ED5" w:rsidP="00145ED5">
      <w:pPr>
        <w:pStyle w:val="FootnoteText"/>
      </w:pPr>
      <w:r w:rsidRPr="00530D57">
        <w:rPr>
          <w:rStyle w:val="FootnoteReference"/>
        </w:rPr>
        <w:footnoteRef/>
      </w:r>
      <w:r w:rsidR="0DE169CE" w:rsidRPr="00530D57">
        <w:t xml:space="preserve"> </w:t>
      </w:r>
      <w:r w:rsidRPr="00530D57">
        <w:tab/>
      </w:r>
      <w:r w:rsidR="0DE169CE" w:rsidRPr="00530D57">
        <w:t xml:space="preserve">Te Kāhui Ture o Aotearoa | New Zealand Law Society. </w:t>
      </w:r>
    </w:p>
  </w:footnote>
  <w:footnote w:id="71">
    <w:p w14:paraId="571D0D22" w14:textId="77777777" w:rsidR="00145ED5" w:rsidRPr="00530D57" w:rsidRDefault="00145ED5" w:rsidP="00145ED5">
      <w:pPr>
        <w:pStyle w:val="FootnoteText"/>
      </w:pPr>
      <w:r w:rsidRPr="00530D57">
        <w:rPr>
          <w:rStyle w:val="FootnoteReference"/>
        </w:rPr>
        <w:footnoteRef/>
      </w:r>
      <w:r w:rsidRPr="00530D57">
        <w:t xml:space="preserve"> </w:t>
      </w:r>
      <w:r w:rsidRPr="00530D57">
        <w:tab/>
        <w:t xml:space="preserve">Luke Cunningham Clere. </w:t>
      </w:r>
    </w:p>
  </w:footnote>
  <w:footnote w:id="72">
    <w:p w14:paraId="108DAC8B" w14:textId="04D3428D" w:rsidR="00145ED5" w:rsidRPr="00530D57" w:rsidRDefault="00145ED5" w:rsidP="00145ED5">
      <w:pPr>
        <w:pStyle w:val="FootnoteText"/>
      </w:pPr>
      <w:r w:rsidRPr="00530D57">
        <w:rPr>
          <w:rStyle w:val="FootnoteReference"/>
        </w:rPr>
        <w:footnoteRef/>
      </w:r>
      <w:r w:rsidRPr="00530D57">
        <w:t xml:space="preserve"> </w:t>
      </w:r>
      <w:r w:rsidRPr="00530D57">
        <w:tab/>
      </w:r>
      <w:r w:rsidR="00BF74AF" w:rsidRPr="00530D57">
        <w:t>Annette Sykes &amp; Co</w:t>
      </w:r>
      <w:r w:rsidR="46961666" w:rsidRPr="00530D57">
        <w:t>; and Dr Chris Wilson.</w:t>
      </w:r>
    </w:p>
  </w:footnote>
  <w:footnote w:id="73">
    <w:p w14:paraId="26210626" w14:textId="2D46AC56" w:rsidR="00145ED5" w:rsidRPr="00530D57" w:rsidRDefault="00145ED5" w:rsidP="00145ED5">
      <w:pPr>
        <w:pStyle w:val="FootnoteText"/>
      </w:pPr>
      <w:r w:rsidRPr="00530D57">
        <w:rPr>
          <w:rStyle w:val="FootnoteReference"/>
        </w:rPr>
        <w:footnoteRef/>
      </w:r>
      <w:r w:rsidRPr="00530D57">
        <w:t xml:space="preserve"> </w:t>
      </w:r>
      <w:r w:rsidRPr="00530D57">
        <w:tab/>
      </w:r>
      <w:r w:rsidR="46961666" w:rsidRPr="00530D57">
        <w:t xml:space="preserve">Dr </w:t>
      </w:r>
      <w:r w:rsidRPr="00530D57">
        <w:t>David Harvey</w:t>
      </w:r>
      <w:r w:rsidR="46961666" w:rsidRPr="00530D57">
        <w:t xml:space="preserve">; and </w:t>
      </w:r>
      <w:r w:rsidR="00C36EF6">
        <w:t>The Law Association of New Zealand Public and Administrative Law Committee</w:t>
      </w:r>
      <w:r w:rsidR="46961666" w:rsidRPr="00530D57">
        <w:t>.</w:t>
      </w:r>
    </w:p>
  </w:footnote>
  <w:footnote w:id="74">
    <w:p w14:paraId="5BF59561" w14:textId="50DCE43A" w:rsidR="00145ED5" w:rsidRPr="00530D57" w:rsidRDefault="00145ED5" w:rsidP="00145ED5">
      <w:pPr>
        <w:pStyle w:val="FootnoteText"/>
      </w:pPr>
      <w:r w:rsidRPr="00530D57">
        <w:rPr>
          <w:rStyle w:val="FootnoteReference"/>
        </w:rPr>
        <w:footnoteRef/>
      </w:r>
      <w:r w:rsidR="0DE169CE" w:rsidRPr="00530D57">
        <w:t xml:space="preserve"> </w:t>
      </w:r>
      <w:r w:rsidRPr="00530D57">
        <w:tab/>
      </w:r>
      <w:r w:rsidR="0DE169CE" w:rsidRPr="00530D57">
        <w:t xml:space="preserve">Dr David Harvey; and </w:t>
      </w:r>
      <w:r w:rsidR="00C36EF6">
        <w:t>The Law Association of New Zealand Public and Administrative Law Committee</w:t>
      </w:r>
      <w:r w:rsidR="0DE169CE" w:rsidRPr="00530D57">
        <w:t>.</w:t>
      </w:r>
    </w:p>
  </w:footnote>
  <w:footnote w:id="75">
    <w:p w14:paraId="31CCED58" w14:textId="5175CB7F" w:rsidR="00145ED5" w:rsidRPr="00530D57" w:rsidRDefault="00145ED5" w:rsidP="00145ED5">
      <w:pPr>
        <w:pStyle w:val="FootnoteText"/>
      </w:pPr>
      <w:r w:rsidRPr="00530D57">
        <w:rPr>
          <w:rStyle w:val="FootnoteReference"/>
        </w:rPr>
        <w:footnoteRef/>
      </w:r>
      <w:r w:rsidR="0DE169CE" w:rsidRPr="00530D57">
        <w:t xml:space="preserve"> </w:t>
      </w:r>
      <w:r w:rsidRPr="00530D57">
        <w:tab/>
      </w:r>
      <w:r w:rsidR="0DE169CE" w:rsidRPr="00530D57">
        <w:t>Dr David Harvey;</w:t>
      </w:r>
      <w:r w:rsidR="00B15C35" w:rsidRPr="00530D57">
        <w:t xml:space="preserve"> </w:t>
      </w:r>
      <w:r w:rsidR="0DE169CE" w:rsidRPr="00530D57">
        <w:t xml:space="preserve">Lesbian Action for Visibility in Aotearoa; Pride in Law Otago; </w:t>
      </w:r>
      <w:r w:rsidR="00FD211C">
        <w:t>Sikh Council of New Zealand</w:t>
      </w:r>
      <w:r w:rsidR="0DE169CE" w:rsidRPr="00530D57">
        <w:t xml:space="preserve">; Submission 50; </w:t>
      </w:r>
      <w:r w:rsidR="00C36EF6">
        <w:t>The Law Association of New Zealand Criminal Law Committee</w:t>
      </w:r>
      <w:r w:rsidR="0DE169CE" w:rsidRPr="00530D57">
        <w:t xml:space="preserve">; </w:t>
      </w:r>
      <w:r w:rsidR="00C36EF6">
        <w:t>The Law Association of New Zealand Public and Administrative Law Committee</w:t>
      </w:r>
      <w:r w:rsidR="0DE169CE" w:rsidRPr="00530D57">
        <w:t xml:space="preserve">; and Dr Chris Wilson. </w:t>
      </w:r>
    </w:p>
  </w:footnote>
  <w:footnote w:id="76">
    <w:p w14:paraId="1DBA21C3" w14:textId="0C7701FA" w:rsidR="00145ED5" w:rsidRPr="00530D57" w:rsidRDefault="00145ED5" w:rsidP="00145ED5">
      <w:pPr>
        <w:pStyle w:val="FootnoteText"/>
      </w:pPr>
      <w:r w:rsidRPr="00530D57">
        <w:rPr>
          <w:rStyle w:val="FootnoteReference"/>
        </w:rPr>
        <w:footnoteRef/>
      </w:r>
      <w:r w:rsidR="0DE169CE" w:rsidRPr="00530D57">
        <w:t xml:space="preserve"> </w:t>
      </w:r>
      <w:r w:rsidRPr="00530D57">
        <w:tab/>
      </w:r>
      <w:r w:rsidR="0DE169CE" w:rsidRPr="00530D57">
        <w:t>Lesbian Action for Visibility in Aotearoa; Maxim Institute; Pride Law in Otago;</w:t>
      </w:r>
      <w:r w:rsidR="00F4080E" w:rsidRPr="00530D57">
        <w:t xml:space="preserve"> </w:t>
      </w:r>
      <w:r w:rsidR="00FD211C">
        <w:t>Sikh Council of New Zealand</w:t>
      </w:r>
      <w:r w:rsidR="0DE169CE" w:rsidRPr="00530D57">
        <w:t xml:space="preserve">; Submission 50; and </w:t>
      </w:r>
      <w:r w:rsidR="00C36EF6">
        <w:t>The Law Association of New Zealand Criminal Law Committee</w:t>
      </w:r>
      <w:r w:rsidR="0DE169CE" w:rsidRPr="00530D57">
        <w:t>.</w:t>
      </w:r>
    </w:p>
  </w:footnote>
  <w:footnote w:id="77">
    <w:p w14:paraId="08ADF2AF" w14:textId="27AC7EFD" w:rsidR="00145ED5" w:rsidRPr="00530D57" w:rsidRDefault="00145ED5" w:rsidP="00145ED5">
      <w:pPr>
        <w:pStyle w:val="FootnoteText"/>
      </w:pPr>
      <w:r w:rsidRPr="00530D57">
        <w:rPr>
          <w:rStyle w:val="FootnoteReference"/>
        </w:rPr>
        <w:footnoteRef/>
      </w:r>
      <w:r w:rsidRPr="00530D57">
        <w:t xml:space="preserve"> </w:t>
      </w:r>
      <w:r w:rsidRPr="00530D57">
        <w:tab/>
      </w:r>
      <w:r w:rsidR="46961666" w:rsidRPr="00530D57">
        <w:t xml:space="preserve">Dr </w:t>
      </w:r>
      <w:r w:rsidRPr="00530D57">
        <w:t>David Harvey</w:t>
      </w:r>
      <w:r w:rsidR="46961666" w:rsidRPr="00530D57">
        <w:t>; and Dr</w:t>
      </w:r>
      <w:r w:rsidRPr="00530D57">
        <w:t xml:space="preserve"> Chris Wilson. </w:t>
      </w:r>
    </w:p>
  </w:footnote>
  <w:footnote w:id="78">
    <w:p w14:paraId="15E03B88" w14:textId="6D22AB02" w:rsidR="00145ED5" w:rsidRPr="00530D57" w:rsidRDefault="00145ED5" w:rsidP="00145ED5">
      <w:pPr>
        <w:pStyle w:val="FootnoteText"/>
      </w:pPr>
      <w:r w:rsidRPr="00530D57">
        <w:rPr>
          <w:rStyle w:val="FootnoteReference"/>
        </w:rPr>
        <w:footnoteRef/>
      </w:r>
      <w:r w:rsidRPr="00530D57">
        <w:t xml:space="preserve"> </w:t>
      </w:r>
      <w:r w:rsidRPr="00530D57">
        <w:tab/>
      </w:r>
      <w:r w:rsidR="46961666" w:rsidRPr="00530D57">
        <w:t>Submission 72.</w:t>
      </w:r>
    </w:p>
  </w:footnote>
  <w:footnote w:id="79">
    <w:p w14:paraId="645DC5DE" w14:textId="33E588FE" w:rsidR="008B6F99" w:rsidRPr="00530D57" w:rsidRDefault="008B6F99" w:rsidP="008B6F99">
      <w:pPr>
        <w:pStyle w:val="FootnoteText"/>
      </w:pPr>
      <w:r w:rsidRPr="00530D57">
        <w:rPr>
          <w:rStyle w:val="FootnoteReference"/>
        </w:rPr>
        <w:footnoteRef/>
      </w:r>
      <w:r w:rsidRPr="00530D57">
        <w:t xml:space="preserve"> </w:t>
      </w:r>
      <w:r w:rsidRPr="00530D57">
        <w:tab/>
      </w:r>
      <w:r w:rsidR="46961666" w:rsidRPr="00530D57">
        <w:t>Submission 77.</w:t>
      </w:r>
    </w:p>
  </w:footnote>
  <w:footnote w:id="80">
    <w:p w14:paraId="527CD5B7" w14:textId="233AB913" w:rsidR="008B6F99" w:rsidRPr="00530D57" w:rsidRDefault="008B6F99" w:rsidP="008B6F99">
      <w:pPr>
        <w:pStyle w:val="FootnoteText"/>
      </w:pPr>
      <w:r w:rsidRPr="00530D57">
        <w:rPr>
          <w:rStyle w:val="FootnoteReference"/>
        </w:rPr>
        <w:footnoteRef/>
      </w:r>
      <w:r w:rsidRPr="00530D57">
        <w:t xml:space="preserve"> </w:t>
      </w:r>
      <w:r w:rsidRPr="00530D57">
        <w:tab/>
      </w:r>
      <w:r w:rsidR="009A3586" w:rsidRPr="00530D57">
        <w:t>Annette Sykes &amp; Co</w:t>
      </w:r>
      <w:r w:rsidRPr="00530D57">
        <w:t xml:space="preserve">. </w:t>
      </w:r>
    </w:p>
  </w:footnote>
  <w:footnote w:id="81">
    <w:p w14:paraId="30834248" w14:textId="52B2D88E" w:rsidR="008B6F99" w:rsidRPr="00530D57" w:rsidRDefault="008B6F99" w:rsidP="008B6F99">
      <w:pPr>
        <w:pStyle w:val="FootnoteText"/>
      </w:pPr>
      <w:r w:rsidRPr="00530D57">
        <w:rPr>
          <w:rStyle w:val="FootnoteReference"/>
        </w:rPr>
        <w:footnoteRef/>
      </w:r>
      <w:r w:rsidR="0DE169CE" w:rsidRPr="00530D57">
        <w:t xml:space="preserve"> </w:t>
      </w:r>
      <w:r w:rsidRPr="00530D57">
        <w:tab/>
      </w:r>
      <w:r w:rsidR="0DE169CE" w:rsidRPr="00530D57">
        <w:t>Free Speech Union.</w:t>
      </w:r>
    </w:p>
  </w:footnote>
  <w:footnote w:id="82">
    <w:p w14:paraId="288667C9" w14:textId="77777777" w:rsidR="008B6F99" w:rsidRPr="00530D57" w:rsidRDefault="008B6F99" w:rsidP="008B6F99">
      <w:pPr>
        <w:pStyle w:val="FootnoteText"/>
      </w:pPr>
      <w:r w:rsidRPr="00530D57">
        <w:rPr>
          <w:rStyle w:val="FootnoteReference"/>
        </w:rPr>
        <w:footnoteRef/>
      </w:r>
      <w:r w:rsidRPr="00530D57">
        <w:t xml:space="preserve"> </w:t>
      </w:r>
      <w:r w:rsidRPr="00530D57">
        <w:tab/>
        <w:t>Destiny Church.</w:t>
      </w:r>
    </w:p>
  </w:footnote>
  <w:footnote w:id="83">
    <w:p w14:paraId="223BA3CD" w14:textId="1611DFC2" w:rsidR="00145ED5" w:rsidRPr="00530D57" w:rsidRDefault="00145ED5" w:rsidP="00145ED5">
      <w:pPr>
        <w:pStyle w:val="FootnoteText"/>
      </w:pPr>
      <w:r w:rsidRPr="00530D57">
        <w:rPr>
          <w:rStyle w:val="FootnoteReference"/>
        </w:rPr>
        <w:footnoteRef/>
      </w:r>
      <w:r w:rsidRPr="00530D57">
        <w:t xml:space="preserve"> </w:t>
      </w:r>
      <w:r w:rsidRPr="00530D57">
        <w:tab/>
      </w:r>
      <w:r w:rsidR="51B7C6D5" w:rsidRPr="00530D57">
        <w:t xml:space="preserve">Madeline Ash; Grace Carroll; </w:t>
      </w:r>
      <w:r w:rsidR="00C36EF6">
        <w:t>Dr David Bromell</w:t>
      </w:r>
      <w:r w:rsidR="51B7C6D5" w:rsidRPr="00530D57">
        <w:t xml:space="preserve">; Dr David Harvey; Free Speech Union; Luke Cunningham Clere; Maxim Institute; Te Kāhui Ture o Aotearoa | New Zealand Law Society; Pride in Law Otago; Murray Stirling; Submission 17; Submission 51; Submission 63; </w:t>
      </w:r>
      <w:r w:rsidR="00C36EF6">
        <w:t>The Law Association of New Zealand Criminal Law Committee</w:t>
      </w:r>
      <w:r w:rsidR="51B7C6D5" w:rsidRPr="00530D57">
        <w:t xml:space="preserve">; </w:t>
      </w:r>
      <w:r w:rsidR="00C36EF6">
        <w:t>The Law Association of New Zealand Public and Administrative Law Committee</w:t>
      </w:r>
      <w:r w:rsidR="51B7C6D5" w:rsidRPr="00530D57">
        <w:t>; Don Whitfield; and Women’s Rights Party.</w:t>
      </w:r>
    </w:p>
  </w:footnote>
  <w:footnote w:id="84">
    <w:p w14:paraId="3C1F30A7" w14:textId="1424605B" w:rsidR="00145ED5" w:rsidRPr="00530D57" w:rsidRDefault="00145ED5" w:rsidP="00145ED5">
      <w:pPr>
        <w:pStyle w:val="FootnoteText"/>
      </w:pPr>
      <w:r w:rsidRPr="00530D57">
        <w:rPr>
          <w:rStyle w:val="FootnoteReference"/>
        </w:rPr>
        <w:footnoteRef/>
      </w:r>
      <w:r w:rsidR="0DE169CE" w:rsidRPr="00530D57">
        <w:t xml:space="preserve"> </w:t>
      </w:r>
      <w:r w:rsidRPr="00530D57">
        <w:tab/>
      </w:r>
      <w:r w:rsidR="0DE169CE" w:rsidRPr="00530D57">
        <w:t>Dr David Harvey; Luke Cunningham Clere; Maxim Institute; Te Kāhui Ture o Aotearoa | New Zealand Law Society;</w:t>
      </w:r>
      <w:r w:rsidR="001B4439">
        <w:t xml:space="preserve"> </w:t>
      </w:r>
      <w:r w:rsidR="00C36EF6">
        <w:t>The Law Association of New Zealand Public and Administrative Law Committee</w:t>
      </w:r>
      <w:r w:rsidR="0DE169CE" w:rsidRPr="00530D57">
        <w:t>.</w:t>
      </w:r>
    </w:p>
  </w:footnote>
  <w:footnote w:id="85">
    <w:p w14:paraId="139A55E8" w14:textId="6E91C439" w:rsidR="00145ED5" w:rsidRPr="00530D57" w:rsidRDefault="00145ED5" w:rsidP="00145ED5">
      <w:pPr>
        <w:pStyle w:val="FootnoteText"/>
      </w:pPr>
      <w:r w:rsidRPr="00530D57">
        <w:rPr>
          <w:rStyle w:val="FootnoteReference"/>
        </w:rPr>
        <w:footnoteRef/>
      </w:r>
      <w:r w:rsidR="0DE169CE" w:rsidRPr="00530D57">
        <w:t xml:space="preserve"> </w:t>
      </w:r>
      <w:r w:rsidRPr="00530D57">
        <w:tab/>
      </w:r>
      <w:r w:rsidR="00C36EF6">
        <w:t>Dr David Bromell</w:t>
      </w:r>
      <w:r w:rsidR="0DE169CE" w:rsidRPr="00530D57">
        <w:t>;</w:t>
      </w:r>
      <w:r w:rsidR="001B4439">
        <w:t xml:space="preserve"> </w:t>
      </w:r>
      <w:r w:rsidR="0DE169CE" w:rsidRPr="00530D57">
        <w:t xml:space="preserve">Maxim Institute; Submission 51; Te Kāhui Ture o Aotearoa | New Zealand Law Society; and Women’s Rights Party. </w:t>
      </w:r>
    </w:p>
  </w:footnote>
  <w:footnote w:id="86">
    <w:p w14:paraId="22DE5397" w14:textId="701CF36C" w:rsidR="00145ED5" w:rsidRPr="00530D57" w:rsidRDefault="00145ED5" w:rsidP="00145ED5">
      <w:pPr>
        <w:pStyle w:val="FootnoteText"/>
      </w:pPr>
      <w:r w:rsidRPr="00530D57">
        <w:rPr>
          <w:rStyle w:val="FootnoteReference"/>
        </w:rPr>
        <w:footnoteRef/>
      </w:r>
      <w:r w:rsidR="0DE169CE" w:rsidRPr="00530D57">
        <w:t xml:space="preserve"> </w:t>
      </w:r>
      <w:r w:rsidRPr="00530D57">
        <w:tab/>
      </w:r>
      <w:r w:rsidR="0DE169CE" w:rsidRPr="00530D57">
        <w:t xml:space="preserve">Te Kāhui Ture o Aotearoa | New Zealand Law Society. </w:t>
      </w:r>
    </w:p>
  </w:footnote>
  <w:footnote w:id="87">
    <w:p w14:paraId="46398512" w14:textId="77777777" w:rsidR="00145ED5" w:rsidRPr="00530D57" w:rsidRDefault="00145ED5" w:rsidP="00145ED5">
      <w:pPr>
        <w:pStyle w:val="FootnoteText"/>
      </w:pPr>
      <w:r w:rsidRPr="00530D57">
        <w:rPr>
          <w:rStyle w:val="FootnoteReference"/>
        </w:rPr>
        <w:footnoteRef/>
      </w:r>
      <w:r w:rsidRPr="00530D57">
        <w:t xml:space="preserve"> </w:t>
      </w:r>
      <w:r w:rsidRPr="00530D57">
        <w:tab/>
        <w:t xml:space="preserve">Pride in Law Otago. </w:t>
      </w:r>
    </w:p>
  </w:footnote>
  <w:footnote w:id="88">
    <w:p w14:paraId="27B2ECBD" w14:textId="6ECECD7A" w:rsidR="00145ED5" w:rsidRPr="00530D57" w:rsidRDefault="00145ED5" w:rsidP="0DE169CE">
      <w:pPr>
        <w:pStyle w:val="FootnoteText"/>
      </w:pPr>
      <w:r w:rsidRPr="00530D57">
        <w:rPr>
          <w:rStyle w:val="FootnoteReference"/>
        </w:rPr>
        <w:footnoteRef/>
      </w:r>
      <w:r w:rsidR="0DE169CE" w:rsidRPr="00530D57">
        <w:t xml:space="preserve"> </w:t>
      </w:r>
      <w:r w:rsidRPr="00530D57">
        <w:tab/>
      </w:r>
      <w:r w:rsidR="0DE169CE" w:rsidRPr="00530D57">
        <w:t>Madeline Ash; and</w:t>
      </w:r>
      <w:r w:rsidR="00033950" w:rsidRPr="00530D57">
        <w:t xml:space="preserve"> </w:t>
      </w:r>
      <w:r w:rsidR="0DE169CE" w:rsidRPr="00530D57">
        <w:t>Murray Stirling.</w:t>
      </w:r>
    </w:p>
  </w:footnote>
  <w:footnote w:id="89">
    <w:p w14:paraId="1630E967" w14:textId="512E91F2" w:rsidR="00145ED5" w:rsidRPr="00530D57" w:rsidRDefault="00145ED5" w:rsidP="00145ED5">
      <w:pPr>
        <w:pStyle w:val="FootnoteText"/>
      </w:pPr>
      <w:r w:rsidRPr="00530D57">
        <w:rPr>
          <w:rStyle w:val="FootnoteReference"/>
        </w:rPr>
        <w:footnoteRef/>
      </w:r>
      <w:r w:rsidR="0DE169CE" w:rsidRPr="00530D57">
        <w:t xml:space="preserve"> </w:t>
      </w:r>
      <w:r w:rsidRPr="00530D57">
        <w:tab/>
      </w:r>
      <w:r w:rsidR="00C36EF6">
        <w:t>The Law Association of New Zealand Criminal Law Committee</w:t>
      </w:r>
      <w:r w:rsidR="0DE169CE" w:rsidRPr="00530D57">
        <w:t>.</w:t>
      </w:r>
    </w:p>
  </w:footnote>
  <w:footnote w:id="90">
    <w:p w14:paraId="6D76C69E" w14:textId="2F27F618" w:rsidR="00145ED5" w:rsidRPr="00530D57" w:rsidRDefault="00145ED5" w:rsidP="00145ED5">
      <w:pPr>
        <w:pStyle w:val="FootnoteText"/>
      </w:pPr>
      <w:r w:rsidRPr="00530D57">
        <w:rPr>
          <w:rStyle w:val="FootnoteReference"/>
        </w:rPr>
        <w:footnoteRef/>
      </w:r>
      <w:r w:rsidR="0DE169CE" w:rsidRPr="00530D57">
        <w:t xml:space="preserve"> </w:t>
      </w:r>
      <w:r w:rsidRPr="00530D57">
        <w:tab/>
      </w:r>
      <w:r w:rsidR="0DE169CE" w:rsidRPr="00530D57">
        <w:t>Free Speech Union; Submission 17;</w:t>
      </w:r>
      <w:r w:rsidR="00554329">
        <w:t xml:space="preserve"> </w:t>
      </w:r>
      <w:r w:rsidR="0DE169CE" w:rsidRPr="00530D57">
        <w:t>Don Whitfield.</w:t>
      </w:r>
    </w:p>
  </w:footnote>
  <w:footnote w:id="91">
    <w:p w14:paraId="00AE9011" w14:textId="2B18B5F6"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Free Speech Union; and Don Whitfield.</w:t>
      </w:r>
    </w:p>
  </w:footnote>
  <w:footnote w:id="92">
    <w:p w14:paraId="43D9889C" w14:textId="2C04E7FB" w:rsidR="00145ED5" w:rsidRPr="00530D57" w:rsidRDefault="00145ED5" w:rsidP="00145ED5">
      <w:pPr>
        <w:pStyle w:val="FootnoteText"/>
      </w:pPr>
      <w:r w:rsidRPr="00530D57">
        <w:rPr>
          <w:rStyle w:val="FootnoteReference"/>
        </w:rPr>
        <w:footnoteRef/>
      </w:r>
      <w:r w:rsidR="0DE169CE" w:rsidRPr="00530D57">
        <w:t xml:space="preserve"> </w:t>
      </w:r>
      <w:r w:rsidRPr="00530D57">
        <w:tab/>
      </w:r>
      <w:r w:rsidR="0DE169CE" w:rsidRPr="00530D57">
        <w:t xml:space="preserve">Dr David Harvey; and </w:t>
      </w:r>
      <w:r w:rsidR="00C36EF6">
        <w:t>The Law Association of New Zealand Public and Administrative Law Committee</w:t>
      </w:r>
      <w:r w:rsidR="0DE169CE" w:rsidRPr="00530D57">
        <w:t>.</w:t>
      </w:r>
    </w:p>
  </w:footnote>
  <w:footnote w:id="93">
    <w:p w14:paraId="2D72CBBD" w14:textId="59E4B051" w:rsidR="00145ED5" w:rsidRPr="00530D57" w:rsidRDefault="00145ED5" w:rsidP="00145ED5">
      <w:pPr>
        <w:pStyle w:val="FootnoteText"/>
      </w:pPr>
      <w:r w:rsidRPr="00530D57">
        <w:rPr>
          <w:rStyle w:val="FootnoteReference"/>
        </w:rPr>
        <w:footnoteRef/>
      </w:r>
      <w:r w:rsidR="0DE169CE" w:rsidRPr="00530D57">
        <w:t xml:space="preserve"> </w:t>
      </w:r>
      <w:r w:rsidRPr="00530D57">
        <w:tab/>
      </w:r>
      <w:r w:rsidR="0DE169CE" w:rsidRPr="00530D57">
        <w:t xml:space="preserve">Grace Carroll. </w:t>
      </w:r>
    </w:p>
  </w:footnote>
  <w:footnote w:id="94">
    <w:p w14:paraId="27FEDB04" w14:textId="5162C9F2" w:rsidR="00145ED5" w:rsidRPr="00530D57" w:rsidRDefault="00145ED5" w:rsidP="00145ED5">
      <w:pPr>
        <w:pStyle w:val="FootnoteText"/>
      </w:pPr>
      <w:r w:rsidRPr="00530D57">
        <w:rPr>
          <w:rStyle w:val="FootnoteReference"/>
        </w:rPr>
        <w:footnoteRef/>
      </w:r>
      <w:r w:rsidR="0DE169CE" w:rsidRPr="00530D57">
        <w:t xml:space="preserve"> </w:t>
      </w:r>
      <w:r w:rsidRPr="00530D57">
        <w:tab/>
      </w:r>
      <w:r w:rsidR="0DE169CE" w:rsidRPr="00530D57">
        <w:t>Submission 63.</w:t>
      </w:r>
    </w:p>
  </w:footnote>
  <w:footnote w:id="95">
    <w:p w14:paraId="769FD085" w14:textId="7EF04EB0" w:rsidR="0DE169CE" w:rsidRPr="00530D57" w:rsidRDefault="00145ED5" w:rsidP="0DE169CE">
      <w:pPr>
        <w:pStyle w:val="FootnoteText"/>
      </w:pPr>
      <w:r w:rsidRPr="00530D57">
        <w:rPr>
          <w:rStyle w:val="FootnoteReference"/>
        </w:rPr>
        <w:footnoteRef/>
      </w:r>
      <w:r w:rsidR="0DE169CE" w:rsidRPr="00530D57">
        <w:t xml:space="preserve"> </w:t>
      </w:r>
      <w:r w:rsidRPr="00530D57">
        <w:tab/>
      </w:r>
      <w:r w:rsidR="009A3586" w:rsidRPr="00530D57">
        <w:t xml:space="preserve">Annette Sykes &amp; Co; </w:t>
      </w:r>
      <w:r w:rsidR="00C36EF6">
        <w:t>Dr David Bromell</w:t>
      </w:r>
      <w:r w:rsidR="51B7C6D5" w:rsidRPr="00530D57">
        <w:t xml:space="preserve">; Family First; Dr David Harvey; Kyle R Matthews; Members of Te Hunga Rōia Māori o Aotearoa; Pride in Law Otago; Submission 11; Submission 63; </w:t>
      </w:r>
      <w:r w:rsidR="00C36EF6">
        <w:t>Te Kāhui o Ināia Tonu Nei Charitable Trust</w:t>
      </w:r>
      <w:r w:rsidR="51B7C6D5" w:rsidRPr="00530D57">
        <w:t xml:space="preserve">; </w:t>
      </w:r>
      <w:r w:rsidR="00263689">
        <w:t xml:space="preserve">and </w:t>
      </w:r>
      <w:r w:rsidR="00C36EF6">
        <w:t>The Law Association of New Zealand Public and Administrative Law Committee</w:t>
      </w:r>
      <w:r w:rsidR="51B7C6D5" w:rsidRPr="00530D57">
        <w:t>.</w:t>
      </w:r>
    </w:p>
  </w:footnote>
  <w:footnote w:id="96">
    <w:p w14:paraId="60D5F46D" w14:textId="168FF8A7" w:rsidR="00145ED5" w:rsidRPr="00530D57" w:rsidRDefault="00145ED5" w:rsidP="00145ED5">
      <w:pPr>
        <w:pStyle w:val="FootnoteText"/>
      </w:pPr>
      <w:r w:rsidRPr="00530D57">
        <w:rPr>
          <w:rStyle w:val="FootnoteReference"/>
        </w:rPr>
        <w:footnoteRef/>
      </w:r>
      <w:r w:rsidR="51B7C6D5" w:rsidRPr="00530D57">
        <w:t xml:space="preserve"> </w:t>
      </w:r>
      <w:r w:rsidRPr="00530D57">
        <w:tab/>
      </w:r>
      <w:r w:rsidR="0096151E" w:rsidRPr="00530D57">
        <w:t xml:space="preserve">Annette Sykes &amp; Co; </w:t>
      </w:r>
      <w:r w:rsidR="51B7C6D5" w:rsidRPr="00530D57">
        <w:t xml:space="preserve">Dr David Harvey; </w:t>
      </w:r>
      <w:r w:rsidR="000725B0">
        <w:t xml:space="preserve">Dr Kyle R Matthews; </w:t>
      </w:r>
      <w:r w:rsidR="51B7C6D5" w:rsidRPr="00530D57">
        <w:t xml:space="preserve">Members of Te Hunga Rōia Māori o Aotearoa; Pride in Law Otago; </w:t>
      </w:r>
      <w:r w:rsidR="000725B0">
        <w:t>Submission 63</w:t>
      </w:r>
      <w:r w:rsidR="51B7C6D5" w:rsidRPr="00530D57">
        <w:t xml:space="preserve">; </w:t>
      </w:r>
      <w:r w:rsidR="00C36EF6">
        <w:t>Te Kāhui o Ināia Tonu Nei Charitable Trust</w:t>
      </w:r>
      <w:r w:rsidR="51B7C6D5" w:rsidRPr="00530D57">
        <w:t xml:space="preserve">; </w:t>
      </w:r>
      <w:r w:rsidR="00F94C89">
        <w:t xml:space="preserve">and </w:t>
      </w:r>
      <w:r w:rsidR="00C36EF6">
        <w:t>The Law Association of New Zealand Public and Administrative Law Committee</w:t>
      </w:r>
      <w:r w:rsidR="51B7C6D5" w:rsidRPr="00530D57">
        <w:t>.</w:t>
      </w:r>
    </w:p>
  </w:footnote>
  <w:footnote w:id="97">
    <w:p w14:paraId="0B0EE892" w14:textId="50946FB0" w:rsidR="00145ED5" w:rsidRPr="00530D57" w:rsidRDefault="00145ED5" w:rsidP="00145ED5">
      <w:pPr>
        <w:pStyle w:val="FootnoteText"/>
      </w:pPr>
      <w:r w:rsidRPr="00530D57">
        <w:rPr>
          <w:rStyle w:val="FootnoteReference"/>
        </w:rPr>
        <w:footnoteRef/>
      </w:r>
      <w:r w:rsidR="0DE169CE" w:rsidRPr="00530D57">
        <w:t xml:space="preserve"> </w:t>
      </w:r>
      <w:r w:rsidRPr="00530D57">
        <w:tab/>
      </w:r>
      <w:r w:rsidR="0096151E" w:rsidRPr="00530D57">
        <w:t>Annette Sykes &amp; Co</w:t>
      </w:r>
      <w:r w:rsidR="0DE169CE" w:rsidRPr="00530D57">
        <w:t xml:space="preserve">. </w:t>
      </w:r>
    </w:p>
  </w:footnote>
  <w:footnote w:id="98">
    <w:p w14:paraId="55FCDCE3" w14:textId="4ADCB79A" w:rsidR="00145ED5" w:rsidRPr="00530D57" w:rsidRDefault="00145ED5" w:rsidP="00145ED5">
      <w:pPr>
        <w:pStyle w:val="FootnoteText"/>
      </w:pPr>
      <w:r w:rsidRPr="00530D57">
        <w:rPr>
          <w:rStyle w:val="FootnoteReference"/>
        </w:rPr>
        <w:footnoteRef/>
      </w:r>
      <w:r w:rsidR="0DE169CE" w:rsidRPr="00530D57">
        <w:t xml:space="preserve"> </w:t>
      </w:r>
      <w:r w:rsidRPr="00530D57">
        <w:tab/>
      </w:r>
      <w:r w:rsidR="0096151E" w:rsidRPr="00530D57">
        <w:t>Annette Sykes &amp; Co</w:t>
      </w:r>
      <w:r w:rsidR="0DE169CE" w:rsidRPr="00530D57">
        <w:t xml:space="preserve">. </w:t>
      </w:r>
    </w:p>
  </w:footnote>
  <w:footnote w:id="99">
    <w:p w14:paraId="60B2E4FA" w14:textId="77777777" w:rsidR="00145ED5" w:rsidRPr="00530D57" w:rsidRDefault="00145ED5" w:rsidP="00145ED5">
      <w:pPr>
        <w:pStyle w:val="FootnoteText"/>
      </w:pPr>
      <w:r w:rsidRPr="00530D57">
        <w:rPr>
          <w:rStyle w:val="FootnoteReference"/>
        </w:rPr>
        <w:footnoteRef/>
      </w:r>
      <w:r w:rsidR="0DE169CE" w:rsidRPr="00530D57">
        <w:t xml:space="preserve"> </w:t>
      </w:r>
      <w:r w:rsidRPr="00530D57">
        <w:tab/>
      </w:r>
      <w:r w:rsidR="0DE169CE" w:rsidRPr="00530D57">
        <w:t xml:space="preserve">Pride in Law Otago. </w:t>
      </w:r>
    </w:p>
  </w:footnote>
  <w:footnote w:id="100">
    <w:p w14:paraId="4A0735F8" w14:textId="1FB410B7" w:rsidR="00145ED5" w:rsidRPr="00530D57" w:rsidRDefault="00145ED5" w:rsidP="0DE169CE">
      <w:pPr>
        <w:pStyle w:val="FootnoteText"/>
      </w:pPr>
      <w:r w:rsidRPr="00530D57">
        <w:rPr>
          <w:rStyle w:val="FootnoteReference"/>
        </w:rPr>
        <w:footnoteRef/>
      </w:r>
      <w:r w:rsidR="51B7C6D5" w:rsidRPr="00530D57">
        <w:t xml:space="preserve"> </w:t>
      </w:r>
      <w:r w:rsidRPr="00530D57">
        <w:tab/>
      </w:r>
      <w:r w:rsidR="00C36EF6">
        <w:t>Dr David Bromell</w:t>
      </w:r>
      <w:r w:rsidR="51B7C6D5" w:rsidRPr="00530D57">
        <w:t>; Family First;</w:t>
      </w:r>
      <w:r w:rsidR="009921B0">
        <w:t xml:space="preserve"> and</w:t>
      </w:r>
      <w:r w:rsidR="51B7C6D5" w:rsidRPr="00530D57">
        <w:t xml:space="preserve"> Submission 11</w:t>
      </w:r>
      <w:r w:rsidR="0091194D">
        <w:t>.</w:t>
      </w:r>
    </w:p>
  </w:footnote>
  <w:footnote w:id="101">
    <w:p w14:paraId="11AE3B32" w14:textId="38299D5F" w:rsidR="00145ED5" w:rsidRPr="00530D57" w:rsidRDefault="00145ED5">
      <w:pPr>
        <w:pStyle w:val="FootnoteText"/>
        <w:rPr>
          <w:rStyle w:val="FootnoteReference"/>
          <w:rFonts w:eastAsiaTheme="minorHAnsi" w:cstheme="minorBidi"/>
          <w:szCs w:val="22"/>
        </w:rPr>
      </w:pPr>
      <w:r w:rsidRPr="00530D57">
        <w:rPr>
          <w:rStyle w:val="FootnoteReference"/>
        </w:rPr>
        <w:footnoteRef/>
      </w:r>
      <w:r w:rsidR="0DE169CE" w:rsidRPr="00530D57">
        <w:t xml:space="preserve"> </w:t>
      </w:r>
      <w:r w:rsidRPr="00530D57">
        <w:tab/>
      </w:r>
      <w:r w:rsidR="0DE169CE" w:rsidRPr="00530D57">
        <w:t>Submission 11.</w:t>
      </w:r>
    </w:p>
  </w:footnote>
  <w:footnote w:id="102">
    <w:p w14:paraId="6421A74E" w14:textId="207D52D9" w:rsidR="00145ED5" w:rsidRPr="00530D57" w:rsidRDefault="00145ED5" w:rsidP="00145ED5">
      <w:pPr>
        <w:pStyle w:val="FootnoteText"/>
      </w:pPr>
      <w:r w:rsidRPr="00530D57">
        <w:rPr>
          <w:rStyle w:val="FootnoteReference"/>
        </w:rPr>
        <w:footnoteRef/>
      </w:r>
      <w:r w:rsidR="0DE169CE" w:rsidRPr="00530D57">
        <w:t xml:space="preserve"> </w:t>
      </w:r>
      <w:r w:rsidRPr="00530D57">
        <w:tab/>
      </w:r>
      <w:r w:rsidR="0DE169CE" w:rsidRPr="00530D57">
        <w:t>Submission 11.</w:t>
      </w:r>
    </w:p>
  </w:footnote>
  <w:footnote w:id="103">
    <w:p w14:paraId="7A1C59BD" w14:textId="34219E10" w:rsidR="00145ED5" w:rsidRPr="00530D57" w:rsidRDefault="00145ED5" w:rsidP="00145ED5">
      <w:pPr>
        <w:pStyle w:val="FootnoteText"/>
      </w:pPr>
      <w:r w:rsidRPr="00530D57">
        <w:rPr>
          <w:rStyle w:val="FootnoteReference"/>
        </w:rPr>
        <w:footnoteRef/>
      </w:r>
      <w:r w:rsidR="0DE169CE" w:rsidRPr="00530D57">
        <w:t xml:space="preserve"> </w:t>
      </w:r>
      <w:r w:rsidRPr="00530D57">
        <w:tab/>
      </w:r>
      <w:r w:rsidR="00C36EF6">
        <w:t>Dr David Bromell</w:t>
      </w:r>
      <w:r w:rsidR="0DE169CE" w:rsidRPr="00530D57">
        <w:t xml:space="preserve">. </w:t>
      </w:r>
    </w:p>
  </w:footnote>
  <w:footnote w:id="104">
    <w:p w14:paraId="2CAB91E9" w14:textId="77777777" w:rsidR="00145ED5" w:rsidRPr="00530D57" w:rsidRDefault="00145ED5" w:rsidP="00145ED5">
      <w:pPr>
        <w:pStyle w:val="FootnoteText"/>
      </w:pPr>
      <w:r w:rsidRPr="00530D57">
        <w:rPr>
          <w:rStyle w:val="FootnoteReference"/>
        </w:rPr>
        <w:footnoteRef/>
      </w:r>
      <w:r w:rsidR="0DE169CE" w:rsidRPr="00530D57">
        <w:t xml:space="preserve"> </w:t>
      </w:r>
      <w:r w:rsidRPr="00530D57">
        <w:tab/>
      </w:r>
      <w:r w:rsidR="0DE169CE" w:rsidRPr="00530D57">
        <w:t xml:space="preserve">Family First. </w:t>
      </w:r>
    </w:p>
  </w:footnote>
  <w:footnote w:id="105">
    <w:p w14:paraId="4D096100" w14:textId="72A1194E" w:rsidR="00145ED5" w:rsidRPr="00530D57" w:rsidRDefault="00145ED5" w:rsidP="00145ED5">
      <w:pPr>
        <w:pStyle w:val="FootnoteText"/>
      </w:pPr>
      <w:r w:rsidRPr="00530D57">
        <w:rPr>
          <w:rStyle w:val="FootnoteReference"/>
        </w:rPr>
        <w:footnoteRef/>
      </w:r>
      <w:r w:rsidR="0DE169CE" w:rsidRPr="00530D57">
        <w:t xml:space="preserve"> </w:t>
      </w:r>
      <w:r w:rsidRPr="00530D57">
        <w:tab/>
      </w:r>
      <w:r w:rsidR="0DE169CE" w:rsidRPr="00530D57">
        <w:t>Submission 63.</w:t>
      </w:r>
    </w:p>
  </w:footnote>
  <w:footnote w:id="106">
    <w:p w14:paraId="7BDB102B" w14:textId="7DB9FA2E" w:rsidR="00145ED5" w:rsidRPr="00530D57" w:rsidRDefault="00145ED5" w:rsidP="00145ED5">
      <w:pPr>
        <w:pStyle w:val="FootnoteText"/>
      </w:pPr>
      <w:r w:rsidRPr="00530D57">
        <w:rPr>
          <w:rStyle w:val="FootnoteReference"/>
        </w:rPr>
        <w:footnoteRef/>
      </w:r>
      <w:r w:rsidR="0DE169CE" w:rsidRPr="00530D57">
        <w:t xml:space="preserve"> </w:t>
      </w:r>
      <w:r w:rsidRPr="00530D57">
        <w:tab/>
      </w:r>
      <w:r w:rsidR="0DE169CE" w:rsidRPr="00530D57">
        <w:t>Dr Kyle R Matthews.</w:t>
      </w:r>
    </w:p>
  </w:footnote>
  <w:footnote w:id="107">
    <w:p w14:paraId="1E08334A" w14:textId="1D33A835" w:rsidR="00145ED5" w:rsidRPr="00530D57" w:rsidRDefault="00145ED5" w:rsidP="00145ED5">
      <w:pPr>
        <w:pStyle w:val="FootnoteText"/>
      </w:pPr>
      <w:r w:rsidRPr="00530D57">
        <w:rPr>
          <w:rStyle w:val="FootnoteReference"/>
        </w:rPr>
        <w:footnoteRef/>
      </w:r>
      <w:r w:rsidR="0DE169CE" w:rsidRPr="00530D57">
        <w:t xml:space="preserve"> </w:t>
      </w:r>
      <w:r w:rsidRPr="00530D57">
        <w:tab/>
      </w:r>
      <w:r w:rsidR="0DE169CE" w:rsidRPr="00530D57">
        <w:t xml:space="preserve">Dr David Harvey; and </w:t>
      </w:r>
      <w:r w:rsidR="00C36EF6">
        <w:t>The Law Association of New Zealand Public and Administrative Law Committee</w:t>
      </w:r>
      <w:r w:rsidR="0DE169CE" w:rsidRPr="00530D57">
        <w:t xml:space="preserve">. </w:t>
      </w:r>
    </w:p>
  </w:footnote>
  <w:footnote w:id="108">
    <w:p w14:paraId="3BA4667D" w14:textId="6C661EC8" w:rsidR="00145ED5" w:rsidRPr="00530D57" w:rsidRDefault="00145ED5" w:rsidP="0DE169CE">
      <w:pPr>
        <w:pStyle w:val="FootnoteText"/>
      </w:pPr>
      <w:r w:rsidRPr="00530D57">
        <w:rPr>
          <w:rStyle w:val="FootnoteReference"/>
        </w:rPr>
        <w:footnoteRef/>
      </w:r>
      <w:r w:rsidR="51B7C6D5" w:rsidRPr="00530D57">
        <w:t xml:space="preserve"> </w:t>
      </w:r>
      <w:r w:rsidRPr="00530D57">
        <w:tab/>
      </w:r>
      <w:r w:rsidR="00A81842" w:rsidRPr="00530D57">
        <w:t xml:space="preserve">Annette Sykes &amp; Co; </w:t>
      </w:r>
      <w:r w:rsidR="51B7C6D5" w:rsidRPr="00530D57">
        <w:rPr>
          <w:color w:val="auto"/>
        </w:rPr>
        <w:t>M</w:t>
      </w:r>
      <w:r w:rsidR="51B7C6D5" w:rsidRPr="00530D57">
        <w:rPr>
          <w:rFonts w:eastAsia="Metropolis Light" w:cs="Metropolis Light"/>
          <w:color w:val="auto"/>
          <w:szCs w:val="15"/>
        </w:rPr>
        <w:t xml:space="preserve">adeline Ash; Disabled Persons Assembly and VisAble (joint submission); Donald Beasley Institute and People First New Zealand (joint submission) Dr David Harvey; Dr Sanjana Hattotuwa; Inclusive Aotearoa Collective |  Tāhono; </w:t>
      </w:r>
      <w:r w:rsidR="004D0C06">
        <w:rPr>
          <w:rFonts w:eastAsia="Metropolis Light" w:cs="Metropolis Light"/>
          <w:color w:val="auto"/>
          <w:szCs w:val="15"/>
        </w:rPr>
        <w:t>Justice for Palestine, Alternative Jewish Voices and Dayenu</w:t>
      </w:r>
      <w:r w:rsidR="51B7C6D5" w:rsidRPr="00530D57">
        <w:rPr>
          <w:rFonts w:eastAsia="Metropolis Light" w:cs="Metropolis Light"/>
          <w:color w:val="auto"/>
          <w:szCs w:val="15"/>
        </w:rPr>
        <w:t xml:space="preserve"> (joint submission); Luke Cunningham Clere; Amos Mann; Members of Te Hunga Rōia Māori o Aotearoa; </w:t>
      </w:r>
      <w:r w:rsidR="51B7C6D5" w:rsidRPr="00530D57">
        <w:t xml:space="preserve">New Zealand Federation of Business and Professional Women; </w:t>
      </w:r>
      <w:r w:rsidR="51B7C6D5" w:rsidRPr="00530D57">
        <w:rPr>
          <w:rFonts w:eastAsia="Metropolis Light" w:cs="Metropolis Light"/>
          <w:color w:val="auto"/>
          <w:szCs w:val="15"/>
        </w:rPr>
        <w:t xml:space="preserve">Te Kāhui Ture o Aotearoa | New Zealand Law Society; Pride in Law Otago; Submission 26; Submission 43; Submission 51; Submission 72; Submission 77; Submission 90; </w:t>
      </w:r>
      <w:r w:rsidR="00C36EF6">
        <w:rPr>
          <w:rFonts w:eastAsia="Metropolis Light" w:cs="Metropolis Light"/>
          <w:color w:val="auto"/>
          <w:szCs w:val="15"/>
        </w:rPr>
        <w:t>Te Kāhui o Ināia Tonu Nei Charitable Trust</w:t>
      </w:r>
      <w:r w:rsidR="51B7C6D5" w:rsidRPr="00530D57">
        <w:rPr>
          <w:rFonts w:eastAsia="Metropolis Light" w:cs="Metropolis Light"/>
          <w:color w:val="auto"/>
          <w:szCs w:val="15"/>
        </w:rPr>
        <w:t xml:space="preserve">; </w:t>
      </w:r>
      <w:r w:rsidR="00427E4A">
        <w:rPr>
          <w:rFonts w:eastAsia="Metropolis Light" w:cs="Metropolis Light"/>
          <w:color w:val="auto"/>
          <w:szCs w:val="15"/>
        </w:rPr>
        <w:t xml:space="preserve">and </w:t>
      </w:r>
      <w:r w:rsidR="00C36EF6">
        <w:rPr>
          <w:rFonts w:eastAsia="Metropolis Light" w:cs="Metropolis Light"/>
          <w:color w:val="auto"/>
          <w:szCs w:val="15"/>
        </w:rPr>
        <w:t>The Law Association of New Zealand Public and Administrative Law Committee</w:t>
      </w:r>
      <w:r w:rsidR="51B7C6D5" w:rsidRPr="00530D57">
        <w:rPr>
          <w:rFonts w:eastAsia="Metropolis Light" w:cs="Metropolis Light"/>
          <w:color w:val="auto"/>
          <w:szCs w:val="15"/>
        </w:rPr>
        <w:t>.</w:t>
      </w:r>
    </w:p>
  </w:footnote>
  <w:footnote w:id="109">
    <w:p w14:paraId="2CFCA3A0" w14:textId="32185252" w:rsidR="00145ED5" w:rsidRPr="00530D57" w:rsidRDefault="00145ED5" w:rsidP="0DE169CE">
      <w:pPr>
        <w:pStyle w:val="FootnoteText"/>
      </w:pPr>
      <w:r w:rsidRPr="00530D57">
        <w:rPr>
          <w:rStyle w:val="FootnoteReference"/>
        </w:rPr>
        <w:footnoteRef/>
      </w:r>
      <w:r w:rsidR="0DE169CE" w:rsidRPr="00530D57">
        <w:t xml:space="preserve"> </w:t>
      </w:r>
      <w:r w:rsidRPr="00530D57">
        <w:tab/>
      </w:r>
      <w:r w:rsidR="0DE169CE" w:rsidRPr="00530D57">
        <w:t>Dr David Harvey; and Members of</w:t>
      </w:r>
      <w:r w:rsidR="00924ACF">
        <w:t xml:space="preserve"> </w:t>
      </w:r>
      <w:r w:rsidR="0DE169CE" w:rsidRPr="00530D57">
        <w:t>Te Hunga Rōia Māori o Aotearoa.</w:t>
      </w:r>
    </w:p>
  </w:footnote>
  <w:footnote w:id="110">
    <w:p w14:paraId="731DFF46" w14:textId="2C4A198C" w:rsidR="00145ED5" w:rsidRPr="00530D57" w:rsidRDefault="00145ED5" w:rsidP="00145ED5">
      <w:pPr>
        <w:pStyle w:val="FootnoteText"/>
      </w:pPr>
      <w:r w:rsidRPr="00530D57">
        <w:rPr>
          <w:rStyle w:val="FootnoteReference"/>
        </w:rPr>
        <w:footnoteRef/>
      </w:r>
      <w:r w:rsidR="0DE169CE" w:rsidRPr="00530D57">
        <w:t xml:space="preserve"> </w:t>
      </w:r>
      <w:r w:rsidRPr="00530D57">
        <w:tab/>
      </w:r>
      <w:r w:rsidR="0DE169CE" w:rsidRPr="00530D57">
        <w:t>Submission 90.</w:t>
      </w:r>
    </w:p>
  </w:footnote>
  <w:footnote w:id="111">
    <w:p w14:paraId="60D70B93" w14:textId="74011C3B" w:rsidR="00145ED5" w:rsidRPr="00530D57" w:rsidRDefault="00145ED5" w:rsidP="00145ED5">
      <w:pPr>
        <w:pStyle w:val="FootnoteText"/>
      </w:pPr>
      <w:r w:rsidRPr="00530D57">
        <w:rPr>
          <w:rStyle w:val="FootnoteReference"/>
        </w:rPr>
        <w:footnoteRef/>
      </w:r>
      <w:r w:rsidR="51B7C6D5" w:rsidRPr="00530D57">
        <w:t xml:space="preserve"> </w:t>
      </w:r>
      <w:r w:rsidRPr="00530D57">
        <w:tab/>
      </w:r>
      <w:r w:rsidR="00153C2D">
        <w:t>Inclusive Aotearoa Collective Tāhono</w:t>
      </w:r>
      <w:r w:rsidR="51B7C6D5" w:rsidRPr="00530D57">
        <w:t>; Members of</w:t>
      </w:r>
      <w:r w:rsidR="00544047" w:rsidRPr="00530D57">
        <w:t xml:space="preserve"> </w:t>
      </w:r>
      <w:r w:rsidR="51B7C6D5" w:rsidRPr="00530D57">
        <w:t xml:space="preserve">Te Hunga Rōia Māori o Aotearoa; and </w:t>
      </w:r>
      <w:r w:rsidR="00C36EF6">
        <w:t>Te Kāhui o Ināia Tonu Nei Charitable Trust</w:t>
      </w:r>
      <w:r w:rsidR="51B7C6D5" w:rsidRPr="00530D57">
        <w:t>.</w:t>
      </w:r>
    </w:p>
  </w:footnote>
  <w:footnote w:id="112">
    <w:p w14:paraId="34E3FD04" w14:textId="62BDF5A7" w:rsidR="00145ED5" w:rsidRPr="00530D57" w:rsidRDefault="00145ED5" w:rsidP="00145ED5">
      <w:pPr>
        <w:pStyle w:val="FootnoteText"/>
      </w:pPr>
      <w:r w:rsidRPr="00530D57">
        <w:rPr>
          <w:rStyle w:val="FootnoteReference"/>
        </w:rPr>
        <w:footnoteRef/>
      </w:r>
      <w:r w:rsidR="51B7C6D5" w:rsidRPr="00530D57">
        <w:t xml:space="preserve"> </w:t>
      </w:r>
      <w:r w:rsidRPr="00530D57">
        <w:tab/>
      </w:r>
      <w:r w:rsidR="00C35C71" w:rsidRPr="00530D57">
        <w:t xml:space="preserve">Annette Sykes &amp; Co; </w:t>
      </w:r>
      <w:r w:rsidR="00153C2D">
        <w:t>Inclusive Aotearoa Collective Tāhono</w:t>
      </w:r>
      <w:r w:rsidR="51B7C6D5" w:rsidRPr="00530D57">
        <w:t>; Members of Te Hunga Rōia Māori o Aotearoa; and Te Kāhui Ture o Aotearoa | New Zealand Law Society.</w:t>
      </w:r>
    </w:p>
  </w:footnote>
  <w:footnote w:id="113">
    <w:p w14:paraId="296E4A89" w14:textId="5B7A900F" w:rsidR="00145ED5" w:rsidRPr="00530D57" w:rsidRDefault="00145ED5" w:rsidP="51B7C6D5">
      <w:pPr>
        <w:pStyle w:val="FootnoteText"/>
      </w:pPr>
      <w:r w:rsidRPr="00530D57">
        <w:rPr>
          <w:rStyle w:val="FootnoteReference"/>
        </w:rPr>
        <w:footnoteRef/>
      </w:r>
      <w:r w:rsidR="51B7C6D5" w:rsidRPr="00530D57">
        <w:t xml:space="preserve"> </w:t>
      </w:r>
      <w:r w:rsidRPr="00530D57">
        <w:tab/>
      </w:r>
      <w:r w:rsidR="51B7C6D5" w:rsidRPr="00530D57">
        <w:t xml:space="preserve">Madeline Ash; Donald Beasley Institute and People First New Zealand (joint submission); Sanjana Hattotuwa; </w:t>
      </w:r>
      <w:r w:rsidR="004D0C06">
        <w:t>Justice for Palestine, Alternative Jewish Voices and Dayenu</w:t>
      </w:r>
      <w:r w:rsidR="51B7C6D5" w:rsidRPr="00530D57">
        <w:t xml:space="preserve"> (joint submission); New Zealand Federation of Business and Professional Women; Te Kāhui Ture o Aotearoa | New Zealand Law Society; and Submission 77.</w:t>
      </w:r>
    </w:p>
  </w:footnote>
  <w:footnote w:id="114">
    <w:p w14:paraId="072E3992" w14:textId="4C69A942"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 xml:space="preserve"> New Zealand Federation of Business and Professional Women.</w:t>
      </w:r>
    </w:p>
  </w:footnote>
  <w:footnote w:id="115">
    <w:p w14:paraId="13635AAD" w14:textId="17119D0D"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Te Kāhui Ture o Aotearoa | New Zealand Law Society; and Submission 26.</w:t>
      </w:r>
    </w:p>
  </w:footnote>
  <w:footnote w:id="116">
    <w:p w14:paraId="659A6102" w14:textId="6FE09A9C" w:rsidR="00145ED5" w:rsidRPr="00530D57" w:rsidRDefault="00145ED5" w:rsidP="00145ED5">
      <w:pPr>
        <w:pStyle w:val="FootnoteText"/>
      </w:pPr>
      <w:r w:rsidRPr="00530D57">
        <w:rPr>
          <w:rStyle w:val="FootnoteReference"/>
        </w:rPr>
        <w:footnoteRef/>
      </w:r>
      <w:r w:rsidR="51B7C6D5" w:rsidRPr="00530D57">
        <w:t xml:space="preserve"> </w:t>
      </w:r>
      <w:r w:rsidRPr="00530D57">
        <w:tab/>
      </w:r>
      <w:r w:rsidR="00C35C71" w:rsidRPr="00530D57">
        <w:t xml:space="preserve">Annette Sykes &amp; Co; </w:t>
      </w:r>
      <w:r w:rsidR="51B7C6D5" w:rsidRPr="00530D57">
        <w:t>Members of Te Hunga Rōia Māori o Aotearoa</w:t>
      </w:r>
      <w:r w:rsidR="006F5136">
        <w:t>;</w:t>
      </w:r>
      <w:r w:rsidR="51B7C6D5" w:rsidRPr="00530D57">
        <w:t xml:space="preserve"> Submission 51; Submission 72; </w:t>
      </w:r>
      <w:r w:rsidR="001A06AA" w:rsidRPr="00530D57">
        <w:t xml:space="preserve">and </w:t>
      </w:r>
      <w:r w:rsidR="51B7C6D5" w:rsidRPr="00530D57">
        <w:t>Submission 90.</w:t>
      </w:r>
    </w:p>
  </w:footnote>
  <w:footnote w:id="117">
    <w:p w14:paraId="6E887279" w14:textId="77777777"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 xml:space="preserve">Madeline Ash. </w:t>
      </w:r>
    </w:p>
  </w:footnote>
  <w:footnote w:id="118">
    <w:p w14:paraId="45F0E8AB" w14:textId="519111D1" w:rsidR="51B7C6D5" w:rsidRPr="00530D57" w:rsidRDefault="00145ED5" w:rsidP="51B7C6D5">
      <w:pPr>
        <w:pStyle w:val="FootnoteText"/>
      </w:pPr>
      <w:r w:rsidRPr="00530D57">
        <w:rPr>
          <w:rStyle w:val="FootnoteReference"/>
        </w:rPr>
        <w:footnoteRef/>
      </w:r>
      <w:r w:rsidR="51B7C6D5" w:rsidRPr="00530D57">
        <w:t xml:space="preserve"> </w:t>
      </w:r>
      <w:r w:rsidRPr="00530D57">
        <w:tab/>
      </w:r>
      <w:r w:rsidR="51B7C6D5" w:rsidRPr="00530D57">
        <w:t xml:space="preserve">Kevin Bird; </w:t>
      </w:r>
      <w:r w:rsidR="00C36EF6">
        <w:t>Dr David Bromell</w:t>
      </w:r>
      <w:r w:rsidR="51B7C6D5" w:rsidRPr="00530D57">
        <w:t>; Trevor Dance; Destiny Church; Gary Durey; David F; Family First; Free Speech Union; Rex Landy; David Le Breton; Dr John McDonald-Wharry; Submission 11; Submission 17; Submission 57; Submission 62; Submission 63; Submission 64; Submission 65; Submission 66; Submission 68; Submission 71; Submission 72; Submission 73; Submission 75; Submission 79; Roelie van Rijs; and Peter Williamson.</w:t>
      </w:r>
    </w:p>
  </w:footnote>
  <w:footnote w:id="119">
    <w:p w14:paraId="7978ADA6" w14:textId="77777777"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 xml:space="preserve">Destiny Church. </w:t>
      </w:r>
    </w:p>
  </w:footnote>
  <w:footnote w:id="120">
    <w:p w14:paraId="25AAC366" w14:textId="5CACA02D"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Rex Landy, and Submission 73.</w:t>
      </w:r>
    </w:p>
  </w:footnote>
  <w:footnote w:id="121">
    <w:p w14:paraId="2316F0E8" w14:textId="60D559E9" w:rsidR="00145ED5" w:rsidRPr="00530D57" w:rsidRDefault="00145ED5" w:rsidP="51B7C6D5">
      <w:pPr>
        <w:pStyle w:val="FootnoteText"/>
      </w:pPr>
      <w:r w:rsidRPr="00530D57">
        <w:rPr>
          <w:rStyle w:val="FootnoteReference"/>
        </w:rPr>
        <w:footnoteRef/>
      </w:r>
      <w:r w:rsidR="51B7C6D5" w:rsidRPr="00530D57">
        <w:t xml:space="preserve"> </w:t>
      </w:r>
      <w:r w:rsidRPr="00530D57">
        <w:tab/>
      </w:r>
      <w:r w:rsidR="51B7C6D5" w:rsidRPr="00530D57">
        <w:t>Family First; Submission 65; and Submission 66.</w:t>
      </w:r>
    </w:p>
  </w:footnote>
  <w:footnote w:id="122">
    <w:p w14:paraId="4224A762" w14:textId="77777777"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Trevor Dance.</w:t>
      </w:r>
    </w:p>
  </w:footnote>
  <w:footnote w:id="123">
    <w:p w14:paraId="13362FCC" w14:textId="6CB132B8" w:rsidR="00145ED5" w:rsidRPr="00530D57" w:rsidRDefault="00145ED5" w:rsidP="51B7C6D5">
      <w:pPr>
        <w:pStyle w:val="FootnoteText"/>
      </w:pPr>
      <w:r w:rsidRPr="00530D57">
        <w:rPr>
          <w:rStyle w:val="FootnoteReference"/>
        </w:rPr>
        <w:footnoteRef/>
      </w:r>
      <w:r w:rsidR="51B7C6D5" w:rsidRPr="00530D57">
        <w:t xml:space="preserve"> </w:t>
      </w:r>
      <w:r w:rsidRPr="00530D57">
        <w:tab/>
      </w:r>
      <w:r w:rsidR="51B7C6D5" w:rsidRPr="00530D57">
        <w:t>Dr John McDonald-Wharry.</w:t>
      </w:r>
    </w:p>
  </w:footnote>
  <w:footnote w:id="124">
    <w:p w14:paraId="20D46CBE" w14:textId="77777777"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Free Speech Union.</w:t>
      </w:r>
    </w:p>
  </w:footnote>
  <w:footnote w:id="125">
    <w:p w14:paraId="105C8161" w14:textId="26F85727"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Submission 11.</w:t>
      </w:r>
    </w:p>
  </w:footnote>
  <w:footnote w:id="126">
    <w:p w14:paraId="47DC1D3C" w14:textId="6E269FE1"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 xml:space="preserve">Grey Power New Zealand; Russell Hoban; </w:t>
      </w:r>
      <w:r w:rsidR="00FD211C">
        <w:t>Sikh Council of New Zealand</w:t>
      </w:r>
      <w:r w:rsidR="51B7C6D5" w:rsidRPr="00530D57">
        <w:t xml:space="preserve">; </w:t>
      </w:r>
      <w:r w:rsidR="0069324F" w:rsidRPr="00530D57">
        <w:t xml:space="preserve">Submission 55; </w:t>
      </w:r>
      <w:r w:rsidR="51B7C6D5" w:rsidRPr="00530D57">
        <w:t>Submission 76; and Submission 88.</w:t>
      </w:r>
    </w:p>
  </w:footnote>
  <w:footnote w:id="127">
    <w:p w14:paraId="0C3607E2" w14:textId="5F8EE065" w:rsidR="00EF33E1" w:rsidRPr="00530D57" w:rsidRDefault="00EF33E1" w:rsidP="00EF33E1">
      <w:pPr>
        <w:pStyle w:val="FootnoteText"/>
      </w:pPr>
      <w:r w:rsidRPr="00530D57">
        <w:rPr>
          <w:rStyle w:val="FootnoteReference"/>
        </w:rPr>
        <w:footnoteRef/>
      </w:r>
      <w:r w:rsidR="51B7C6D5" w:rsidRPr="00530D57">
        <w:t xml:space="preserve"> </w:t>
      </w:r>
      <w:r w:rsidRPr="00530D57">
        <w:tab/>
      </w:r>
      <w:r w:rsidR="51B7C6D5" w:rsidRPr="00530D57">
        <w:t xml:space="preserve">Kevin Bird; </w:t>
      </w:r>
      <w:r w:rsidR="00C36EF6">
        <w:t>Dr David Bromell</w:t>
      </w:r>
      <w:r w:rsidR="51B7C6D5" w:rsidRPr="00530D57">
        <w:t>; Destiny Church; Gary Durey; David Le Breton; Submission 17; Submission 57; Submission 62; Submission 63; Submission 68; Submission 71; Submission 75; Submission 79; Roelie van Rijs; and Peter Williamson.</w:t>
      </w:r>
    </w:p>
  </w:footnote>
  <w:footnote w:id="128">
    <w:p w14:paraId="64756446" w14:textId="26F82C19" w:rsidR="00DA71DC" w:rsidRPr="00DA71DC" w:rsidRDefault="00DA71DC">
      <w:pPr>
        <w:pStyle w:val="FootnoteText"/>
        <w:rPr>
          <w:lang w:val="mi-NZ"/>
        </w:rPr>
      </w:pPr>
      <w:r>
        <w:rPr>
          <w:rStyle w:val="FootnoteReference"/>
        </w:rPr>
        <w:footnoteRef/>
      </w:r>
      <w:r>
        <w:t xml:space="preserve"> </w:t>
      </w:r>
      <w:r>
        <w:rPr>
          <w:lang w:val="mi-NZ"/>
        </w:rPr>
        <w:tab/>
      </w:r>
      <w:r w:rsidR="00505CC0" w:rsidRPr="00505CC0">
        <w:rPr>
          <w:lang w:val="mi-NZ"/>
        </w:rPr>
        <w:t xml:space="preserve">Annette Sykes &amp; Co; George Balani; Kevin Bird; Destiny Church; Disabled Persons Assembly and VisAble (joint submission); Donald Beasley Institute and People First New Zealand (joint submission); Graeme Edgeler; Clive Elliot KC; David F; Family First; Free Speech Union; Ken Gorbey; Dr David Harvey; Dr Sanjana Hattotuwa; </w:t>
      </w:r>
      <w:r w:rsidR="00153C2D">
        <w:rPr>
          <w:lang w:val="mi-NZ"/>
        </w:rPr>
        <w:t>Inclusive Aotearoa Collective Tāhono</w:t>
      </w:r>
      <w:r w:rsidR="00505CC0" w:rsidRPr="00505CC0">
        <w:rPr>
          <w:lang w:val="mi-NZ"/>
        </w:rPr>
        <w:t>; Justice for Palestine, Alternative Jewish Voices and Dayenu (joint submission); Karun Lakshman; Maire Leadbeater; Luke Cunningham Clere; John McDonald-Wharry; Members of Te Hunga Rōia Māori o Aotearoa; Tim O'Sullivan; Pride in Law Otago; Roelie van Rijs; Greg Rzesniowiecki; Submission 11; Submission 51; Submission 55; Submission 63; Submission 66; Submission 77; Submission 78; Te Kāhui Ture o Aotearoa | New Zealand Law Society; and Women's Rights Party.</w:t>
      </w:r>
    </w:p>
  </w:footnote>
  <w:footnote w:id="129">
    <w:p w14:paraId="625A6D12" w14:textId="6E8CD9C4"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 xml:space="preserve">Kevin Bird; </w:t>
      </w:r>
      <w:r w:rsidR="004D0C06">
        <w:t>Justice for Palestine, Alternative Jewish Voices and Dayenu</w:t>
      </w:r>
      <w:r w:rsidR="51B7C6D5" w:rsidRPr="00530D57">
        <w:t xml:space="preserve"> (joint submission); Luke Cunningham Clere; Te Kāhui Ture o Aotearoa | New Zealand Law Society; Tim O’Sullivan; Submission 51; and Submission 78.</w:t>
      </w:r>
    </w:p>
  </w:footnote>
  <w:footnote w:id="130">
    <w:p w14:paraId="4217496B" w14:textId="70D40937" w:rsidR="00145ED5" w:rsidRPr="00530D57" w:rsidRDefault="00145ED5" w:rsidP="00145ED5">
      <w:pPr>
        <w:pStyle w:val="FootnoteText"/>
      </w:pPr>
      <w:r w:rsidRPr="00530D57">
        <w:rPr>
          <w:rStyle w:val="FootnoteReference"/>
        </w:rPr>
        <w:footnoteRef/>
      </w:r>
      <w:r w:rsidR="51B7C6D5" w:rsidRPr="00530D57">
        <w:t xml:space="preserve"> </w:t>
      </w:r>
      <w:r w:rsidRPr="00530D57">
        <w:tab/>
      </w:r>
      <w:r w:rsidR="004D0C06">
        <w:t>Justice for Palestine, Alternative Jewish Voices and Dayenu</w:t>
      </w:r>
      <w:r w:rsidR="51B7C6D5" w:rsidRPr="00530D57">
        <w:t xml:space="preserve"> (joint submission).</w:t>
      </w:r>
    </w:p>
  </w:footnote>
  <w:footnote w:id="131">
    <w:p w14:paraId="12686DB5" w14:textId="6A29139C"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Kevin Bird; Luke Cunningham Clere; Te Kāhui Ture o Aotearoa | New Zealand Law Society; and Submission 78.</w:t>
      </w:r>
    </w:p>
  </w:footnote>
  <w:footnote w:id="132">
    <w:p w14:paraId="4B457871" w14:textId="6C6C1F6C"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Te Kāhui Ture o Aotearoa | New Zealand Law Society; Submission 51.</w:t>
      </w:r>
    </w:p>
  </w:footnote>
  <w:footnote w:id="133">
    <w:p w14:paraId="432A7007" w14:textId="77777777"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Tim O’Sullivan.</w:t>
      </w:r>
    </w:p>
  </w:footnote>
  <w:footnote w:id="134">
    <w:p w14:paraId="4E188260" w14:textId="0B0CDFB2" w:rsidR="00145ED5" w:rsidRPr="00530D57" w:rsidRDefault="00145ED5" w:rsidP="51B7C6D5">
      <w:pPr>
        <w:pStyle w:val="FootnoteText"/>
      </w:pPr>
      <w:r w:rsidRPr="00530D57">
        <w:rPr>
          <w:rStyle w:val="FootnoteReference"/>
        </w:rPr>
        <w:footnoteRef/>
      </w:r>
      <w:r w:rsidR="51B7C6D5" w:rsidRPr="00530D57">
        <w:t xml:space="preserve"> </w:t>
      </w:r>
      <w:r w:rsidRPr="00530D57">
        <w:tab/>
      </w:r>
      <w:r w:rsidR="51B7C6D5" w:rsidRPr="00530D57">
        <w:t xml:space="preserve">George Balani; Kevin Bird; Destiny Church; Graeme Edgeler; Clive Elliot KC; David F; Family First; Free Speech Union; Ken Gorbey; Dr David Harvey; Dr Sanjana Hattotuwa; </w:t>
      </w:r>
      <w:r w:rsidR="00153C2D">
        <w:t>Inclusive Aotearoa Collective Tāhono</w:t>
      </w:r>
      <w:r w:rsidR="51B7C6D5" w:rsidRPr="00530D57">
        <w:t xml:space="preserve">; </w:t>
      </w:r>
      <w:r w:rsidR="004D0C06">
        <w:t>Justice for Palestine, Alternative Jewish Voices and Dayenu</w:t>
      </w:r>
      <w:r w:rsidR="51B7C6D5" w:rsidRPr="00530D57">
        <w:t xml:space="preserve"> (joint submission); Karun Lakshman; Luke Cunningham Clere; Maire Leadbeater;  Dr</w:t>
      </w:r>
      <w:r w:rsidR="003743D7" w:rsidRPr="00530D57">
        <w:t xml:space="preserve"> </w:t>
      </w:r>
      <w:r w:rsidR="51B7C6D5" w:rsidRPr="00530D57">
        <w:t>John McDonald-Wharry; Members of Te Hunga Rōia Māori o Aotearoa; Te Kāhui Ture o Aotearoa | New Zealand Law Society; Tim O’Sullivan; Greg Rzesniowiecki; Submission 11;</w:t>
      </w:r>
      <w:r w:rsidR="003743D7" w:rsidRPr="00530D57">
        <w:t xml:space="preserve"> Submission 55;</w:t>
      </w:r>
      <w:r w:rsidR="51B7C6D5" w:rsidRPr="00530D57">
        <w:t xml:space="preserve"> Submission 63; Submission 66; Submission 77; Roelie van Rijs; and Women’s Rights Party.</w:t>
      </w:r>
    </w:p>
  </w:footnote>
  <w:footnote w:id="135">
    <w:p w14:paraId="1D4E81CE" w14:textId="01BC8262"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Dr David Harvey; Dr</w:t>
      </w:r>
      <w:r w:rsidR="00D35633" w:rsidRPr="00530D57">
        <w:t xml:space="preserve"> </w:t>
      </w:r>
      <w:r w:rsidR="51B7C6D5" w:rsidRPr="00530D57">
        <w:t xml:space="preserve">Sanjana Hattotuwa; </w:t>
      </w:r>
      <w:r w:rsidR="004D0C06">
        <w:t>Justice for Palestine, Alternative Jewish Voices and Dayenu</w:t>
      </w:r>
      <w:r w:rsidR="51B7C6D5" w:rsidRPr="00530D57">
        <w:t xml:space="preserve"> (joint submission); Members of Te Hunga Rōia Māori o Aotearoa; Submission 63; Submission 66 and Roelie van Rijs. </w:t>
      </w:r>
    </w:p>
  </w:footnote>
  <w:footnote w:id="136">
    <w:p w14:paraId="67D68903" w14:textId="608F3C33"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 xml:space="preserve">Dr Sanjana Hattotuwa; </w:t>
      </w:r>
      <w:r w:rsidR="004D0C06">
        <w:t>Justice for Palestine, Alternative Jewish Voices and Dayenu</w:t>
      </w:r>
      <w:r w:rsidR="00104AEF">
        <w:t xml:space="preserve"> (joint submission)</w:t>
      </w:r>
      <w:r w:rsidR="00737CF6" w:rsidRPr="00530D57">
        <w:t>;</w:t>
      </w:r>
      <w:r w:rsidR="51B7C6D5" w:rsidRPr="00530D57">
        <w:t xml:space="preserve"> and Submission 77.</w:t>
      </w:r>
    </w:p>
  </w:footnote>
  <w:footnote w:id="137">
    <w:p w14:paraId="2C531561" w14:textId="607AC0F2" w:rsidR="00145ED5" w:rsidRPr="00530D57" w:rsidRDefault="00145ED5" w:rsidP="00145ED5">
      <w:pPr>
        <w:pStyle w:val="FootnoteText"/>
      </w:pPr>
      <w:r w:rsidRPr="00530D57">
        <w:rPr>
          <w:rStyle w:val="FootnoteReference"/>
        </w:rPr>
        <w:footnoteRef/>
      </w:r>
      <w:r w:rsidR="51B7C6D5" w:rsidRPr="00530D57">
        <w:t xml:space="preserve"> </w:t>
      </w:r>
      <w:r w:rsidRPr="00530D57">
        <w:tab/>
      </w:r>
      <w:r w:rsidR="00153C2D">
        <w:t>Inclusive Aotearoa Collective Tāhono</w:t>
      </w:r>
      <w:r w:rsidR="51B7C6D5" w:rsidRPr="00530D57">
        <w:t xml:space="preserve">. </w:t>
      </w:r>
    </w:p>
  </w:footnote>
  <w:footnote w:id="138">
    <w:p w14:paraId="0A67E330" w14:textId="0018AC01" w:rsidR="00145ED5" w:rsidRPr="00530D57" w:rsidRDefault="00145ED5" w:rsidP="51B7C6D5">
      <w:pPr>
        <w:pStyle w:val="FootnoteText"/>
      </w:pPr>
      <w:r w:rsidRPr="00530D57">
        <w:rPr>
          <w:rStyle w:val="FootnoteReference"/>
        </w:rPr>
        <w:footnoteRef/>
      </w:r>
      <w:r w:rsidR="51B7C6D5" w:rsidRPr="00530D57">
        <w:t xml:space="preserve"> </w:t>
      </w:r>
      <w:r w:rsidRPr="00530D57">
        <w:tab/>
      </w:r>
      <w:r w:rsidR="51B7C6D5" w:rsidRPr="00530D57">
        <w:t xml:space="preserve">George Balani; Kevin Bird; Destiny Church; Family First; Free Speech Union; Karun Lakshman; Maire Leadbeater; Tim O’Sullivan; Greg Rzesniowiecki; Submission 11; and Women’s Rights Party. </w:t>
      </w:r>
    </w:p>
  </w:footnote>
  <w:footnote w:id="139">
    <w:p w14:paraId="4E835DB6" w14:textId="2CB1B770"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 xml:space="preserve">Free Speech Union; and Greg Rzesniowiecki. </w:t>
      </w:r>
    </w:p>
  </w:footnote>
  <w:footnote w:id="140">
    <w:p w14:paraId="20AEEE94" w14:textId="069BC8F0"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 xml:space="preserve">George Balani; David F; Ken Gorbey; Maire Leadbeater; </w:t>
      </w:r>
      <w:r w:rsidR="003743D7" w:rsidRPr="00530D57">
        <w:t xml:space="preserve">Submission 55; </w:t>
      </w:r>
      <w:r w:rsidR="51B7C6D5" w:rsidRPr="00530D57">
        <w:t>and Roelie van Rijs.</w:t>
      </w:r>
    </w:p>
  </w:footnote>
  <w:footnote w:id="141">
    <w:p w14:paraId="720366F9" w14:textId="06AC909C" w:rsidR="00145ED5" w:rsidRPr="00530D57" w:rsidRDefault="00145ED5" w:rsidP="51B7C6D5">
      <w:pPr>
        <w:pStyle w:val="FootnoteText"/>
      </w:pPr>
      <w:r w:rsidRPr="00530D57">
        <w:rPr>
          <w:rStyle w:val="FootnoteReference"/>
        </w:rPr>
        <w:footnoteRef/>
      </w:r>
      <w:r w:rsidR="51B7C6D5" w:rsidRPr="00530D57">
        <w:t xml:space="preserve"> </w:t>
      </w:r>
      <w:r w:rsidRPr="00530D57">
        <w:tab/>
      </w:r>
      <w:r w:rsidR="51B7C6D5" w:rsidRPr="00530D57">
        <w:t>Luke Cunningham Clere; and Te Kāhui Ture o Aotearoa | New Zealand Law Society.</w:t>
      </w:r>
    </w:p>
  </w:footnote>
  <w:footnote w:id="142">
    <w:p w14:paraId="07925C0A" w14:textId="004B497E" w:rsidR="00145ED5" w:rsidRPr="00530D57" w:rsidRDefault="00145ED5" w:rsidP="51B7C6D5">
      <w:pPr>
        <w:pStyle w:val="FootnoteText"/>
      </w:pPr>
      <w:r w:rsidRPr="00530D57">
        <w:rPr>
          <w:rStyle w:val="FootnoteReference"/>
        </w:rPr>
        <w:footnoteRef/>
      </w:r>
      <w:r w:rsidR="51B7C6D5" w:rsidRPr="00530D57">
        <w:t xml:space="preserve"> </w:t>
      </w:r>
      <w:r w:rsidRPr="00530D57">
        <w:tab/>
      </w:r>
      <w:r w:rsidR="51B7C6D5" w:rsidRPr="00530D57">
        <w:t>Graeme Edgeler; and Luke Cunningham Clere.</w:t>
      </w:r>
    </w:p>
  </w:footnote>
  <w:footnote w:id="143">
    <w:p w14:paraId="14E1AF99" w14:textId="6278D311"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Clive Elliot KC.</w:t>
      </w:r>
    </w:p>
  </w:footnote>
  <w:footnote w:id="144">
    <w:p w14:paraId="311A2A65" w14:textId="68784F60" w:rsidR="00145ED5" w:rsidRPr="00530D57" w:rsidRDefault="00145ED5" w:rsidP="00145ED5">
      <w:pPr>
        <w:pStyle w:val="FootnoteText"/>
      </w:pPr>
      <w:r w:rsidRPr="00530D57">
        <w:rPr>
          <w:rStyle w:val="FootnoteReference"/>
        </w:rPr>
        <w:footnoteRef/>
      </w:r>
      <w:r w:rsidR="51B7C6D5" w:rsidRPr="00530D57">
        <w:t xml:space="preserve"> </w:t>
      </w:r>
      <w:r w:rsidRPr="00530D57">
        <w:tab/>
      </w:r>
      <w:r w:rsidR="001A06AA" w:rsidRPr="00530D57">
        <w:t xml:space="preserve">Annette Sykes &amp; Co; </w:t>
      </w:r>
      <w:r w:rsidR="51B7C6D5" w:rsidRPr="00530D57">
        <w:t xml:space="preserve">Kevin Bird; Destiny Church; Free Speech Union; </w:t>
      </w:r>
      <w:r w:rsidR="00153C2D">
        <w:t>Inclusive Aotearoa Collective Tāhono</w:t>
      </w:r>
      <w:r w:rsidR="51B7C6D5" w:rsidRPr="00530D57">
        <w:t>; Luke Cunningham Clere; Dr John McDonald-Wharry; Te Kāhui Ture o Aotearoa | New Zealand Law Society; Tim O’Sullivan; Greg Rzesniowiecki; Submission 78; and Women‘s Rights Party.</w:t>
      </w:r>
    </w:p>
  </w:footnote>
  <w:footnote w:id="145">
    <w:p w14:paraId="53D925CE" w14:textId="77777777"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 xml:space="preserve">Luke Cunningham Clere. </w:t>
      </w:r>
    </w:p>
  </w:footnote>
  <w:footnote w:id="146">
    <w:p w14:paraId="4C8C23C1" w14:textId="17D8335D" w:rsidR="00145ED5" w:rsidRPr="00530D57" w:rsidRDefault="00145ED5" w:rsidP="00145ED5">
      <w:pPr>
        <w:pStyle w:val="FootnoteText"/>
      </w:pPr>
      <w:r w:rsidRPr="00530D57">
        <w:rPr>
          <w:rStyle w:val="FootnoteReference"/>
        </w:rPr>
        <w:footnoteRef/>
      </w:r>
      <w:r w:rsidR="51B7C6D5" w:rsidRPr="00530D57">
        <w:t xml:space="preserve"> </w:t>
      </w:r>
      <w:r w:rsidRPr="00530D57">
        <w:tab/>
      </w:r>
      <w:r w:rsidR="00993245" w:rsidRPr="00530D57">
        <w:t>Annette Sykes &amp; Co.</w:t>
      </w:r>
    </w:p>
  </w:footnote>
  <w:footnote w:id="147">
    <w:p w14:paraId="37448DBD" w14:textId="77D619CE" w:rsidR="00145ED5" w:rsidRPr="00530D57" w:rsidRDefault="00145ED5" w:rsidP="51B7C6D5">
      <w:pPr>
        <w:pStyle w:val="FootnoteText"/>
      </w:pPr>
      <w:r w:rsidRPr="00530D57">
        <w:rPr>
          <w:rStyle w:val="FootnoteReference"/>
        </w:rPr>
        <w:footnoteRef/>
      </w:r>
      <w:r w:rsidR="51B7C6D5" w:rsidRPr="00530D57">
        <w:t xml:space="preserve"> </w:t>
      </w:r>
      <w:r w:rsidRPr="00530D57">
        <w:tab/>
      </w:r>
      <w:r w:rsidR="51B7C6D5" w:rsidRPr="00530D57">
        <w:t>Luke Cunningham Clere.</w:t>
      </w:r>
    </w:p>
  </w:footnote>
  <w:footnote w:id="148">
    <w:p w14:paraId="5BFE5158" w14:textId="542A6BD8"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Destiny Church; Dr John McDonald-Wharry; and Tim O’Sullivan.</w:t>
      </w:r>
    </w:p>
  </w:footnote>
  <w:footnote w:id="149">
    <w:p w14:paraId="468373F6" w14:textId="13383646" w:rsidR="00145ED5" w:rsidRPr="00530D57" w:rsidRDefault="00145ED5">
      <w:pPr>
        <w:pStyle w:val="FootnoteText"/>
      </w:pPr>
      <w:r w:rsidRPr="00530D57">
        <w:rPr>
          <w:rStyle w:val="FootnoteReference"/>
        </w:rPr>
        <w:footnoteRef/>
      </w:r>
      <w:r w:rsidR="51B7C6D5" w:rsidRPr="00530D57">
        <w:t xml:space="preserve"> </w:t>
      </w:r>
      <w:r w:rsidRPr="00530D57">
        <w:tab/>
      </w:r>
      <w:r w:rsidR="51B7C6D5" w:rsidRPr="00530D57">
        <w:t>Free Speech Union; Dr John McDonald-Wharry; Greg Rzesniowiecki; and Women’s Rights Party.</w:t>
      </w:r>
      <w:r w:rsidR="51B7C6D5" w:rsidRPr="00530D57">
        <w:rPr>
          <w:rStyle w:val="FootnoteReference"/>
        </w:rPr>
        <w:t>.</w:t>
      </w:r>
    </w:p>
  </w:footnote>
  <w:footnote w:id="150">
    <w:p w14:paraId="3C0479C9" w14:textId="6C44C314"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Disabled Persons Assembly and VisAble (joint submission); and Donald Beasley Institute and People First New Zealand (joint submission).</w:t>
      </w:r>
    </w:p>
  </w:footnote>
  <w:footnote w:id="151">
    <w:p w14:paraId="0ED95DF1" w14:textId="6FA63586"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 xml:space="preserve">Graeme Edgeler; Free Speech Union; Dr David Harvey; Russell Hoban; </w:t>
      </w:r>
      <w:r w:rsidR="004D0C06">
        <w:t>Justice for Palestine, Alternative Jewish Voices and Dayenu</w:t>
      </w:r>
      <w:r w:rsidR="51B7C6D5" w:rsidRPr="00530D57">
        <w:t xml:space="preserve"> (joint submission); Luke Cunningham Clere; Pride in Law Otago; Ratonga Wawao ā-Tūmatanui | Public Defence Service; Submission 11; Submission 26; Submission 43; Submission 51; Submission 62; Submission 77; Dr Mark Walters; and Dr Chris Wilson.</w:t>
      </w:r>
    </w:p>
  </w:footnote>
  <w:footnote w:id="152">
    <w:p w14:paraId="43F59EAC" w14:textId="57E757A9"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Submission 26.</w:t>
      </w:r>
    </w:p>
  </w:footnote>
  <w:footnote w:id="153">
    <w:p w14:paraId="40D50832" w14:textId="0C752E63"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Pride in Law Otago; Submission 77; and Dr Chris Wilson.</w:t>
      </w:r>
    </w:p>
  </w:footnote>
  <w:footnote w:id="154">
    <w:p w14:paraId="47A84C97" w14:textId="2AF27FE4"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Free Speech Union; Submission 11; and Submission 51.</w:t>
      </w:r>
    </w:p>
  </w:footnote>
  <w:footnote w:id="155">
    <w:p w14:paraId="1E8F2250" w14:textId="32F6FDC2"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Submission 43.</w:t>
      </w:r>
    </w:p>
  </w:footnote>
  <w:footnote w:id="156">
    <w:p w14:paraId="7424084A" w14:textId="067AE62C"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Te Kāhui Ture o Aotearoa | New Zealand Law Society; and Dr Mark Walters.</w:t>
      </w:r>
    </w:p>
  </w:footnote>
  <w:footnote w:id="157">
    <w:p w14:paraId="255EE5B0" w14:textId="77777777"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 xml:space="preserve">Luke Cunningham Clere. </w:t>
      </w:r>
    </w:p>
  </w:footnote>
  <w:footnote w:id="158">
    <w:p w14:paraId="449E4C81" w14:textId="4BE00D12"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 xml:space="preserve">Graeme Edgeler; Dr David Harvey; Russell Hoban; </w:t>
      </w:r>
      <w:r w:rsidR="00153C2D">
        <w:t>Inclusive Aotearoa Collective Tāhono</w:t>
      </w:r>
      <w:r w:rsidR="51B7C6D5" w:rsidRPr="00530D57">
        <w:t xml:space="preserve">; </w:t>
      </w:r>
      <w:r w:rsidR="004D0C06">
        <w:t>Justice for Palestine, Alternative Jewish Voices and Dayenu</w:t>
      </w:r>
      <w:r w:rsidR="51B7C6D5" w:rsidRPr="00530D57">
        <w:t xml:space="preserve"> (joint submission); Luke Cunningham Clere; and Ratonga Wawao ā-Tūmatanui | Public Defence Service.</w:t>
      </w:r>
    </w:p>
  </w:footnote>
  <w:footnote w:id="159">
    <w:p w14:paraId="07E9DA37" w14:textId="15A9ABBE"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 xml:space="preserve">Donald Beasley Institute and People First New Zealand (joint submission); </w:t>
      </w:r>
      <w:r w:rsidR="004D0C06">
        <w:t>Justice for Palestine, Alternative Jewish Voices and Dayenu</w:t>
      </w:r>
      <w:r w:rsidR="51B7C6D5" w:rsidRPr="00530D57">
        <w:t xml:space="preserve"> (joint submission); Dr Kyle R Matthews; Te Kāhui Ture o Aotearoa | New Zealand Law Society; Pride in Law Otago; </w:t>
      </w:r>
      <w:r w:rsidR="00FD211C">
        <w:t>Sikh Council of New Zealand</w:t>
      </w:r>
      <w:r w:rsidR="51B7C6D5" w:rsidRPr="00530D57">
        <w:t xml:space="preserve">; Submission 11; </w:t>
      </w:r>
      <w:r w:rsidR="00C36EF6">
        <w:t>Te Kāhui o Ināia Tonu Nei Charitable Trust</w:t>
      </w:r>
      <w:r w:rsidR="51B7C6D5" w:rsidRPr="00530D57">
        <w:t xml:space="preserve">; and </w:t>
      </w:r>
      <w:r w:rsidR="00C36EF6">
        <w:t>The Law Association of New Zealand Criminal Law Committee</w:t>
      </w:r>
      <w:r w:rsidR="51B7C6D5" w:rsidRPr="00530D57">
        <w:t>.</w:t>
      </w:r>
    </w:p>
  </w:footnote>
  <w:footnote w:id="160">
    <w:p w14:paraId="3165324B" w14:textId="72049FCC" w:rsidR="00145ED5" w:rsidRPr="00530D57" w:rsidRDefault="00145ED5" w:rsidP="00145ED5">
      <w:pPr>
        <w:pStyle w:val="FootnoteText"/>
      </w:pPr>
      <w:r w:rsidRPr="00530D57">
        <w:rPr>
          <w:rStyle w:val="FootnoteReference"/>
        </w:rPr>
        <w:footnoteRef/>
      </w:r>
      <w:r w:rsidR="51B7C6D5" w:rsidRPr="00530D57">
        <w:t xml:space="preserve"> </w:t>
      </w:r>
      <w:r w:rsidRPr="00530D57">
        <w:tab/>
      </w:r>
      <w:r w:rsidR="004D0C06">
        <w:t>Justice for Palestine, Alternative Jewish Voices and Dayenu</w:t>
      </w:r>
      <w:r w:rsidR="51B7C6D5" w:rsidRPr="00530D57">
        <w:t xml:space="preserve"> (joint submission); Dr Kyle R Matthews; Te Kāhui Ture o Aotearoa | New Zealand Law Society; Pride in Law Otago; Submission 11; </w:t>
      </w:r>
      <w:r w:rsidR="00C36EF6">
        <w:t>Te Kāhui o Ināia Tonu Nei Charitable Trust</w:t>
      </w:r>
      <w:r w:rsidR="51B7C6D5" w:rsidRPr="00530D57">
        <w:t xml:space="preserve">; and </w:t>
      </w:r>
      <w:r w:rsidR="00C36EF6">
        <w:t>The Law Association of New Zealand Criminal Law Committee</w:t>
      </w:r>
      <w:r w:rsidR="51B7C6D5" w:rsidRPr="00530D57">
        <w:t>.</w:t>
      </w:r>
    </w:p>
  </w:footnote>
  <w:footnote w:id="161">
    <w:p w14:paraId="12473793" w14:textId="6C583F15"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Te Kāhui Ture o Aotearoa | New Zealand Law Society.</w:t>
      </w:r>
    </w:p>
  </w:footnote>
  <w:footnote w:id="162">
    <w:p w14:paraId="512BAB16" w14:textId="0293E4B1" w:rsidR="00145ED5" w:rsidRPr="00530D57" w:rsidRDefault="00145ED5" w:rsidP="00145ED5">
      <w:pPr>
        <w:pStyle w:val="FootnoteText"/>
      </w:pPr>
      <w:r w:rsidRPr="00530D57">
        <w:rPr>
          <w:rStyle w:val="FootnoteReference"/>
        </w:rPr>
        <w:footnoteRef/>
      </w:r>
      <w:r w:rsidR="51B7C6D5" w:rsidRPr="00530D57">
        <w:t xml:space="preserve"> </w:t>
      </w:r>
      <w:r w:rsidRPr="00530D57">
        <w:tab/>
      </w:r>
      <w:r w:rsidR="00C36EF6">
        <w:t>The Law Association of New Zealand Criminal Law Committee</w:t>
      </w:r>
      <w:r w:rsidR="51B7C6D5" w:rsidRPr="00530D57">
        <w:t>.</w:t>
      </w:r>
    </w:p>
  </w:footnote>
  <w:footnote w:id="163">
    <w:p w14:paraId="134F5D09" w14:textId="0316B068"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Dr Kyle R Matthews.</w:t>
      </w:r>
    </w:p>
  </w:footnote>
  <w:footnote w:id="164">
    <w:p w14:paraId="66B0E747" w14:textId="28C93BD4" w:rsidR="00145ED5" w:rsidRPr="00530D57" w:rsidRDefault="00145ED5" w:rsidP="00145ED5">
      <w:pPr>
        <w:pStyle w:val="FootnoteText"/>
      </w:pPr>
      <w:r w:rsidRPr="00530D57">
        <w:rPr>
          <w:rStyle w:val="FootnoteReference"/>
        </w:rPr>
        <w:footnoteRef/>
      </w:r>
      <w:r w:rsidR="51B7C6D5" w:rsidRPr="00530D57">
        <w:t xml:space="preserve"> </w:t>
      </w:r>
      <w:r w:rsidRPr="00530D57">
        <w:tab/>
      </w:r>
      <w:r w:rsidR="00C36EF6">
        <w:t>Te Kāhui o Ināia Tonu Nei Charitable Trust</w:t>
      </w:r>
      <w:r w:rsidR="51B7C6D5" w:rsidRPr="00530D57">
        <w:t>.</w:t>
      </w:r>
    </w:p>
  </w:footnote>
  <w:footnote w:id="165">
    <w:p w14:paraId="05582D42" w14:textId="36EB7FA4"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Madeline Ash; Te Tari Ture o te Karauna | Crown Law; Luke Cunningham Clere; Maxim Institute; Te Kāhui Ture o Aotearoa | New Zealand Law Society; Ratonga Wawao ā-Tūmatanui | Public Defence Service; and Submission 11.</w:t>
      </w:r>
    </w:p>
  </w:footnote>
  <w:footnote w:id="166">
    <w:p w14:paraId="1101B088" w14:textId="7598E0D4" w:rsidR="000F6E3F" w:rsidRPr="00530D57" w:rsidRDefault="000F6E3F">
      <w:pPr>
        <w:pStyle w:val="FootnoteText"/>
      </w:pPr>
      <w:r w:rsidRPr="00530D57">
        <w:rPr>
          <w:rStyle w:val="FootnoteReference"/>
        </w:rPr>
        <w:footnoteRef/>
      </w:r>
      <w:r w:rsidRPr="00530D57">
        <w:t xml:space="preserve"> </w:t>
      </w:r>
      <w:r w:rsidRPr="00530D57">
        <w:tab/>
      </w:r>
      <w:r w:rsidR="006640BF" w:rsidRPr="00530D57">
        <w:t xml:space="preserve">Submitters referred to the examples we discussed in our Consultation Paper of gang members </w:t>
      </w:r>
      <w:r w:rsidR="0073410D" w:rsidRPr="00530D57">
        <w:t>or</w:t>
      </w:r>
      <w:r w:rsidR="006640BF" w:rsidRPr="00530D57">
        <w:t xml:space="preserve"> </w:t>
      </w:r>
      <w:r w:rsidR="003B312F" w:rsidRPr="00530D57">
        <w:t>paedophiles being protected groups.</w:t>
      </w:r>
      <w:r w:rsidR="00CB1AF6" w:rsidRPr="00530D57">
        <w:t xml:space="preserve"> </w:t>
      </w:r>
    </w:p>
  </w:footnote>
  <w:footnote w:id="167">
    <w:p w14:paraId="2B1784FA" w14:textId="0F67F095"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Ratonga Wawao ā-Tūmatanui | Public Defence Service; and Submission 11.</w:t>
      </w:r>
    </w:p>
  </w:footnote>
  <w:footnote w:id="168">
    <w:p w14:paraId="405542F0" w14:textId="0433D3AB"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Graeme Edgeler; Rex Landy; and Women’s Rights Party.</w:t>
      </w:r>
    </w:p>
  </w:footnote>
  <w:footnote w:id="169">
    <w:p w14:paraId="6CEB663C" w14:textId="47102F70"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Justice for Palestine, Alternative Jewish Voices</w:t>
      </w:r>
      <w:r w:rsidR="007038D9">
        <w:t xml:space="preserve"> and</w:t>
      </w:r>
      <w:r w:rsidR="51B7C6D5" w:rsidRPr="00530D57">
        <w:t xml:space="preserve"> Dayenu (joint submission); and Dr Chris Wilson.</w:t>
      </w:r>
    </w:p>
  </w:footnote>
  <w:footnote w:id="170">
    <w:p w14:paraId="1DBE0243" w14:textId="42750727" w:rsidR="00145ED5" w:rsidRPr="00530D57" w:rsidRDefault="00145ED5" w:rsidP="00145ED5">
      <w:pPr>
        <w:pStyle w:val="FootnoteText"/>
      </w:pPr>
      <w:r w:rsidRPr="00530D57">
        <w:rPr>
          <w:rStyle w:val="FootnoteReference"/>
        </w:rPr>
        <w:footnoteRef/>
      </w:r>
      <w:r w:rsidR="51B7C6D5" w:rsidRPr="00530D57">
        <w:t xml:space="preserve"> </w:t>
      </w:r>
      <w:r w:rsidRPr="00530D57">
        <w:tab/>
      </w:r>
      <w:r w:rsidR="00C36EF6">
        <w:t>Dr David Bromell</w:t>
      </w:r>
      <w:r w:rsidR="51B7C6D5" w:rsidRPr="00530D57">
        <w:t xml:space="preserve">. </w:t>
      </w:r>
    </w:p>
  </w:footnote>
  <w:footnote w:id="171">
    <w:p w14:paraId="1D697E90" w14:textId="77777777"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 xml:space="preserve">Free Speech Union. </w:t>
      </w:r>
    </w:p>
  </w:footnote>
  <w:footnote w:id="172">
    <w:p w14:paraId="732912F5" w14:textId="77777777"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Free Speech Union.</w:t>
      </w:r>
    </w:p>
  </w:footnote>
  <w:footnote w:id="173">
    <w:p w14:paraId="09C92723" w14:textId="77777777"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Madeline Ash.</w:t>
      </w:r>
    </w:p>
  </w:footnote>
  <w:footnote w:id="174">
    <w:p w14:paraId="61D2CE68" w14:textId="7F214110" w:rsidR="00145ED5" w:rsidRPr="00530D57" w:rsidRDefault="00145ED5" w:rsidP="51B7C6D5">
      <w:pPr>
        <w:pStyle w:val="FootnoteText"/>
      </w:pPr>
      <w:r w:rsidRPr="00530D57">
        <w:rPr>
          <w:rStyle w:val="FootnoteReference"/>
        </w:rPr>
        <w:footnoteRef/>
      </w:r>
      <w:r w:rsidR="51B7C6D5" w:rsidRPr="00530D57">
        <w:t xml:space="preserve"> </w:t>
      </w:r>
      <w:r w:rsidRPr="00530D57">
        <w:tab/>
      </w:r>
      <w:r w:rsidR="51B7C6D5" w:rsidRPr="00530D57">
        <w:t>Submission 66.</w:t>
      </w:r>
    </w:p>
  </w:footnote>
  <w:footnote w:id="175">
    <w:p w14:paraId="6F454CF6" w14:textId="77777777"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Don Whitfield.</w:t>
      </w:r>
    </w:p>
  </w:footnote>
  <w:footnote w:id="176">
    <w:p w14:paraId="50A669C2" w14:textId="253CC9B5"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Members of Te Hunga Rōia Māori o Aotearoa.</w:t>
      </w:r>
    </w:p>
  </w:footnote>
  <w:footnote w:id="177">
    <w:p w14:paraId="1B342300" w14:textId="54068C0E"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Dr Sanjana Hattotuwa.</w:t>
      </w:r>
    </w:p>
  </w:footnote>
  <w:footnote w:id="178">
    <w:p w14:paraId="3A2F8394" w14:textId="33A7D047" w:rsidR="00145ED5" w:rsidRPr="00530D57" w:rsidRDefault="00145ED5" w:rsidP="00145ED5">
      <w:pPr>
        <w:pStyle w:val="FootnoteText"/>
      </w:pPr>
      <w:r w:rsidRPr="00530D57">
        <w:rPr>
          <w:rStyle w:val="FootnoteReference"/>
        </w:rPr>
        <w:footnoteRef/>
      </w:r>
      <w:r w:rsidR="51B7C6D5" w:rsidRPr="00530D57">
        <w:t xml:space="preserve"> </w:t>
      </w:r>
      <w:r w:rsidRPr="00530D57">
        <w:tab/>
      </w:r>
      <w:r w:rsidR="00E3513C" w:rsidRPr="00530D57">
        <w:t xml:space="preserve">Annette Sykes &amp; Co; </w:t>
      </w:r>
      <w:r w:rsidR="51B7C6D5" w:rsidRPr="00530D57">
        <w:t xml:space="preserve">Madeline Ash; Disabled Persons Assembly and VisAble (joint submission); Donald Beasley Institute and People First New Zealand (joint submission); </w:t>
      </w:r>
      <w:r w:rsidR="00153C2D">
        <w:t>Inclusive Aotearoa Collective Tāhono</w:t>
      </w:r>
      <w:r w:rsidR="51B7C6D5" w:rsidRPr="00530D57">
        <w:t xml:space="preserve">; New Zealand Federation of Business and Professional Women; </w:t>
      </w:r>
      <w:r w:rsidR="00FD211C">
        <w:t>Parents of Vision Impaired</w:t>
      </w:r>
      <w:r w:rsidR="51B7C6D5" w:rsidRPr="00530D57">
        <w:t xml:space="preserve">; Pride in Law Otago; Submission 26; Submission 43; </w:t>
      </w:r>
      <w:r w:rsidR="00C36EF6">
        <w:t>Te Kāhui o Ināia Tonu Nei Charitable Trust</w:t>
      </w:r>
      <w:r w:rsidR="51B7C6D5" w:rsidRPr="00530D57">
        <w:t>; and Rod Young.</w:t>
      </w:r>
    </w:p>
  </w:footnote>
  <w:footnote w:id="179">
    <w:p w14:paraId="4BD790AB" w14:textId="107A0974" w:rsidR="00145ED5" w:rsidRPr="00530D57" w:rsidRDefault="00145ED5" w:rsidP="00145ED5">
      <w:pPr>
        <w:pStyle w:val="FootnoteText"/>
      </w:pPr>
      <w:r w:rsidRPr="00530D57">
        <w:rPr>
          <w:rStyle w:val="FootnoteReference"/>
        </w:rPr>
        <w:footnoteRef/>
      </w:r>
      <w:r w:rsidR="51B7C6D5" w:rsidRPr="00530D57">
        <w:t xml:space="preserve"> </w:t>
      </w:r>
      <w:r w:rsidRPr="00530D57">
        <w:tab/>
      </w:r>
      <w:r w:rsidR="00E3513C" w:rsidRPr="00530D57">
        <w:t xml:space="preserve">Annette Sykes &amp; Co; </w:t>
      </w:r>
      <w:r w:rsidR="51B7C6D5" w:rsidRPr="00530D57">
        <w:t xml:space="preserve">Madeline Ash; Disabled Persons Assembly and VisAble (joint submission); Dr David Harvey; New Zealand Federation of Business and Professional Women; Pride in Law Otago; Submission 43; Submission 57; </w:t>
      </w:r>
      <w:r w:rsidR="00C36EF6">
        <w:t>Te Kāhui o Ināia Tonu Nei Charitable Trust</w:t>
      </w:r>
      <w:r w:rsidR="00E3513C" w:rsidRPr="00530D57">
        <w:t>;</w:t>
      </w:r>
      <w:r w:rsidR="51B7C6D5" w:rsidRPr="00530D57">
        <w:t xml:space="preserve"> and Rod Young.</w:t>
      </w:r>
    </w:p>
  </w:footnote>
  <w:footnote w:id="180">
    <w:p w14:paraId="27D5CA09" w14:textId="2ADA1A41"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 xml:space="preserve">Disabled Persons Assembly and VisAble (joint submission); New Zealand Federation of Business and Professional Women; and </w:t>
      </w:r>
      <w:r w:rsidR="00C36EF6">
        <w:t>Te Kāhui o Ināia Tonu Nei Charitable Trust</w:t>
      </w:r>
      <w:r w:rsidR="51B7C6D5" w:rsidRPr="00530D57">
        <w:t>.</w:t>
      </w:r>
    </w:p>
  </w:footnote>
  <w:footnote w:id="181">
    <w:p w14:paraId="4FB493E9" w14:textId="5AF7324A" w:rsidR="00145ED5" w:rsidRPr="00530D57" w:rsidRDefault="00145ED5" w:rsidP="00145ED5">
      <w:pPr>
        <w:pStyle w:val="FootnoteText"/>
      </w:pPr>
      <w:r w:rsidRPr="00530D57">
        <w:rPr>
          <w:rStyle w:val="FootnoteReference"/>
        </w:rPr>
        <w:footnoteRef/>
      </w:r>
      <w:r w:rsidR="51B7C6D5" w:rsidRPr="00530D57">
        <w:t xml:space="preserve"> </w:t>
      </w:r>
      <w:r w:rsidRPr="00530D57">
        <w:tab/>
      </w:r>
      <w:r w:rsidR="00D437E7" w:rsidRPr="00530D57">
        <w:t xml:space="preserve">Annette Sykes &amp; Co; </w:t>
      </w:r>
      <w:r w:rsidR="51B7C6D5" w:rsidRPr="00530D57">
        <w:t xml:space="preserve">Madeline Ash; Disabled Persons Assembly and VisAble (joint submission); </w:t>
      </w:r>
      <w:r w:rsidR="00414D07">
        <w:t xml:space="preserve">and </w:t>
      </w:r>
      <w:r w:rsidR="00C36EF6">
        <w:t>Te Kāhui o Ināia Tonu Nei Charitable Trust</w:t>
      </w:r>
      <w:r w:rsidR="51B7C6D5" w:rsidRPr="00530D57">
        <w:t>.</w:t>
      </w:r>
    </w:p>
  </w:footnote>
  <w:footnote w:id="182">
    <w:p w14:paraId="5D9B26E9" w14:textId="3B5852EC" w:rsidR="00145ED5" w:rsidRPr="00530D57" w:rsidRDefault="00145ED5" w:rsidP="51B7C6D5">
      <w:pPr>
        <w:pStyle w:val="FootnoteText"/>
      </w:pPr>
      <w:r w:rsidRPr="00530D57">
        <w:rPr>
          <w:rStyle w:val="FootnoteReference"/>
        </w:rPr>
        <w:footnoteRef/>
      </w:r>
      <w:r w:rsidR="51B7C6D5" w:rsidRPr="00530D57">
        <w:t xml:space="preserve"> </w:t>
      </w:r>
      <w:r w:rsidRPr="00530D57">
        <w:tab/>
      </w:r>
      <w:r w:rsidR="00D437E7" w:rsidRPr="00530D57">
        <w:t xml:space="preserve">Annette Sykes &amp; Co; </w:t>
      </w:r>
      <w:r w:rsidR="51B7C6D5" w:rsidRPr="00530D57">
        <w:t xml:space="preserve">Disabled Persons Assembly and VisAble (joint submission); New Zealand Federation of Business and Professional Women; Pride in Law Otago; Submission 26; Submission 43; Submission 57; </w:t>
      </w:r>
      <w:r w:rsidR="00C36EF6">
        <w:t>Te Kāhui o Ināia Tonu Nei Charitable Trust</w:t>
      </w:r>
      <w:r w:rsidR="51B7C6D5" w:rsidRPr="00530D57">
        <w:t>; and Rod Young.</w:t>
      </w:r>
    </w:p>
  </w:footnote>
  <w:footnote w:id="183">
    <w:p w14:paraId="2430AD9C" w14:textId="1D1268D4" w:rsidR="00145ED5" w:rsidRPr="00530D57" w:rsidRDefault="00145ED5" w:rsidP="51B7C6D5">
      <w:pPr>
        <w:pStyle w:val="FootnoteText"/>
      </w:pPr>
      <w:r w:rsidRPr="00530D57">
        <w:rPr>
          <w:rStyle w:val="FootnoteReference"/>
        </w:rPr>
        <w:footnoteRef/>
      </w:r>
      <w:r w:rsidR="51B7C6D5" w:rsidRPr="00530D57">
        <w:t xml:space="preserve"> </w:t>
      </w:r>
      <w:r w:rsidRPr="00530D57">
        <w:tab/>
      </w:r>
      <w:r w:rsidR="001A4BE4" w:rsidRPr="00530D57">
        <w:t xml:space="preserve">Annette Sykes &amp; Co; </w:t>
      </w:r>
      <w:r w:rsidR="51B7C6D5" w:rsidRPr="00530D57">
        <w:t xml:space="preserve">Madeline Ash; Disabled Persons Assembly and VisAble (joint submission); Dr David Harvey; New Zealand Federation of Business and Professional Women; Submission 57; </w:t>
      </w:r>
      <w:r w:rsidR="00C36EF6">
        <w:t>Te Kāhui o Ināia Tonu Nei Charitable Trust</w:t>
      </w:r>
      <w:r w:rsidR="51B7C6D5" w:rsidRPr="00530D57">
        <w:t>; and Rod Young.</w:t>
      </w:r>
    </w:p>
  </w:footnote>
  <w:footnote w:id="184">
    <w:p w14:paraId="7A8101E6" w14:textId="1991AE13" w:rsidR="00145ED5" w:rsidRPr="00530D57" w:rsidRDefault="00145ED5" w:rsidP="00145ED5">
      <w:pPr>
        <w:pStyle w:val="FootnoteText"/>
      </w:pPr>
      <w:r w:rsidRPr="00530D57">
        <w:rPr>
          <w:rStyle w:val="FootnoteReference"/>
        </w:rPr>
        <w:footnoteRef/>
      </w:r>
      <w:r w:rsidR="51B7C6D5" w:rsidRPr="00530D57">
        <w:t xml:space="preserve"> </w:t>
      </w:r>
      <w:r w:rsidRPr="00530D57">
        <w:tab/>
      </w:r>
      <w:r w:rsidR="001A4BE4" w:rsidRPr="00530D57">
        <w:t xml:space="preserve">Annette Sykes &amp; Co; </w:t>
      </w:r>
      <w:r w:rsidR="51B7C6D5" w:rsidRPr="00530D57">
        <w:t xml:space="preserve">Madeline Ash; Disabled Persons Assembly and VisAble (joint submission); Dr David Harvey; New Zealand Federation of Business and Professional Women; </w:t>
      </w:r>
      <w:r w:rsidR="00FD211C">
        <w:t>Parents of Vision Impaired</w:t>
      </w:r>
      <w:r w:rsidR="51B7C6D5" w:rsidRPr="00530D57">
        <w:t xml:space="preserve">; Pride in Law Otago; Submission 43; </w:t>
      </w:r>
      <w:r w:rsidR="00C36EF6">
        <w:t>Te Kāhui o Ināia Tonu Nei Charitable Trust</w:t>
      </w:r>
      <w:r w:rsidR="51B7C6D5" w:rsidRPr="00530D57">
        <w:t>; and Rod Young.</w:t>
      </w:r>
    </w:p>
  </w:footnote>
  <w:footnote w:id="185">
    <w:p w14:paraId="4232D8A7" w14:textId="310D78A9" w:rsidR="00145ED5" w:rsidRPr="00530D57" w:rsidRDefault="00145ED5" w:rsidP="00145ED5">
      <w:pPr>
        <w:pStyle w:val="FootnoteText"/>
      </w:pPr>
      <w:r w:rsidRPr="00530D57">
        <w:rPr>
          <w:rStyle w:val="FootnoteReference"/>
        </w:rPr>
        <w:footnoteRef/>
      </w:r>
      <w:r w:rsidR="51B7C6D5" w:rsidRPr="00530D57">
        <w:t xml:space="preserve"> </w:t>
      </w:r>
      <w:r w:rsidRPr="00530D57">
        <w:tab/>
      </w:r>
      <w:r w:rsidR="001C0DC2" w:rsidRPr="00530D57">
        <w:t xml:space="preserve">Annette Sykes &amp; Co; </w:t>
      </w:r>
      <w:r w:rsidR="51B7C6D5" w:rsidRPr="00530D57">
        <w:t xml:space="preserve">Madeline Ash; Disabled Persons Assembly and VisAble (joint submission); Dr David Harvey; New Zealand Federation of Business and Professional Women; Pride in Law Otago; Submission 26; Submission 43; </w:t>
      </w:r>
      <w:r w:rsidR="001C0DC2" w:rsidRPr="00530D57">
        <w:t xml:space="preserve">and </w:t>
      </w:r>
      <w:r w:rsidR="00C36EF6">
        <w:t>Te Kāhui o Ināia Tonu Nei Charitable Trust</w:t>
      </w:r>
      <w:r w:rsidR="001C0DC2" w:rsidRPr="00530D57">
        <w:t>.</w:t>
      </w:r>
    </w:p>
  </w:footnote>
  <w:footnote w:id="186">
    <w:p w14:paraId="329A0FED" w14:textId="17F11045" w:rsidR="0067173D" w:rsidRPr="00530D57" w:rsidRDefault="0067173D" w:rsidP="0067173D">
      <w:pPr>
        <w:pStyle w:val="FootnoteText"/>
      </w:pPr>
      <w:r w:rsidRPr="00530D57">
        <w:rPr>
          <w:rStyle w:val="FootnoteReference"/>
        </w:rPr>
        <w:footnoteRef/>
      </w:r>
      <w:r w:rsidRPr="00530D57">
        <w:t xml:space="preserve"> </w:t>
      </w:r>
      <w:r w:rsidRPr="00530D57">
        <w:tab/>
        <w:t xml:space="preserve">Madeline Ash; Dr David Harvey; Russell Hoban; </w:t>
      </w:r>
      <w:r w:rsidR="00153C2D">
        <w:t>Inclusive Aotearoa Collective Tāhono</w:t>
      </w:r>
      <w:r w:rsidRPr="00530D57">
        <w:t>; New Zealand Federation of Business and Professional Women; Submission 57; Tamsen Williams; Dr Chris Wilson; and Women’s Rights Party.</w:t>
      </w:r>
    </w:p>
  </w:footnote>
  <w:footnote w:id="187">
    <w:p w14:paraId="3C385BEA" w14:textId="2065B99E" w:rsidR="0067173D" w:rsidRPr="00530D57" w:rsidRDefault="0067173D" w:rsidP="0067173D">
      <w:pPr>
        <w:pStyle w:val="FootnoteText"/>
      </w:pPr>
      <w:r w:rsidRPr="00530D57">
        <w:rPr>
          <w:rStyle w:val="FootnoteReference"/>
        </w:rPr>
        <w:footnoteRef/>
      </w:r>
      <w:r w:rsidRPr="00530D57">
        <w:t xml:space="preserve"> </w:t>
      </w:r>
      <w:r w:rsidRPr="00530D57">
        <w:tab/>
      </w:r>
      <w:r w:rsidR="00C36EF6">
        <w:t>Te Kāhui o Ināia Tonu Nei Charitable Trust</w:t>
      </w:r>
      <w:r w:rsidRPr="00530D57">
        <w:t xml:space="preserve">. </w:t>
      </w:r>
    </w:p>
  </w:footnote>
  <w:footnote w:id="188">
    <w:p w14:paraId="0DB1C22B" w14:textId="77777777" w:rsidR="00FB51F8" w:rsidRPr="00530D57" w:rsidRDefault="00FB51F8" w:rsidP="00FB51F8">
      <w:pPr>
        <w:pStyle w:val="FootnoteText"/>
      </w:pPr>
      <w:r w:rsidRPr="00530D57">
        <w:rPr>
          <w:rStyle w:val="FootnoteReference"/>
        </w:rPr>
        <w:footnoteRef/>
      </w:r>
      <w:r w:rsidRPr="00530D57">
        <w:t xml:space="preserve"> </w:t>
      </w:r>
      <w:r w:rsidRPr="00530D57">
        <w:tab/>
        <w:t>Annette Sykes &amp; Co; and New Zealand Federation of Business and Professional Women.</w:t>
      </w:r>
    </w:p>
  </w:footnote>
  <w:footnote w:id="189">
    <w:p w14:paraId="7AAB46C3" w14:textId="77777777" w:rsidR="00FB51F8" w:rsidRPr="00530D57" w:rsidRDefault="00FB51F8" w:rsidP="00FB51F8">
      <w:pPr>
        <w:pStyle w:val="FootnoteText"/>
      </w:pPr>
      <w:r w:rsidRPr="00530D57">
        <w:rPr>
          <w:rStyle w:val="FootnoteReference"/>
        </w:rPr>
        <w:footnoteRef/>
      </w:r>
      <w:r w:rsidRPr="00530D57">
        <w:t xml:space="preserve"> </w:t>
      </w:r>
      <w:r w:rsidRPr="00530D57">
        <w:tab/>
        <w:t>Annette Sykes &amp; Co; and Submission 57.</w:t>
      </w:r>
    </w:p>
  </w:footnote>
  <w:footnote w:id="190">
    <w:p w14:paraId="33AE6180" w14:textId="77777777"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 xml:space="preserve">Rod Young. </w:t>
      </w:r>
    </w:p>
  </w:footnote>
  <w:footnote w:id="191">
    <w:p w14:paraId="43DF3561" w14:textId="6E8CE639"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Dr David Harvey.</w:t>
      </w:r>
    </w:p>
  </w:footnote>
  <w:footnote w:id="192">
    <w:p w14:paraId="25075F7A" w14:textId="70CFCE92" w:rsidR="00145ED5" w:rsidRPr="00530D57" w:rsidRDefault="00145ED5" w:rsidP="00145ED5">
      <w:pPr>
        <w:pStyle w:val="FootnoteText"/>
      </w:pPr>
      <w:r w:rsidRPr="00530D57">
        <w:rPr>
          <w:rStyle w:val="FootnoteReference"/>
        </w:rPr>
        <w:footnoteRef/>
      </w:r>
      <w:r w:rsidR="51B7C6D5" w:rsidRPr="00530D57">
        <w:t xml:space="preserve"> </w:t>
      </w:r>
      <w:r w:rsidRPr="00530D57">
        <w:tab/>
      </w:r>
      <w:r w:rsidR="004D0C06">
        <w:t>Justice for Palestine, Alternative Jewish Voices and Dayenu</w:t>
      </w:r>
      <w:r w:rsidR="51B7C6D5" w:rsidRPr="00530D57">
        <w:t xml:space="preserve"> (joint submission).</w:t>
      </w:r>
    </w:p>
  </w:footnote>
  <w:footnote w:id="193">
    <w:p w14:paraId="26E69CD8" w14:textId="239EB7BF" w:rsidR="00145ED5" w:rsidRPr="00530D57" w:rsidRDefault="00145ED5">
      <w:pPr>
        <w:pStyle w:val="FootnoteText"/>
        <w:rPr>
          <w:rStyle w:val="FootnoteReference"/>
          <w:rFonts w:eastAsiaTheme="minorHAnsi" w:cstheme="minorBidi"/>
          <w:szCs w:val="22"/>
        </w:rPr>
      </w:pPr>
      <w:r w:rsidRPr="00530D57">
        <w:rPr>
          <w:rStyle w:val="FootnoteReference"/>
        </w:rPr>
        <w:footnoteRef/>
      </w:r>
      <w:r w:rsidR="51B7C6D5" w:rsidRPr="00530D57">
        <w:t xml:space="preserve"> </w:t>
      </w:r>
      <w:r w:rsidRPr="00530D57">
        <w:tab/>
      </w:r>
      <w:r w:rsidR="51B7C6D5" w:rsidRPr="00530D57">
        <w:t>Submission 51.</w:t>
      </w:r>
    </w:p>
  </w:footnote>
  <w:footnote w:id="194">
    <w:p w14:paraId="781BD5EB" w14:textId="46970684"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Destiny Church.</w:t>
      </w:r>
    </w:p>
  </w:footnote>
  <w:footnote w:id="195">
    <w:p w14:paraId="5EEA9533" w14:textId="2CCCAC2A"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Destiny Church; Rex Landy; Submission 72; and Women’s Rights Party.</w:t>
      </w:r>
    </w:p>
  </w:footnote>
  <w:footnote w:id="196">
    <w:p w14:paraId="686AB70B" w14:textId="77777777"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 xml:space="preserve">Destiny Church. </w:t>
      </w:r>
    </w:p>
  </w:footnote>
  <w:footnote w:id="197">
    <w:p w14:paraId="60FD01F4" w14:textId="1262800F" w:rsidR="00145ED5" w:rsidRPr="00530D57" w:rsidRDefault="00145ED5" w:rsidP="00145ED5">
      <w:pPr>
        <w:pStyle w:val="FootnoteText"/>
      </w:pPr>
      <w:r w:rsidRPr="00530D57">
        <w:rPr>
          <w:rStyle w:val="FootnoteReference"/>
        </w:rPr>
        <w:footnoteRef/>
      </w:r>
      <w:r w:rsidR="51B7C6D5" w:rsidRPr="00530D57">
        <w:t xml:space="preserve"> </w:t>
      </w:r>
      <w:r w:rsidRPr="00530D57">
        <w:tab/>
      </w:r>
      <w:r w:rsidR="00153C2D">
        <w:t>Inclusive Aotearoa Collective Tāhono</w:t>
      </w:r>
      <w:r w:rsidR="51B7C6D5" w:rsidRPr="00530D57">
        <w:t>.</w:t>
      </w:r>
    </w:p>
  </w:footnote>
  <w:footnote w:id="198">
    <w:p w14:paraId="6540C920" w14:textId="527CFBF2" w:rsidR="00145ED5" w:rsidRPr="00530D57" w:rsidRDefault="00145ED5" w:rsidP="00145ED5">
      <w:pPr>
        <w:pStyle w:val="FootnoteText"/>
      </w:pPr>
      <w:r w:rsidRPr="00530D57">
        <w:rPr>
          <w:rStyle w:val="FootnoteReference"/>
        </w:rPr>
        <w:footnoteRef/>
      </w:r>
      <w:r w:rsidR="51B7C6D5" w:rsidRPr="00530D57">
        <w:t xml:space="preserve"> </w:t>
      </w:r>
      <w:r w:rsidRPr="00530D57">
        <w:tab/>
      </w:r>
      <w:r w:rsidR="00153C2D">
        <w:t>Inclusive Aotearoa Collective Tāhono</w:t>
      </w:r>
      <w:r w:rsidR="51B7C6D5" w:rsidRPr="00530D57">
        <w:t>.</w:t>
      </w:r>
    </w:p>
  </w:footnote>
  <w:footnote w:id="199">
    <w:p w14:paraId="0170C884" w14:textId="16156A66"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 xml:space="preserve">Destiny Church; and </w:t>
      </w:r>
      <w:r w:rsidR="00153C2D">
        <w:t>Inclusive Aotearoa Collective Tāhono</w:t>
      </w:r>
      <w:r w:rsidR="51B7C6D5" w:rsidRPr="00530D57">
        <w:t>.</w:t>
      </w:r>
    </w:p>
  </w:footnote>
  <w:footnote w:id="200">
    <w:p w14:paraId="212C34B3" w14:textId="77777777"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Kevin Bird.</w:t>
      </w:r>
    </w:p>
  </w:footnote>
  <w:footnote w:id="201">
    <w:p w14:paraId="5CC829FA" w14:textId="58F3CB7F" w:rsidR="00CD330E" w:rsidRPr="00530D57" w:rsidRDefault="00CD330E">
      <w:pPr>
        <w:pStyle w:val="FootnoteText"/>
      </w:pPr>
      <w:r w:rsidRPr="00530D57">
        <w:rPr>
          <w:rStyle w:val="FootnoteReference"/>
        </w:rPr>
        <w:footnoteRef/>
      </w:r>
      <w:r w:rsidR="51B7C6D5" w:rsidRPr="00530D57">
        <w:t xml:space="preserve"> </w:t>
      </w:r>
      <w:r w:rsidRPr="00530D57">
        <w:tab/>
      </w:r>
      <w:r w:rsidR="00153C2D">
        <w:t>Inclusive Aotearoa Collective Tāhono</w:t>
      </w:r>
      <w:r w:rsidR="51B7C6D5" w:rsidRPr="00530D57">
        <w:t>;</w:t>
      </w:r>
      <w:r w:rsidR="00CC71FF">
        <w:t xml:space="preserve"> </w:t>
      </w:r>
      <w:r w:rsidR="51B7C6D5" w:rsidRPr="00530D57">
        <w:t>Luke Cunningham Clere; New Zealand Federation of Business and Professional Women; Tamsen Williams; Dr Chris Wilson; and Women’s Rights Party.</w:t>
      </w:r>
    </w:p>
  </w:footnote>
  <w:footnote w:id="202">
    <w:p w14:paraId="53FF3FED" w14:textId="77777777"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 xml:space="preserve">Women’s Rights Party. </w:t>
      </w:r>
    </w:p>
  </w:footnote>
  <w:footnote w:id="203">
    <w:p w14:paraId="02444AD5" w14:textId="77777777"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 xml:space="preserve">Luke Cunningham Clere. </w:t>
      </w:r>
    </w:p>
  </w:footnote>
  <w:footnote w:id="204">
    <w:p w14:paraId="10F777CB" w14:textId="3D7B0FE2"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New Zealand Federation of Business and Professional Women; Tamsen Williams; Dr Chris Wilson; and Women’s Rights Party.</w:t>
      </w:r>
    </w:p>
  </w:footnote>
  <w:footnote w:id="205">
    <w:p w14:paraId="00BB52E3" w14:textId="7B5EA0D6"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New Zealand Federation of Business and Professional Women.</w:t>
      </w:r>
    </w:p>
  </w:footnote>
  <w:footnote w:id="206">
    <w:p w14:paraId="2D67720F" w14:textId="7E89D98B" w:rsidR="00145ED5" w:rsidRPr="00530D57" w:rsidRDefault="00145ED5" w:rsidP="00145ED5">
      <w:pPr>
        <w:pStyle w:val="FootnoteText"/>
      </w:pPr>
      <w:r w:rsidRPr="00530D57">
        <w:rPr>
          <w:rStyle w:val="FootnoteReference"/>
        </w:rPr>
        <w:footnoteRef/>
      </w:r>
      <w:r w:rsidR="51B7C6D5" w:rsidRPr="00530D57">
        <w:t xml:space="preserve"> </w:t>
      </w:r>
      <w:r w:rsidRPr="00530D57">
        <w:tab/>
      </w:r>
      <w:r w:rsidR="00153C2D">
        <w:t>Inclusive Aotearoa Collective Tāhono</w:t>
      </w:r>
      <w:r w:rsidR="51B7C6D5" w:rsidRPr="00530D57">
        <w:t xml:space="preserve">. </w:t>
      </w:r>
    </w:p>
  </w:footnote>
  <w:footnote w:id="207">
    <w:p w14:paraId="748F67A3" w14:textId="77777777"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Tamsen Williams.</w:t>
      </w:r>
    </w:p>
  </w:footnote>
  <w:footnote w:id="208">
    <w:p w14:paraId="3C87DAC7" w14:textId="77777777"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 xml:space="preserve">Women’s Rights Party. </w:t>
      </w:r>
    </w:p>
  </w:footnote>
  <w:footnote w:id="209">
    <w:p w14:paraId="42E0DE95" w14:textId="5E6D5B43"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 xml:space="preserve">Russell Hoban. </w:t>
      </w:r>
    </w:p>
  </w:footnote>
  <w:footnote w:id="210">
    <w:p w14:paraId="47C7CF3F" w14:textId="4D15D940"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Family First; Lesbian Action for Visibility in Aotearoa; Submission 11; and Women’s Rights Party.</w:t>
      </w:r>
    </w:p>
  </w:footnote>
  <w:footnote w:id="211">
    <w:p w14:paraId="13EC037C" w14:textId="77777777"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 xml:space="preserve">Luke Cunningham Clere. </w:t>
      </w:r>
    </w:p>
  </w:footnote>
  <w:footnote w:id="212">
    <w:p w14:paraId="604E62AB" w14:textId="02516A17" w:rsidR="00145ED5" w:rsidRPr="00530D57" w:rsidRDefault="00145ED5" w:rsidP="00145ED5">
      <w:pPr>
        <w:pStyle w:val="FootnoteText"/>
      </w:pPr>
      <w:r w:rsidRPr="00530D57">
        <w:rPr>
          <w:rStyle w:val="FootnoteReference"/>
        </w:rPr>
        <w:footnoteRef/>
      </w:r>
      <w:r w:rsidR="51B7C6D5" w:rsidRPr="00530D57">
        <w:t xml:space="preserve"> </w:t>
      </w:r>
      <w:r w:rsidRPr="00530D57">
        <w:tab/>
      </w:r>
      <w:r w:rsidR="00153C2D">
        <w:t>Inclusive Aotearoa Collective Tāhono</w:t>
      </w:r>
      <w:r w:rsidR="51B7C6D5" w:rsidRPr="00530D57">
        <w:t xml:space="preserve">. </w:t>
      </w:r>
    </w:p>
  </w:footnote>
  <w:footnote w:id="213">
    <w:p w14:paraId="3A2C23EC" w14:textId="3E93AF83"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Disabled Persons Assembly and VisAble (joint submission).</w:t>
      </w:r>
    </w:p>
  </w:footnote>
  <w:footnote w:id="214">
    <w:p w14:paraId="4A6ADA7E" w14:textId="5ECB7B5A" w:rsidR="00145ED5" w:rsidRPr="00530D57" w:rsidRDefault="00145ED5" w:rsidP="51B7C6D5">
      <w:pPr>
        <w:pStyle w:val="FootnoteText"/>
      </w:pPr>
      <w:r w:rsidRPr="00530D57">
        <w:rPr>
          <w:rStyle w:val="FootnoteReference"/>
        </w:rPr>
        <w:footnoteRef/>
      </w:r>
      <w:r w:rsidR="51B7C6D5" w:rsidRPr="00530D57">
        <w:t xml:space="preserve"> </w:t>
      </w:r>
      <w:r w:rsidRPr="00530D57">
        <w:tab/>
      </w:r>
      <w:r w:rsidR="00FD211C">
        <w:t>Parents of Vision Impaired</w:t>
      </w:r>
      <w:r w:rsidR="51B7C6D5" w:rsidRPr="00530D57">
        <w:t>.</w:t>
      </w:r>
    </w:p>
  </w:footnote>
  <w:footnote w:id="215">
    <w:p w14:paraId="004CF1BD" w14:textId="11199597"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 xml:space="preserve">Donald Beasley Institute and People First New Zealand (joint submission). </w:t>
      </w:r>
    </w:p>
  </w:footnote>
  <w:footnote w:id="216">
    <w:p w14:paraId="22E28A99" w14:textId="4CAC808A" w:rsidR="00145ED5" w:rsidRPr="00530D57" w:rsidRDefault="00145ED5" w:rsidP="00145ED5">
      <w:pPr>
        <w:pStyle w:val="FootnoteText"/>
      </w:pPr>
      <w:r w:rsidRPr="00530D57">
        <w:rPr>
          <w:rStyle w:val="FootnoteReference"/>
        </w:rPr>
        <w:footnoteRef/>
      </w:r>
      <w:r w:rsidR="51B7C6D5" w:rsidRPr="00530D57">
        <w:t xml:space="preserve"> </w:t>
      </w:r>
      <w:r w:rsidRPr="00530D57">
        <w:tab/>
      </w:r>
      <w:r w:rsidR="00FD211C">
        <w:t>Parents of Vision Impaired</w:t>
      </w:r>
      <w:r w:rsidR="51B7C6D5" w:rsidRPr="00530D57">
        <w:t xml:space="preserve">. </w:t>
      </w:r>
    </w:p>
  </w:footnote>
  <w:footnote w:id="217">
    <w:p w14:paraId="4F127F22" w14:textId="39EF3A7B" w:rsidR="00097C23" w:rsidRPr="00530D57" w:rsidRDefault="00097C23">
      <w:pPr>
        <w:pStyle w:val="FootnoteText"/>
      </w:pPr>
      <w:r w:rsidRPr="00530D57">
        <w:rPr>
          <w:rStyle w:val="FootnoteReference"/>
        </w:rPr>
        <w:footnoteRef/>
      </w:r>
      <w:r w:rsidR="51B7C6D5" w:rsidRPr="00530D57">
        <w:t xml:space="preserve"> </w:t>
      </w:r>
      <w:r w:rsidRPr="00530D57">
        <w:tab/>
      </w:r>
      <w:r w:rsidR="51B7C6D5" w:rsidRPr="00530D57">
        <w:t>Disabled Persons Assembly and VisAble (joint submission).</w:t>
      </w:r>
    </w:p>
  </w:footnote>
  <w:footnote w:id="218">
    <w:p w14:paraId="3A6484BF" w14:textId="5A7F737D" w:rsidR="00097C23" w:rsidRPr="00530D57" w:rsidRDefault="00097C23">
      <w:pPr>
        <w:pStyle w:val="FootnoteText"/>
      </w:pPr>
      <w:r w:rsidRPr="00530D57">
        <w:rPr>
          <w:rStyle w:val="FootnoteReference"/>
        </w:rPr>
        <w:footnoteRef/>
      </w:r>
      <w:r w:rsidR="51B7C6D5" w:rsidRPr="00530D57">
        <w:t xml:space="preserve"> </w:t>
      </w:r>
      <w:r w:rsidR="0017104F" w:rsidRPr="00530D57">
        <w:tab/>
      </w:r>
      <w:r w:rsidR="00153C2D">
        <w:t>Inclusive Aotearoa Collective Tāhono</w:t>
      </w:r>
      <w:r w:rsidR="51B7C6D5" w:rsidRPr="00530D57">
        <w:t>.</w:t>
      </w:r>
    </w:p>
  </w:footnote>
  <w:footnote w:id="219">
    <w:p w14:paraId="126C53E6" w14:textId="43C640B1" w:rsidR="00145ED5" w:rsidRPr="00530D57" w:rsidRDefault="00145ED5" w:rsidP="00145ED5">
      <w:pPr>
        <w:pStyle w:val="FootnoteText"/>
      </w:pPr>
      <w:r w:rsidRPr="00530D57">
        <w:rPr>
          <w:rStyle w:val="FootnoteReference"/>
        </w:rPr>
        <w:footnoteRef/>
      </w:r>
      <w:r w:rsidR="51B7C6D5" w:rsidRPr="00530D57">
        <w:t xml:space="preserve"> </w:t>
      </w:r>
      <w:r w:rsidRPr="00530D57">
        <w:tab/>
      </w:r>
      <w:r w:rsidR="51B7C6D5" w:rsidRPr="00530D57">
        <w:t xml:space="preserve">Disabled Persons Assembly and VisAble (joint submission); and Donald Beasley Institute and People First New Zealand (joint submission). </w:t>
      </w:r>
    </w:p>
  </w:footnote>
  <w:footnote w:id="220">
    <w:p w14:paraId="37D59D49" w14:textId="6FCD7063" w:rsidR="00D072C8" w:rsidRPr="00530D57" w:rsidRDefault="00D072C8" w:rsidP="6A35053A">
      <w:pPr>
        <w:pStyle w:val="FootnoteText"/>
      </w:pPr>
      <w:r w:rsidRPr="00530D57">
        <w:rPr>
          <w:rStyle w:val="FootnoteReference"/>
        </w:rPr>
        <w:footnoteRef/>
      </w:r>
      <w:r w:rsidR="6A35053A" w:rsidRPr="00530D57">
        <w:t xml:space="preserve"> </w:t>
      </w:r>
      <w:r w:rsidRPr="00530D57">
        <w:tab/>
      </w:r>
      <w:r w:rsidR="00804138" w:rsidRPr="00530D57">
        <w:t xml:space="preserve">Destiny Church; Free Speech Union; Justice for Palestine, Alternative Jewish Voices and Dayenu (joint submission); Luke Cunningham Clere; New Zealand Federation of Business and Professional Women; New Zealand Jewish Council; Te Kāhui Ture o Aotearoa | New Zealand Law Society; Ratonga Wawao ā-Tūmatanui | Public Defence Service; </w:t>
      </w:r>
      <w:r w:rsidR="00F13F47">
        <w:t xml:space="preserve">Submission 43; </w:t>
      </w:r>
      <w:r w:rsidR="00C36EF6">
        <w:t>Te Kāhui o Ināia Tonu Nei Charitable Trust</w:t>
      </w:r>
      <w:r w:rsidR="00804138" w:rsidRPr="00530D57">
        <w:t>; and Roelle van Rijs.</w:t>
      </w:r>
    </w:p>
  </w:footnote>
  <w:footnote w:id="221">
    <w:p w14:paraId="18FFDB87" w14:textId="24FBE12F"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 xml:space="preserve">Madeline Ash; Inclusive Aotearoa; </w:t>
      </w:r>
      <w:r w:rsidRPr="00530D57">
        <w:t>Russel Hoban; Kyle R Matthews; and Donald Beasley Institute and People First New Zealand.</w:t>
      </w:r>
    </w:p>
  </w:footnote>
  <w:footnote w:id="222">
    <w:p w14:paraId="2A959400" w14:textId="25396BCF" w:rsidR="00D072C8" w:rsidRPr="00530D57" w:rsidRDefault="00D072C8" w:rsidP="6A35053A">
      <w:pPr>
        <w:pStyle w:val="FootnoteText"/>
      </w:pPr>
      <w:r w:rsidRPr="00530D57">
        <w:rPr>
          <w:rStyle w:val="FootnoteReference"/>
        </w:rPr>
        <w:footnoteRef/>
      </w:r>
      <w:r w:rsidR="6A35053A" w:rsidRPr="00530D57">
        <w:t xml:space="preserve"> </w:t>
      </w:r>
      <w:r w:rsidRPr="00530D57">
        <w:tab/>
      </w:r>
      <w:r w:rsidR="6A35053A" w:rsidRPr="00530D57">
        <w:t>Dr John McDonald-Wharry.</w:t>
      </w:r>
    </w:p>
  </w:footnote>
  <w:footnote w:id="223">
    <w:p w14:paraId="475B8231" w14:textId="6FB930B3"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 xml:space="preserve">Te Tari Ture o te Karauna | Crown Law; Members of Te Hunga Rōia Māori o Aotearoa; </w:t>
      </w:r>
      <w:r w:rsidR="00FD211C">
        <w:t>Sikh Council of New Zealand</w:t>
      </w:r>
      <w:r w:rsidR="6A35053A" w:rsidRPr="00530D57">
        <w:t>; and Submission 26.</w:t>
      </w:r>
    </w:p>
  </w:footnote>
  <w:footnote w:id="224">
    <w:p w14:paraId="52C87B6C" w14:textId="3B2A240C" w:rsidR="00484E13" w:rsidRPr="00530D57" w:rsidRDefault="00484E13">
      <w:pPr>
        <w:pStyle w:val="FootnoteText"/>
      </w:pPr>
      <w:r w:rsidRPr="00530D57">
        <w:rPr>
          <w:rStyle w:val="FootnoteReference"/>
        </w:rPr>
        <w:footnoteRef/>
      </w:r>
      <w:r w:rsidRPr="00530D57">
        <w:t xml:space="preserve"> </w:t>
      </w:r>
      <w:r w:rsidRPr="00530D57">
        <w:tab/>
      </w:r>
      <w:r w:rsidR="00B8330F" w:rsidRPr="00530D57">
        <w:t xml:space="preserve">George Balani; Kevin Bird; </w:t>
      </w:r>
      <w:r w:rsidR="00C36EF6">
        <w:t>Dr David Bromell</w:t>
      </w:r>
      <w:r w:rsidR="00B8330F" w:rsidRPr="00530D57">
        <w:t xml:space="preserve">; David F; Dr David Harvey; Brian Jones; Karun Lakshman; Maxim Institute; Submission 51; Submission 55; Submission 57; Submission 58; Submission 63; Submission 65; Submission 66; Submission 72; Submission 85; Submission 90; </w:t>
      </w:r>
      <w:r w:rsidR="00C36EF6">
        <w:t>The Law Association of New Zealand Public and Administrative Law Committee</w:t>
      </w:r>
      <w:r w:rsidR="00B8330F" w:rsidRPr="00530D57">
        <w:t>; Fergus Wheeler; Peter Williamson; and Rod Young.</w:t>
      </w:r>
    </w:p>
  </w:footnote>
  <w:footnote w:id="225">
    <w:p w14:paraId="1C9E6280" w14:textId="43A02115"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 xml:space="preserve">George Balani; Kevin Bird; </w:t>
      </w:r>
      <w:r w:rsidR="00C36EF6">
        <w:t>Dr David Bromell</w:t>
      </w:r>
      <w:r w:rsidR="6A35053A" w:rsidRPr="00530D57">
        <w:t xml:space="preserve">; Destiny Church; Family First; Free Speech Union; Ken Gorbey; Dr David Harvey; Brian Jones; David Le Breton; Lesbian Action for Visibility in Aotearoa; Maxim Institute; New Zealand Federation of Business and Professional Women; Greg Rzesniowiecki; Submission 17; Submission 51; </w:t>
      </w:r>
      <w:r w:rsidR="003743D7" w:rsidRPr="00530D57">
        <w:t xml:space="preserve">Submission 55; </w:t>
      </w:r>
      <w:r w:rsidR="6A35053A" w:rsidRPr="00530D57">
        <w:t>Submission 57; Submission 58; Submission 63; Submission 72; Submission 78; Submission 79; Submission 85; Submission 90; Roelie van Rijs; Peter Williamson; Women’s Rights Party; and Rod Young.</w:t>
      </w:r>
    </w:p>
  </w:footnote>
  <w:footnote w:id="226">
    <w:p w14:paraId="03359408" w14:textId="09F419D9" w:rsidR="00D072C8" w:rsidRPr="00530D57" w:rsidRDefault="00D072C8" w:rsidP="6A35053A">
      <w:pPr>
        <w:pStyle w:val="FootnoteText"/>
      </w:pPr>
      <w:r w:rsidRPr="00530D57">
        <w:rPr>
          <w:rStyle w:val="FootnoteReference"/>
        </w:rPr>
        <w:footnoteRef/>
      </w:r>
      <w:r w:rsidR="6A35053A" w:rsidRPr="00530D57">
        <w:t xml:space="preserve"> </w:t>
      </w:r>
      <w:r w:rsidRPr="00530D57">
        <w:tab/>
      </w:r>
      <w:r w:rsidR="6A35053A" w:rsidRPr="00530D57">
        <w:t xml:space="preserve">Free Speech Union; Dr David Harvey; </w:t>
      </w:r>
      <w:r w:rsidR="004D0C06">
        <w:t>Justice for Palestine, Alternative Jewish Voices and Dayenu</w:t>
      </w:r>
      <w:r w:rsidR="6A35053A" w:rsidRPr="00530D57">
        <w:t xml:space="preserve"> (joint submission); Luke Cunningham Clere; Maxim Institute; New Zealand Jewish Council; Te Kāhui Ture o Aotearoa | New Zealand Law Society; Pride in Law Otago; Submission 58; Submission 63; Submission 90; and </w:t>
      </w:r>
      <w:r w:rsidR="00C36EF6">
        <w:t>The Law Association of New Zealand Public and Administrative Law Committee</w:t>
      </w:r>
      <w:r w:rsidR="6A35053A" w:rsidRPr="00530D57">
        <w:t xml:space="preserve">. </w:t>
      </w:r>
    </w:p>
  </w:footnote>
  <w:footnote w:id="227">
    <w:p w14:paraId="397CADFB" w14:textId="3F190231"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 xml:space="preserve">George Balani; </w:t>
      </w:r>
      <w:r w:rsidR="00C36EF6">
        <w:t>Dr David Bromell</w:t>
      </w:r>
      <w:r w:rsidR="6A35053A" w:rsidRPr="00530D57">
        <w:t>; Destiny Church; Family First; and</w:t>
      </w:r>
      <w:r w:rsidR="00E8153D" w:rsidRPr="00530D57">
        <w:t xml:space="preserve"> </w:t>
      </w:r>
      <w:r w:rsidR="6A35053A" w:rsidRPr="00530D57">
        <w:t>Dr David Harvey.</w:t>
      </w:r>
    </w:p>
  </w:footnote>
  <w:footnote w:id="228">
    <w:p w14:paraId="7F2B3D11" w14:textId="1DDDEBE7" w:rsidR="00D072C8" w:rsidRPr="00530D57" w:rsidRDefault="00D072C8" w:rsidP="6A35053A">
      <w:pPr>
        <w:pStyle w:val="FootnoteText"/>
      </w:pPr>
      <w:r w:rsidRPr="00530D57">
        <w:rPr>
          <w:rStyle w:val="FootnoteReference"/>
        </w:rPr>
        <w:footnoteRef/>
      </w:r>
      <w:r w:rsidR="6A35053A" w:rsidRPr="00530D57">
        <w:t xml:space="preserve"> </w:t>
      </w:r>
      <w:r w:rsidRPr="00530D57">
        <w:tab/>
      </w:r>
      <w:r w:rsidR="6A35053A" w:rsidRPr="00530D57">
        <w:t>Ratonga Wawao ā-Tūmatanui | Public Defence Service; and Submission 57.</w:t>
      </w:r>
    </w:p>
  </w:footnote>
  <w:footnote w:id="229">
    <w:p w14:paraId="5DE36D57" w14:textId="019B185E" w:rsidR="00847466" w:rsidRPr="00530D57" w:rsidRDefault="00847466" w:rsidP="00847466">
      <w:pPr>
        <w:pStyle w:val="FootnoteText"/>
      </w:pPr>
      <w:r w:rsidRPr="00530D57">
        <w:rPr>
          <w:rStyle w:val="FootnoteReference"/>
        </w:rPr>
        <w:footnoteRef/>
      </w:r>
      <w:r w:rsidR="6A35053A" w:rsidRPr="00530D57">
        <w:t xml:space="preserve"> </w:t>
      </w:r>
      <w:r w:rsidRPr="00530D57">
        <w:tab/>
      </w:r>
      <w:r w:rsidR="004D0C06">
        <w:t>Justice for Palestine, Alternative Jewish Voices and Dayenu</w:t>
      </w:r>
      <w:r w:rsidR="6A35053A" w:rsidRPr="00530D57">
        <w:t xml:space="preserve"> (joint submission); and Lesbian Action for Visibility in Aotearoa.</w:t>
      </w:r>
    </w:p>
  </w:footnote>
  <w:footnote w:id="230">
    <w:p w14:paraId="0340A18C" w14:textId="1802879D" w:rsidR="00D072C8" w:rsidRPr="00530D57" w:rsidRDefault="00D072C8">
      <w:pPr>
        <w:pStyle w:val="FootnoteText"/>
        <w:rPr>
          <w:rStyle w:val="FootnoteReference"/>
          <w:rFonts w:eastAsiaTheme="minorHAnsi" w:cstheme="minorBidi"/>
          <w:szCs w:val="22"/>
        </w:rPr>
      </w:pPr>
      <w:r w:rsidRPr="00530D57">
        <w:rPr>
          <w:rStyle w:val="FootnoteReference"/>
        </w:rPr>
        <w:footnoteRef/>
      </w:r>
      <w:r w:rsidR="6A35053A" w:rsidRPr="00530D57">
        <w:t xml:space="preserve"> </w:t>
      </w:r>
      <w:r w:rsidRPr="00530D57">
        <w:tab/>
      </w:r>
      <w:r w:rsidR="004D0C06">
        <w:t>Justice for Palestine, Alternative Jewish Voices and Dayenu</w:t>
      </w:r>
      <w:r w:rsidR="6A35053A" w:rsidRPr="00530D57">
        <w:t xml:space="preserve"> (joint submission); Pride in Law Otago; and </w:t>
      </w:r>
      <w:r w:rsidR="00C36EF6">
        <w:t>Te Kāhui o Ināia Tonu Nei Charitable Trust</w:t>
      </w:r>
      <w:r w:rsidR="6A35053A" w:rsidRPr="00530D57">
        <w:t>.</w:t>
      </w:r>
    </w:p>
  </w:footnote>
  <w:footnote w:id="231">
    <w:p w14:paraId="25482E06" w14:textId="77777777" w:rsidR="00202D68" w:rsidRPr="00530D57" w:rsidRDefault="00202D68" w:rsidP="00202D68">
      <w:pPr>
        <w:pStyle w:val="FootnoteText"/>
      </w:pPr>
      <w:r w:rsidRPr="00530D57">
        <w:rPr>
          <w:rStyle w:val="FootnoteReference"/>
        </w:rPr>
        <w:footnoteRef/>
      </w:r>
      <w:r w:rsidRPr="00530D57">
        <w:t xml:space="preserve"> </w:t>
      </w:r>
      <w:r w:rsidRPr="00530D57">
        <w:tab/>
        <w:t>Te Kāhui Ture o Aotearoa | New Zealand Law Society.</w:t>
      </w:r>
    </w:p>
  </w:footnote>
  <w:footnote w:id="232">
    <w:p w14:paraId="5B32637E" w14:textId="3FC76E01"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Free Speech Union; Maxim Institute; Whaikaha | Ministry for Disabled People; Te Kāhui Ture o Aotearoa; New Zealand Law Society; and Pride in Law Otago.</w:t>
      </w:r>
    </w:p>
  </w:footnote>
  <w:footnote w:id="233">
    <w:p w14:paraId="371FB084" w14:textId="4E642EDE"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Free Speech Union; Te Kāhui Ture o Aotearoa | New Zealand Law Society; Free Speech Union; and Submission 63.</w:t>
      </w:r>
    </w:p>
  </w:footnote>
  <w:footnote w:id="234">
    <w:p w14:paraId="55C38654" w14:textId="4C43F974"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 xml:space="preserve">Maxim Institute; and </w:t>
      </w:r>
      <w:r w:rsidR="00C36EF6">
        <w:t>Te Kāhui o Ināia Tonu Nei Charitable Trust</w:t>
      </w:r>
      <w:r w:rsidR="6A35053A" w:rsidRPr="00530D57">
        <w:t>.</w:t>
      </w:r>
    </w:p>
  </w:footnote>
  <w:footnote w:id="235">
    <w:p w14:paraId="49051E34" w14:textId="77777777"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Maxim Institute.</w:t>
      </w:r>
    </w:p>
  </w:footnote>
  <w:footnote w:id="236">
    <w:p w14:paraId="64649AFD" w14:textId="5BBFD88A"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New Zealand Federation of Business and Professional Women.</w:t>
      </w:r>
    </w:p>
  </w:footnote>
  <w:footnote w:id="237">
    <w:p w14:paraId="4E78529C" w14:textId="41E96BCA" w:rsidR="008A34E4" w:rsidRPr="00530D57" w:rsidRDefault="008A34E4" w:rsidP="6A35053A">
      <w:pPr>
        <w:pStyle w:val="FootnoteText"/>
      </w:pPr>
      <w:r w:rsidRPr="00530D57">
        <w:rPr>
          <w:rStyle w:val="FootnoteReference"/>
        </w:rPr>
        <w:footnoteRef/>
      </w:r>
      <w:r w:rsidR="6A35053A" w:rsidRPr="00530D57">
        <w:t xml:space="preserve"> </w:t>
      </w:r>
      <w:r w:rsidRPr="00530D57">
        <w:tab/>
      </w:r>
      <w:r w:rsidR="6A35053A" w:rsidRPr="00530D57">
        <w:t>Dr John McDonald-Wharry; Submission 64; Submission 71; and Submission 73.</w:t>
      </w:r>
    </w:p>
  </w:footnote>
  <w:footnote w:id="238">
    <w:p w14:paraId="029ABD8C" w14:textId="77777777"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Dr John McDonald-Wharry.</w:t>
      </w:r>
    </w:p>
  </w:footnote>
  <w:footnote w:id="239">
    <w:p w14:paraId="5872CB0A" w14:textId="5F517D1A" w:rsidR="008D3C11" w:rsidRPr="00530D57" w:rsidRDefault="008D3C11">
      <w:pPr>
        <w:pStyle w:val="FootnoteText"/>
      </w:pPr>
      <w:r w:rsidRPr="00530D57">
        <w:rPr>
          <w:rStyle w:val="FootnoteReference"/>
        </w:rPr>
        <w:footnoteRef/>
      </w:r>
      <w:r w:rsidR="6A35053A" w:rsidRPr="00530D57">
        <w:t xml:space="preserve"> </w:t>
      </w:r>
      <w:r w:rsidRPr="00530D57">
        <w:tab/>
      </w:r>
      <w:r w:rsidR="6A35053A" w:rsidRPr="00530D57">
        <w:t xml:space="preserve">Te Tari Ture o te Karauna | Crown Law; Donald Beasley Institute and People First New Zealand (joint submission); Grey Power New Zealand; Dr David Harvey; Luke Cunningham Clere; Murray Stirling; Te Kāhui Ture o Aotearoa | New Zealand Law Society; Pride in Law Otago; Ratonga Wawao ā-Tūmatanui | Public Defence Service; Submission 63; </w:t>
      </w:r>
      <w:r w:rsidR="00C36EF6">
        <w:t>Te Kāhui o Ināia Tonu Nei Charitable Trust</w:t>
      </w:r>
      <w:r w:rsidR="6A35053A" w:rsidRPr="00530D57">
        <w:t xml:space="preserve">; </w:t>
      </w:r>
      <w:r w:rsidR="00C36EF6">
        <w:t>The Law Association of New Zealand Criminal Law Committee</w:t>
      </w:r>
      <w:r w:rsidR="6A35053A" w:rsidRPr="00530D57">
        <w:t xml:space="preserve">; </w:t>
      </w:r>
      <w:r w:rsidR="00C36EF6">
        <w:t>The Law Association of New Zealand Public and Administrative Law Committee</w:t>
      </w:r>
      <w:r w:rsidR="6A35053A" w:rsidRPr="00530D57">
        <w:t>; and Women’s Rights Party.</w:t>
      </w:r>
    </w:p>
  </w:footnote>
  <w:footnote w:id="240">
    <w:p w14:paraId="20B83E15" w14:textId="1953E526" w:rsidR="008D3C11" w:rsidRPr="00530D57" w:rsidRDefault="008D3C11" w:rsidP="6A35053A">
      <w:pPr>
        <w:pStyle w:val="FootnoteText"/>
      </w:pPr>
      <w:r w:rsidRPr="00530D57">
        <w:rPr>
          <w:rStyle w:val="FootnoteReference"/>
        </w:rPr>
        <w:footnoteRef/>
      </w:r>
      <w:r w:rsidR="6A35053A" w:rsidRPr="00530D57">
        <w:t xml:space="preserve"> </w:t>
      </w:r>
      <w:r w:rsidRPr="00530D57">
        <w:tab/>
      </w:r>
      <w:r w:rsidR="6A35053A" w:rsidRPr="00530D57">
        <w:t>Donald Beasley Institute and People First New Zealand (joint submission); and Murray Stirling.</w:t>
      </w:r>
    </w:p>
  </w:footnote>
  <w:footnote w:id="241">
    <w:p w14:paraId="5732774E" w14:textId="4A10DF9E" w:rsidR="008D3C11" w:rsidRPr="00530D57" w:rsidRDefault="008D3C11" w:rsidP="008D3C11">
      <w:pPr>
        <w:pStyle w:val="FootnoteText"/>
      </w:pPr>
      <w:r w:rsidRPr="00530D57">
        <w:rPr>
          <w:rStyle w:val="FootnoteReference"/>
        </w:rPr>
        <w:footnoteRef/>
      </w:r>
      <w:r w:rsidR="6A35053A" w:rsidRPr="00530D57">
        <w:t xml:space="preserve"> </w:t>
      </w:r>
      <w:r w:rsidRPr="00530D57">
        <w:tab/>
      </w:r>
      <w:r w:rsidR="6A35053A" w:rsidRPr="00530D57">
        <w:t>Donald Beasley Institute and People First New Zealand (joint submission).</w:t>
      </w:r>
    </w:p>
  </w:footnote>
  <w:footnote w:id="242">
    <w:p w14:paraId="05664AFA" w14:textId="46100550"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 xml:space="preserve">Luke Cunningham Clere; </w:t>
      </w:r>
      <w:r w:rsidR="00C36EF6">
        <w:t>Te Kāhui o Ināia Tonu Nei Charitable Trust</w:t>
      </w:r>
      <w:r w:rsidR="6A35053A" w:rsidRPr="00530D57">
        <w:t>; and Women’s Rights Party.</w:t>
      </w:r>
    </w:p>
  </w:footnote>
  <w:footnote w:id="243">
    <w:p w14:paraId="40570541" w14:textId="219679B0"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 xml:space="preserve">Ratonga Wawao ā-Tūmatanui | Public Defence Service; Murray Stirling; and </w:t>
      </w:r>
      <w:r w:rsidR="00C36EF6">
        <w:t>The Law Association of New Zealand Criminal Law Committee</w:t>
      </w:r>
      <w:r w:rsidR="6A35053A" w:rsidRPr="00530D57">
        <w:t>.</w:t>
      </w:r>
    </w:p>
  </w:footnote>
  <w:footnote w:id="244">
    <w:p w14:paraId="0EE4026A" w14:textId="77777777" w:rsidR="002818AD" w:rsidRPr="00530D57" w:rsidRDefault="002818AD" w:rsidP="002818AD">
      <w:pPr>
        <w:pStyle w:val="FootnoteText"/>
      </w:pPr>
      <w:r w:rsidRPr="00530D57">
        <w:rPr>
          <w:rStyle w:val="FootnoteReference"/>
        </w:rPr>
        <w:footnoteRef/>
      </w:r>
      <w:r w:rsidR="6A35053A" w:rsidRPr="00530D57">
        <w:t xml:space="preserve"> </w:t>
      </w:r>
      <w:r w:rsidRPr="00530D57">
        <w:tab/>
      </w:r>
      <w:r w:rsidR="6A35053A" w:rsidRPr="00530D57">
        <w:t>Luke Cunningham Clere.</w:t>
      </w:r>
    </w:p>
  </w:footnote>
  <w:footnote w:id="245">
    <w:p w14:paraId="4C8C8B1C" w14:textId="4C393ACE"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Dr David Harvey; and Women’s Rights Party.</w:t>
      </w:r>
    </w:p>
  </w:footnote>
  <w:footnote w:id="246">
    <w:p w14:paraId="7747904C" w14:textId="325AACB5"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 xml:space="preserve">Dr David Harvey; Submission 63; and </w:t>
      </w:r>
      <w:r w:rsidR="00C36EF6">
        <w:t>The Law Association of New Zealand Public and Administrative Law Committee</w:t>
      </w:r>
      <w:r w:rsidR="6A35053A" w:rsidRPr="00530D57">
        <w:t>.</w:t>
      </w:r>
    </w:p>
  </w:footnote>
  <w:footnote w:id="247">
    <w:p w14:paraId="0F77A32E" w14:textId="7E28D3A7"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Dr David Harvey.</w:t>
      </w:r>
    </w:p>
  </w:footnote>
  <w:footnote w:id="248">
    <w:p w14:paraId="7BBBE104" w14:textId="6C898AA6"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Pride in Law Otago; and Ratonga Wawao ā-Tūmatanui | Public Defence Service.</w:t>
      </w:r>
    </w:p>
  </w:footnote>
  <w:footnote w:id="249">
    <w:p w14:paraId="2E871B8A" w14:textId="32E67B42"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 xml:space="preserve">Russell Hoban; Dr Kyle R Matthews; </w:t>
      </w:r>
      <w:r w:rsidR="00C633A0">
        <w:t>some members</w:t>
      </w:r>
      <w:r w:rsidR="6A35053A" w:rsidRPr="00530D57">
        <w:t xml:space="preserve"> of Ratonga Wawao ā-Tūmatanui | Public Defence Service; New Zealand Federation of Business and Professional Women; Te Kāhui Ture o Aotearoa | New Zealand Law Society; Pride in Law Otago; </w:t>
      </w:r>
      <w:r w:rsidR="00C36EF6">
        <w:t>Te Kāhui o Ināia Tonu Nei Charitable Trust</w:t>
      </w:r>
      <w:r w:rsidR="6A35053A" w:rsidRPr="00530D57">
        <w:t xml:space="preserve">; </w:t>
      </w:r>
      <w:r w:rsidR="00C36EF6">
        <w:t>The Law Association of New Zealand Public and Administrative Law Committee</w:t>
      </w:r>
      <w:r w:rsidR="6A35053A" w:rsidRPr="00530D57">
        <w:t>; and Women’s Rights Party.</w:t>
      </w:r>
    </w:p>
  </w:footnote>
  <w:footnote w:id="250">
    <w:p w14:paraId="103857E0" w14:textId="32D1EE12"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Dr David Harvey (who said judges should make it clear when and how hostility aggravation forms a part of a sentencing outcome); Luke Cunningham Clere (which noted this option would meet the international trend of “marking out” hate</w:t>
      </w:r>
      <w:r w:rsidR="00F23568">
        <w:t>-</w:t>
      </w:r>
      <w:r w:rsidR="6A35053A" w:rsidRPr="00530D57">
        <w:t>motivated offending); and Maxim Institute and Submission 90 (</w:t>
      </w:r>
      <w:r w:rsidR="00BE2229">
        <w:t>both of whom</w:t>
      </w:r>
      <w:r w:rsidR="6A35053A" w:rsidRPr="00530D57">
        <w:t xml:space="preserve"> did not comment on this option but supported requiring judges to state how the aggravating factor affected the sentence, which would also involve making it clear the aggravating factor applied).</w:t>
      </w:r>
    </w:p>
  </w:footnote>
  <w:footnote w:id="251">
    <w:p w14:paraId="5C8FDE93" w14:textId="46D04EDF"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 xml:space="preserve">New Zealand Federation of Business and Professional Women; </w:t>
      </w:r>
      <w:r w:rsidR="00C36EF6">
        <w:t>Te Kāhui o Ināia Tonu Nei Charitable Trust</w:t>
      </w:r>
      <w:r w:rsidR="6A35053A" w:rsidRPr="00530D57">
        <w:t>; and Women’s Rights Party.</w:t>
      </w:r>
    </w:p>
  </w:footnote>
  <w:footnote w:id="252">
    <w:p w14:paraId="165AA212" w14:textId="6FCF9C80"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 xml:space="preserve">Dr Kyle R Matthews; and </w:t>
      </w:r>
      <w:r w:rsidR="00C36EF6">
        <w:t>Te Kāhui o Ināia Tonu Nei Charitable Trust</w:t>
      </w:r>
      <w:r w:rsidR="6A35053A" w:rsidRPr="00530D57">
        <w:t>.</w:t>
      </w:r>
    </w:p>
  </w:footnote>
  <w:footnote w:id="253">
    <w:p w14:paraId="2E0838E6" w14:textId="0796E2C3" w:rsidR="00D072C8" w:rsidRPr="00530D57" w:rsidRDefault="00D072C8" w:rsidP="00D072C8">
      <w:pPr>
        <w:pStyle w:val="FootnoteText"/>
      </w:pPr>
      <w:r w:rsidRPr="00530D57">
        <w:rPr>
          <w:rStyle w:val="FootnoteReference"/>
        </w:rPr>
        <w:footnoteRef/>
      </w:r>
      <w:r w:rsidR="6A35053A" w:rsidRPr="00530D57">
        <w:t xml:space="preserve"> </w:t>
      </w:r>
      <w:r w:rsidRPr="00530D57">
        <w:tab/>
      </w:r>
      <w:r w:rsidR="00C36EF6">
        <w:t>Te Kāhui o Ināia Tonu Nei Charitable Trust</w:t>
      </w:r>
      <w:r w:rsidR="6A35053A" w:rsidRPr="00530D57">
        <w:t xml:space="preserve">. In addition, </w:t>
      </w:r>
      <w:r w:rsidR="00C36EF6">
        <w:t>The Law Association of New Zealand Criminal Law Committee</w:t>
      </w:r>
      <w:r w:rsidR="6A35053A" w:rsidRPr="00530D57">
        <w:t xml:space="preserve"> did not specifically comment on this option but suggested greater visibility of hate motivation at sentencing may help increase victim confidence in the criminal justice system and reduce reluctance to report hate crimes.</w:t>
      </w:r>
    </w:p>
  </w:footnote>
  <w:footnote w:id="254">
    <w:p w14:paraId="0C7B976A" w14:textId="6EA4EF6D"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 xml:space="preserve">Russell Hoban; Maxim Institute; Te Kāhui Ture o Aotearoa | New Zealand Law Society; Submission 90; and </w:t>
      </w:r>
      <w:r w:rsidR="00C36EF6">
        <w:t>Te Kāhui o Ināia Tonu Nei Charitable Trust</w:t>
      </w:r>
      <w:r w:rsidR="6A35053A" w:rsidRPr="00530D57">
        <w:t>.</w:t>
      </w:r>
    </w:p>
  </w:footnote>
  <w:footnote w:id="255">
    <w:p w14:paraId="7C6C7866" w14:textId="2C5C4FB3"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 xml:space="preserve">Dr David Harvey; and </w:t>
      </w:r>
      <w:r w:rsidR="00C36EF6">
        <w:t>The Law Association of New Zealand Criminal Law Committee</w:t>
      </w:r>
      <w:r w:rsidR="6A35053A" w:rsidRPr="00530D57">
        <w:t>.</w:t>
      </w:r>
    </w:p>
  </w:footnote>
  <w:footnote w:id="256">
    <w:p w14:paraId="6853D86A" w14:textId="2589C08E"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Maxim Institute; and Ratonga Wawao ā-Tūmatanui | Public Defence Service.</w:t>
      </w:r>
    </w:p>
  </w:footnote>
  <w:footnote w:id="257">
    <w:p w14:paraId="73A241FB" w14:textId="451EE9BD"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 xml:space="preserve">Russell Hoban; and </w:t>
      </w:r>
      <w:r w:rsidR="00C36EF6">
        <w:t>Te Kāhui o Ināia Tonu Nei Charitable Trust</w:t>
      </w:r>
      <w:r w:rsidR="6A35053A" w:rsidRPr="00530D57">
        <w:t>.</w:t>
      </w:r>
    </w:p>
  </w:footnote>
  <w:footnote w:id="258">
    <w:p w14:paraId="32CA3478" w14:textId="500A425C"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Submission 63.</w:t>
      </w:r>
    </w:p>
  </w:footnote>
  <w:footnote w:id="259">
    <w:p w14:paraId="124BA3DB" w14:textId="6A56904C"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Grey Power New Zealand.</w:t>
      </w:r>
    </w:p>
  </w:footnote>
  <w:footnote w:id="260">
    <w:p w14:paraId="7AD9CE3D" w14:textId="4698BFEF" w:rsidR="00D072C8" w:rsidRPr="00530D57" w:rsidRDefault="00D072C8" w:rsidP="00D072C8">
      <w:pPr>
        <w:pStyle w:val="FootnoteText"/>
      </w:pPr>
      <w:r w:rsidRPr="00530D57">
        <w:rPr>
          <w:rStyle w:val="FootnoteReference"/>
        </w:rPr>
        <w:footnoteRef/>
      </w:r>
      <w:r w:rsidR="6A35053A" w:rsidRPr="00530D57">
        <w:t xml:space="preserve"> </w:t>
      </w:r>
      <w:r w:rsidRPr="00530D57">
        <w:tab/>
      </w:r>
      <w:r w:rsidR="004D0C06">
        <w:t>Justice for Palestine, Alternative Jewish Voices and Dayenu</w:t>
      </w:r>
      <w:r w:rsidR="6A35053A" w:rsidRPr="00530D57">
        <w:t xml:space="preserve"> (joint submission); Pride in Law Otago; Ratonga Wawao ā-Tūmatanui | Public Defence Service; and Submission 90.</w:t>
      </w:r>
    </w:p>
  </w:footnote>
  <w:footnote w:id="261">
    <w:p w14:paraId="0F9B4E88" w14:textId="1B90D74A" w:rsidR="00965BB1" w:rsidRPr="00530D57" w:rsidRDefault="00965BB1" w:rsidP="00965BB1">
      <w:pPr>
        <w:pStyle w:val="FootnoteText"/>
      </w:pPr>
      <w:r w:rsidRPr="00530D57">
        <w:rPr>
          <w:rStyle w:val="FootnoteReference"/>
        </w:rPr>
        <w:footnoteRef/>
      </w:r>
      <w:r w:rsidR="6A35053A" w:rsidRPr="00530D57">
        <w:t xml:space="preserve"> </w:t>
      </w:r>
      <w:r w:rsidRPr="00530D57">
        <w:tab/>
      </w:r>
      <w:r w:rsidR="6A35053A" w:rsidRPr="00530D57">
        <w:t xml:space="preserve">Donald Beasley Institute and People First New Zealand (joint submission); </w:t>
      </w:r>
      <w:r w:rsidR="00153C2D">
        <w:t>Inclusive Aotearoa Collective Tāhono</w:t>
      </w:r>
      <w:r w:rsidR="6A35053A" w:rsidRPr="00530D57">
        <w:t xml:space="preserve">; </w:t>
      </w:r>
      <w:r w:rsidR="004D0C06">
        <w:t>Justice for Palestine, Alternative Jewish Voices and Dayenu</w:t>
      </w:r>
      <w:r w:rsidR="6A35053A" w:rsidRPr="00530D57">
        <w:t xml:space="preserve"> (joint submission); </w:t>
      </w:r>
      <w:r w:rsidR="7AD27D89" w:rsidRPr="00530D57">
        <w:t>Pride in Law Otago;</w:t>
      </w:r>
      <w:r w:rsidR="48C69248" w:rsidRPr="00530D57">
        <w:t xml:space="preserve"> </w:t>
      </w:r>
      <w:r w:rsidR="6A35053A" w:rsidRPr="00530D57">
        <w:t>and Submission 26.</w:t>
      </w:r>
    </w:p>
  </w:footnote>
  <w:footnote w:id="262">
    <w:p w14:paraId="2F295873" w14:textId="77348BD5" w:rsidR="00D072C8" w:rsidRPr="00530D57" w:rsidRDefault="00D072C8" w:rsidP="00D072C8">
      <w:pPr>
        <w:pStyle w:val="FootnoteText"/>
      </w:pPr>
      <w:r w:rsidRPr="00530D57">
        <w:rPr>
          <w:rStyle w:val="FootnoteReference"/>
        </w:rPr>
        <w:footnoteRef/>
      </w:r>
      <w:r w:rsidR="6A35053A" w:rsidRPr="00530D57">
        <w:t xml:space="preserve"> </w:t>
      </w:r>
      <w:r w:rsidRPr="00530D57">
        <w:tab/>
      </w:r>
      <w:r w:rsidR="00153C2D">
        <w:t>Inclusive Aotearoa Collective Tāhono</w:t>
      </w:r>
      <w:r w:rsidR="6A35053A" w:rsidRPr="00530D57">
        <w:t>.</w:t>
      </w:r>
    </w:p>
  </w:footnote>
  <w:footnote w:id="263">
    <w:p w14:paraId="7B46AB0C" w14:textId="6E7C2B18" w:rsidR="00D072C8" w:rsidRPr="00530D57" w:rsidRDefault="00D072C8" w:rsidP="00D072C8">
      <w:pPr>
        <w:pStyle w:val="FootnoteText"/>
      </w:pPr>
      <w:r w:rsidRPr="00530D57">
        <w:rPr>
          <w:rStyle w:val="FootnoteReference"/>
        </w:rPr>
        <w:footnoteRef/>
      </w:r>
      <w:r w:rsidR="6A35053A" w:rsidRPr="00530D57">
        <w:t xml:space="preserve"> </w:t>
      </w:r>
      <w:r w:rsidR="00965BB1" w:rsidRPr="00530D57">
        <w:tab/>
      </w:r>
      <w:r w:rsidR="6A35053A" w:rsidRPr="00530D57">
        <w:t>Donald Beasley Institute and People First New Zealand (joint submission); and Submission 26.</w:t>
      </w:r>
    </w:p>
  </w:footnote>
  <w:footnote w:id="264">
    <w:p w14:paraId="611CD4A2" w14:textId="77777777" w:rsidR="00965BB1" w:rsidRPr="00530D57" w:rsidRDefault="00965BB1" w:rsidP="00965BB1">
      <w:pPr>
        <w:pStyle w:val="FootnoteText"/>
      </w:pPr>
      <w:r w:rsidRPr="00530D57">
        <w:rPr>
          <w:rStyle w:val="FootnoteReference"/>
        </w:rPr>
        <w:footnoteRef/>
      </w:r>
      <w:r w:rsidR="6A35053A" w:rsidRPr="00530D57">
        <w:t xml:space="preserve"> </w:t>
      </w:r>
      <w:r w:rsidRPr="00530D57">
        <w:tab/>
      </w:r>
      <w:r w:rsidR="6A35053A" w:rsidRPr="00530D57">
        <w:t>Pride in Law Otago.</w:t>
      </w:r>
    </w:p>
  </w:footnote>
  <w:footnote w:id="265">
    <w:p w14:paraId="2A162CA2" w14:textId="3602EF58" w:rsidR="00965BB1" w:rsidRPr="00530D57" w:rsidRDefault="00965BB1" w:rsidP="00965BB1">
      <w:pPr>
        <w:pStyle w:val="FootnoteText"/>
      </w:pPr>
      <w:r w:rsidRPr="00530D57">
        <w:rPr>
          <w:rStyle w:val="FootnoteReference"/>
        </w:rPr>
        <w:footnoteRef/>
      </w:r>
      <w:r w:rsidR="6A35053A" w:rsidRPr="00530D57">
        <w:t xml:space="preserve"> </w:t>
      </w:r>
      <w:r w:rsidRPr="00530D57">
        <w:tab/>
      </w:r>
      <w:r w:rsidR="6A35053A" w:rsidRPr="00530D57">
        <w:t>Whaikaha | Ministry of Disabled People.</w:t>
      </w:r>
    </w:p>
  </w:footnote>
  <w:footnote w:id="266">
    <w:p w14:paraId="2FBB1E44" w14:textId="79C81165" w:rsidR="00965BB1" w:rsidRPr="00530D57" w:rsidRDefault="00965BB1" w:rsidP="00965BB1">
      <w:pPr>
        <w:pStyle w:val="FootnoteText"/>
      </w:pPr>
      <w:r w:rsidRPr="00530D57">
        <w:rPr>
          <w:rStyle w:val="FootnoteReference"/>
        </w:rPr>
        <w:footnoteRef/>
      </w:r>
      <w:r w:rsidR="6A35053A" w:rsidRPr="00530D57">
        <w:t xml:space="preserve"> </w:t>
      </w:r>
      <w:r w:rsidRPr="00530D57">
        <w:tab/>
      </w:r>
      <w:r w:rsidR="6A35053A" w:rsidRPr="00530D57">
        <w:t>Submission 26.</w:t>
      </w:r>
    </w:p>
  </w:footnote>
  <w:footnote w:id="267">
    <w:p w14:paraId="1CF35C85" w14:textId="2C71D44A" w:rsidR="00173E25" w:rsidRPr="00530D57" w:rsidRDefault="00173E25">
      <w:pPr>
        <w:pStyle w:val="FootnoteText"/>
      </w:pPr>
      <w:r w:rsidRPr="00530D57">
        <w:rPr>
          <w:rStyle w:val="FootnoteReference"/>
        </w:rPr>
        <w:footnoteRef/>
      </w:r>
      <w:r w:rsidR="6A35053A" w:rsidRPr="00530D57">
        <w:t xml:space="preserve"> </w:t>
      </w:r>
      <w:r w:rsidR="00525F01" w:rsidRPr="00530D57">
        <w:tab/>
      </w:r>
      <w:r w:rsidR="6A35053A" w:rsidRPr="00530D57">
        <w:t>Disabled Persons Assembly and VisAble (joint submission); Donald Beasley Institute and People First New Zealand (joint submission); Whaikaha | Ministry of Disabled People; and Submission 26.</w:t>
      </w:r>
    </w:p>
  </w:footnote>
  <w:footnote w:id="268">
    <w:p w14:paraId="3884E142" w14:textId="246DADCF" w:rsidR="00D072C8" w:rsidRPr="00530D57" w:rsidRDefault="00D072C8" w:rsidP="00D072C8">
      <w:pPr>
        <w:pStyle w:val="FootnoteText"/>
      </w:pPr>
      <w:r w:rsidRPr="00530D57">
        <w:rPr>
          <w:rStyle w:val="FootnoteReference"/>
        </w:rPr>
        <w:footnoteRef/>
      </w:r>
      <w:r w:rsidR="6A35053A" w:rsidRPr="00530D57">
        <w:t xml:space="preserve"> </w:t>
      </w:r>
      <w:r w:rsidR="00965BB1" w:rsidRPr="00530D57">
        <w:tab/>
      </w:r>
      <w:r w:rsidR="6A35053A" w:rsidRPr="00530D57">
        <w:t>Donald Beasley Institute and People First New Zealand (joint submission); and Whaikaha | Ministry of Disabled People.</w:t>
      </w:r>
    </w:p>
  </w:footnote>
  <w:footnote w:id="269">
    <w:p w14:paraId="5CC2708D" w14:textId="351E319B" w:rsidR="00965BB1" w:rsidRPr="00530D57" w:rsidRDefault="00965BB1" w:rsidP="6A35053A">
      <w:pPr>
        <w:pStyle w:val="FootnoteText"/>
      </w:pPr>
      <w:r w:rsidRPr="00530D57">
        <w:rPr>
          <w:rStyle w:val="FootnoteReference"/>
        </w:rPr>
        <w:footnoteRef/>
      </w:r>
      <w:r w:rsidR="6A35053A" w:rsidRPr="00530D57">
        <w:t xml:space="preserve"> </w:t>
      </w:r>
      <w:r w:rsidRPr="00530D57">
        <w:tab/>
      </w:r>
      <w:r w:rsidR="6A35053A" w:rsidRPr="00530D57">
        <w:t>Donald Beasley Institute and People First New Zealand (joint submission); and Submission 26.</w:t>
      </w:r>
    </w:p>
  </w:footnote>
  <w:footnote w:id="270">
    <w:p w14:paraId="2A64A751" w14:textId="08D48577" w:rsidR="00965BB1" w:rsidRPr="00530D57" w:rsidRDefault="00965BB1" w:rsidP="00965BB1">
      <w:pPr>
        <w:pStyle w:val="FootnoteText"/>
      </w:pPr>
      <w:r w:rsidRPr="00530D57">
        <w:rPr>
          <w:rStyle w:val="FootnoteReference"/>
        </w:rPr>
        <w:footnoteRef/>
      </w:r>
      <w:r w:rsidR="6A35053A" w:rsidRPr="00530D57">
        <w:t xml:space="preserve"> </w:t>
      </w:r>
      <w:r w:rsidRPr="00530D57">
        <w:tab/>
      </w:r>
      <w:r w:rsidR="6A35053A" w:rsidRPr="00530D57">
        <w:t>Disabled Persons Assembly and VisAble (joint submission); Donald Beasley Institute and People First New Zealand (joint submission).</w:t>
      </w:r>
    </w:p>
  </w:footnote>
  <w:footnote w:id="271">
    <w:p w14:paraId="72739CF3" w14:textId="42751A23" w:rsidR="00965BB1" w:rsidRPr="00530D57" w:rsidRDefault="00965BB1" w:rsidP="00965BB1">
      <w:pPr>
        <w:pStyle w:val="FootnoteText"/>
      </w:pPr>
      <w:r w:rsidRPr="00530D57">
        <w:rPr>
          <w:rStyle w:val="FootnoteReference"/>
        </w:rPr>
        <w:footnoteRef/>
      </w:r>
      <w:r w:rsidR="6A35053A" w:rsidRPr="00530D57">
        <w:t xml:space="preserve"> </w:t>
      </w:r>
      <w:r w:rsidRPr="00530D57">
        <w:tab/>
      </w:r>
      <w:r w:rsidR="6A35053A" w:rsidRPr="00530D57">
        <w:t>Disabled Persons Assembly and VisAble (joint submission).</w:t>
      </w:r>
    </w:p>
  </w:footnote>
  <w:footnote w:id="272">
    <w:p w14:paraId="5858FDE7" w14:textId="4E868158" w:rsidR="00965BB1" w:rsidRPr="00530D57" w:rsidRDefault="00965BB1" w:rsidP="00965BB1">
      <w:pPr>
        <w:pStyle w:val="FootnoteText"/>
      </w:pPr>
      <w:r w:rsidRPr="00530D57">
        <w:rPr>
          <w:rStyle w:val="FootnoteReference"/>
        </w:rPr>
        <w:footnoteRef/>
      </w:r>
      <w:r w:rsidR="6A35053A" w:rsidRPr="00530D57">
        <w:t xml:space="preserve"> </w:t>
      </w:r>
      <w:r w:rsidRPr="00530D57">
        <w:tab/>
      </w:r>
      <w:r w:rsidR="6A35053A" w:rsidRPr="00530D57">
        <w:t>Submission 26.</w:t>
      </w:r>
    </w:p>
  </w:footnote>
  <w:footnote w:id="273">
    <w:p w14:paraId="62EA4184" w14:textId="40AFEF26" w:rsidR="00D072C8" w:rsidRPr="00530D57" w:rsidRDefault="00D072C8" w:rsidP="6A35053A">
      <w:pPr>
        <w:pStyle w:val="FootnoteText"/>
      </w:pPr>
      <w:r w:rsidRPr="00530D57">
        <w:rPr>
          <w:rStyle w:val="FootnoteReference"/>
        </w:rPr>
        <w:footnoteRef/>
      </w:r>
      <w:r w:rsidR="6A35053A" w:rsidRPr="00530D57">
        <w:t xml:space="preserve"> </w:t>
      </w:r>
      <w:r w:rsidRPr="00530D57">
        <w:tab/>
      </w:r>
      <w:r w:rsidR="6A35053A" w:rsidRPr="00530D57">
        <w:t>Donald Beasley Institute and People First New Zealand (joint submission); and Submission 43.</w:t>
      </w:r>
    </w:p>
  </w:footnote>
  <w:footnote w:id="274">
    <w:p w14:paraId="4FE057F8" w14:textId="4206B7D9"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Submission 43.</w:t>
      </w:r>
    </w:p>
  </w:footnote>
  <w:footnote w:id="275">
    <w:p w14:paraId="6C9B97F6" w14:textId="03EF8CCA" w:rsidR="00D072C8" w:rsidRPr="00530D57" w:rsidRDefault="00D072C8" w:rsidP="00D072C8">
      <w:pPr>
        <w:pStyle w:val="FootnoteText"/>
      </w:pPr>
      <w:r w:rsidRPr="00530D57">
        <w:rPr>
          <w:rStyle w:val="FootnoteReference"/>
        </w:rPr>
        <w:footnoteRef/>
      </w:r>
      <w:r w:rsidR="6A35053A" w:rsidRPr="00530D57">
        <w:t xml:space="preserve"> </w:t>
      </w:r>
      <w:r w:rsidRPr="00530D57">
        <w:tab/>
      </w:r>
      <w:r w:rsidR="004D0C06">
        <w:t>Justice for Palestine, Alternative Jewish Voices and Dayenu</w:t>
      </w:r>
      <w:r w:rsidR="6A35053A" w:rsidRPr="00530D57">
        <w:t xml:space="preserve"> (joint submission); Luke Cunningham Clere; Dr Kyle R Matthews; Members of Te Hunga Rōia Māori o Aotearoa; New Zealand Federation of Business and Professional Women; Te Kāhui Ture o Aotearoa | New Zealand Law Society; Pride in Law Otago; Submission 26; Submission 43; Submission 90; and </w:t>
      </w:r>
      <w:r w:rsidR="00C36EF6">
        <w:t>Te Kāhui o Ināia Tonu Nei Charitable Trust</w:t>
      </w:r>
      <w:r w:rsidR="6A35053A" w:rsidRPr="00530D57">
        <w:t>.</w:t>
      </w:r>
    </w:p>
  </w:footnote>
  <w:footnote w:id="276">
    <w:p w14:paraId="2821B486" w14:textId="358D7342"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 xml:space="preserve">Dr David Harvey; and </w:t>
      </w:r>
      <w:r w:rsidR="00C36EF6">
        <w:t>The Law Association of New Zealand Public and Administrative Law Committee</w:t>
      </w:r>
      <w:r w:rsidR="6A35053A" w:rsidRPr="00530D57">
        <w:t>.</w:t>
      </w:r>
    </w:p>
  </w:footnote>
  <w:footnote w:id="277">
    <w:p w14:paraId="301751C5" w14:textId="158504DD"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 xml:space="preserve">Luke Cunningham Clere; Dr Kyle R Matthews; Te Kāhui Ture o Aotearoa | New Zealand Law Society; Submission 43; Submission 90; and </w:t>
      </w:r>
      <w:r w:rsidR="00C36EF6">
        <w:t>The Law Association of New Zealand Public and Administrative Law Committee</w:t>
      </w:r>
      <w:r w:rsidR="6A35053A" w:rsidRPr="00530D57">
        <w:t>.</w:t>
      </w:r>
    </w:p>
  </w:footnote>
  <w:footnote w:id="278">
    <w:p w14:paraId="1D601C76" w14:textId="609774B6" w:rsidR="00630F83" w:rsidRPr="00530D57" w:rsidRDefault="00630F83">
      <w:pPr>
        <w:pStyle w:val="FootnoteText"/>
      </w:pPr>
      <w:r w:rsidRPr="00530D57">
        <w:rPr>
          <w:rStyle w:val="FootnoteReference"/>
        </w:rPr>
        <w:footnoteRef/>
      </w:r>
      <w:r w:rsidR="6A35053A" w:rsidRPr="00530D57">
        <w:t xml:space="preserve"> </w:t>
      </w:r>
      <w:r w:rsidRPr="00530D57">
        <w:tab/>
      </w:r>
      <w:r w:rsidR="6A35053A" w:rsidRPr="00530D57">
        <w:t xml:space="preserve">Dr Kyle R Matthews; Te Kāhui Ture o Aotearoa | New Zealand Law Society; Submission 90; and </w:t>
      </w:r>
      <w:r w:rsidR="00C36EF6">
        <w:t>The Law Association of New Zealand Public and Administrative Law Committee</w:t>
      </w:r>
      <w:r w:rsidR="6A35053A" w:rsidRPr="00530D57">
        <w:t>.</w:t>
      </w:r>
    </w:p>
  </w:footnote>
  <w:footnote w:id="279">
    <w:p w14:paraId="09A8CB49" w14:textId="18C39CC2" w:rsidR="00D072C8" w:rsidRPr="00530D57" w:rsidRDefault="00D072C8" w:rsidP="00D072C8">
      <w:pPr>
        <w:pStyle w:val="FootnoteText"/>
      </w:pPr>
      <w:r w:rsidRPr="00530D57">
        <w:rPr>
          <w:rStyle w:val="FootnoteReference"/>
        </w:rPr>
        <w:footnoteRef/>
      </w:r>
      <w:r w:rsidR="6A35053A" w:rsidRPr="00530D57">
        <w:t xml:space="preserve"> </w:t>
      </w:r>
      <w:r w:rsidRPr="00530D57">
        <w:tab/>
      </w:r>
      <w:r w:rsidR="004D0C06">
        <w:t>Justice for Palestine, Alternative Jewish Voices and Dayenu</w:t>
      </w:r>
      <w:r w:rsidR="6A35053A" w:rsidRPr="00530D57">
        <w:t xml:space="preserve"> (joint submission); Luke Cunningham Clere; New Zealand Federation of Business and Professional Women; Pride in Law Otago; and Submission 26. </w:t>
      </w:r>
    </w:p>
  </w:footnote>
  <w:footnote w:id="280">
    <w:p w14:paraId="2B8B6565" w14:textId="6B94385D" w:rsidR="00D072C8" w:rsidRPr="00530D57" w:rsidRDefault="00D072C8" w:rsidP="00D072C8">
      <w:pPr>
        <w:pStyle w:val="FootnoteText"/>
      </w:pPr>
      <w:r w:rsidRPr="00530D57">
        <w:rPr>
          <w:rStyle w:val="FootnoteReference"/>
        </w:rPr>
        <w:footnoteRef/>
      </w:r>
      <w:r w:rsidR="6A35053A" w:rsidRPr="00530D57">
        <w:t xml:space="preserve"> </w:t>
      </w:r>
      <w:r w:rsidRPr="00530D57">
        <w:tab/>
      </w:r>
      <w:r w:rsidR="004D0C06">
        <w:t>Justice for Palestine, Alternative Jewish Voices and Dayenu</w:t>
      </w:r>
      <w:r w:rsidR="6A35053A" w:rsidRPr="00530D57">
        <w:t xml:space="preserve"> (joint submission); and Pride in Law Otago.</w:t>
      </w:r>
    </w:p>
  </w:footnote>
  <w:footnote w:id="281">
    <w:p w14:paraId="1DBD9E2C" w14:textId="77777777"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Pride in Law Otago.</w:t>
      </w:r>
    </w:p>
  </w:footnote>
  <w:footnote w:id="282">
    <w:p w14:paraId="0E69C698" w14:textId="254DED3E"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 xml:space="preserve">Dr David Harvey; and </w:t>
      </w:r>
      <w:r w:rsidR="00C36EF6">
        <w:t>The Law Association of New Zealand Public and Administrative Law Committee</w:t>
      </w:r>
      <w:r w:rsidR="6A35053A" w:rsidRPr="00530D57">
        <w:t>.</w:t>
      </w:r>
    </w:p>
  </w:footnote>
  <w:footnote w:id="283">
    <w:p w14:paraId="0AF46913" w14:textId="4734A199" w:rsidR="00D072C8" w:rsidRPr="00530D57" w:rsidRDefault="00D072C8" w:rsidP="00D072C8">
      <w:pPr>
        <w:pStyle w:val="FootnoteText"/>
      </w:pPr>
      <w:r w:rsidRPr="00530D57">
        <w:rPr>
          <w:rStyle w:val="FootnoteReference"/>
        </w:rPr>
        <w:footnoteRef/>
      </w:r>
      <w:r w:rsidR="6A35053A" w:rsidRPr="00530D57">
        <w:t xml:space="preserve"> </w:t>
      </w:r>
      <w:r w:rsidRPr="00530D57">
        <w:tab/>
      </w:r>
      <w:r w:rsidR="005760D3">
        <w:t>M</w:t>
      </w:r>
      <w:r w:rsidR="6A35053A" w:rsidRPr="00530D57">
        <w:t>ember</w:t>
      </w:r>
      <w:r w:rsidR="005760D3">
        <w:t>s</w:t>
      </w:r>
      <w:r w:rsidR="6A35053A" w:rsidRPr="00530D57">
        <w:t xml:space="preserve"> of Te Hunga Rōia Māori o Aotearoa; Madeline Ash; Disabled Persons Assembly and VisAble (joint submission); Donald Beasley Institute and People First New Zealand (joint submission); Graeme Edgeler; Dr David Harvey; </w:t>
      </w:r>
      <w:r w:rsidR="00153C2D">
        <w:t>Inclusive Aotearoa Collective Tāhono</w:t>
      </w:r>
      <w:r w:rsidR="6A35053A" w:rsidRPr="00530D57">
        <w:t xml:space="preserve">; </w:t>
      </w:r>
      <w:r w:rsidR="004D0C06">
        <w:t>Justice for Palestine, Alternative Jewish Voices and Dayenu</w:t>
      </w:r>
      <w:r w:rsidR="6A35053A" w:rsidRPr="00530D57">
        <w:t xml:space="preserve"> (joint submission);</w:t>
      </w:r>
      <w:r w:rsidR="00783FC0" w:rsidRPr="00530D57">
        <w:t xml:space="preserve"> </w:t>
      </w:r>
      <w:r w:rsidR="6A35053A" w:rsidRPr="00530D57">
        <w:t xml:space="preserve">Submission 43; Te Kāhui Ture o Aotearoa | New Zealand Law Society; </w:t>
      </w:r>
      <w:r w:rsidR="00C36EF6">
        <w:t>The Law Association of New Zealand Criminal Law Committee</w:t>
      </w:r>
      <w:r w:rsidR="6A35053A" w:rsidRPr="00530D57">
        <w:t xml:space="preserve">; and Dr Chris Wilson. </w:t>
      </w:r>
    </w:p>
  </w:footnote>
  <w:footnote w:id="284">
    <w:p w14:paraId="5D6FA5B0" w14:textId="28123DB4" w:rsidR="00D072C8" w:rsidRPr="00530D57" w:rsidRDefault="00D072C8" w:rsidP="6A35053A">
      <w:pPr>
        <w:pStyle w:val="FootnoteText"/>
      </w:pPr>
      <w:r w:rsidRPr="00530D57">
        <w:rPr>
          <w:rStyle w:val="FootnoteReference"/>
        </w:rPr>
        <w:footnoteRef/>
      </w:r>
      <w:r w:rsidR="6A35053A" w:rsidRPr="00530D57">
        <w:t xml:space="preserve"> </w:t>
      </w:r>
      <w:r w:rsidRPr="00530D57">
        <w:tab/>
      </w:r>
      <w:r w:rsidR="000F3379">
        <w:t>M</w:t>
      </w:r>
      <w:r w:rsidR="6A35053A" w:rsidRPr="00530D57">
        <w:t>ember</w:t>
      </w:r>
      <w:r w:rsidR="000F3379">
        <w:t>s</w:t>
      </w:r>
      <w:r w:rsidR="6A35053A" w:rsidRPr="00530D57">
        <w:t xml:space="preserve"> of Te Hunga Rōia Māori o Aotearoa; Madeline Ash; </w:t>
      </w:r>
      <w:r w:rsidR="00153C2D">
        <w:t>Inclusive Aotearoa Collective Tāhono</w:t>
      </w:r>
      <w:r w:rsidR="6A35053A" w:rsidRPr="00530D57">
        <w:t xml:space="preserve">; </w:t>
      </w:r>
      <w:r w:rsidR="004D0C06">
        <w:t>Justice for Palestine, Alternative Jewish Voices and Dayenu</w:t>
      </w:r>
      <w:r w:rsidR="6A35053A" w:rsidRPr="00530D57">
        <w:t xml:space="preserve"> (joint submission); Submission 43; </w:t>
      </w:r>
      <w:r w:rsidR="00C36EF6">
        <w:t>The Law Association of New Zealand Criminal Law Committee</w:t>
      </w:r>
      <w:r w:rsidR="6A35053A" w:rsidRPr="00530D57">
        <w:t xml:space="preserve">. </w:t>
      </w:r>
    </w:p>
  </w:footnote>
  <w:footnote w:id="285">
    <w:p w14:paraId="1F343C16" w14:textId="61706F8F" w:rsidR="00D072C8" w:rsidRPr="00530D57" w:rsidRDefault="00D072C8" w:rsidP="6A35053A">
      <w:pPr>
        <w:pStyle w:val="FootnoteText"/>
      </w:pPr>
      <w:r w:rsidRPr="00530D57">
        <w:rPr>
          <w:rStyle w:val="FootnoteReference"/>
        </w:rPr>
        <w:footnoteRef/>
      </w:r>
      <w:r w:rsidR="6A35053A" w:rsidRPr="00530D57">
        <w:t xml:space="preserve"> </w:t>
      </w:r>
      <w:r w:rsidRPr="00530D57">
        <w:tab/>
      </w:r>
      <w:r w:rsidR="004D0C06">
        <w:t>Justice for Palestine, Alternative Jewish Voices and Dayenu</w:t>
      </w:r>
      <w:r w:rsidR="6A35053A" w:rsidRPr="00530D57">
        <w:t xml:space="preserve"> (joint submission); and Submission 43.</w:t>
      </w:r>
    </w:p>
  </w:footnote>
  <w:footnote w:id="286">
    <w:p w14:paraId="31F1E817" w14:textId="4E29A3EC" w:rsidR="00D072C8" w:rsidRPr="00530D57" w:rsidRDefault="00D072C8" w:rsidP="6A35053A">
      <w:pPr>
        <w:pStyle w:val="FootnoteText"/>
      </w:pPr>
      <w:r w:rsidRPr="00530D57">
        <w:rPr>
          <w:rStyle w:val="FootnoteReference"/>
        </w:rPr>
        <w:footnoteRef/>
      </w:r>
      <w:r w:rsidR="6A35053A" w:rsidRPr="00530D57">
        <w:t xml:space="preserve"> </w:t>
      </w:r>
      <w:r w:rsidRPr="00530D57">
        <w:tab/>
      </w:r>
      <w:r w:rsidR="00022BD4">
        <w:t>M</w:t>
      </w:r>
      <w:r w:rsidR="6A35053A" w:rsidRPr="00530D57">
        <w:t>ember</w:t>
      </w:r>
      <w:r w:rsidR="00022BD4">
        <w:t>s</w:t>
      </w:r>
      <w:r w:rsidR="6A35053A" w:rsidRPr="00530D57">
        <w:t xml:space="preserve"> of Te Hunga Rōia Māori o Aotearoa; Dr David Harvey; Te Kāhui Ture o Aotearoa | New Zealand Law Society; and </w:t>
      </w:r>
      <w:r w:rsidR="00C36EF6">
        <w:t>The Law Association of New Zealand Criminal Law Committee</w:t>
      </w:r>
      <w:r w:rsidR="6A35053A" w:rsidRPr="00530D57">
        <w:t>.</w:t>
      </w:r>
    </w:p>
  </w:footnote>
  <w:footnote w:id="287">
    <w:p w14:paraId="28619ADD" w14:textId="07F98A1C" w:rsidR="00D072C8" w:rsidRPr="00530D57" w:rsidRDefault="00D072C8" w:rsidP="00D072C8">
      <w:pPr>
        <w:pStyle w:val="FootnoteText"/>
      </w:pPr>
      <w:r w:rsidRPr="00530D57">
        <w:rPr>
          <w:rStyle w:val="FootnoteReference"/>
        </w:rPr>
        <w:footnoteRef/>
      </w:r>
      <w:r w:rsidR="6A35053A" w:rsidRPr="00530D57">
        <w:t xml:space="preserve"> </w:t>
      </w:r>
      <w:r w:rsidRPr="00530D57">
        <w:tab/>
      </w:r>
      <w:r w:rsidR="00022BD4">
        <w:t>M</w:t>
      </w:r>
      <w:r w:rsidR="6A35053A" w:rsidRPr="00530D57">
        <w:t>ember</w:t>
      </w:r>
      <w:r w:rsidR="00022BD4">
        <w:t>s</w:t>
      </w:r>
      <w:r w:rsidR="6A35053A" w:rsidRPr="00530D57">
        <w:t xml:space="preserve"> of Te Hunga Rōia Māori o Aotearoa; and Ratonga Wawao ā-Tūmatanui | Public Defence Service.</w:t>
      </w:r>
    </w:p>
  </w:footnote>
  <w:footnote w:id="288">
    <w:p w14:paraId="437EE853" w14:textId="5C20D75A" w:rsidR="00D072C8" w:rsidRPr="00530D57" w:rsidRDefault="00D072C8" w:rsidP="6A35053A">
      <w:pPr>
        <w:pStyle w:val="FootnoteText"/>
      </w:pPr>
      <w:r w:rsidRPr="00530D57">
        <w:rPr>
          <w:rStyle w:val="FootnoteReference"/>
        </w:rPr>
        <w:footnoteRef/>
      </w:r>
      <w:r w:rsidR="6A35053A" w:rsidRPr="00530D57">
        <w:t xml:space="preserve"> </w:t>
      </w:r>
      <w:r w:rsidRPr="00530D57">
        <w:tab/>
      </w:r>
      <w:r w:rsidR="00022BD4">
        <w:t>M</w:t>
      </w:r>
      <w:r w:rsidR="00022BD4" w:rsidRPr="00530D57">
        <w:t>ember</w:t>
      </w:r>
      <w:r w:rsidR="00022BD4">
        <w:t>s</w:t>
      </w:r>
      <w:r w:rsidR="6A35053A" w:rsidRPr="00530D57">
        <w:t xml:space="preserve"> of Te Hunga Rōia Māori o Aotearoa; Justice for Palestine, Alternative Jewish Voices and Dayenu (joint submission); Luke Cunningham Clere; Te Kāhui Ture o Aotearoa | New Zealand Law Society; and </w:t>
      </w:r>
      <w:r w:rsidR="00C36EF6">
        <w:t>The Law Association of New Zealand Criminal Law Committee</w:t>
      </w:r>
      <w:r w:rsidR="6A35053A" w:rsidRPr="00530D57">
        <w:t>.</w:t>
      </w:r>
    </w:p>
  </w:footnote>
  <w:footnote w:id="289">
    <w:p w14:paraId="76A3A266" w14:textId="3B98730A" w:rsidR="00D072C8" w:rsidRPr="00530D57" w:rsidRDefault="00D072C8" w:rsidP="00D072C8">
      <w:pPr>
        <w:pStyle w:val="FootnoteText"/>
      </w:pPr>
      <w:r w:rsidRPr="00530D57">
        <w:rPr>
          <w:rStyle w:val="FootnoteReference"/>
        </w:rPr>
        <w:footnoteRef/>
      </w:r>
      <w:r w:rsidR="6A35053A" w:rsidRPr="00530D57">
        <w:t xml:space="preserve"> </w:t>
      </w:r>
      <w:r w:rsidRPr="00530D57">
        <w:tab/>
      </w:r>
      <w:r w:rsidR="00153C2D">
        <w:t>Inclusive Aotearoa Collective Tāhono</w:t>
      </w:r>
      <w:r w:rsidR="6A35053A" w:rsidRPr="00530D57">
        <w:t>.</w:t>
      </w:r>
    </w:p>
  </w:footnote>
  <w:footnote w:id="290">
    <w:p w14:paraId="7E9A129F" w14:textId="3E1F43B5" w:rsidR="00D072C8" w:rsidRPr="00530D57" w:rsidRDefault="00D072C8" w:rsidP="00D072C8">
      <w:pPr>
        <w:pStyle w:val="FootnoteText"/>
      </w:pPr>
      <w:r w:rsidRPr="00530D57">
        <w:rPr>
          <w:rStyle w:val="FootnoteReference"/>
        </w:rPr>
        <w:footnoteRef/>
      </w:r>
      <w:r w:rsidR="6A35053A" w:rsidRPr="00530D57">
        <w:t xml:space="preserve"> </w:t>
      </w:r>
      <w:r w:rsidRPr="00530D57">
        <w:tab/>
      </w:r>
      <w:r w:rsidR="00C36EF6">
        <w:t>Te Kāhui o Ināia Tonu Nei Charitable Trust</w:t>
      </w:r>
      <w:r w:rsidR="6A35053A" w:rsidRPr="00530D57">
        <w:t>.</w:t>
      </w:r>
    </w:p>
  </w:footnote>
  <w:footnote w:id="291">
    <w:p w14:paraId="77C9496E" w14:textId="6D260686"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Dr Mark Walters.</w:t>
      </w:r>
    </w:p>
  </w:footnote>
  <w:footnote w:id="292">
    <w:p w14:paraId="001301EB" w14:textId="0DB664AD"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Disabled Persons Assembly and VisAble (joint submission); and Donald Beasley Institute and People First New Zealand (joint submission).</w:t>
      </w:r>
    </w:p>
  </w:footnote>
  <w:footnote w:id="293">
    <w:p w14:paraId="743D38B5" w14:textId="00C5113E"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Donald Beasley Institute and People First New Zealand (joint submission).</w:t>
      </w:r>
    </w:p>
  </w:footnote>
  <w:footnote w:id="294">
    <w:p w14:paraId="6BB57BA0" w14:textId="03A8B9DD"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Disabled Persons Assembly and VisAble (joint submission).</w:t>
      </w:r>
    </w:p>
  </w:footnote>
  <w:footnote w:id="295">
    <w:p w14:paraId="2C54AB21" w14:textId="1E196E95"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Murray Stirling.</w:t>
      </w:r>
    </w:p>
  </w:footnote>
  <w:footnote w:id="296">
    <w:p w14:paraId="4735CA29" w14:textId="41AFB139" w:rsidR="00D072C8" w:rsidRPr="00530D57" w:rsidRDefault="00D072C8" w:rsidP="00D072C8">
      <w:pPr>
        <w:pStyle w:val="FootnoteText"/>
      </w:pPr>
      <w:r w:rsidRPr="00530D57">
        <w:rPr>
          <w:rStyle w:val="FootnoteReference"/>
        </w:rPr>
        <w:footnoteRef/>
      </w:r>
      <w:r w:rsidR="6A35053A" w:rsidRPr="00530D57">
        <w:t xml:space="preserve"> </w:t>
      </w:r>
      <w:r w:rsidRPr="00530D57">
        <w:tab/>
      </w:r>
      <w:r w:rsidR="004D0C06">
        <w:t>Justice for Palestine, Alternative Jewish Voices and Dayenu</w:t>
      </w:r>
      <w:r w:rsidR="6A35053A" w:rsidRPr="00530D57">
        <w:t xml:space="preserve"> (joint submission); Dr Kyle R Matthews; New Zealand Federation of Business and Professional Women; Te Kāhui Ture o Aotearoa | New Zealand Law Society; and </w:t>
      </w:r>
      <w:r w:rsidR="00C36EF6">
        <w:t>Te Kāhui o Ināia Tonu Nei Charitable Trust</w:t>
      </w:r>
      <w:r w:rsidR="6A35053A" w:rsidRPr="00530D57">
        <w:t>.</w:t>
      </w:r>
    </w:p>
  </w:footnote>
  <w:footnote w:id="297">
    <w:p w14:paraId="75995112" w14:textId="3BA346B1" w:rsidR="00D072C8" w:rsidRPr="00530D57" w:rsidRDefault="00D072C8" w:rsidP="00D072C8">
      <w:pPr>
        <w:pStyle w:val="FootnoteText"/>
      </w:pPr>
      <w:r w:rsidRPr="00530D57">
        <w:rPr>
          <w:rStyle w:val="FootnoteReference"/>
        </w:rPr>
        <w:footnoteRef/>
      </w:r>
      <w:r w:rsidR="6A35053A" w:rsidRPr="00530D57">
        <w:t xml:space="preserve"> </w:t>
      </w:r>
      <w:r w:rsidRPr="00530D57">
        <w:tab/>
      </w:r>
      <w:r w:rsidR="004D0C06">
        <w:t>Justice for Palestine, Alternative Jewish Voices and Dayenu</w:t>
      </w:r>
      <w:r w:rsidR="6A35053A" w:rsidRPr="00530D57">
        <w:t xml:space="preserve"> (joint submission); Dr Kyle R Matthews; New Zealand Federation of Business and Professional Women; New Zealand Jewish Council; Te </w:t>
      </w:r>
      <w:r w:rsidR="00723FAB" w:rsidRPr="00530D57">
        <w:t>Kāhui</w:t>
      </w:r>
      <w:r w:rsidR="6A35053A" w:rsidRPr="00530D57">
        <w:t xml:space="preserve"> Ture o Aotearoa | New Zealand Law Society; Submission 26; and Submission 43. </w:t>
      </w:r>
    </w:p>
  </w:footnote>
  <w:footnote w:id="298">
    <w:p w14:paraId="15C81900" w14:textId="4F6A3F20" w:rsidR="00D072C8" w:rsidRPr="00530D57" w:rsidRDefault="00D072C8" w:rsidP="00D072C8">
      <w:pPr>
        <w:pStyle w:val="FootnoteText"/>
      </w:pPr>
      <w:r w:rsidRPr="00530D57">
        <w:rPr>
          <w:rStyle w:val="FootnoteReference"/>
        </w:rPr>
        <w:footnoteRef/>
      </w:r>
      <w:r w:rsidR="6A35053A" w:rsidRPr="00530D57">
        <w:t xml:space="preserve"> </w:t>
      </w:r>
      <w:r w:rsidRPr="00530D57">
        <w:tab/>
      </w:r>
      <w:r w:rsidR="004D0C06">
        <w:t>Justice for Palestine, Alternative Jewish Voices and Dayenu</w:t>
      </w:r>
      <w:r w:rsidR="6A35053A" w:rsidRPr="00530D57">
        <w:t xml:space="preserve"> (joint submission); Dr Kyle R Matthews; New Zealand Federation of Business and Professional Women; New Zealand Jewish Council; and Te Kāhui Ture o Aotearoa | New Zealand Law Society.</w:t>
      </w:r>
    </w:p>
  </w:footnote>
  <w:footnote w:id="299">
    <w:p w14:paraId="3873D969" w14:textId="5B702676"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 xml:space="preserve">Dr David Harvey; </w:t>
      </w:r>
      <w:r w:rsidR="004D0C06">
        <w:t>Justice for Palestine, Alternative Jewish Voices and Dayenu</w:t>
      </w:r>
      <w:r w:rsidR="6A35053A" w:rsidRPr="00530D57">
        <w:t xml:space="preserve"> (joint submission); Luke Cunningham Clere; Dr Kyle R Matthews; Te Kāhui Ture o Aotearoa | New Zealand Law Society; Pride in Law Otago; </w:t>
      </w:r>
      <w:r w:rsidR="00C36EF6">
        <w:t>Te Kāhui o Ināia Tonu Nei Charitable Trust</w:t>
      </w:r>
      <w:r w:rsidR="6A35053A" w:rsidRPr="00530D57">
        <w:t xml:space="preserve">; </w:t>
      </w:r>
      <w:r w:rsidR="00C36EF6">
        <w:t>The Law Association of New Zealand Public and Administrative Law Committee</w:t>
      </w:r>
      <w:r w:rsidR="6A35053A" w:rsidRPr="00530D57">
        <w:t>; and Women‘s Rights Party.</w:t>
      </w:r>
    </w:p>
  </w:footnote>
  <w:footnote w:id="300">
    <w:p w14:paraId="72EE81F3" w14:textId="3E95CCA8" w:rsidR="00D072C8" w:rsidRPr="00530D57" w:rsidRDefault="00D072C8" w:rsidP="6A35053A">
      <w:pPr>
        <w:pStyle w:val="FootnoteText"/>
      </w:pPr>
      <w:r w:rsidRPr="00530D57">
        <w:rPr>
          <w:rStyle w:val="FootnoteReference"/>
        </w:rPr>
        <w:footnoteRef/>
      </w:r>
      <w:r w:rsidR="6A35053A" w:rsidRPr="00530D57">
        <w:t xml:space="preserve"> </w:t>
      </w:r>
      <w:r w:rsidRPr="00530D57">
        <w:tab/>
      </w:r>
      <w:r w:rsidR="6A35053A" w:rsidRPr="00530D57">
        <w:t>Dr David Harvey.</w:t>
      </w:r>
    </w:p>
  </w:footnote>
  <w:footnote w:id="301">
    <w:p w14:paraId="42FC43CF" w14:textId="219105C1" w:rsidR="00D072C8" w:rsidRPr="00530D57" w:rsidRDefault="00D072C8" w:rsidP="00D072C8">
      <w:pPr>
        <w:pStyle w:val="FootnoteText"/>
      </w:pPr>
      <w:r w:rsidRPr="00530D57">
        <w:rPr>
          <w:rStyle w:val="FootnoteReference"/>
        </w:rPr>
        <w:footnoteRef/>
      </w:r>
      <w:r w:rsidR="6A35053A" w:rsidRPr="00530D57">
        <w:t xml:space="preserve"> </w:t>
      </w:r>
      <w:r w:rsidRPr="00530D57">
        <w:tab/>
      </w:r>
      <w:r w:rsidR="00C36EF6">
        <w:t>Te Kāhui o Ināia Tonu Nei Charitable Trust</w:t>
      </w:r>
      <w:r w:rsidR="6A35053A" w:rsidRPr="00530D57">
        <w:t>; and Women’s Rights Party.</w:t>
      </w:r>
    </w:p>
  </w:footnote>
  <w:footnote w:id="302">
    <w:p w14:paraId="62C231D7" w14:textId="50302295"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 xml:space="preserve">Dr David Harvey; </w:t>
      </w:r>
      <w:r w:rsidR="004D0C06">
        <w:t>Justice for Palestine, Alternative Jewish Voices and Dayenu</w:t>
      </w:r>
      <w:r w:rsidR="6A35053A" w:rsidRPr="00530D57">
        <w:t xml:space="preserve"> (joint submission); Luke Cunningham Clere; and </w:t>
      </w:r>
      <w:r w:rsidR="00C36EF6">
        <w:t>Te Kāhui o Ināia Tonu Nei Charitable Trust</w:t>
      </w:r>
      <w:r w:rsidR="6A35053A" w:rsidRPr="00530D57">
        <w:t>.</w:t>
      </w:r>
    </w:p>
  </w:footnote>
  <w:footnote w:id="303">
    <w:p w14:paraId="4EFEF68C" w14:textId="7353B855" w:rsidR="00D072C8" w:rsidRPr="00530D57" w:rsidRDefault="00D072C8" w:rsidP="00D072C8">
      <w:pPr>
        <w:pStyle w:val="FootnoteText"/>
      </w:pPr>
      <w:r w:rsidRPr="00530D57">
        <w:rPr>
          <w:rStyle w:val="FootnoteReference"/>
        </w:rPr>
        <w:footnoteRef/>
      </w:r>
      <w:r w:rsidR="6A35053A" w:rsidRPr="00530D57">
        <w:t xml:space="preserve"> </w:t>
      </w:r>
      <w:r w:rsidRPr="00530D57">
        <w:tab/>
      </w:r>
      <w:r w:rsidR="00C36EF6">
        <w:t>The Law Association of New Zealand Public and Administrative Law Committee</w:t>
      </w:r>
      <w:r w:rsidR="6A35053A" w:rsidRPr="00530D57">
        <w:t>.</w:t>
      </w:r>
    </w:p>
  </w:footnote>
  <w:footnote w:id="304">
    <w:p w14:paraId="29316FE4" w14:textId="77777777" w:rsidR="00024037" w:rsidRPr="00530D57" w:rsidRDefault="00024037" w:rsidP="00024037">
      <w:pPr>
        <w:pStyle w:val="FootnoteText"/>
      </w:pPr>
      <w:r w:rsidRPr="00530D57">
        <w:rPr>
          <w:rStyle w:val="FootnoteReference"/>
        </w:rPr>
        <w:footnoteRef/>
      </w:r>
      <w:r w:rsidR="6A35053A" w:rsidRPr="00530D57">
        <w:t xml:space="preserve"> </w:t>
      </w:r>
      <w:r w:rsidRPr="00530D57">
        <w:tab/>
      </w:r>
      <w:r w:rsidR="6A35053A" w:rsidRPr="00530D57">
        <w:t>The submitter referred to a flag, but it was unclear whether they were referring to a court flag, the existing Police flag, or both.</w:t>
      </w:r>
    </w:p>
  </w:footnote>
  <w:footnote w:id="305">
    <w:p w14:paraId="264532DA" w14:textId="0F29C8A3" w:rsidR="00D072C8" w:rsidRPr="00530D57" w:rsidRDefault="00D072C8" w:rsidP="6A35053A">
      <w:pPr>
        <w:pStyle w:val="FootnoteText"/>
      </w:pPr>
      <w:r w:rsidRPr="00530D57">
        <w:rPr>
          <w:rStyle w:val="FootnoteReference"/>
        </w:rPr>
        <w:footnoteRef/>
      </w:r>
      <w:r w:rsidR="6A35053A" w:rsidRPr="00530D57">
        <w:t xml:space="preserve"> </w:t>
      </w:r>
      <w:r w:rsidRPr="00530D57">
        <w:tab/>
      </w:r>
      <w:r w:rsidR="6A35053A" w:rsidRPr="00530D57">
        <w:t>Dr David Harvey; Justice for Palestine, Alternative Jewish Voices and Dayenu</w:t>
      </w:r>
      <w:r w:rsidR="001609CA">
        <w:t xml:space="preserve"> </w:t>
      </w:r>
      <w:r w:rsidR="001609CA" w:rsidRPr="00530D57">
        <w:t>(joint submission);</w:t>
      </w:r>
      <w:r w:rsidR="6A35053A" w:rsidRPr="00530D57">
        <w:t xml:space="preserve"> Dr Kyle R Matthews; Pride in Law Otago; and </w:t>
      </w:r>
      <w:r w:rsidR="00C36EF6">
        <w:t>Te Kāhui o Ināia Tonu Nei Charitable Trust</w:t>
      </w:r>
      <w:r w:rsidR="6A35053A" w:rsidRPr="00530D57">
        <w:t>.</w:t>
      </w:r>
    </w:p>
  </w:footnote>
  <w:footnote w:id="306">
    <w:p w14:paraId="47BC8E71" w14:textId="6498CB96" w:rsidR="00D072C8" w:rsidRPr="00530D57" w:rsidRDefault="00D072C8" w:rsidP="6A35053A">
      <w:pPr>
        <w:pStyle w:val="FootnoteText"/>
      </w:pPr>
      <w:r w:rsidRPr="00530D57">
        <w:rPr>
          <w:rStyle w:val="FootnoteReference"/>
        </w:rPr>
        <w:footnoteRef/>
      </w:r>
      <w:r w:rsidR="6A35053A" w:rsidRPr="00530D57">
        <w:t xml:space="preserve"> </w:t>
      </w:r>
      <w:r w:rsidRPr="00530D57">
        <w:tab/>
      </w:r>
      <w:r w:rsidR="6A35053A" w:rsidRPr="00530D57">
        <w:t xml:space="preserve">Dr David Harvey; Graeme Edgeler; Te Kāhui Ture o Aotearoa | New Zealand Law Society; and </w:t>
      </w:r>
      <w:r w:rsidR="00C36EF6">
        <w:t>The Law Association of New Zealand Public and Administrative Law Committee</w:t>
      </w:r>
      <w:r w:rsidR="6A35053A" w:rsidRPr="00530D57">
        <w:t>.</w:t>
      </w:r>
    </w:p>
  </w:footnote>
  <w:footnote w:id="307">
    <w:p w14:paraId="27B15633" w14:textId="77777777"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Madeline Ash.</w:t>
      </w:r>
    </w:p>
  </w:footnote>
  <w:footnote w:id="308">
    <w:p w14:paraId="5944B180" w14:textId="008F0030" w:rsidR="00D072C8" w:rsidRPr="00530D57" w:rsidRDefault="00D072C8" w:rsidP="00B95F29">
      <w:pPr>
        <w:pStyle w:val="FootnoteText"/>
      </w:pPr>
      <w:r w:rsidRPr="00530D57">
        <w:rPr>
          <w:rStyle w:val="FootnoteReference"/>
        </w:rPr>
        <w:footnoteRef/>
      </w:r>
      <w:r w:rsidR="6A35053A" w:rsidRPr="00530D57">
        <w:t xml:space="preserve"> </w:t>
      </w:r>
      <w:r w:rsidRPr="00530D57">
        <w:tab/>
      </w:r>
      <w:r w:rsidR="6A35053A" w:rsidRPr="00530D57">
        <w:t xml:space="preserve">Dr John McDonald-Wharry; and Ratonga Wawao ā-Tūmatanui | Public Defence Service. </w:t>
      </w:r>
    </w:p>
  </w:footnote>
  <w:footnote w:id="309">
    <w:p w14:paraId="3B5A6693" w14:textId="77777777"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Dr John McDonald-Wharry.</w:t>
      </w:r>
    </w:p>
  </w:footnote>
  <w:footnote w:id="310">
    <w:p w14:paraId="161DDE89" w14:textId="59312F7E"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 xml:space="preserve">Madeline Ash; </w:t>
      </w:r>
      <w:r w:rsidR="00153C2D">
        <w:t>Inclusive Aotearoa Collective Tāhono</w:t>
      </w:r>
      <w:r w:rsidR="6A35053A" w:rsidRPr="00530D57">
        <w:t xml:space="preserve">; Luke Cunningham Clere; Te Kāhui ture o Aotearoa | New Zealand Law Society; Pride in Law Otago; Ratonga Wawao ā-Tūmatanui | Public Defence Service; </w:t>
      </w:r>
      <w:r w:rsidR="00C36EF6">
        <w:t>The Law Association of New Zealand Criminal Law Committee</w:t>
      </w:r>
      <w:r w:rsidR="6A35053A" w:rsidRPr="00530D57">
        <w:t>; and Dr Chris Wilson.</w:t>
      </w:r>
    </w:p>
  </w:footnote>
  <w:footnote w:id="311">
    <w:p w14:paraId="12EEEC0A" w14:textId="08BD58FD" w:rsidR="00D072C8" w:rsidRPr="00530D57" w:rsidRDefault="00D072C8" w:rsidP="6A35053A">
      <w:pPr>
        <w:pStyle w:val="FootnoteText"/>
      </w:pPr>
      <w:r w:rsidRPr="00530D57">
        <w:rPr>
          <w:rStyle w:val="FootnoteReference"/>
        </w:rPr>
        <w:footnoteRef/>
      </w:r>
      <w:r w:rsidR="6A35053A" w:rsidRPr="00530D57">
        <w:t xml:space="preserve"> </w:t>
      </w:r>
      <w:r w:rsidRPr="00530D57">
        <w:tab/>
      </w:r>
      <w:r w:rsidR="00153C2D">
        <w:t>Inclusive Aotearoa Collective Tāhono</w:t>
      </w:r>
      <w:r w:rsidR="6A35053A" w:rsidRPr="00530D57">
        <w:t>; and Te Kāhui Ture o Aotearoa | New Zealand Law Society.</w:t>
      </w:r>
    </w:p>
  </w:footnote>
  <w:footnote w:id="312">
    <w:p w14:paraId="72E1ECEF" w14:textId="77777777"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Dr Chris Wilson.</w:t>
      </w:r>
    </w:p>
  </w:footnote>
  <w:footnote w:id="313">
    <w:p w14:paraId="604B7A98" w14:textId="7DD513EC"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Ratonga Wawao ā-Tūmatanui | Public Defence Service.</w:t>
      </w:r>
    </w:p>
  </w:footnote>
  <w:footnote w:id="314">
    <w:p w14:paraId="4AAAF71B" w14:textId="462065E7" w:rsidR="00D072C8" w:rsidRPr="00530D57" w:rsidRDefault="00D072C8" w:rsidP="00D072C8">
      <w:pPr>
        <w:pStyle w:val="FootnoteText"/>
      </w:pPr>
      <w:r w:rsidRPr="00530D57">
        <w:rPr>
          <w:rStyle w:val="FootnoteReference"/>
        </w:rPr>
        <w:footnoteRef/>
      </w:r>
      <w:r w:rsidR="6A35053A" w:rsidRPr="00530D57">
        <w:t xml:space="preserve"> </w:t>
      </w:r>
      <w:r w:rsidRPr="00530D57">
        <w:tab/>
      </w:r>
      <w:r w:rsidR="004D0C06">
        <w:t>Justice for Palestine, Alternative Jewish Voices and Dayenu</w:t>
      </w:r>
      <w:r w:rsidR="6A35053A" w:rsidRPr="00530D57">
        <w:t xml:space="preserve"> (joint submission).</w:t>
      </w:r>
    </w:p>
  </w:footnote>
  <w:footnote w:id="315">
    <w:p w14:paraId="1BD69124" w14:textId="69B9A08D"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Family First; and Dr David Harvey.</w:t>
      </w:r>
    </w:p>
  </w:footnote>
  <w:footnote w:id="316">
    <w:p w14:paraId="118ACCC0" w14:textId="72FF4BDF" w:rsidR="00D072C8" w:rsidRPr="00530D57" w:rsidRDefault="00D072C8" w:rsidP="6A35053A">
      <w:pPr>
        <w:pStyle w:val="FootnoteText"/>
      </w:pPr>
      <w:r w:rsidRPr="00530D57">
        <w:rPr>
          <w:rStyle w:val="FootnoteReference"/>
        </w:rPr>
        <w:footnoteRef/>
      </w:r>
      <w:r w:rsidR="6A35053A" w:rsidRPr="00530D57">
        <w:t xml:space="preserve"> </w:t>
      </w:r>
      <w:r w:rsidRPr="00530D57">
        <w:tab/>
      </w:r>
      <w:r w:rsidR="6A35053A" w:rsidRPr="00530D57">
        <w:t>Dr Chris Wilson.</w:t>
      </w:r>
    </w:p>
  </w:footnote>
  <w:footnote w:id="317">
    <w:p w14:paraId="14DD9DD8" w14:textId="77777777"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Pride in Law Otago.</w:t>
      </w:r>
    </w:p>
  </w:footnote>
  <w:footnote w:id="318">
    <w:p w14:paraId="14FD34DF" w14:textId="13627C05"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Te Kāhui Ture o Aotearoa | New Zealand Law Society.</w:t>
      </w:r>
    </w:p>
  </w:footnote>
  <w:footnote w:id="319">
    <w:p w14:paraId="3FC8AB0D" w14:textId="15A048D8" w:rsidR="00395D61" w:rsidRDefault="00395D61">
      <w:pPr>
        <w:pStyle w:val="FootnoteText"/>
      </w:pPr>
      <w:r>
        <w:rPr>
          <w:rStyle w:val="FootnoteReference"/>
        </w:rPr>
        <w:footnoteRef/>
      </w:r>
      <w:r>
        <w:t xml:space="preserve"> </w:t>
      </w:r>
      <w:r w:rsidR="0084463F">
        <w:tab/>
        <w:t>Murray Stirling.</w:t>
      </w:r>
    </w:p>
  </w:footnote>
  <w:footnote w:id="320">
    <w:p w14:paraId="0D2C7D0E" w14:textId="2DA630D2"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Te Kāhui Ture o Aotearoa | New Zealand Law Society.</w:t>
      </w:r>
    </w:p>
  </w:footnote>
  <w:footnote w:id="321">
    <w:p w14:paraId="7EC6387B" w14:textId="51C04E24"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 xml:space="preserve"> Te Kāhui Ture o Aotearoa | New Zealand Law Society.</w:t>
      </w:r>
    </w:p>
  </w:footnote>
  <w:footnote w:id="322">
    <w:p w14:paraId="1571C1F2" w14:textId="77777777"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Dr Chris Wilson.</w:t>
      </w:r>
    </w:p>
  </w:footnote>
  <w:footnote w:id="323">
    <w:p w14:paraId="1037DF32" w14:textId="515A2703" w:rsidR="00D072C8" w:rsidRPr="00530D57" w:rsidRDefault="00D072C8" w:rsidP="6A35053A">
      <w:pPr>
        <w:pStyle w:val="FootnoteText"/>
      </w:pPr>
      <w:r w:rsidRPr="00530D57">
        <w:rPr>
          <w:rStyle w:val="FootnoteReference"/>
        </w:rPr>
        <w:footnoteRef/>
      </w:r>
      <w:r w:rsidR="6A35053A" w:rsidRPr="00530D57">
        <w:t xml:space="preserve"> </w:t>
      </w:r>
      <w:r w:rsidRPr="00530D57">
        <w:tab/>
      </w:r>
      <w:r w:rsidR="6A35053A" w:rsidRPr="00530D57">
        <w:t xml:space="preserve">Grace Carroll; </w:t>
      </w:r>
      <w:r w:rsidR="00153C2D">
        <w:t>Inclusive Aotearoa Collective Tāhono</w:t>
      </w:r>
      <w:r w:rsidR="6A35053A" w:rsidRPr="00530D57">
        <w:t>; Te Kāhui Ture o Aotearoa | New Zealand Law Society; and Submission 11.</w:t>
      </w:r>
    </w:p>
  </w:footnote>
  <w:footnote w:id="324">
    <w:p w14:paraId="4A7A328B" w14:textId="5EF24B0A" w:rsidR="00D072C8" w:rsidRPr="00530D57" w:rsidRDefault="00D072C8" w:rsidP="00D072C8">
      <w:pPr>
        <w:pStyle w:val="FootnoteText"/>
      </w:pPr>
      <w:r w:rsidRPr="00530D57">
        <w:rPr>
          <w:rStyle w:val="FootnoteReference"/>
        </w:rPr>
        <w:footnoteRef/>
      </w:r>
      <w:r w:rsidR="6A35053A" w:rsidRPr="00530D57">
        <w:t xml:space="preserve"> </w:t>
      </w:r>
      <w:r w:rsidRPr="00530D57">
        <w:tab/>
      </w:r>
      <w:r w:rsidR="004D0C06">
        <w:t>Justice for Palestine, Alternative Jewish Voices and Dayenu</w:t>
      </w:r>
      <w:r w:rsidR="6A35053A" w:rsidRPr="00530D57">
        <w:t xml:space="preserve"> (joint submission); New Zealand Federation of Business and Professional Women; New Zealand Jewish Council; and Submission 26. </w:t>
      </w:r>
    </w:p>
  </w:footnote>
  <w:footnote w:id="325">
    <w:p w14:paraId="4CF1CCDF" w14:textId="2A664983"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New Zealand Federation of Business and Professional Women; and Submission 26.</w:t>
      </w:r>
    </w:p>
  </w:footnote>
  <w:footnote w:id="326">
    <w:p w14:paraId="734D60B3" w14:textId="7D17D4CC"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New Zealand Federation of Business and Professional Women.</w:t>
      </w:r>
    </w:p>
  </w:footnote>
  <w:footnote w:id="327">
    <w:p w14:paraId="7A839D1F" w14:textId="67E95F4C"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New Zealand Federation of Business and Professional Women; New Zealand Jewish Council; and Submission 26.</w:t>
      </w:r>
    </w:p>
  </w:footnote>
  <w:footnote w:id="328">
    <w:p w14:paraId="262FB642" w14:textId="75F5CB4B" w:rsidR="00D072C8" w:rsidRPr="00530D57" w:rsidRDefault="00D072C8" w:rsidP="00D072C8">
      <w:pPr>
        <w:pStyle w:val="FootnoteText"/>
      </w:pPr>
      <w:r w:rsidRPr="00530D57">
        <w:rPr>
          <w:rStyle w:val="FootnoteReference"/>
        </w:rPr>
        <w:footnoteRef/>
      </w:r>
      <w:r w:rsidR="6A35053A" w:rsidRPr="00530D57">
        <w:t xml:space="preserve"> </w:t>
      </w:r>
      <w:r w:rsidRPr="00530D57">
        <w:tab/>
      </w:r>
      <w:r w:rsidR="004D0C06">
        <w:t>Justice for Palestine, Alternative Jewish Voices and Dayenu</w:t>
      </w:r>
      <w:r w:rsidR="6A35053A" w:rsidRPr="00530D57">
        <w:t xml:space="preserve"> (joint submission).</w:t>
      </w:r>
    </w:p>
  </w:footnote>
  <w:footnote w:id="329">
    <w:p w14:paraId="0F6FCF88" w14:textId="2703BFF0"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New Zealand Federation of Business and Professional Women.</w:t>
      </w:r>
    </w:p>
  </w:footnote>
  <w:footnote w:id="330">
    <w:p w14:paraId="36D40B24" w14:textId="7036F340" w:rsidR="00A446EB" w:rsidRPr="00530D57" w:rsidRDefault="00A446EB" w:rsidP="00A446EB">
      <w:pPr>
        <w:pStyle w:val="FootnoteText"/>
      </w:pPr>
      <w:r w:rsidRPr="00530D57">
        <w:rPr>
          <w:rStyle w:val="FootnoteReference"/>
        </w:rPr>
        <w:footnoteRef/>
      </w:r>
      <w:r w:rsidRPr="00530D57">
        <w:t xml:space="preserve"> </w:t>
      </w:r>
      <w:r w:rsidRPr="00530D57">
        <w:tab/>
      </w:r>
      <w:r w:rsidR="00153C2D">
        <w:t>Inclusive Aotearoa Collective Tāhono</w:t>
      </w:r>
      <w:r w:rsidRPr="00530D57">
        <w:t>.</w:t>
      </w:r>
    </w:p>
  </w:footnote>
  <w:footnote w:id="331">
    <w:p w14:paraId="0442B2EC" w14:textId="77777777" w:rsidR="00A446EB" w:rsidRPr="00530D57" w:rsidRDefault="00A446EB" w:rsidP="00A446EB">
      <w:pPr>
        <w:pStyle w:val="FootnoteText"/>
      </w:pPr>
      <w:r w:rsidRPr="00530D57">
        <w:rPr>
          <w:rStyle w:val="FootnoteReference"/>
        </w:rPr>
        <w:footnoteRef/>
      </w:r>
      <w:r w:rsidRPr="00530D57">
        <w:t xml:space="preserve"> </w:t>
      </w:r>
      <w:r w:rsidRPr="00530D57">
        <w:tab/>
        <w:t>Grace Carroll.</w:t>
      </w:r>
    </w:p>
  </w:footnote>
  <w:footnote w:id="332">
    <w:p w14:paraId="63776D6D" w14:textId="7853C679" w:rsidR="00D072C8" w:rsidRPr="00530D57" w:rsidRDefault="00D072C8" w:rsidP="6A35053A">
      <w:pPr>
        <w:pStyle w:val="FootnoteText"/>
      </w:pPr>
      <w:r w:rsidRPr="00530D57">
        <w:rPr>
          <w:rStyle w:val="FootnoteReference"/>
        </w:rPr>
        <w:footnoteRef/>
      </w:r>
      <w:r w:rsidR="6A35053A" w:rsidRPr="00530D57">
        <w:t xml:space="preserve"> </w:t>
      </w:r>
      <w:r w:rsidRPr="00530D57">
        <w:tab/>
      </w:r>
      <w:r w:rsidR="00C36EF6">
        <w:t>The Law Association of New Zealand Public and Administrative Law Committee</w:t>
      </w:r>
      <w:r w:rsidR="6A35053A" w:rsidRPr="00530D57">
        <w:t>. In addition, Luke Cunnigham Clere noted that because there is no hate crime flag, hate motivation is not actively recorded in statistics (suggesting a hate crime flag may remedy this problem).</w:t>
      </w:r>
    </w:p>
  </w:footnote>
  <w:footnote w:id="333">
    <w:p w14:paraId="77ADE2CF" w14:textId="77777777"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Madeline Ash.</w:t>
      </w:r>
    </w:p>
  </w:footnote>
  <w:footnote w:id="334">
    <w:p w14:paraId="64E314D6" w14:textId="4C83E1FA" w:rsidR="00D072C8" w:rsidRPr="00530D57" w:rsidRDefault="00D072C8" w:rsidP="6A35053A">
      <w:pPr>
        <w:pStyle w:val="FootnoteText"/>
        <w:rPr>
          <w:rFonts w:cs="Segoe UI"/>
        </w:rPr>
      </w:pPr>
      <w:r w:rsidRPr="00530D57">
        <w:rPr>
          <w:rStyle w:val="FootnoteReference"/>
        </w:rPr>
        <w:footnoteRef/>
      </w:r>
      <w:r w:rsidR="6A35053A" w:rsidRPr="00530D57">
        <w:t xml:space="preserve"> </w:t>
      </w:r>
      <w:r w:rsidRPr="00530D57">
        <w:tab/>
      </w:r>
      <w:r w:rsidR="6A35053A" w:rsidRPr="00530D57">
        <w:t xml:space="preserve">Maxim Institute. Similarly, Ratonga Wawao ā-Tūmatanui | </w:t>
      </w:r>
      <w:r w:rsidR="6A35053A" w:rsidRPr="00530D57">
        <w:rPr>
          <w:rFonts w:cs="Segoe UI"/>
        </w:rPr>
        <w:t>Public Defence Service suggested the level of weight given to the aggravating factor would no doubt reflect the level of motivation.</w:t>
      </w:r>
    </w:p>
  </w:footnote>
  <w:footnote w:id="335">
    <w:p w14:paraId="76A33679" w14:textId="39ED62E0"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Ratonga Wawao ā-Tūmatanui | Public Defence Service.</w:t>
      </w:r>
    </w:p>
  </w:footnote>
  <w:footnote w:id="336">
    <w:p w14:paraId="6E6DACE6" w14:textId="2B250E33"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Te Kāhui Ture o Aotearoa | New Zealand Law Society.</w:t>
      </w:r>
    </w:p>
  </w:footnote>
  <w:footnote w:id="337">
    <w:p w14:paraId="008EF7F5" w14:textId="2ED6E22F" w:rsidR="00D072C8" w:rsidRPr="00530D57" w:rsidRDefault="00D072C8" w:rsidP="6A35053A">
      <w:pPr>
        <w:pStyle w:val="FootnoteText"/>
      </w:pPr>
      <w:r w:rsidRPr="00530D57">
        <w:rPr>
          <w:rStyle w:val="FootnoteReference"/>
        </w:rPr>
        <w:footnoteRef/>
      </w:r>
      <w:r w:rsidR="6A35053A" w:rsidRPr="00530D57">
        <w:t xml:space="preserve"> </w:t>
      </w:r>
      <w:r w:rsidRPr="00530D57">
        <w:tab/>
      </w:r>
      <w:r w:rsidR="6A35053A" w:rsidRPr="00530D57">
        <w:t>Luke Cunningham Clere; and Maxim Institute.</w:t>
      </w:r>
    </w:p>
  </w:footnote>
  <w:footnote w:id="338">
    <w:p w14:paraId="07CB23FC" w14:textId="43E70A7D"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Luke Cunningham Clere; and Maxim Institute.</w:t>
      </w:r>
    </w:p>
  </w:footnote>
  <w:footnote w:id="339">
    <w:p w14:paraId="173033F2" w14:textId="77777777" w:rsidR="00D072C8" w:rsidRPr="00530D57" w:rsidRDefault="00D072C8" w:rsidP="6A35053A">
      <w:pPr>
        <w:pStyle w:val="FootnoteText"/>
      </w:pPr>
      <w:r w:rsidRPr="00530D57">
        <w:rPr>
          <w:rStyle w:val="FootnoteReference"/>
        </w:rPr>
        <w:footnoteRef/>
      </w:r>
      <w:r w:rsidR="6A35053A" w:rsidRPr="00530D57">
        <w:t xml:space="preserve"> </w:t>
      </w:r>
      <w:r w:rsidRPr="00530D57">
        <w:tab/>
      </w:r>
      <w:r w:rsidR="6A35053A" w:rsidRPr="00530D57">
        <w:t>Maxim Institute.</w:t>
      </w:r>
    </w:p>
  </w:footnote>
  <w:footnote w:id="340">
    <w:p w14:paraId="4074A8E5" w14:textId="2122BAB6"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rPr>
          <w:rFonts w:cs="Segoe UI"/>
        </w:rPr>
        <w:t>Madeline Ash; Te Tari Ture o te Karauna | Crown Law; Luke Cunningham Clere; Maxim Institute; Te Kāhui Ture o Aotearoa | New Zealand Law Society;</w:t>
      </w:r>
      <w:r w:rsidR="00FF0FAB">
        <w:rPr>
          <w:rFonts w:cs="Segoe UI"/>
        </w:rPr>
        <w:t xml:space="preserve"> </w:t>
      </w:r>
      <w:r w:rsidR="6A35053A" w:rsidRPr="00530D57">
        <w:rPr>
          <w:rFonts w:cs="Segoe UI"/>
        </w:rPr>
        <w:t>Ratonga Wawao ā-Tūmatanui | Public Defence Service; and Submission 11.</w:t>
      </w:r>
    </w:p>
  </w:footnote>
  <w:footnote w:id="341">
    <w:p w14:paraId="528BC06D" w14:textId="027C7545" w:rsidR="00945E8A" w:rsidRPr="00530D57" w:rsidRDefault="00945E8A">
      <w:pPr>
        <w:pStyle w:val="FootnoteText"/>
      </w:pPr>
      <w:r w:rsidRPr="00530D57">
        <w:rPr>
          <w:rStyle w:val="FootnoteReference"/>
        </w:rPr>
        <w:footnoteRef/>
      </w:r>
      <w:r w:rsidR="6A35053A" w:rsidRPr="00530D57">
        <w:t xml:space="preserve"> </w:t>
      </w:r>
      <w:r w:rsidRPr="00530D57">
        <w:tab/>
      </w:r>
      <w:r w:rsidR="6A35053A" w:rsidRPr="00530D57">
        <w:t>Graeme Edgeler; Rex Landy; and Women’s Rights Party.</w:t>
      </w:r>
    </w:p>
  </w:footnote>
  <w:footnote w:id="342">
    <w:p w14:paraId="17367CB7" w14:textId="4E7CF20B" w:rsidR="00D23F0C" w:rsidRPr="00530D57" w:rsidRDefault="00D23F0C" w:rsidP="6A35053A">
      <w:pPr>
        <w:pStyle w:val="FootnoteText"/>
      </w:pPr>
      <w:r w:rsidRPr="00530D57">
        <w:rPr>
          <w:rStyle w:val="FootnoteReference"/>
        </w:rPr>
        <w:footnoteRef/>
      </w:r>
      <w:r w:rsidRPr="00530D57">
        <w:tab/>
      </w:r>
      <w:r w:rsidR="6A35053A" w:rsidRPr="00530D57">
        <w:t>New Zealand Federation of Business and Professional Women; Tamsen Williams; and Women’s Rights Party.</w:t>
      </w:r>
    </w:p>
  </w:footnote>
  <w:footnote w:id="343">
    <w:p w14:paraId="692DB7D2" w14:textId="1C7ACA1E" w:rsidR="00D072C8" w:rsidRPr="00530D57" w:rsidRDefault="00D072C8" w:rsidP="6A35053A">
      <w:pPr>
        <w:pStyle w:val="FootnoteText"/>
      </w:pPr>
      <w:r w:rsidRPr="00530D57">
        <w:rPr>
          <w:rStyle w:val="FootnoteReference"/>
        </w:rPr>
        <w:footnoteRef/>
      </w:r>
      <w:r w:rsidR="6A35053A" w:rsidRPr="00530D57">
        <w:t xml:space="preserve"> </w:t>
      </w:r>
      <w:r w:rsidRPr="00530D57">
        <w:tab/>
      </w:r>
      <w:r w:rsidR="6A35053A" w:rsidRPr="00530D57">
        <w:t xml:space="preserve">Graeme Edgeler; and Maxim Institute. Although Graeme Edgeler noted this would not necessarily be worth doing if it was the only change we </w:t>
      </w:r>
      <w:r w:rsidR="00CE279E">
        <w:t>recommended</w:t>
      </w:r>
      <w:r w:rsidR="6A35053A" w:rsidRPr="00530D57">
        <w:t xml:space="preserve"> to the aggravating factor.</w:t>
      </w:r>
    </w:p>
  </w:footnote>
  <w:footnote w:id="344">
    <w:p w14:paraId="19F1D573" w14:textId="0E93E473"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Submission 11.</w:t>
      </w:r>
    </w:p>
  </w:footnote>
  <w:footnote w:id="345">
    <w:p w14:paraId="13C30C12" w14:textId="77777777" w:rsidR="00944DA1" w:rsidRPr="00530D57" w:rsidRDefault="00944DA1" w:rsidP="00944DA1">
      <w:pPr>
        <w:pStyle w:val="FootnoteText"/>
      </w:pPr>
      <w:r w:rsidRPr="00530D57">
        <w:rPr>
          <w:rStyle w:val="FootnoteReference"/>
        </w:rPr>
        <w:footnoteRef/>
      </w:r>
      <w:r w:rsidRPr="00530D57">
        <w:t xml:space="preserve"> </w:t>
      </w:r>
      <w:r w:rsidRPr="00530D57">
        <w:tab/>
        <w:t>Submission 77.</w:t>
      </w:r>
    </w:p>
  </w:footnote>
  <w:footnote w:id="346">
    <w:p w14:paraId="6D964E4D" w14:textId="22650610"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Te Tari Ture o te Karauna | Crown Law; Graeme Edgeler; and Dr David Harvey.</w:t>
      </w:r>
    </w:p>
  </w:footnote>
  <w:footnote w:id="347">
    <w:p w14:paraId="3A46E2A6" w14:textId="0B27EFC1"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New Zealand Federation of Business and Professional Women; Tamsen Williams; and Women’s Rights Party.</w:t>
      </w:r>
    </w:p>
  </w:footnote>
  <w:footnote w:id="348">
    <w:p w14:paraId="44A26F99" w14:textId="16A98D16"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 xml:space="preserve">Grace Carroll; Luke Cunningham Clere; </w:t>
      </w:r>
      <w:r w:rsidR="6A35053A" w:rsidRPr="00530D57">
        <w:rPr>
          <w:rFonts w:cs="Segoe UI"/>
        </w:rPr>
        <w:t xml:space="preserve">Dr Kyle R Matthews; and </w:t>
      </w:r>
      <w:r w:rsidR="00C36EF6">
        <w:t>The Law Association of New Zealand Criminal Law Committee</w:t>
      </w:r>
      <w:r w:rsidR="6A35053A" w:rsidRPr="00530D57">
        <w:t>.</w:t>
      </w:r>
    </w:p>
  </w:footnote>
  <w:footnote w:id="349">
    <w:p w14:paraId="26A01B2C" w14:textId="7B576162"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 xml:space="preserve">Grace Carroll; Luke Cunningham Clere and </w:t>
      </w:r>
      <w:r w:rsidR="00C36EF6">
        <w:t>The Law Association of New Zealand Criminal Law Committee</w:t>
      </w:r>
      <w:r w:rsidR="6A35053A" w:rsidRPr="00530D57">
        <w:t>.</w:t>
      </w:r>
    </w:p>
  </w:footnote>
  <w:footnote w:id="350">
    <w:p w14:paraId="673F319C" w14:textId="3EDFB03F" w:rsidR="00D072C8" w:rsidRPr="00530D57" w:rsidRDefault="00D072C8" w:rsidP="6A35053A">
      <w:pPr>
        <w:pStyle w:val="FootnoteText"/>
      </w:pPr>
      <w:r w:rsidRPr="00530D57">
        <w:rPr>
          <w:rStyle w:val="FootnoteReference"/>
        </w:rPr>
        <w:footnoteRef/>
      </w:r>
      <w:r w:rsidR="6A35053A" w:rsidRPr="00530D57">
        <w:t xml:space="preserve"> </w:t>
      </w:r>
      <w:r w:rsidRPr="00530D57">
        <w:tab/>
      </w:r>
      <w:r w:rsidR="6A35053A" w:rsidRPr="00530D57">
        <w:t>Graeme Edgeler; Te Kāhui Ture o Aotearoa | New Zealand Law Society; and Ratonga Wawao ā-Tūmatanui | Public Defence Service.</w:t>
      </w:r>
    </w:p>
  </w:footnote>
  <w:footnote w:id="351">
    <w:p w14:paraId="7E5F2A93" w14:textId="481387A4"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 xml:space="preserve">Dr Kyle R Matthews; and </w:t>
      </w:r>
      <w:r w:rsidR="00C36EF6">
        <w:t>The Law Association of New Zealand Criminal Law Committee</w:t>
      </w:r>
      <w:r w:rsidR="6A35053A" w:rsidRPr="00530D57">
        <w:t>.</w:t>
      </w:r>
    </w:p>
  </w:footnote>
  <w:footnote w:id="352">
    <w:p w14:paraId="5A3E5251" w14:textId="3CBA8C17" w:rsidR="00CF58B3" w:rsidRPr="00530D57" w:rsidRDefault="00CF58B3">
      <w:pPr>
        <w:pStyle w:val="FootnoteText"/>
      </w:pPr>
      <w:r w:rsidRPr="00530D57">
        <w:rPr>
          <w:rStyle w:val="FootnoteReference"/>
        </w:rPr>
        <w:footnoteRef/>
      </w:r>
      <w:r w:rsidR="6A35053A" w:rsidRPr="00530D57">
        <w:t xml:space="preserve"> </w:t>
      </w:r>
      <w:r w:rsidRPr="00530D57">
        <w:tab/>
      </w:r>
      <w:r w:rsidR="6A35053A" w:rsidRPr="00530D57">
        <w:t>Madeline Ash.</w:t>
      </w:r>
    </w:p>
  </w:footnote>
  <w:footnote w:id="353">
    <w:p w14:paraId="23F141BD" w14:textId="41145058" w:rsidR="00D072C8" w:rsidRPr="00530D57" w:rsidRDefault="00D072C8" w:rsidP="6A35053A">
      <w:pPr>
        <w:pStyle w:val="FootnoteText"/>
      </w:pPr>
      <w:r w:rsidRPr="00530D57">
        <w:rPr>
          <w:rStyle w:val="FootnoteReference"/>
        </w:rPr>
        <w:footnoteRef/>
      </w:r>
      <w:r w:rsidR="6A35053A" w:rsidRPr="00530D57">
        <w:t xml:space="preserve"> </w:t>
      </w:r>
      <w:r w:rsidRPr="00530D57">
        <w:tab/>
      </w:r>
      <w:r w:rsidR="6A35053A" w:rsidRPr="00530D57">
        <w:t xml:space="preserve">Madeline Ash; Russell Hoban; </w:t>
      </w:r>
      <w:r w:rsidR="004D0C06">
        <w:t>Justice for Palestine, Alternative Jewish Voices and Dayenu</w:t>
      </w:r>
      <w:r w:rsidR="6A35053A" w:rsidRPr="00530D57">
        <w:t xml:space="preserve"> (joint submission); Pride in Law Otago; </w:t>
      </w:r>
      <w:r w:rsidR="00C36EF6">
        <w:t>Te Kāhui o Ināia Tonu Nei Charitable Trust</w:t>
      </w:r>
      <w:r w:rsidR="6A35053A" w:rsidRPr="00530D57">
        <w:t xml:space="preserve">; and </w:t>
      </w:r>
      <w:r w:rsidR="00C36EF6">
        <w:t>The Law Association of New Zealand Criminal Law Committee</w:t>
      </w:r>
      <w:r w:rsidR="6A35053A" w:rsidRPr="00530D57">
        <w:t>.</w:t>
      </w:r>
    </w:p>
  </w:footnote>
  <w:footnote w:id="354">
    <w:p w14:paraId="7973BEB5" w14:textId="08A5DACE" w:rsidR="00D072C8" w:rsidRPr="00530D57" w:rsidRDefault="00D072C8" w:rsidP="00D072C8">
      <w:pPr>
        <w:pStyle w:val="FootnoteText"/>
      </w:pPr>
      <w:r w:rsidRPr="00530D57">
        <w:rPr>
          <w:rStyle w:val="FootnoteReference"/>
        </w:rPr>
        <w:footnoteRef/>
      </w:r>
      <w:r w:rsidR="6A35053A" w:rsidRPr="00530D57">
        <w:t xml:space="preserve"> </w:t>
      </w:r>
      <w:r w:rsidRPr="00530D57">
        <w:tab/>
      </w:r>
      <w:r w:rsidR="004D0C06">
        <w:t>Justice for Palestine, Alternative Jewish Voices and Dayenu</w:t>
      </w:r>
      <w:r w:rsidR="6A35053A" w:rsidRPr="00530D57">
        <w:t xml:space="preserve"> (joint submission); Pride in Law Otago; and </w:t>
      </w:r>
      <w:r w:rsidR="00C36EF6">
        <w:t>Te Kāhui o Ināia Tonu Nei Charitable Trust</w:t>
      </w:r>
      <w:r w:rsidR="6A35053A" w:rsidRPr="00530D57">
        <w:t>.</w:t>
      </w:r>
    </w:p>
  </w:footnote>
  <w:footnote w:id="355">
    <w:p w14:paraId="686817CB" w14:textId="19E88124"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 xml:space="preserve">Madeline Ash; and </w:t>
      </w:r>
      <w:r w:rsidR="00C36EF6">
        <w:t>The Law Association of New Zealand Criminal Law Committee</w:t>
      </w:r>
      <w:r w:rsidR="6A35053A" w:rsidRPr="00530D57">
        <w:t>.</w:t>
      </w:r>
    </w:p>
  </w:footnote>
  <w:footnote w:id="356">
    <w:p w14:paraId="7C65B244" w14:textId="77777777"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Russell Hoban.</w:t>
      </w:r>
    </w:p>
  </w:footnote>
  <w:footnote w:id="357">
    <w:p w14:paraId="6474CDA4" w14:textId="5E797579"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 xml:space="preserve">Madeline Ash; Russell Hoban; </w:t>
      </w:r>
      <w:r w:rsidR="004D0C06">
        <w:t>Justice for Palestine, Alternative Jewish Voices and Dayenu</w:t>
      </w:r>
      <w:r w:rsidR="6A35053A" w:rsidRPr="00530D57">
        <w:t xml:space="preserve"> (joint submission); Pride in Law Otago; and </w:t>
      </w:r>
      <w:r w:rsidR="00C36EF6">
        <w:t>The Law Association of New Zealand Criminal Law Committee</w:t>
      </w:r>
      <w:r w:rsidR="6A35053A" w:rsidRPr="00530D57">
        <w:t>.</w:t>
      </w:r>
    </w:p>
  </w:footnote>
  <w:footnote w:id="358">
    <w:p w14:paraId="7001FEFE" w14:textId="77616C17" w:rsidR="00D072C8" w:rsidRPr="00530D57" w:rsidRDefault="00D072C8" w:rsidP="00D072C8">
      <w:pPr>
        <w:pStyle w:val="FootnoteText"/>
      </w:pPr>
      <w:r w:rsidRPr="00530D57">
        <w:rPr>
          <w:rStyle w:val="FootnoteReference"/>
        </w:rPr>
        <w:footnoteRef/>
      </w:r>
      <w:r w:rsidR="6A35053A" w:rsidRPr="00530D57">
        <w:t xml:space="preserve"> </w:t>
      </w:r>
      <w:r w:rsidRPr="00530D57">
        <w:tab/>
      </w:r>
      <w:r w:rsidR="00A86A25" w:rsidRPr="00530D57">
        <w:t xml:space="preserve">Annette Sykes &amp; Co; and </w:t>
      </w:r>
      <w:r w:rsidR="6A35053A" w:rsidRPr="00530D57">
        <w:t>Submission 90.</w:t>
      </w:r>
    </w:p>
  </w:footnote>
  <w:footnote w:id="359">
    <w:p w14:paraId="17A03E20" w14:textId="20BC0E25"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 xml:space="preserve">Dr David Harvey; and </w:t>
      </w:r>
      <w:r w:rsidR="00C36EF6">
        <w:t>The Law Association of New Zealand Public and Administrative Law Committee</w:t>
      </w:r>
      <w:r w:rsidR="6A35053A" w:rsidRPr="00530D57">
        <w:t>.</w:t>
      </w:r>
    </w:p>
  </w:footnote>
  <w:footnote w:id="360">
    <w:p w14:paraId="797C222B" w14:textId="513C3FD5"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 xml:space="preserve">Dr David Harvey; </w:t>
      </w:r>
      <w:r w:rsidR="004D0C06">
        <w:t>Justice for Palestine, Alternative Jewish Voices and Dayenu</w:t>
      </w:r>
      <w:r w:rsidR="6A35053A" w:rsidRPr="00530D57">
        <w:t xml:space="preserve"> (joint submission); Dr Kyle R Matthews; Pride in Law Otago; and </w:t>
      </w:r>
      <w:r w:rsidR="00C36EF6">
        <w:t>Te Kāhui o Ināia Tonu Nei Charitable Trust</w:t>
      </w:r>
      <w:r w:rsidR="6A35053A" w:rsidRPr="00530D57">
        <w:t>.</w:t>
      </w:r>
    </w:p>
  </w:footnote>
  <w:footnote w:id="361">
    <w:p w14:paraId="2A37D5F1" w14:textId="7657EA8F"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Destiny Church; Roelle van Rijs; and Dr John McDonald-Wharry.</w:t>
      </w:r>
    </w:p>
  </w:footnote>
  <w:footnote w:id="362">
    <w:p w14:paraId="3B173E04" w14:textId="77777777"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Free Speech Union.</w:t>
      </w:r>
    </w:p>
  </w:footnote>
  <w:footnote w:id="363">
    <w:p w14:paraId="05B2F387" w14:textId="77777777"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Dr Kyle R Matthews.</w:t>
      </w:r>
    </w:p>
  </w:footnote>
  <w:footnote w:id="364">
    <w:p w14:paraId="3D352DE0" w14:textId="32808EE1" w:rsidR="00D072C8" w:rsidRPr="00530D57" w:rsidRDefault="00D072C8" w:rsidP="00D072C8">
      <w:pPr>
        <w:pStyle w:val="FootnoteText"/>
      </w:pPr>
      <w:r w:rsidRPr="00530D57">
        <w:rPr>
          <w:rStyle w:val="FootnoteReference"/>
        </w:rPr>
        <w:footnoteRef/>
      </w:r>
      <w:r w:rsidR="6A35053A" w:rsidRPr="00530D57">
        <w:t xml:space="preserve"> </w:t>
      </w:r>
      <w:r w:rsidRPr="00530D57">
        <w:tab/>
      </w:r>
      <w:r w:rsidR="00C36EF6">
        <w:t>The Law Association of New Zealand Criminal Law Committee</w:t>
      </w:r>
      <w:r w:rsidR="6A35053A" w:rsidRPr="00530D57">
        <w:t>.</w:t>
      </w:r>
    </w:p>
  </w:footnote>
  <w:footnote w:id="365">
    <w:p w14:paraId="3C2DCE2E" w14:textId="77777777"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Madeline Ash.</w:t>
      </w:r>
    </w:p>
  </w:footnote>
  <w:footnote w:id="366">
    <w:p w14:paraId="444B9274" w14:textId="32BA4261"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Whaikaha | Ministry of Disabled People; and Ratonga Wawao ā-Tūmatanui | Public Defence Service.</w:t>
      </w:r>
    </w:p>
  </w:footnote>
  <w:footnote w:id="367">
    <w:p w14:paraId="223E3A85" w14:textId="450704CB"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Whaikaha | Ministry of Disabled People.</w:t>
      </w:r>
    </w:p>
  </w:footnote>
  <w:footnote w:id="368">
    <w:p w14:paraId="4857B3A4" w14:textId="6450138A" w:rsidR="00D072C8" w:rsidRPr="00530D57" w:rsidRDefault="00D072C8" w:rsidP="00D072C8">
      <w:pPr>
        <w:pStyle w:val="FootnoteText"/>
      </w:pPr>
      <w:r w:rsidRPr="00530D57">
        <w:rPr>
          <w:rStyle w:val="FootnoteReference"/>
        </w:rPr>
        <w:footnoteRef/>
      </w:r>
      <w:r w:rsidR="6A35053A" w:rsidRPr="00530D57">
        <w:t xml:space="preserve"> </w:t>
      </w:r>
      <w:r w:rsidRPr="00530D57">
        <w:tab/>
      </w:r>
      <w:r w:rsidR="00C36EF6">
        <w:t>Te Kāhui o Ināia Tonu Nei Charitable Trust</w:t>
      </w:r>
      <w:r w:rsidR="6A35053A" w:rsidRPr="00530D57">
        <w:t>. See also Luke Cunningham Clere, which suggested victimisation surveys could provide better trend modelling.</w:t>
      </w:r>
    </w:p>
  </w:footnote>
  <w:footnote w:id="369">
    <w:p w14:paraId="679384AD" w14:textId="7FF6A51D" w:rsidR="00D072C8" w:rsidRPr="00530D57" w:rsidRDefault="00D072C8" w:rsidP="00D072C8">
      <w:pPr>
        <w:pStyle w:val="FootnoteText"/>
      </w:pPr>
      <w:r w:rsidRPr="00530D57">
        <w:rPr>
          <w:rStyle w:val="FootnoteReference"/>
        </w:rPr>
        <w:footnoteRef/>
      </w:r>
      <w:r w:rsidR="6A35053A" w:rsidRPr="00530D57">
        <w:t xml:space="preserve"> </w:t>
      </w:r>
      <w:r w:rsidRPr="00530D57">
        <w:tab/>
        <w:t>Annette Sykes &amp; Co</w:t>
      </w:r>
      <w:r w:rsidR="00993245" w:rsidRPr="00530D57">
        <w:t>;</w:t>
      </w:r>
      <w:r w:rsidRPr="00530D57">
        <w:t xml:space="preserve"> and </w:t>
      </w:r>
      <w:r w:rsidR="00C36EF6">
        <w:t>Te Kāhui o Ināia Tonu Nei Charitable Trust</w:t>
      </w:r>
      <w:r w:rsidR="00993245" w:rsidRPr="00530D57">
        <w:t>.</w:t>
      </w:r>
    </w:p>
  </w:footnote>
  <w:footnote w:id="370">
    <w:p w14:paraId="2155C27B" w14:textId="040058B8"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Te Kāhui Ture o Aotearoa | New Zealand Law Society.</w:t>
      </w:r>
    </w:p>
  </w:footnote>
  <w:footnote w:id="371">
    <w:p w14:paraId="7212B628" w14:textId="3B15E3FB"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New Zealand Jewish Council.</w:t>
      </w:r>
    </w:p>
  </w:footnote>
  <w:footnote w:id="372">
    <w:p w14:paraId="52E315B1" w14:textId="2A51ABC9"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New Zealand Jewish Council.</w:t>
      </w:r>
    </w:p>
  </w:footnote>
  <w:footnote w:id="373">
    <w:p w14:paraId="6CC3F633" w14:textId="12F638FF" w:rsidR="00D072C8" w:rsidRPr="00530D57" w:rsidRDefault="00D072C8" w:rsidP="00D072C8">
      <w:pPr>
        <w:pStyle w:val="FootnoteText"/>
      </w:pPr>
      <w:r w:rsidRPr="00530D57">
        <w:rPr>
          <w:rStyle w:val="FootnoteReference"/>
        </w:rPr>
        <w:footnoteRef/>
      </w:r>
      <w:r w:rsidR="6A35053A" w:rsidRPr="00530D57">
        <w:t xml:space="preserve"> </w:t>
      </w:r>
      <w:r w:rsidRPr="00530D57">
        <w:tab/>
      </w:r>
      <w:r w:rsidR="6A35053A" w:rsidRPr="00530D57">
        <w:t>Dr Sanjana Hattotuwa; and Dr Mark Walters.</w:t>
      </w:r>
    </w:p>
  </w:footnote>
  <w:footnote w:id="374">
    <w:p w14:paraId="34C8E6A2" w14:textId="244ED288" w:rsidR="00D072C8" w:rsidRPr="00530D57" w:rsidRDefault="00D072C8" w:rsidP="00D072C8">
      <w:pPr>
        <w:pStyle w:val="FootnoteText"/>
      </w:pPr>
      <w:r w:rsidRPr="00530D57">
        <w:rPr>
          <w:rStyle w:val="FootnoteReference"/>
        </w:rPr>
        <w:footnoteRef/>
      </w:r>
      <w:r w:rsidR="6A35053A" w:rsidRPr="00530D57">
        <w:t xml:space="preserve"> </w:t>
      </w:r>
      <w:r w:rsidRPr="00530D57">
        <w:tab/>
      </w:r>
      <w:r w:rsidR="004D0C06">
        <w:t>Justice for Palestine, Alternative Jewish Voices and Dayenu</w:t>
      </w:r>
      <w:r w:rsidR="6A35053A" w:rsidRPr="00530D57">
        <w:t xml:space="preserve"> (joint submission); New Zealand Federation of Business and Professional Women; New Zealand Jewish Council; </w:t>
      </w:r>
      <w:r w:rsidR="00C36EF6">
        <w:t>The Law Association of New Zealand Criminal Law Committee</w:t>
      </w:r>
      <w:r w:rsidR="6A35053A" w:rsidRPr="00530D57">
        <w:t xml:space="preserve">; and </w:t>
      </w:r>
      <w:r w:rsidR="00C36EF6">
        <w:t>The Law Association of New Zealand Public and Administrative Law Committee</w:t>
      </w:r>
      <w:r w:rsidR="6A35053A" w:rsidRPr="00530D57">
        <w:t>.</w:t>
      </w:r>
    </w:p>
  </w:footnote>
  <w:footnote w:id="375">
    <w:p w14:paraId="1A44A21B" w14:textId="45A6B5C2" w:rsidR="00D072C8" w:rsidRPr="00530D57" w:rsidRDefault="00D072C8" w:rsidP="00D072C8">
      <w:pPr>
        <w:pStyle w:val="FootnoteText"/>
      </w:pPr>
      <w:r w:rsidRPr="00530D57">
        <w:rPr>
          <w:rStyle w:val="FootnoteReference"/>
        </w:rPr>
        <w:footnoteRef/>
      </w:r>
      <w:r w:rsidR="6A35053A" w:rsidRPr="00530D57">
        <w:t xml:space="preserve"> </w:t>
      </w:r>
      <w:r w:rsidRPr="00530D57">
        <w:tab/>
      </w:r>
      <w:r w:rsidR="00C36EF6">
        <w:t>The Law Association of New Zealand Criminal Law Committee</w:t>
      </w:r>
      <w:r w:rsidR="6A35053A" w:rsidRPr="00530D57">
        <w:t xml:space="preserve">; and </w:t>
      </w:r>
      <w:r w:rsidR="00C36EF6">
        <w:t>The Law Association of New Zealand Public and Administrative Law Committee</w:t>
      </w:r>
      <w:r w:rsidR="6A35053A" w:rsidRPr="00530D57">
        <w:t>.</w:t>
      </w:r>
    </w:p>
  </w:footnote>
  <w:footnote w:id="376">
    <w:p w14:paraId="0D8D580C" w14:textId="6B685EDE" w:rsidR="005F0830" w:rsidRPr="00530D57" w:rsidRDefault="005F0830" w:rsidP="005F0830">
      <w:pPr>
        <w:pStyle w:val="FootnoteText"/>
      </w:pPr>
      <w:r w:rsidRPr="00530D57">
        <w:rPr>
          <w:rStyle w:val="FootnoteReference"/>
        </w:rPr>
        <w:footnoteRef/>
      </w:r>
      <w:r w:rsidR="6A35053A" w:rsidRPr="00530D57">
        <w:t xml:space="preserve"> </w:t>
      </w:r>
      <w:r w:rsidRPr="00530D57">
        <w:tab/>
      </w:r>
      <w:r w:rsidR="6A35053A" w:rsidRPr="00530D57">
        <w:t>Madeline Ash; Disabled Persons Assembly and VisAble (joint submission); Donald Beasley Institute and People First New Zealand (joint submission); Grey Power New Zealand; Ruth Jones; Amos Mann; Submission 26; Submission 43; Submission 77; and Dr Chris Wilson.</w:t>
      </w:r>
    </w:p>
  </w:footnote>
  <w:footnote w:id="377">
    <w:p w14:paraId="02776A21" w14:textId="7F68E0F8" w:rsidR="005F0830" w:rsidRPr="00530D57" w:rsidRDefault="005F0830" w:rsidP="005F0830">
      <w:pPr>
        <w:pStyle w:val="FootnoteText"/>
      </w:pPr>
      <w:r w:rsidRPr="00530D57">
        <w:rPr>
          <w:rStyle w:val="FootnoteReference"/>
        </w:rPr>
        <w:footnoteRef/>
      </w:r>
      <w:r w:rsidR="6A35053A" w:rsidRPr="00530D57">
        <w:t xml:space="preserve"> </w:t>
      </w:r>
      <w:r w:rsidRPr="00530D57">
        <w:tab/>
      </w:r>
      <w:r w:rsidR="6A35053A" w:rsidRPr="00530D57">
        <w:t xml:space="preserve">Dr Sanjana Hattotuwa; Russell Hoban; </w:t>
      </w:r>
      <w:r w:rsidR="00153C2D">
        <w:t>Inclusive Aotearoa Collective Tāhono</w:t>
      </w:r>
      <w:r w:rsidR="6A35053A" w:rsidRPr="00530D57">
        <w:t xml:space="preserve">; </w:t>
      </w:r>
      <w:r w:rsidR="00FD211C">
        <w:t>Parents of Vision Impaired</w:t>
      </w:r>
      <w:r w:rsidR="6A35053A" w:rsidRPr="00530D57">
        <w:t>; and Murray Stirling.</w:t>
      </w:r>
    </w:p>
  </w:footnote>
  <w:footnote w:id="378">
    <w:p w14:paraId="3A2F1615" w14:textId="1D1D5B83" w:rsidR="005F0830" w:rsidRPr="00530D57" w:rsidRDefault="005F0830" w:rsidP="005F0830">
      <w:pPr>
        <w:pStyle w:val="FootnoteText"/>
      </w:pPr>
      <w:r w:rsidRPr="00530D57">
        <w:rPr>
          <w:rStyle w:val="FootnoteReference"/>
        </w:rPr>
        <w:footnoteRef/>
      </w:r>
      <w:r w:rsidR="6A35053A" w:rsidRPr="00530D57">
        <w:t xml:space="preserve"> </w:t>
      </w:r>
      <w:r w:rsidRPr="00530D57">
        <w:tab/>
      </w:r>
      <w:r w:rsidR="6A35053A" w:rsidRPr="00530D57">
        <w:t xml:space="preserve">Disabled Persons Assembly and VisAble (joint submission); Dr Kyle R Matthews; </w:t>
      </w:r>
      <w:r w:rsidR="00C36EF6">
        <w:t>The Law Association of New Zealand Criminal Law Committee</w:t>
      </w:r>
      <w:r w:rsidR="6A35053A" w:rsidRPr="00530D57">
        <w:t>; Dr Mark Walters; and Tamsen Williams.</w:t>
      </w:r>
    </w:p>
  </w:footnote>
  <w:footnote w:id="379">
    <w:p w14:paraId="3B6EEFE9" w14:textId="43AF056D" w:rsidR="005F0830" w:rsidRPr="00530D57" w:rsidRDefault="005F0830" w:rsidP="005F0830">
      <w:pPr>
        <w:pStyle w:val="FootnoteText"/>
      </w:pPr>
      <w:r w:rsidRPr="00530D57">
        <w:rPr>
          <w:rStyle w:val="FootnoteReference"/>
        </w:rPr>
        <w:footnoteRef/>
      </w:r>
      <w:r w:rsidR="6A35053A" w:rsidRPr="00530D57">
        <w:t xml:space="preserve"> </w:t>
      </w:r>
      <w:r w:rsidRPr="00530D57">
        <w:tab/>
      </w:r>
      <w:r w:rsidR="6A35053A" w:rsidRPr="00530D57">
        <w:t xml:space="preserve">Madeline Ash; Dr Sanjana Hattotuwa; </w:t>
      </w:r>
      <w:r w:rsidR="00153C2D">
        <w:t>Inclusive Aotearoa Collective Tāhono</w:t>
      </w:r>
      <w:r w:rsidR="6A35053A" w:rsidRPr="00530D57">
        <w:t>; Murray Stirling; and Dr Chris Wilson.</w:t>
      </w:r>
    </w:p>
  </w:footnote>
  <w:footnote w:id="380">
    <w:p w14:paraId="29F684AE" w14:textId="3076A88A" w:rsidR="005F0830" w:rsidRPr="00530D57" w:rsidRDefault="005F0830" w:rsidP="6A35053A">
      <w:pPr>
        <w:pStyle w:val="FootnoteText"/>
      </w:pPr>
      <w:r w:rsidRPr="00530D57">
        <w:rPr>
          <w:rStyle w:val="FootnoteReference"/>
        </w:rPr>
        <w:footnoteRef/>
      </w:r>
      <w:r w:rsidR="6A35053A" w:rsidRPr="00530D57">
        <w:t xml:space="preserve"> </w:t>
      </w:r>
      <w:r w:rsidRPr="00530D57">
        <w:tab/>
      </w:r>
      <w:r w:rsidR="6A35053A" w:rsidRPr="00530D57">
        <w:t xml:space="preserve">Madeline Ash; Disabled Persons Assembly and VisAble (joint submission); Dr Sanjana Hattotuwa; Submission 43; </w:t>
      </w:r>
      <w:r w:rsidR="00C36EF6">
        <w:t>The Law Association of New Zealand Criminal Law Committee</w:t>
      </w:r>
      <w:r w:rsidR="6A35053A" w:rsidRPr="00530D57">
        <w:t>; and Dr Chris Wilson.</w:t>
      </w:r>
    </w:p>
  </w:footnote>
  <w:footnote w:id="381">
    <w:p w14:paraId="714CC22D" w14:textId="6B520687" w:rsidR="005F0830" w:rsidRPr="00530D57" w:rsidRDefault="005F0830" w:rsidP="005F0830">
      <w:pPr>
        <w:pStyle w:val="FootnoteText"/>
      </w:pPr>
      <w:r w:rsidRPr="00530D57">
        <w:rPr>
          <w:rStyle w:val="FootnoteReference"/>
        </w:rPr>
        <w:footnoteRef/>
      </w:r>
      <w:r w:rsidR="6A35053A" w:rsidRPr="00530D57">
        <w:t xml:space="preserve"> </w:t>
      </w:r>
      <w:r w:rsidRPr="00530D57">
        <w:tab/>
      </w:r>
      <w:r w:rsidR="00C36EF6">
        <w:t>The Law Association of New Zealand Criminal Law Committee</w:t>
      </w:r>
      <w:r w:rsidR="6A35053A" w:rsidRPr="00530D57">
        <w:t>; and Dr Mark Walters. See also the submission of Members of Te Hunga Rōia Māori o Aotearoa, which made a similar point but did not take a clear position on whether the legal model should be changed.</w:t>
      </w:r>
    </w:p>
  </w:footnote>
  <w:footnote w:id="382">
    <w:p w14:paraId="28C236AE" w14:textId="30E1E615" w:rsidR="005F0830" w:rsidRPr="00530D57" w:rsidRDefault="005F0830" w:rsidP="005F0830">
      <w:pPr>
        <w:pStyle w:val="FootnoteText"/>
      </w:pPr>
      <w:r w:rsidRPr="00530D57">
        <w:rPr>
          <w:rStyle w:val="FootnoteReference"/>
        </w:rPr>
        <w:footnoteRef/>
      </w:r>
      <w:r w:rsidR="6A35053A" w:rsidRPr="00530D57">
        <w:t xml:space="preserve"> </w:t>
      </w:r>
      <w:r w:rsidRPr="00530D57">
        <w:tab/>
      </w:r>
      <w:r w:rsidR="6A35053A" w:rsidRPr="00530D57">
        <w:t xml:space="preserve">Madeline Ash; </w:t>
      </w:r>
      <w:r w:rsidR="00C36EF6">
        <w:t>The Law Association of New Zealand Criminal Law Committee</w:t>
      </w:r>
      <w:r w:rsidR="6A35053A" w:rsidRPr="00530D57">
        <w:t>; and Dr Mark Walters.</w:t>
      </w:r>
    </w:p>
  </w:footnote>
  <w:footnote w:id="383">
    <w:p w14:paraId="3DB86E47" w14:textId="7FD29A40" w:rsidR="005F0830" w:rsidRPr="00530D57" w:rsidRDefault="005F0830" w:rsidP="005F0830">
      <w:pPr>
        <w:pStyle w:val="FootnoteText"/>
      </w:pPr>
      <w:r w:rsidRPr="00530D57">
        <w:rPr>
          <w:rStyle w:val="FootnoteReference"/>
        </w:rPr>
        <w:footnoteRef/>
      </w:r>
      <w:r w:rsidR="6A35053A" w:rsidRPr="00530D57">
        <w:t xml:space="preserve"> </w:t>
      </w:r>
      <w:r w:rsidRPr="00530D57">
        <w:tab/>
      </w:r>
      <w:r w:rsidR="6A35053A" w:rsidRPr="00530D57">
        <w:t xml:space="preserve">Kevin Bird; </w:t>
      </w:r>
      <w:r w:rsidR="00C36EF6">
        <w:t>Dr David Bromell</w:t>
      </w:r>
      <w:r w:rsidR="6A35053A" w:rsidRPr="00530D57">
        <w:t xml:space="preserve">; Destiny Church; Family First; Free Speech Union; Ken Gorbey; Dr David Harvey; Brian Jones; David Le Breton; Luke Cunningham Clere; Lesbian Action for Visibility in Aotearoa; Maxim Institute; New Zealand Federation of Business and Professional Women; New Zealand Jewish Council; Te Kāhui Ture o Aotearoa | New Zealand Law Society; Tim O’Sullivan; Pride in Law Otago; Ratonga Wawao ā-Tūmatanui | Public Defence Service; Greg Rzesniowiecki; Submission 11; Submission 51; </w:t>
      </w:r>
      <w:r w:rsidR="003743D7" w:rsidRPr="00530D57">
        <w:t xml:space="preserve">Submission 55; </w:t>
      </w:r>
      <w:r w:rsidR="6A35053A" w:rsidRPr="00530D57">
        <w:t xml:space="preserve">Submission 56; Submission 57; Submission 58; Submission 63; Submission 66; Submission 72; Submission 85; Submission 88; Submission 90; </w:t>
      </w:r>
      <w:r w:rsidR="00C36EF6">
        <w:t>Te Kāhui o Ināia Tonu Nei Charitable Trust</w:t>
      </w:r>
      <w:r w:rsidR="6A35053A" w:rsidRPr="00530D57">
        <w:t xml:space="preserve">; </w:t>
      </w:r>
      <w:r w:rsidR="00C36EF6">
        <w:t>The Law Association of New Zealand Public and Administrative Law Committee</w:t>
      </w:r>
      <w:r w:rsidR="6A35053A" w:rsidRPr="00530D57">
        <w:t>; Roelie van Rijs; Peter Williamson; Women’s Rights Party; and Rod Young.</w:t>
      </w:r>
    </w:p>
  </w:footnote>
  <w:footnote w:id="384">
    <w:p w14:paraId="676B750E" w14:textId="0B487333" w:rsidR="005F0830" w:rsidRPr="00530D57" w:rsidRDefault="005F0830" w:rsidP="005F0830">
      <w:pPr>
        <w:pStyle w:val="FootnoteText"/>
      </w:pPr>
      <w:r w:rsidRPr="00530D57">
        <w:rPr>
          <w:rStyle w:val="FootnoteReference"/>
        </w:rPr>
        <w:footnoteRef/>
      </w:r>
      <w:r w:rsidR="6A35053A" w:rsidRPr="00530D57">
        <w:t xml:space="preserve"> </w:t>
      </w:r>
      <w:r w:rsidRPr="00530D57">
        <w:tab/>
      </w:r>
      <w:r w:rsidR="00C36EF6">
        <w:t>Dr David Bromell</w:t>
      </w:r>
      <w:r w:rsidR="6A35053A" w:rsidRPr="00530D57">
        <w:t xml:space="preserve">; Destiny Church; Free Speech Union; Dr David Harvey; Luke Cunningham Clere; Pride in Law Otago; Ratonga Wawao ā-Tūmatanui | Public Defence Service; Greg Rzesniowiecki; Submission 58; Submission 63; Submission 72; Submission 85; Submission 88; Submission 90; and </w:t>
      </w:r>
      <w:r w:rsidR="00C36EF6">
        <w:t>The Law Association of New Zealand Public and Administrative Law Committee</w:t>
      </w:r>
      <w:r w:rsidR="6A35053A" w:rsidRPr="00530D57">
        <w:t xml:space="preserve">. </w:t>
      </w:r>
    </w:p>
  </w:footnote>
  <w:footnote w:id="385">
    <w:p w14:paraId="20767D12" w14:textId="565803AB" w:rsidR="005F0830" w:rsidRPr="00530D57" w:rsidRDefault="005F0830" w:rsidP="005F0830">
      <w:pPr>
        <w:pStyle w:val="FootnoteText"/>
      </w:pPr>
      <w:r w:rsidRPr="00530D57">
        <w:rPr>
          <w:rStyle w:val="FootnoteReference"/>
        </w:rPr>
        <w:footnoteRef/>
      </w:r>
      <w:r w:rsidR="6A35053A" w:rsidRPr="00530D57">
        <w:t xml:space="preserve"> </w:t>
      </w:r>
      <w:r w:rsidRPr="00530D57">
        <w:tab/>
      </w:r>
      <w:r w:rsidR="6A35053A" w:rsidRPr="00530D57">
        <w:t>Ratonga Wawao ā-Tūmatanui | Public Defence Service; Greg Rzesniowiecki; Submission 51; Submission 57; Submission 72; Submission 90; Peter Williamson; and Rod Young.</w:t>
      </w:r>
    </w:p>
  </w:footnote>
  <w:footnote w:id="386">
    <w:p w14:paraId="7CA8CCFD" w14:textId="1ED6BDAE" w:rsidR="005F0830" w:rsidRPr="00530D57" w:rsidRDefault="005F0830" w:rsidP="005F0830">
      <w:pPr>
        <w:pStyle w:val="FootnoteText"/>
      </w:pPr>
      <w:r w:rsidRPr="00530D57">
        <w:rPr>
          <w:rStyle w:val="FootnoteReference"/>
        </w:rPr>
        <w:footnoteRef/>
      </w:r>
      <w:r w:rsidR="6A35053A" w:rsidRPr="00530D57">
        <w:t xml:space="preserve"> </w:t>
      </w:r>
      <w:r w:rsidRPr="00530D57">
        <w:tab/>
      </w:r>
      <w:r w:rsidR="6A35053A" w:rsidRPr="00530D57">
        <w:t xml:space="preserve">Dr David Harvey; Karun Lakshman; Luke Cunningham Clere; Maxim Institute; Submission 56; and </w:t>
      </w:r>
      <w:r w:rsidR="00C36EF6">
        <w:t>The Law Association of New Zealand Public and Administrative Law Committee</w:t>
      </w:r>
      <w:r w:rsidR="6A35053A" w:rsidRPr="00530D57">
        <w:t>.</w:t>
      </w:r>
    </w:p>
  </w:footnote>
  <w:footnote w:id="387">
    <w:p w14:paraId="3DC3E00B" w14:textId="1144AE28" w:rsidR="005F0830" w:rsidRPr="00530D57" w:rsidRDefault="005F0830" w:rsidP="6A35053A">
      <w:pPr>
        <w:pStyle w:val="FootnoteText"/>
      </w:pPr>
      <w:r w:rsidRPr="00530D57">
        <w:rPr>
          <w:rStyle w:val="FootnoteReference"/>
        </w:rPr>
        <w:footnoteRef/>
      </w:r>
      <w:r w:rsidR="6A35053A" w:rsidRPr="00530D57">
        <w:t xml:space="preserve"> </w:t>
      </w:r>
      <w:r w:rsidRPr="00530D57">
        <w:tab/>
      </w:r>
      <w:r w:rsidR="00C36EF6">
        <w:t>Dr David Bromell</w:t>
      </w:r>
      <w:r w:rsidR="6A35053A" w:rsidRPr="00530D57">
        <w:t xml:space="preserve">; Dr David Harvey; Tim O’Sullivan; Pride in Law Otago; Submission 72; and </w:t>
      </w:r>
      <w:r w:rsidR="00C36EF6">
        <w:t>The Law Association of New Zealand Criminal Law Committee</w:t>
      </w:r>
      <w:r w:rsidR="6A35053A" w:rsidRPr="00530D57">
        <w:t>.</w:t>
      </w:r>
    </w:p>
  </w:footnote>
  <w:footnote w:id="388">
    <w:p w14:paraId="494A9CED" w14:textId="16230146" w:rsidR="0097165A" w:rsidRPr="00530D57" w:rsidRDefault="0097165A" w:rsidP="0097165A">
      <w:pPr>
        <w:pStyle w:val="FootnoteText"/>
      </w:pPr>
      <w:r w:rsidRPr="00530D57">
        <w:rPr>
          <w:rStyle w:val="FootnoteReference"/>
        </w:rPr>
        <w:footnoteRef/>
      </w:r>
      <w:r w:rsidR="6A35053A" w:rsidRPr="00530D57">
        <w:t xml:space="preserve"> </w:t>
      </w:r>
      <w:r w:rsidRPr="00530D57">
        <w:tab/>
      </w:r>
      <w:r w:rsidR="6A35053A" w:rsidRPr="00530D57">
        <w:t>Te Tari Ture o te Karauna | Crown Law; Maxim Institute; and New Zealand Jewish Council.</w:t>
      </w:r>
    </w:p>
  </w:footnote>
  <w:footnote w:id="389">
    <w:p w14:paraId="6E8E80D4" w14:textId="003F9C86" w:rsidR="00FE5441" w:rsidRPr="00530D57" w:rsidRDefault="00FE5441" w:rsidP="00FE5441">
      <w:pPr>
        <w:pStyle w:val="FootnoteText"/>
      </w:pPr>
      <w:r w:rsidRPr="00530D57">
        <w:rPr>
          <w:rStyle w:val="FootnoteReference"/>
        </w:rPr>
        <w:footnoteRef/>
      </w:r>
      <w:r w:rsidR="6A35053A" w:rsidRPr="00530D57">
        <w:t xml:space="preserve"> </w:t>
      </w:r>
      <w:r w:rsidRPr="00530D57">
        <w:tab/>
      </w:r>
      <w:r w:rsidR="6A35053A" w:rsidRPr="00530D57">
        <w:t xml:space="preserve">Kevin Bird; </w:t>
      </w:r>
      <w:r w:rsidR="00C36EF6">
        <w:t>Dr David Bromell</w:t>
      </w:r>
      <w:r w:rsidR="6A35053A" w:rsidRPr="00530D57">
        <w:t xml:space="preserve">; Trevor Dance; Destiny Church; Family First; Free Speech Union; Ken Gorbey; Brian Jones; Karun Lakshman; Maire Leadbeater; Lesbian Action for Visibility in Aotearoa; Tim O’Sullivan; Ratonga Wawao ā-Tūmatanui | Public Defence Service; Submission 58; Submission 63; Submission 72; Submission 76; Submission 79; Submission 88; </w:t>
      </w:r>
      <w:r w:rsidR="00C36EF6">
        <w:t>The Law Association of New Zealand Public and Administrative Law Committee</w:t>
      </w:r>
      <w:r w:rsidR="6A35053A" w:rsidRPr="00530D57">
        <w:t>; Peter Williamson; and Women‘s Rights Party.</w:t>
      </w:r>
    </w:p>
  </w:footnote>
  <w:footnote w:id="390">
    <w:p w14:paraId="452C3754" w14:textId="77777777" w:rsidR="005F0830" w:rsidRPr="00530D57" w:rsidRDefault="005F0830" w:rsidP="005F0830">
      <w:pPr>
        <w:pStyle w:val="FootnoteText"/>
      </w:pPr>
      <w:r w:rsidRPr="00530D57">
        <w:rPr>
          <w:rStyle w:val="FootnoteReference"/>
        </w:rPr>
        <w:footnoteRef/>
      </w:r>
      <w:r w:rsidR="6A35053A" w:rsidRPr="00530D57">
        <w:t xml:space="preserve"> </w:t>
      </w:r>
      <w:r w:rsidRPr="00530D57">
        <w:tab/>
      </w:r>
      <w:r w:rsidR="6A35053A" w:rsidRPr="00530D57">
        <w:t xml:space="preserve">See </w:t>
      </w:r>
      <w:r w:rsidR="6A35053A" w:rsidRPr="00530D57">
        <w:rPr>
          <w:i/>
          <w:iCs/>
        </w:rPr>
        <w:t>R v Burgess</w:t>
      </w:r>
      <w:r w:rsidR="6A35053A" w:rsidRPr="00530D57">
        <w:t xml:space="preserve"> [2022] DCR 384.</w:t>
      </w:r>
    </w:p>
  </w:footnote>
  <w:footnote w:id="391">
    <w:p w14:paraId="1F8B1990" w14:textId="2BF707B5" w:rsidR="00A04B8F" w:rsidRPr="00530D57" w:rsidRDefault="00A04B8F">
      <w:pPr>
        <w:pStyle w:val="FootnoteText"/>
      </w:pPr>
      <w:r w:rsidRPr="00530D57">
        <w:rPr>
          <w:rStyle w:val="FootnoteReference"/>
        </w:rPr>
        <w:footnoteRef/>
      </w:r>
      <w:r w:rsidR="6A35053A" w:rsidRPr="00530D57">
        <w:t xml:space="preserve"> </w:t>
      </w:r>
      <w:r w:rsidR="00BF7474" w:rsidRPr="00530D57">
        <w:tab/>
      </w:r>
      <w:r w:rsidR="00A86A25" w:rsidRPr="00530D57">
        <w:t xml:space="preserve">Annette Sykes &amp; Co; </w:t>
      </w:r>
      <w:r w:rsidR="6A35053A" w:rsidRPr="00530D57">
        <w:t xml:space="preserve">Te Kāhui Ture o Aotearoa | New Zealand Law Society; </w:t>
      </w:r>
      <w:r w:rsidR="00A86A25" w:rsidRPr="00530D57">
        <w:t xml:space="preserve">and </w:t>
      </w:r>
      <w:r w:rsidR="6A35053A" w:rsidRPr="00530D57">
        <w:t>Te Kāhui o Inaia Tonu Nei.</w:t>
      </w:r>
    </w:p>
  </w:footnote>
  <w:footnote w:id="392">
    <w:p w14:paraId="75793B7F" w14:textId="5DFD08E5" w:rsidR="00580658" w:rsidRPr="00530D57" w:rsidRDefault="00580658" w:rsidP="00580658">
      <w:pPr>
        <w:pStyle w:val="FootnoteText"/>
      </w:pPr>
      <w:r w:rsidRPr="00530D57">
        <w:rPr>
          <w:rStyle w:val="FootnoteReference"/>
        </w:rPr>
        <w:footnoteRef/>
      </w:r>
      <w:r w:rsidR="6A35053A" w:rsidRPr="00530D57">
        <w:t xml:space="preserve"> </w:t>
      </w:r>
      <w:r w:rsidRPr="00530D57">
        <w:tab/>
      </w:r>
      <w:r w:rsidR="6A35053A" w:rsidRPr="00530D57">
        <w:t xml:space="preserve">Dr David Harvey; and </w:t>
      </w:r>
      <w:r w:rsidR="00C36EF6">
        <w:t>The Law Association of New Zealand Public and Administrative Law Committee</w:t>
      </w:r>
      <w:r w:rsidR="6A35053A" w:rsidRPr="00530D57">
        <w:t>.</w:t>
      </w:r>
    </w:p>
  </w:footnote>
  <w:footnote w:id="393">
    <w:p w14:paraId="116ADA85" w14:textId="37633660" w:rsidR="00C10837" w:rsidRPr="00530D57" w:rsidRDefault="00C10837">
      <w:pPr>
        <w:pStyle w:val="FootnoteText"/>
      </w:pPr>
      <w:r w:rsidRPr="00530D57">
        <w:rPr>
          <w:rStyle w:val="FootnoteReference"/>
        </w:rPr>
        <w:footnoteRef/>
      </w:r>
      <w:r w:rsidR="6A35053A" w:rsidRPr="00530D57">
        <w:t xml:space="preserve"> </w:t>
      </w:r>
      <w:r w:rsidRPr="00530D57">
        <w:tab/>
      </w:r>
      <w:r w:rsidR="6A35053A" w:rsidRPr="00530D57">
        <w:t>Luke Cunningham Clere.</w:t>
      </w:r>
    </w:p>
  </w:footnote>
  <w:footnote w:id="394">
    <w:p w14:paraId="52E45C6F" w14:textId="7AA6D85D" w:rsidR="00294CC1" w:rsidRPr="00530D57" w:rsidRDefault="00294CC1">
      <w:pPr>
        <w:pStyle w:val="FootnoteText"/>
      </w:pPr>
      <w:r w:rsidRPr="00530D57">
        <w:rPr>
          <w:rStyle w:val="FootnoteReference"/>
        </w:rPr>
        <w:footnoteRef/>
      </w:r>
      <w:r w:rsidR="6A35053A" w:rsidRPr="00530D57">
        <w:t xml:space="preserve"> </w:t>
      </w:r>
      <w:r w:rsidRPr="00530D57">
        <w:tab/>
      </w:r>
      <w:r w:rsidR="6A35053A" w:rsidRPr="00530D57">
        <w:t>Luke Cunningham Clere; and Ratonga Wawao ā-Tūmatanui | Public Defence Service.</w:t>
      </w:r>
    </w:p>
  </w:footnote>
  <w:footnote w:id="395">
    <w:p w14:paraId="12D5070F" w14:textId="45616E23" w:rsidR="00220432" w:rsidRPr="00530D57" w:rsidRDefault="00220432">
      <w:pPr>
        <w:pStyle w:val="FootnoteText"/>
      </w:pPr>
      <w:r w:rsidRPr="00530D57">
        <w:rPr>
          <w:rStyle w:val="FootnoteReference"/>
        </w:rPr>
        <w:footnoteRef/>
      </w:r>
      <w:r w:rsidR="6A35053A" w:rsidRPr="00530D57">
        <w:t xml:space="preserve"> </w:t>
      </w:r>
      <w:r w:rsidRPr="00530D57">
        <w:tab/>
      </w:r>
      <w:r w:rsidR="6A35053A" w:rsidRPr="00530D57">
        <w:t>Ratonga Wawao ā-Tūmatanui | Public Defence Service.</w:t>
      </w:r>
    </w:p>
  </w:footnote>
  <w:footnote w:id="396">
    <w:p w14:paraId="739FECE2" w14:textId="53664883" w:rsidR="008627F6" w:rsidRPr="00530D57" w:rsidRDefault="008627F6" w:rsidP="6A35053A">
      <w:pPr>
        <w:pStyle w:val="FootnoteText"/>
      </w:pPr>
      <w:r w:rsidRPr="00530D57">
        <w:rPr>
          <w:rStyle w:val="FootnoteReference"/>
        </w:rPr>
        <w:footnoteRef/>
      </w:r>
      <w:r w:rsidR="6A35053A" w:rsidRPr="00530D57">
        <w:t xml:space="preserve"> </w:t>
      </w:r>
      <w:r w:rsidRPr="00530D57">
        <w:tab/>
      </w:r>
      <w:r w:rsidR="6A35053A" w:rsidRPr="00530D57">
        <w:t>New Zealand Federation of Business and Professional Women; and Women’s Rights Party.</w:t>
      </w:r>
    </w:p>
  </w:footnote>
  <w:footnote w:id="397">
    <w:p w14:paraId="67851486" w14:textId="03506792" w:rsidR="002529E6" w:rsidRPr="00530D57" w:rsidRDefault="002529E6" w:rsidP="6A35053A">
      <w:pPr>
        <w:pStyle w:val="FootnoteText"/>
      </w:pPr>
      <w:r w:rsidRPr="00530D57">
        <w:rPr>
          <w:rStyle w:val="FootnoteReference"/>
        </w:rPr>
        <w:footnoteRef/>
      </w:r>
      <w:r w:rsidR="6A35053A" w:rsidRPr="00530D57">
        <w:t xml:space="preserve"> </w:t>
      </w:r>
      <w:r w:rsidRPr="00530D57">
        <w:tab/>
      </w:r>
      <w:r w:rsidR="6A35053A" w:rsidRPr="00530D57">
        <w:t>John McDonald-Wharry.</w:t>
      </w:r>
    </w:p>
  </w:footnote>
  <w:footnote w:id="398">
    <w:p w14:paraId="0CE037C9" w14:textId="1C890D9C" w:rsidR="00184690" w:rsidRPr="00530D57" w:rsidRDefault="00184690">
      <w:pPr>
        <w:pStyle w:val="FootnoteText"/>
      </w:pPr>
      <w:r w:rsidRPr="00530D57">
        <w:rPr>
          <w:rStyle w:val="FootnoteReference"/>
        </w:rPr>
        <w:footnoteRef/>
      </w:r>
      <w:r w:rsidR="6A35053A" w:rsidRPr="00530D57">
        <w:t xml:space="preserve"> </w:t>
      </w:r>
      <w:r w:rsidRPr="00530D57">
        <w:tab/>
      </w:r>
      <w:r w:rsidR="6A35053A" w:rsidRPr="00530D57">
        <w:t>Te Kāhui o Inaia Tonu Nei.</w:t>
      </w:r>
    </w:p>
  </w:footnote>
  <w:footnote w:id="399">
    <w:p w14:paraId="130C9060" w14:textId="755AFED6" w:rsidR="00526EBA" w:rsidRPr="00530D57" w:rsidRDefault="00526EBA">
      <w:pPr>
        <w:pStyle w:val="FootnoteText"/>
      </w:pPr>
      <w:r w:rsidRPr="00530D57">
        <w:rPr>
          <w:rStyle w:val="FootnoteReference"/>
        </w:rPr>
        <w:footnoteRef/>
      </w:r>
      <w:r w:rsidR="6A35053A" w:rsidRPr="00530D57">
        <w:t xml:space="preserve"> </w:t>
      </w:r>
      <w:r w:rsidR="008872BD" w:rsidRPr="00530D57">
        <w:tab/>
      </w:r>
      <w:r w:rsidR="6A35053A" w:rsidRPr="00530D57">
        <w:t>A member of Te Hunga Rōia Māori o Aotearoa.</w:t>
      </w:r>
    </w:p>
  </w:footnote>
  <w:footnote w:id="400">
    <w:p w14:paraId="6B0197E0" w14:textId="4FC2A293" w:rsidR="008C23ED" w:rsidRPr="00530D57" w:rsidRDefault="008C23ED">
      <w:pPr>
        <w:pStyle w:val="FootnoteText"/>
      </w:pPr>
      <w:r w:rsidRPr="00530D57">
        <w:rPr>
          <w:rStyle w:val="FootnoteReference"/>
        </w:rPr>
        <w:footnoteRef/>
      </w:r>
      <w:r w:rsidR="6A35053A" w:rsidRPr="00530D57">
        <w:t xml:space="preserve"> </w:t>
      </w:r>
      <w:r w:rsidR="002E4E2B" w:rsidRPr="00530D57">
        <w:tab/>
      </w:r>
      <w:r w:rsidR="6A35053A" w:rsidRPr="00530D57">
        <w:t xml:space="preserve">Madeline Ash; Disabled Persons Assembly and VisAble (joint submission); Dr Kyle R Matthews; </w:t>
      </w:r>
      <w:r w:rsidR="00C36EF6">
        <w:t>The Law Association of New Zealand Criminal Law Committee</w:t>
      </w:r>
      <w:r w:rsidR="6A35053A" w:rsidRPr="00530D57">
        <w:t>; and Dr Mark Walters.</w:t>
      </w:r>
    </w:p>
  </w:footnote>
  <w:footnote w:id="401">
    <w:p w14:paraId="3C8A3BC4" w14:textId="1150871D" w:rsidR="008D11A9" w:rsidRPr="00530D57" w:rsidRDefault="008D11A9" w:rsidP="6A35053A">
      <w:pPr>
        <w:pStyle w:val="FootnoteText"/>
      </w:pPr>
      <w:r w:rsidRPr="00530D57">
        <w:rPr>
          <w:rStyle w:val="FootnoteReference"/>
        </w:rPr>
        <w:footnoteRef/>
      </w:r>
      <w:r w:rsidR="6A35053A" w:rsidRPr="00530D57">
        <w:t xml:space="preserve"> </w:t>
      </w:r>
      <w:r w:rsidRPr="00530D57">
        <w:tab/>
      </w:r>
      <w:r w:rsidR="6A35053A" w:rsidRPr="00530D57">
        <w:t xml:space="preserve">Dr David Harvey; and </w:t>
      </w:r>
      <w:r w:rsidR="00C36EF6">
        <w:t>The Law Association of New Zealand Public and Administrative Law Committee</w:t>
      </w:r>
      <w:r w:rsidR="6A35053A" w:rsidRPr="00530D57">
        <w:t>.</w:t>
      </w:r>
    </w:p>
  </w:footnote>
  <w:footnote w:id="402">
    <w:p w14:paraId="6B4DC327" w14:textId="3BD6D9CC" w:rsidR="008A437E" w:rsidRPr="00530D57" w:rsidRDefault="008A437E" w:rsidP="008A437E">
      <w:pPr>
        <w:pStyle w:val="FootnoteText"/>
      </w:pPr>
      <w:r w:rsidRPr="00530D57">
        <w:rPr>
          <w:rStyle w:val="FootnoteReference"/>
        </w:rPr>
        <w:footnoteRef/>
      </w:r>
      <w:r w:rsidR="6A35053A" w:rsidRPr="00530D57">
        <w:t xml:space="preserve"> </w:t>
      </w:r>
      <w:r w:rsidRPr="00530D57">
        <w:tab/>
      </w:r>
      <w:r w:rsidR="00533DD7" w:rsidRPr="00530D57">
        <w:t>Te Kāhui Ture o Aotearoa |</w:t>
      </w:r>
      <w:r w:rsidR="009531AF" w:rsidRPr="00530D57">
        <w:t xml:space="preserve"> New Zealand Law Society</w:t>
      </w:r>
      <w:r w:rsidR="6A35053A" w:rsidRPr="00530D57">
        <w:t xml:space="preserve"> did not express an opinion on the offences that should be included because it favoured retaining the current model. </w:t>
      </w:r>
    </w:p>
  </w:footnote>
  <w:footnote w:id="403">
    <w:p w14:paraId="19E3A76A" w14:textId="3B2B33F0" w:rsidR="00681730" w:rsidRPr="00530D57" w:rsidRDefault="00681730">
      <w:pPr>
        <w:pStyle w:val="FootnoteText"/>
      </w:pPr>
      <w:r w:rsidRPr="00530D57">
        <w:rPr>
          <w:rStyle w:val="FootnoteReference"/>
        </w:rPr>
        <w:footnoteRef/>
      </w:r>
      <w:r w:rsidR="6A35053A" w:rsidRPr="00530D57">
        <w:t xml:space="preserve"> </w:t>
      </w:r>
      <w:r w:rsidRPr="00530D57">
        <w:tab/>
      </w:r>
      <w:r w:rsidR="6A35053A" w:rsidRPr="00530D57">
        <w:t xml:space="preserve">Madeline Ash; Destiny Church; Disabled Persons Assembly and VisAble (joint submission); Donald Beasley Institute and People First New Zealand (joint submission); Graeme Edgeler; Dr David Harvey; Russell Hoban; </w:t>
      </w:r>
      <w:r w:rsidR="00153C2D">
        <w:t>Inclusive Aotearoa Collective Tāhono</w:t>
      </w:r>
      <w:r w:rsidR="6A35053A" w:rsidRPr="00530D57">
        <w:t xml:space="preserve">; Karun Lakshman; Luke Cunningham Clere; Dr Kyle R Matthews; Submission 11; Submission 43; </w:t>
      </w:r>
      <w:r w:rsidR="00C36EF6">
        <w:t>The Law Association of New Zealand Public and Administrative Law Committee</w:t>
      </w:r>
      <w:r w:rsidR="6A35053A" w:rsidRPr="00530D57">
        <w:t>; and Dr Mark Walters.</w:t>
      </w:r>
    </w:p>
  </w:footnote>
  <w:footnote w:id="404">
    <w:p w14:paraId="744EC14F" w14:textId="66607579" w:rsidR="00FC57D7" w:rsidRPr="00530D57" w:rsidRDefault="00FC57D7" w:rsidP="00FC57D7">
      <w:pPr>
        <w:pStyle w:val="FootnoteText"/>
      </w:pPr>
      <w:r w:rsidRPr="00530D57">
        <w:rPr>
          <w:rStyle w:val="FootnoteReference"/>
        </w:rPr>
        <w:footnoteRef/>
      </w:r>
      <w:r w:rsidR="6A35053A" w:rsidRPr="00530D57">
        <w:t xml:space="preserve"> </w:t>
      </w:r>
      <w:r w:rsidRPr="00530D57">
        <w:tab/>
      </w:r>
      <w:r w:rsidR="6A35053A" w:rsidRPr="00530D57">
        <w:t xml:space="preserve">Russell Hoban; and Luke Cunningham Clere. </w:t>
      </w:r>
    </w:p>
  </w:footnote>
  <w:footnote w:id="405">
    <w:p w14:paraId="0C5AD6C2" w14:textId="1425C217" w:rsidR="00FC57D7" w:rsidRPr="00530D57" w:rsidRDefault="00FC57D7" w:rsidP="00FC57D7">
      <w:pPr>
        <w:pStyle w:val="FootnoteText"/>
      </w:pPr>
      <w:r w:rsidRPr="00530D57">
        <w:rPr>
          <w:rStyle w:val="FootnoteReference"/>
        </w:rPr>
        <w:footnoteRef/>
      </w:r>
      <w:r w:rsidR="6A35053A" w:rsidRPr="00530D57">
        <w:t xml:space="preserve"> </w:t>
      </w:r>
      <w:r w:rsidRPr="00530D57">
        <w:tab/>
      </w:r>
      <w:r w:rsidR="6A35053A" w:rsidRPr="00530D57">
        <w:t>Dr David Harvey; Karun Lakshman; and Submission 11.</w:t>
      </w:r>
    </w:p>
  </w:footnote>
  <w:footnote w:id="406">
    <w:p w14:paraId="13ED890D" w14:textId="1FEC2708" w:rsidR="00FC57D7" w:rsidRPr="00530D57" w:rsidRDefault="00FC57D7" w:rsidP="00FC57D7">
      <w:pPr>
        <w:pStyle w:val="FootnoteText"/>
      </w:pPr>
      <w:r w:rsidRPr="00530D57">
        <w:rPr>
          <w:rStyle w:val="FootnoteReference"/>
        </w:rPr>
        <w:footnoteRef/>
      </w:r>
      <w:r w:rsidR="6A35053A" w:rsidRPr="00530D57">
        <w:t xml:space="preserve"> </w:t>
      </w:r>
      <w:r w:rsidRPr="00530D57">
        <w:tab/>
      </w:r>
      <w:r w:rsidR="6A35053A" w:rsidRPr="00530D57">
        <w:t xml:space="preserve">Destiny Church; Graeme Edgeler; Dr David Harvey; Russell Hoban; Submission 43; </w:t>
      </w:r>
      <w:r w:rsidR="00C36EF6">
        <w:t>The Law Association of New Zealand Public and Administrative Law Committee</w:t>
      </w:r>
      <w:r w:rsidR="6A35053A" w:rsidRPr="00530D57">
        <w:t xml:space="preserve">; and Dr Mark Walters. </w:t>
      </w:r>
    </w:p>
  </w:footnote>
  <w:footnote w:id="407">
    <w:p w14:paraId="1AAF7085" w14:textId="7FE52000" w:rsidR="00FC57D7" w:rsidRPr="00530D57" w:rsidRDefault="00FC57D7" w:rsidP="6A35053A">
      <w:pPr>
        <w:pStyle w:val="FootnoteText"/>
      </w:pPr>
      <w:r w:rsidRPr="00530D57">
        <w:rPr>
          <w:rStyle w:val="FootnoteReference"/>
        </w:rPr>
        <w:footnoteRef/>
      </w:r>
      <w:r w:rsidR="6A35053A" w:rsidRPr="00530D57">
        <w:t xml:space="preserve"> </w:t>
      </w:r>
      <w:r w:rsidRPr="00530D57">
        <w:tab/>
      </w:r>
      <w:r w:rsidR="6A35053A" w:rsidRPr="00530D57">
        <w:t xml:space="preserve">Disabled Persons Assembly and VisAble (joint submission). </w:t>
      </w:r>
    </w:p>
  </w:footnote>
  <w:footnote w:id="408">
    <w:p w14:paraId="577C6C04" w14:textId="69B7BC5A" w:rsidR="00FC57D7" w:rsidRPr="00530D57" w:rsidRDefault="00FC57D7" w:rsidP="6A35053A">
      <w:pPr>
        <w:pStyle w:val="FootnoteText"/>
      </w:pPr>
      <w:r w:rsidRPr="00530D57">
        <w:rPr>
          <w:rStyle w:val="FootnoteReference"/>
        </w:rPr>
        <w:footnoteRef/>
      </w:r>
      <w:r w:rsidR="6A35053A" w:rsidRPr="00530D57">
        <w:t xml:space="preserve"> </w:t>
      </w:r>
      <w:r w:rsidRPr="00530D57">
        <w:tab/>
      </w:r>
      <w:r w:rsidR="6A35053A" w:rsidRPr="00530D57">
        <w:t>Submission 43.</w:t>
      </w:r>
    </w:p>
  </w:footnote>
  <w:footnote w:id="409">
    <w:p w14:paraId="5B48BD27" w14:textId="0FD9EA4F" w:rsidR="00FC57D7" w:rsidRPr="00530D57" w:rsidRDefault="00FC57D7" w:rsidP="00FC57D7">
      <w:pPr>
        <w:pStyle w:val="FootnoteText"/>
      </w:pPr>
      <w:r w:rsidRPr="00530D57">
        <w:rPr>
          <w:rStyle w:val="FootnoteReference"/>
        </w:rPr>
        <w:footnoteRef/>
      </w:r>
      <w:r w:rsidR="6A35053A" w:rsidRPr="00530D57">
        <w:t xml:space="preserve"> </w:t>
      </w:r>
      <w:r w:rsidRPr="00530D57">
        <w:tab/>
      </w:r>
      <w:r w:rsidR="6A35053A" w:rsidRPr="00530D57">
        <w:t xml:space="preserve">Madeline Ash; Disabled Persons Assembly and VisAble (joint submission); Donald Beasley Institute and People First New Zealand (joint submission); </w:t>
      </w:r>
      <w:r w:rsidR="00153C2D">
        <w:t>Inclusive Aotearoa Collective Tāhono</w:t>
      </w:r>
      <w:r w:rsidR="6A35053A" w:rsidRPr="00530D57">
        <w:t>; Dr Kyle R Matthews; and Dr Mark Walters.</w:t>
      </w:r>
    </w:p>
  </w:footnote>
  <w:footnote w:id="410">
    <w:p w14:paraId="108D69FF" w14:textId="2DA6FDD5" w:rsidR="00FC57D7" w:rsidRPr="00530D57" w:rsidRDefault="00FC57D7" w:rsidP="00FC57D7">
      <w:pPr>
        <w:pStyle w:val="FootnoteText"/>
      </w:pPr>
      <w:r w:rsidRPr="00530D57">
        <w:rPr>
          <w:rStyle w:val="FootnoteReference"/>
        </w:rPr>
        <w:footnoteRef/>
      </w:r>
      <w:r w:rsidR="6A35053A" w:rsidRPr="00530D57">
        <w:t xml:space="preserve"> </w:t>
      </w:r>
      <w:r w:rsidRPr="00530D57">
        <w:tab/>
      </w:r>
      <w:r w:rsidR="6A35053A" w:rsidRPr="00530D57">
        <w:t>Dr Kyle R Matthews; and Dr Mark Walters.</w:t>
      </w:r>
    </w:p>
  </w:footnote>
  <w:footnote w:id="411">
    <w:p w14:paraId="1C281389" w14:textId="2F308E5B" w:rsidR="00FC57D7" w:rsidRPr="00530D57" w:rsidRDefault="00FC57D7" w:rsidP="00FC57D7">
      <w:pPr>
        <w:pStyle w:val="FootnoteText"/>
      </w:pPr>
      <w:r w:rsidRPr="00530D57">
        <w:rPr>
          <w:rStyle w:val="FootnoteReference"/>
        </w:rPr>
        <w:footnoteRef/>
      </w:r>
      <w:r w:rsidR="6A35053A" w:rsidRPr="00530D57">
        <w:t xml:space="preserve"> </w:t>
      </w:r>
      <w:r w:rsidRPr="00530D57">
        <w:tab/>
      </w:r>
      <w:r w:rsidR="6A35053A" w:rsidRPr="00530D57">
        <w:t>Dr Mark Walters.</w:t>
      </w:r>
    </w:p>
  </w:footnote>
  <w:footnote w:id="412">
    <w:p w14:paraId="48823594" w14:textId="5A5F3C8A" w:rsidR="00FC57D7" w:rsidRPr="00530D57" w:rsidRDefault="00FC57D7" w:rsidP="00FC57D7">
      <w:pPr>
        <w:pStyle w:val="FootnoteText"/>
      </w:pPr>
      <w:r w:rsidRPr="00530D57">
        <w:rPr>
          <w:rStyle w:val="FootnoteReference"/>
        </w:rPr>
        <w:footnoteRef/>
      </w:r>
      <w:r w:rsidR="6A35053A" w:rsidRPr="00530D57">
        <w:t xml:space="preserve"> </w:t>
      </w:r>
      <w:r w:rsidRPr="00530D57">
        <w:tab/>
      </w:r>
      <w:r w:rsidR="6A35053A" w:rsidRPr="00530D57">
        <w:t>Madeline Ash; and Dr</w:t>
      </w:r>
      <w:r w:rsidR="00241A97">
        <w:t xml:space="preserve"> </w:t>
      </w:r>
      <w:r w:rsidR="6A35053A" w:rsidRPr="00530D57">
        <w:t>Mark Walters.</w:t>
      </w:r>
    </w:p>
  </w:footnote>
  <w:footnote w:id="413">
    <w:p w14:paraId="464E3B31" w14:textId="7F96E010" w:rsidR="00FC57D7" w:rsidRPr="00530D57" w:rsidRDefault="00FC57D7" w:rsidP="6A35053A">
      <w:pPr>
        <w:pStyle w:val="FootnoteText"/>
      </w:pPr>
      <w:r w:rsidRPr="00530D57">
        <w:rPr>
          <w:rStyle w:val="FootnoteReference"/>
        </w:rPr>
        <w:footnoteRef/>
      </w:r>
      <w:r w:rsidR="6A35053A" w:rsidRPr="00530D57">
        <w:t xml:space="preserve"> </w:t>
      </w:r>
      <w:r w:rsidRPr="00530D57">
        <w:tab/>
      </w:r>
      <w:r w:rsidR="6A35053A" w:rsidRPr="00530D57">
        <w:t xml:space="preserve">Disabled Persons Assembly and VisAble (joint submission); </w:t>
      </w:r>
      <w:r w:rsidR="00153C2D">
        <w:t>Inclusive Aotearoa Collective Tāhono</w:t>
      </w:r>
      <w:r w:rsidR="6A35053A" w:rsidRPr="00530D57">
        <w:t>; and Dr Mark Walters.</w:t>
      </w:r>
    </w:p>
  </w:footnote>
  <w:footnote w:id="414">
    <w:p w14:paraId="4241AB21" w14:textId="678B9133" w:rsidR="00FC57D7" w:rsidRPr="00530D57" w:rsidRDefault="00FC57D7" w:rsidP="00FC57D7">
      <w:pPr>
        <w:pStyle w:val="FootnoteText"/>
      </w:pPr>
      <w:r w:rsidRPr="00530D57">
        <w:rPr>
          <w:rStyle w:val="FootnoteReference"/>
        </w:rPr>
        <w:footnoteRef/>
      </w:r>
      <w:r w:rsidR="6A35053A" w:rsidRPr="00530D57">
        <w:t xml:space="preserve"> </w:t>
      </w:r>
      <w:r w:rsidRPr="00530D57">
        <w:tab/>
      </w:r>
      <w:r w:rsidR="00153C2D">
        <w:t>Inclusive Aotearoa Collective Tāhono</w:t>
      </w:r>
      <w:r w:rsidR="6A35053A" w:rsidRPr="00530D57">
        <w:t>; and Dr Mark Walters.</w:t>
      </w:r>
    </w:p>
  </w:footnote>
  <w:footnote w:id="415">
    <w:p w14:paraId="6C4EF324" w14:textId="032D17F4" w:rsidR="00FC57D7" w:rsidRPr="00530D57" w:rsidRDefault="00FC57D7" w:rsidP="6A35053A">
      <w:pPr>
        <w:pStyle w:val="FootnoteText"/>
      </w:pPr>
      <w:r w:rsidRPr="00530D57">
        <w:rPr>
          <w:rStyle w:val="FootnoteReference"/>
        </w:rPr>
        <w:footnoteRef/>
      </w:r>
      <w:r w:rsidR="6A35053A" w:rsidRPr="00530D57">
        <w:t xml:space="preserve"> </w:t>
      </w:r>
      <w:r w:rsidRPr="00530D57">
        <w:tab/>
      </w:r>
      <w:r w:rsidR="00153C2D">
        <w:t>Inclusive Aotearoa Collective Tāhono</w:t>
      </w:r>
      <w:r w:rsidR="6A35053A" w:rsidRPr="00530D57">
        <w:t xml:space="preserve">. Doxxing is the act of publicly revealing private, identifying information about an individual without their consent, usually with the intent to harass, intimidate or cause the person harm. </w:t>
      </w:r>
    </w:p>
  </w:footnote>
  <w:footnote w:id="416">
    <w:p w14:paraId="2BD2AA55" w14:textId="781B7525" w:rsidR="00FC57D7" w:rsidRPr="00530D57" w:rsidRDefault="00FC57D7" w:rsidP="00FC57D7">
      <w:pPr>
        <w:pStyle w:val="FootnoteText"/>
      </w:pPr>
      <w:r w:rsidRPr="00530D57">
        <w:rPr>
          <w:rStyle w:val="FootnoteReference"/>
        </w:rPr>
        <w:footnoteRef/>
      </w:r>
      <w:r w:rsidR="6A35053A" w:rsidRPr="00530D57">
        <w:t xml:space="preserve"> </w:t>
      </w:r>
      <w:r w:rsidRPr="00530D57">
        <w:tab/>
      </w:r>
      <w:r w:rsidR="6A35053A" w:rsidRPr="00530D57">
        <w:t>Submission 43.</w:t>
      </w:r>
    </w:p>
  </w:footnote>
  <w:footnote w:id="417">
    <w:p w14:paraId="1262577C" w14:textId="76656E3E" w:rsidR="00581697" w:rsidRDefault="00581697">
      <w:pPr>
        <w:pStyle w:val="FootnoteText"/>
      </w:pPr>
      <w:r>
        <w:rPr>
          <w:rStyle w:val="FootnoteReference"/>
        </w:rPr>
        <w:footnoteRef/>
      </w:r>
      <w:r>
        <w:t xml:space="preserve"> </w:t>
      </w:r>
      <w:r w:rsidR="00987166">
        <w:tab/>
      </w:r>
      <w:r w:rsidR="00987166" w:rsidRPr="00987166">
        <w:t>Disabled Persons Assembly and /VisAble (joint submission)</w:t>
      </w:r>
      <w:r w:rsidR="00987166">
        <w:t>;</w:t>
      </w:r>
      <w:r w:rsidR="00987166" w:rsidRPr="00987166">
        <w:t xml:space="preserve"> and the Donald Beasley Institute and People First New Zealand (joint submission)</w:t>
      </w:r>
      <w:r w:rsidR="00987166">
        <w:t>.</w:t>
      </w:r>
    </w:p>
  </w:footnote>
  <w:footnote w:id="418">
    <w:p w14:paraId="4E89AB35" w14:textId="56ACA44A" w:rsidR="007678E5" w:rsidRPr="00530D57" w:rsidRDefault="007678E5">
      <w:pPr>
        <w:pStyle w:val="FootnoteText"/>
      </w:pPr>
      <w:r w:rsidRPr="00530D57">
        <w:rPr>
          <w:rStyle w:val="FootnoteReference"/>
        </w:rPr>
        <w:footnoteRef/>
      </w:r>
      <w:r w:rsidR="6A35053A" w:rsidRPr="00530D57">
        <w:t xml:space="preserve"> </w:t>
      </w:r>
      <w:r w:rsidRPr="00530D57">
        <w:tab/>
      </w:r>
      <w:r w:rsidR="00E12E21">
        <w:t>Members</w:t>
      </w:r>
      <w:r w:rsidR="6A35053A" w:rsidRPr="00530D57">
        <w:t xml:space="preserve"> of Te Hunga Rōia Māori o Aotearoa; and Justice for Palestine, Alternative Jewish Voice</w:t>
      </w:r>
      <w:r w:rsidR="007038D9">
        <w:t>s</w:t>
      </w:r>
      <w:r w:rsidR="6A35053A" w:rsidRPr="00530D57">
        <w:t xml:space="preserve"> and Dayenu (joint submission).</w:t>
      </w:r>
    </w:p>
  </w:footnote>
  <w:footnote w:id="419">
    <w:p w14:paraId="7E818178" w14:textId="7E0CB2DC" w:rsidR="00297E84" w:rsidRPr="00530D57" w:rsidRDefault="00297E84" w:rsidP="00297E84">
      <w:pPr>
        <w:pStyle w:val="FootnoteText"/>
      </w:pPr>
      <w:r w:rsidRPr="00530D57">
        <w:rPr>
          <w:rStyle w:val="FootnoteReference"/>
        </w:rPr>
        <w:footnoteRef/>
      </w:r>
      <w:r w:rsidR="6A35053A" w:rsidRPr="00530D57">
        <w:t xml:space="preserve"> </w:t>
      </w:r>
      <w:r w:rsidRPr="00530D57">
        <w:tab/>
      </w:r>
      <w:r w:rsidR="00A86A25" w:rsidRPr="00530D57">
        <w:t xml:space="preserve">Annette Sykes &amp; Co; </w:t>
      </w:r>
      <w:r w:rsidR="6A35053A" w:rsidRPr="00530D57">
        <w:t>Madeline Ash;</w:t>
      </w:r>
      <w:r w:rsidR="008F30A9">
        <w:t xml:space="preserve"> </w:t>
      </w:r>
      <w:r w:rsidR="6A35053A" w:rsidRPr="00530D57">
        <w:t xml:space="preserve">Disabled Persons Assembly and VisAble (joint submission); </w:t>
      </w:r>
      <w:r w:rsidR="008F30A9">
        <w:t xml:space="preserve">Graeme Edgeler; </w:t>
      </w:r>
      <w:r w:rsidR="6A35053A" w:rsidRPr="00530D57">
        <w:t>Free Speech Union; Dr David Harvey; Dr Kyle R Matthews;</w:t>
      </w:r>
      <w:r w:rsidR="002F08CC">
        <w:t xml:space="preserve">, </w:t>
      </w:r>
      <w:r w:rsidR="6A35053A" w:rsidRPr="00530D57">
        <w:t xml:space="preserve">Pride in Law Otago; Submission 26; Submission 43; Submission 63; </w:t>
      </w:r>
      <w:r w:rsidR="00B8238D" w:rsidRPr="002F08CC">
        <w:t>Te Kāhui Ture o Aotearoa | New Zealand Law Society</w:t>
      </w:r>
      <w:r w:rsidR="00B8238D">
        <w:t>;</w:t>
      </w:r>
      <w:r w:rsidR="00B8238D" w:rsidRPr="00530D57">
        <w:t xml:space="preserve"> </w:t>
      </w:r>
      <w:r w:rsidR="00C36EF6">
        <w:t>Te Kāhui o Ināia Tonu Nei Charitable Trust</w:t>
      </w:r>
      <w:r w:rsidR="6A35053A" w:rsidRPr="00530D57">
        <w:t>; and Dr Mark Walters.</w:t>
      </w:r>
    </w:p>
  </w:footnote>
  <w:footnote w:id="420">
    <w:p w14:paraId="3A81E9D4" w14:textId="749184F3" w:rsidR="009B7BF8" w:rsidRDefault="009B7BF8">
      <w:pPr>
        <w:pStyle w:val="FootnoteText"/>
      </w:pPr>
      <w:r>
        <w:rPr>
          <w:rStyle w:val="FootnoteReference"/>
        </w:rPr>
        <w:footnoteRef/>
      </w:r>
      <w:r>
        <w:t xml:space="preserve"> </w:t>
      </w:r>
      <w:r w:rsidR="000529E8">
        <w:tab/>
        <w:t>Pride in Law Otago</w:t>
      </w:r>
      <w:r w:rsidR="00F5159E">
        <w:t>;</w:t>
      </w:r>
      <w:r w:rsidR="000529E8" w:rsidRPr="000529E8">
        <w:t xml:space="preserve"> </w:t>
      </w:r>
      <w:r w:rsidR="00904722">
        <w:t>Submission 26</w:t>
      </w:r>
      <w:r w:rsidR="00F5159E">
        <w:t>;</w:t>
      </w:r>
      <w:r w:rsidR="00904722">
        <w:t xml:space="preserve"> Submission 63</w:t>
      </w:r>
      <w:r w:rsidR="00F5159E">
        <w:t xml:space="preserve">; and </w:t>
      </w:r>
      <w:r w:rsidR="00C36EF6">
        <w:t>Te Kāhui o Ināia Tonu Nei Charitable Trust</w:t>
      </w:r>
      <w:r w:rsidR="002A2503">
        <w:t>.</w:t>
      </w:r>
    </w:p>
  </w:footnote>
  <w:footnote w:id="421">
    <w:p w14:paraId="4EA63F73" w14:textId="6B05E4DF" w:rsidR="00DA0A80" w:rsidRDefault="00DA0A80">
      <w:pPr>
        <w:pStyle w:val="FootnoteText"/>
      </w:pPr>
      <w:r>
        <w:rPr>
          <w:rStyle w:val="FootnoteReference"/>
        </w:rPr>
        <w:footnoteRef/>
      </w:r>
      <w:r>
        <w:t xml:space="preserve"> </w:t>
      </w:r>
      <w:r w:rsidR="00515462">
        <w:tab/>
      </w:r>
      <w:r w:rsidR="009369C9" w:rsidRPr="009369C9">
        <w:t>Graeme Edgeler; Free Speech Union; Dr David Harvey;</w:t>
      </w:r>
      <w:r w:rsidR="00AF2E4D">
        <w:t xml:space="preserve"> </w:t>
      </w:r>
      <w:r w:rsidR="00AF2E4D" w:rsidRPr="00AF2E4D">
        <w:t>Submission 43</w:t>
      </w:r>
      <w:r w:rsidR="00B8238D">
        <w:t>;</w:t>
      </w:r>
      <w:r w:rsidR="004935CE" w:rsidRPr="004935CE">
        <w:t xml:space="preserve"> </w:t>
      </w:r>
      <w:r w:rsidR="00B8238D">
        <w:t xml:space="preserve">and </w:t>
      </w:r>
      <w:r w:rsidR="004935CE" w:rsidRPr="0014242C">
        <w:t>Te Kāhui Ture o Aotearoa | New Zealand Law Society</w:t>
      </w:r>
    </w:p>
  </w:footnote>
  <w:footnote w:id="422">
    <w:p w14:paraId="75114703" w14:textId="1B73DB0F" w:rsidR="001C1C98" w:rsidRPr="00530D57" w:rsidRDefault="001C1C98">
      <w:pPr>
        <w:pStyle w:val="FootnoteText"/>
      </w:pPr>
      <w:r w:rsidRPr="00530D57">
        <w:rPr>
          <w:rStyle w:val="FootnoteReference"/>
        </w:rPr>
        <w:footnoteRef/>
      </w:r>
      <w:r w:rsidR="6A35053A" w:rsidRPr="00530D57">
        <w:t xml:space="preserve"> </w:t>
      </w:r>
      <w:r w:rsidR="00B47400" w:rsidRPr="00530D57">
        <w:tab/>
      </w:r>
      <w:r w:rsidR="6A35053A" w:rsidRPr="00530D57">
        <w:t>Madeline Ash.</w:t>
      </w:r>
    </w:p>
  </w:footnote>
  <w:footnote w:id="423">
    <w:p w14:paraId="72BF578E" w14:textId="3774B23F" w:rsidR="00D94127" w:rsidRDefault="00D94127">
      <w:pPr>
        <w:pStyle w:val="FootnoteText"/>
      </w:pPr>
      <w:r>
        <w:rPr>
          <w:rStyle w:val="FootnoteReference"/>
        </w:rPr>
        <w:footnoteRef/>
      </w:r>
      <w:r>
        <w:t xml:space="preserve"> </w:t>
      </w:r>
      <w:r>
        <w:tab/>
      </w:r>
      <w:r w:rsidR="00AB09EB" w:rsidRPr="00AB09EB">
        <w:t>Disabled Persons Assembly and VisAble (joint submission)</w:t>
      </w:r>
      <w:r w:rsidR="00AB09EB">
        <w:t xml:space="preserve">; and </w:t>
      </w:r>
      <w:r>
        <w:t>Dr Kyle R Matthews.</w:t>
      </w:r>
    </w:p>
  </w:footnote>
  <w:footnote w:id="424">
    <w:p w14:paraId="4950C1DE" w14:textId="65F1F09B" w:rsidR="00297E84" w:rsidRPr="00530D57" w:rsidRDefault="00297E84" w:rsidP="00297E84">
      <w:pPr>
        <w:pStyle w:val="FootnoteText"/>
      </w:pPr>
      <w:r w:rsidRPr="00530D57">
        <w:rPr>
          <w:rStyle w:val="FootnoteReference"/>
        </w:rPr>
        <w:footnoteRef/>
      </w:r>
      <w:r w:rsidR="6A35053A" w:rsidRPr="00530D57">
        <w:t xml:space="preserve"> </w:t>
      </w:r>
      <w:r w:rsidRPr="00530D57">
        <w:tab/>
      </w:r>
      <w:r w:rsidR="6A35053A" w:rsidRPr="00530D57">
        <w:t>Destiny Church; Ratonga Wawao ā-Tūmatanui | Public Defence Service; Submission 57; and Submission 62.</w:t>
      </w:r>
    </w:p>
  </w:footnote>
  <w:footnote w:id="425">
    <w:p w14:paraId="1A13FFAA" w14:textId="2CCCF642" w:rsidR="00181637" w:rsidRPr="00530D57" w:rsidRDefault="00181637">
      <w:pPr>
        <w:pStyle w:val="FootnoteText"/>
      </w:pPr>
      <w:r w:rsidRPr="00530D57">
        <w:rPr>
          <w:rStyle w:val="FootnoteReference"/>
        </w:rPr>
        <w:footnoteRef/>
      </w:r>
      <w:r w:rsidR="6A35053A" w:rsidRPr="00530D57">
        <w:t xml:space="preserve"> </w:t>
      </w:r>
      <w:r w:rsidRPr="00530D57">
        <w:tab/>
      </w:r>
      <w:r w:rsidR="6A35053A" w:rsidRPr="00530D57">
        <w:t xml:space="preserve">Free Speech Union ”Say no to ambiguous hate crime laws” (21 February 2025) </w:t>
      </w:r>
      <w:hyperlink r:id="rId1" w:history="1">
        <w:r w:rsidR="6A35053A" w:rsidRPr="00530D57">
          <w:rPr>
            <w:rStyle w:val="Hyperlink"/>
          </w:rPr>
          <w:t>&lt;www.freespeechsubmission.nz&gt;</w:t>
        </w:r>
      </w:hyperlink>
      <w:r w:rsidR="6A35053A" w:rsidRPr="00530D57">
        <w:t xml:space="preserve">. </w:t>
      </w:r>
    </w:p>
  </w:footnote>
  <w:footnote w:id="426">
    <w:p w14:paraId="3A855958" w14:textId="58457562" w:rsidR="00FA589C" w:rsidRPr="00B43F68" w:rsidRDefault="00FA589C" w:rsidP="6A35053A">
      <w:pPr>
        <w:pStyle w:val="FootnoteText"/>
      </w:pPr>
      <w:r w:rsidRPr="00530D57">
        <w:rPr>
          <w:rStyle w:val="FootnoteReference"/>
        </w:rPr>
        <w:footnoteRef/>
      </w:r>
      <w:r w:rsidR="6A35053A" w:rsidRPr="00530D57">
        <w:t xml:space="preserve"> </w:t>
      </w:r>
      <w:r w:rsidRPr="00530D57">
        <w:tab/>
      </w:r>
      <w:r w:rsidR="6A35053A" w:rsidRPr="00530D57">
        <w:t xml:space="preserve">Some pre-written text from the webform refers to specific paragraphs of the consultation paper </w:t>
      </w:r>
      <w:r w:rsidR="002A1565">
        <w:t>(</w:t>
      </w:r>
      <w:r w:rsidR="6A35053A" w:rsidRPr="00530D57">
        <w:t>paras [3.16(d)(i)], [3.</w:t>
      </w:r>
      <w:r w:rsidR="002A1565">
        <w:t>44</w:t>
      </w:r>
      <w:r w:rsidR="6A35053A" w:rsidRPr="00530D57">
        <w:t>] and [3.48]</w:t>
      </w:r>
      <w:r w:rsidR="002A1565">
        <w:t>)</w:t>
      </w:r>
      <w:r w:rsidR="6A35053A" w:rsidRPr="00530D5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44F6A" w14:textId="77777777" w:rsidR="002B5528" w:rsidRPr="001A7CE5" w:rsidRDefault="002B5528" w:rsidP="001A7CE5">
    <w:pPr>
      <w:pStyle w:val="Header"/>
      <w:tabs>
        <w:tab w:val="left" w:pos="709"/>
      </w:tabs>
      <w:rPr>
        <w:szCs w:val="20"/>
      </w:rPr>
    </w:pPr>
    <w:r>
      <w:rPr>
        <w:noProof/>
        <w:lang w:eastAsia="en-NZ"/>
      </w:rPr>
      <mc:AlternateContent>
        <mc:Choice Requires="wps">
          <w:drawing>
            <wp:anchor distT="0" distB="0" distL="114300" distR="114300" simplePos="0" relativeHeight="251658240" behindDoc="1" locked="0" layoutInCell="1" allowOverlap="1" wp14:anchorId="32F7DEA0" wp14:editId="1F756C39">
              <wp:simplePos x="0" y="0"/>
              <wp:positionH relativeFrom="column">
                <wp:posOffset>-1082040</wp:posOffset>
              </wp:positionH>
              <wp:positionV relativeFrom="paragraph">
                <wp:posOffset>-347060</wp:posOffset>
              </wp:positionV>
              <wp:extent cx="7560310" cy="10692130"/>
              <wp:effectExtent l="0" t="0" r="2540" b="0"/>
              <wp:wrapNone/>
              <wp:docPr id="35" name="Freeform: 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10692130"/>
                      </a:xfrm>
                      <a:custGeom>
                        <a:avLst/>
                        <a:gdLst>
                          <a:gd name="T0" fmla="*/ 0 w 11906"/>
                          <a:gd name="T1" fmla="*/ 16838 h 16838"/>
                          <a:gd name="T2" fmla="*/ 11906 w 11906"/>
                          <a:gd name="T3" fmla="*/ 16838 h 16838"/>
                          <a:gd name="T4" fmla="*/ 11906 w 11906"/>
                          <a:gd name="T5" fmla="*/ 0 h 16838"/>
                          <a:gd name="T6" fmla="*/ 0 w 11906"/>
                          <a:gd name="T7" fmla="*/ 0 h 16838"/>
                          <a:gd name="T8" fmla="*/ 0 w 11906"/>
                          <a:gd name="T9" fmla="*/ 16838 h 16838"/>
                        </a:gdLst>
                        <a:ahLst/>
                        <a:cxnLst>
                          <a:cxn ang="0">
                            <a:pos x="T0" y="T1"/>
                          </a:cxn>
                          <a:cxn ang="0">
                            <a:pos x="T2" y="T3"/>
                          </a:cxn>
                          <a:cxn ang="0">
                            <a:pos x="T4" y="T5"/>
                          </a:cxn>
                          <a:cxn ang="0">
                            <a:pos x="T6" y="T7"/>
                          </a:cxn>
                          <a:cxn ang="0">
                            <a:pos x="T8" y="T9"/>
                          </a:cxn>
                        </a:cxnLst>
                        <a:rect l="0" t="0" r="r" b="b"/>
                        <a:pathLst>
                          <a:path w="11906" h="16838">
                            <a:moveTo>
                              <a:pt x="0" y="16838"/>
                            </a:moveTo>
                            <a:lnTo>
                              <a:pt x="11906" y="16838"/>
                            </a:lnTo>
                            <a:lnTo>
                              <a:pt x="11906" y="0"/>
                            </a:lnTo>
                            <a:lnTo>
                              <a:pt x="0" y="0"/>
                            </a:lnTo>
                            <a:lnTo>
                              <a:pt x="0" y="16838"/>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7B689878" id="Freeform: Shape 3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v-text-anchor:top" points="-85.2pt,814.55pt,510.1pt,814.55pt,510.1pt,-27.35pt,-85.2pt,-27.35pt,-85.2pt,814.55pt" coordsize="1190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" fillcolor="#edf2ea" stroked="f">
              <v:path arrowok="t" o:connecttype="custom" o:connectlocs="0,10692130;7560310,10692130;7560310,0;0,0;0,10692130" o:connectangles="0,0,0,0,0"/>
            </v:polyline>
          </w:pict>
        </mc:Fallback>
      </mc:AlternateContent>
    </w:r>
    <w:sdt>
      <w:sdtPr>
        <w:id w:val="1454837497"/>
        <w:docPartObj>
          <w:docPartGallery w:val="Page Numbers (Top of Page)"/>
          <w:docPartUnique/>
        </w:docPartObj>
      </w:sdtPr>
      <w:sdtEndPr/>
      <w:sdtContent>
        <w:r>
          <w:t>v</w:t>
        </w:r>
        <w:r w:rsidRPr="00FF65F4">
          <w:rPr>
            <w:szCs w:val="13"/>
            <w:lang w:val="fr-FR"/>
          </w:rPr>
          <w:t xml:space="preserve">     </w:t>
        </w:r>
        <w:r>
          <w:rPr>
            <w:szCs w:val="13"/>
            <w:lang w:val="fr-FR"/>
          </w:rPr>
          <w:tab/>
          <w:t>ACKNOWLEDGEMENTS</w:t>
        </w:r>
      </w:sdtContent>
    </w:sdt>
    <w:r>
      <w:tab/>
      <w:t xml:space="preserve"> </w:t>
    </w:r>
    <w:r w:rsidRPr="0074159A">
      <w:rPr>
        <w:szCs w:val="13"/>
      </w:rPr>
      <w:tab/>
    </w:r>
    <w:r w:rsidRPr="001007E8">
      <w:rPr>
        <w:szCs w:val="13"/>
      </w:rPr>
      <w:t>TE AKA MATUA O TE TURE | LAW COMMISSION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4675511"/>
      <w:docPartObj>
        <w:docPartGallery w:val="Page Numbers (Top of Page)"/>
        <w:docPartUnique/>
      </w:docPartObj>
    </w:sdtPr>
    <w:sdtEndPr>
      <w:rPr>
        <w:szCs w:val="13"/>
      </w:rPr>
    </w:sdtEndPr>
    <w:sdtContent>
      <w:p w14:paraId="4AF18A26" w14:textId="14704F1E" w:rsidR="002B5528" w:rsidRPr="00747717" w:rsidRDefault="00CF6330" w:rsidP="00747717">
        <w:pPr>
          <w:pStyle w:val="Header"/>
          <w:tabs>
            <w:tab w:val="clear" w:pos="4536"/>
            <w:tab w:val="left" w:pos="709"/>
          </w:tabs>
          <w:rPr>
            <w:szCs w:val="20"/>
          </w:rPr>
        </w:pPr>
        <w:sdt>
          <w:sdtPr>
            <w:id w:val="698971641"/>
            <w:docPartObj>
              <w:docPartGallery w:val="Page Numbers (Top of Page)"/>
              <w:docPartUnique/>
            </w:docPartObj>
          </w:sdtPr>
          <w:sdtEndPr>
            <w:rPr>
              <w:szCs w:val="13"/>
            </w:rPr>
          </w:sdtEndPr>
          <w:sdtContent>
            <w:r w:rsidR="002B5528" w:rsidRPr="001D3DD6">
              <w:rPr>
                <w:szCs w:val="13"/>
              </w:rPr>
              <w:fldChar w:fldCharType="begin"/>
            </w:r>
            <w:r w:rsidR="002B5528" w:rsidRPr="001D3DD6">
              <w:rPr>
                <w:szCs w:val="13"/>
              </w:rPr>
              <w:instrText xml:space="preserve"> PAGE   \* MERGEFORMAT </w:instrText>
            </w:r>
            <w:r w:rsidR="002B5528" w:rsidRPr="001D3DD6">
              <w:rPr>
                <w:szCs w:val="13"/>
              </w:rPr>
              <w:fldChar w:fldCharType="separate"/>
            </w:r>
            <w:r w:rsidR="002B5528">
              <w:rPr>
                <w:szCs w:val="13"/>
              </w:rPr>
              <w:t>1</w:t>
            </w:r>
            <w:r w:rsidR="002B5528" w:rsidRPr="001D3DD6">
              <w:rPr>
                <w:szCs w:val="13"/>
              </w:rPr>
              <w:fldChar w:fldCharType="end"/>
            </w:r>
            <w:r w:rsidR="002B5528" w:rsidRPr="00FF65F4">
              <w:rPr>
                <w:szCs w:val="13"/>
                <w:lang w:val="fr-FR"/>
              </w:rPr>
              <w:t xml:space="preserve">     </w:t>
            </w:r>
            <w:r w:rsidR="002B5528">
              <w:rPr>
                <w:szCs w:val="13"/>
                <w:lang w:val="fr-FR"/>
              </w:rPr>
              <w:tab/>
            </w:r>
            <w:r w:rsidR="002B5528" w:rsidRPr="001007E8">
              <w:t>TE AKA MATUA O TE TURE | LAW COMMISSION</w:t>
            </w:r>
            <w:r w:rsidR="002B5528">
              <w:tab/>
            </w:r>
            <w:r w:rsidR="002B5528" w:rsidRPr="00E0229E">
              <w:t>HARA NGĀKAU KINO | HATE CRIME</w:t>
            </w:r>
            <w:r w:rsidR="002B5528">
              <w:t xml:space="preserve"> —</w:t>
            </w:r>
            <w:r w:rsidR="0084796D" w:rsidRPr="0084796D">
              <w:t xml:space="preserve"> SUMMARY OF SUBMISSIONS</w:t>
            </w:r>
          </w:sdtContent>
        </w:sdt>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4419168"/>
      <w:docPartObj>
        <w:docPartGallery w:val="Page Numbers (Top of Page)"/>
        <w:docPartUnique/>
      </w:docPartObj>
    </w:sdtPr>
    <w:sdtEndPr/>
    <w:sdtContent>
      <w:sdt>
        <w:sdtPr>
          <w:id w:val="-1606257798"/>
          <w:docPartObj>
            <w:docPartGallery w:val="Page Numbers (Top of Page)"/>
            <w:docPartUnique/>
          </w:docPartObj>
        </w:sdtPr>
        <w:sdtEndPr/>
        <w:sdtContent>
          <w:p w14:paraId="72DEC013" w14:textId="77777777" w:rsidR="002B5528" w:rsidRPr="009B492B" w:rsidRDefault="00CF6330" w:rsidP="009C7D5A">
            <w:pPr>
              <w:pStyle w:val="Header"/>
              <w:tabs>
                <w:tab w:val="left" w:pos="709"/>
              </w:tabs>
              <w:rPr>
                <w:szCs w:val="20"/>
              </w:rPr>
            </w:pPr>
            <w:sdt>
              <w:sdtPr>
                <w:id w:val="1664271027"/>
                <w:docPartObj>
                  <w:docPartGallery w:val="Page Numbers (Top of Page)"/>
                  <w:docPartUnique/>
                </w:docPartObj>
              </w:sdtPr>
              <w:sdtEndPr/>
              <w:sdtContent>
                <w:r w:rsidR="002B5528">
                  <w:rPr>
                    <w:szCs w:val="13"/>
                    <w:lang w:val="fr-FR"/>
                  </w:rPr>
                  <w:t>CONTENTS</w:t>
                </w:r>
              </w:sdtContent>
            </w:sdt>
            <w:r w:rsidR="002B5528">
              <w:tab/>
              <w:t xml:space="preserve"> </w:t>
            </w:r>
            <w:r w:rsidR="002B5528" w:rsidRPr="0074159A">
              <w:rPr>
                <w:szCs w:val="13"/>
              </w:rPr>
              <w:tab/>
            </w:r>
            <w:r w:rsidR="002B5528" w:rsidRPr="001007E8">
              <w:rPr>
                <w:szCs w:val="13"/>
              </w:rPr>
              <w:t>TE AKA MATUA O TE TURE | LAW COMMISSION</w:t>
            </w:r>
            <w:r w:rsidR="002B5528">
              <w:rPr>
                <w:szCs w:val="13"/>
              </w:rPr>
              <w:t xml:space="preserve"> </w:t>
            </w:r>
            <w:r w:rsidR="002B5528" w:rsidRPr="00C5544E">
              <w:rPr>
                <w:szCs w:val="13"/>
              </w:rPr>
              <w:t xml:space="preserve">          </w:t>
            </w:r>
            <w:r w:rsidR="002B5528" w:rsidRPr="00C5544E">
              <w:rPr>
                <w:szCs w:val="13"/>
              </w:rPr>
              <w:fldChar w:fldCharType="begin"/>
            </w:r>
            <w:r w:rsidR="002B5528" w:rsidRPr="00C5544E">
              <w:rPr>
                <w:szCs w:val="13"/>
              </w:rPr>
              <w:instrText xml:space="preserve"> PAGE   \* MERGEFORMAT </w:instrText>
            </w:r>
            <w:r w:rsidR="002B5528" w:rsidRPr="00C5544E">
              <w:rPr>
                <w:szCs w:val="13"/>
              </w:rPr>
              <w:fldChar w:fldCharType="separate"/>
            </w:r>
            <w:r w:rsidR="002B5528">
              <w:rPr>
                <w:szCs w:val="13"/>
              </w:rPr>
              <w:t>2</w:t>
            </w:r>
            <w:r w:rsidR="002B5528" w:rsidRPr="00C5544E">
              <w:rPr>
                <w:szCs w:val="13"/>
              </w:rPr>
              <w:fldChar w:fldCharType="end"/>
            </w:r>
          </w:p>
        </w:sdtContent>
      </w:sdt>
    </w:sdtContent>
  </w:sdt>
  <w:p w14:paraId="667B99A1" w14:textId="77777777" w:rsidR="002B5528" w:rsidRDefault="002B552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3463407"/>
      <w:docPartObj>
        <w:docPartGallery w:val="Page Numbers (Top of Page)"/>
        <w:docPartUnique/>
      </w:docPartObj>
    </w:sdtPr>
    <w:sdtEndPr>
      <w:rPr>
        <w:szCs w:val="13"/>
      </w:rPr>
    </w:sdtEndPr>
    <w:sdtContent>
      <w:p w14:paraId="66681E67" w14:textId="5324489F" w:rsidR="002D6D9B" w:rsidRPr="00CA6E2F" w:rsidRDefault="00CF6330" w:rsidP="00CA6E2F">
        <w:pPr>
          <w:pStyle w:val="Header"/>
          <w:tabs>
            <w:tab w:val="clear" w:pos="4536"/>
            <w:tab w:val="left" w:pos="709"/>
          </w:tabs>
          <w:rPr>
            <w:szCs w:val="20"/>
          </w:rPr>
        </w:pPr>
        <w:sdt>
          <w:sdtPr>
            <w:id w:val="-233396282"/>
            <w:docPartObj>
              <w:docPartGallery w:val="Page Numbers (Top of Page)"/>
              <w:docPartUnique/>
            </w:docPartObj>
          </w:sdtPr>
          <w:sdtEndPr>
            <w:rPr>
              <w:szCs w:val="13"/>
            </w:rPr>
          </w:sdtEndPr>
          <w:sdtContent>
            <w:r w:rsidR="002D6D9B" w:rsidRPr="00530D57">
              <w:rPr>
                <w:szCs w:val="13"/>
              </w:rPr>
              <w:fldChar w:fldCharType="begin"/>
            </w:r>
            <w:r w:rsidR="002D6D9B" w:rsidRPr="00530D57">
              <w:rPr>
                <w:szCs w:val="13"/>
              </w:rPr>
              <w:instrText xml:space="preserve"> PAGE   \* MERGEFORMAT </w:instrText>
            </w:r>
            <w:r w:rsidR="002D6D9B" w:rsidRPr="00530D57">
              <w:rPr>
                <w:szCs w:val="13"/>
              </w:rPr>
              <w:fldChar w:fldCharType="separate"/>
            </w:r>
            <w:r w:rsidR="0084796D">
              <w:rPr>
                <w:szCs w:val="13"/>
              </w:rPr>
              <w:t>4</w:t>
            </w:r>
            <w:r w:rsidR="002D6D9B" w:rsidRPr="00530D57">
              <w:rPr>
                <w:szCs w:val="13"/>
              </w:rPr>
              <w:fldChar w:fldCharType="end"/>
            </w:r>
            <w:r w:rsidR="0084796D" w:rsidRPr="00FF65F4">
              <w:rPr>
                <w:szCs w:val="13"/>
                <w:lang w:val="fr-FR"/>
              </w:rPr>
              <w:t xml:space="preserve">     </w:t>
            </w:r>
            <w:r w:rsidR="0084796D">
              <w:rPr>
                <w:szCs w:val="13"/>
                <w:lang w:val="fr-FR"/>
              </w:rPr>
              <w:tab/>
            </w:r>
            <w:r w:rsidR="0084796D" w:rsidRPr="001007E8">
              <w:t>TE AKA MATUA O TE TURE | LAW COMMISSION</w:t>
            </w:r>
            <w:r w:rsidR="0084796D">
              <w:tab/>
            </w:r>
            <w:r w:rsidR="0084796D" w:rsidRPr="00E0229E">
              <w:t>HARA NGĀKAU KINO | HATE CRIME</w:t>
            </w:r>
            <w:r w:rsidR="0084796D">
              <w:t xml:space="preserve"> —</w:t>
            </w:r>
            <w:r w:rsidR="0084796D" w:rsidRPr="0084796D">
              <w:t xml:space="preserve"> SUMMARY OF SUBMISSIONS</w:t>
            </w:r>
          </w:sdtContent>
        </w:sdt>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334D"/>
    <w:multiLevelType w:val="multilevel"/>
    <w:tmpl w:val="93EA1F34"/>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pStyle w:val="BodyText"/>
      <w:lvlText w:val="%1.%2"/>
      <w:lvlJc w:val="left"/>
      <w:pPr>
        <w:tabs>
          <w:tab w:val="num" w:pos="709"/>
        </w:tabs>
        <w:ind w:left="709" w:hanging="596"/>
      </w:pPr>
    </w:lvl>
    <w:lvl w:ilvl="2">
      <w:start w:val="1"/>
      <w:numFmt w:val="none"/>
      <w:pStyle w:val="BodyTextnonum"/>
      <w:suff w:val="nothing"/>
      <w:lvlText w:val=""/>
      <w:lvlJc w:val="left"/>
      <w:pPr>
        <w:ind w:left="709" w:firstLine="0"/>
      </w:pPr>
      <w:rPr>
        <w:rFonts w:hint="default"/>
      </w:rPr>
    </w:lvl>
    <w:lvl w:ilvl="3">
      <w:start w:val="1"/>
      <w:numFmt w:val="lowerLetter"/>
      <w:lvlText w:val="(%4)"/>
      <w:lvlJc w:val="left"/>
      <w:pPr>
        <w:tabs>
          <w:tab w:val="num" w:pos="1134"/>
        </w:tabs>
        <w:ind w:left="1134" w:hanging="425"/>
      </w:pPr>
      <w:rPr>
        <w:rFonts w:hint="default"/>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1" w15:restartNumberingAfterBreak="0">
    <w:nsid w:val="0E271AB4"/>
    <w:multiLevelType w:val="multilevel"/>
    <w:tmpl w:val="F3A83208"/>
    <w:lvl w:ilvl="0">
      <w:start w:val="1"/>
      <w:numFmt w:val="decimal"/>
      <w:pStyle w:val="RecommendationText"/>
      <w:lvlText w:val="R%1"/>
      <w:lvlJc w:val="left"/>
      <w:pPr>
        <w:ind w:left="709" w:hanging="425"/>
      </w:pPr>
      <w:rPr>
        <w:rFonts w:asciiTheme="majorHAnsi" w:hAnsiTheme="majorHAnsi" w:hint="default"/>
      </w:rPr>
    </w:lvl>
    <w:lvl w:ilvl="1">
      <w:start w:val="1"/>
      <w:numFmt w:val="none"/>
      <w:pStyle w:val="RecommendationText2"/>
      <w:suff w:val="nothing"/>
      <w:lvlText w:val=""/>
      <w:lvlJc w:val="left"/>
      <w:pPr>
        <w:ind w:left="1134" w:hanging="425"/>
      </w:pPr>
      <w:rPr>
        <w:rFonts w:hint="default"/>
      </w:rPr>
    </w:lvl>
    <w:lvl w:ilvl="2">
      <w:start w:val="1"/>
      <w:numFmt w:val="none"/>
      <w:pStyle w:val="RecommendationText3"/>
      <w:suff w:val="nothing"/>
      <w:lvlText w:val=""/>
      <w:lvlJc w:val="left"/>
      <w:pPr>
        <w:ind w:left="1559" w:hanging="425"/>
      </w:pPr>
      <w:rPr>
        <w:rFonts w:asciiTheme="majorHAnsi" w:hAnsiTheme="majorHAnsi" w:hint="default"/>
      </w:rPr>
    </w:lvl>
    <w:lvl w:ilvl="3">
      <w:start w:val="1"/>
      <w:numFmt w:val="none"/>
      <w:pStyle w:val="RecommendationText4"/>
      <w:suff w:val="nothing"/>
      <w:lvlText w:val="%4"/>
      <w:lvlJc w:val="left"/>
      <w:pPr>
        <w:ind w:left="1984" w:hanging="425"/>
      </w:pPr>
      <w:rPr>
        <w:rFonts w:hint="default"/>
      </w:rPr>
    </w:lvl>
    <w:lvl w:ilvl="4">
      <w:start w:val="1"/>
      <w:numFmt w:val="none"/>
      <w:pStyle w:val="RecommendationText5"/>
      <w:suff w:val="nothing"/>
      <w:lvlText w:val="%5"/>
      <w:lvlJc w:val="left"/>
      <w:pPr>
        <w:ind w:left="2409" w:hanging="425"/>
      </w:pPr>
      <w:rPr>
        <w:rFonts w:hint="default"/>
      </w:rPr>
    </w:lvl>
    <w:lvl w:ilvl="5">
      <w:start w:val="1"/>
      <w:numFmt w:val="lowerRoman"/>
      <w:lvlText w:val="%6."/>
      <w:lvlJc w:val="righ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right"/>
      <w:pPr>
        <w:ind w:left="4109" w:hanging="425"/>
      </w:pPr>
      <w:rPr>
        <w:rFonts w:hint="default"/>
      </w:rPr>
    </w:lvl>
  </w:abstractNum>
  <w:abstractNum w:abstractNumId="2" w15:restartNumberingAfterBreak="0">
    <w:nsid w:val="17C05F59"/>
    <w:multiLevelType w:val="multilevel"/>
    <w:tmpl w:val="DB586FB4"/>
    <w:lvl w:ilvl="0">
      <w:start w:val="1"/>
      <w:numFmt w:val="bullet"/>
      <w:pStyle w:val="ListBullet"/>
      <w:lvlText w:val="•"/>
      <w:lvlJc w:val="left"/>
      <w:pPr>
        <w:ind w:left="992" w:hanging="425"/>
      </w:pPr>
      <w:rPr>
        <w:rFonts w:ascii="Arial" w:hAnsi="Arial" w:hint="default"/>
      </w:rPr>
    </w:lvl>
    <w:lvl w:ilvl="1">
      <w:start w:val="1"/>
      <w:numFmt w:val="bullet"/>
      <w:pStyle w:val="ListBullet2"/>
      <w:lvlText w:val="•"/>
      <w:lvlJc w:val="left"/>
      <w:pPr>
        <w:ind w:left="1417" w:hanging="425"/>
      </w:pPr>
      <w:rPr>
        <w:rFonts w:ascii="Arial" w:hAnsi="Arial" w:hint="default"/>
      </w:rPr>
    </w:lvl>
    <w:lvl w:ilvl="2">
      <w:start w:val="1"/>
      <w:numFmt w:val="bullet"/>
      <w:pStyle w:val="ListBullet3"/>
      <w:lvlText w:val="•"/>
      <w:lvlJc w:val="left"/>
      <w:pPr>
        <w:ind w:left="1842" w:hanging="425"/>
      </w:pPr>
      <w:rPr>
        <w:rFonts w:ascii="Arial" w:hAnsi="Arial" w:hint="default"/>
      </w:rPr>
    </w:lvl>
    <w:lvl w:ilvl="3">
      <w:start w:val="1"/>
      <w:numFmt w:val="bullet"/>
      <w:pStyle w:val="ListBullet4"/>
      <w:lvlText w:val="•"/>
      <w:lvlJc w:val="left"/>
      <w:pPr>
        <w:ind w:left="2267" w:hanging="425"/>
      </w:pPr>
      <w:rPr>
        <w:rFonts w:ascii="Arial" w:hAnsi="Arial" w:hint="default"/>
      </w:rPr>
    </w:lvl>
    <w:lvl w:ilvl="4">
      <w:start w:val="1"/>
      <w:numFmt w:val="bullet"/>
      <w:pStyle w:val="ListBullet5"/>
      <w:lvlText w:val="•"/>
      <w:lvlJc w:val="left"/>
      <w:pPr>
        <w:ind w:left="2692" w:hanging="425"/>
      </w:pPr>
      <w:rPr>
        <w:rFonts w:ascii="Arial" w:hAnsi="Arial" w:hint="default"/>
      </w:rPr>
    </w:lvl>
    <w:lvl w:ilvl="5">
      <w:start w:val="1"/>
      <w:numFmt w:val="bullet"/>
      <w:lvlText w:val="•"/>
      <w:lvlJc w:val="left"/>
      <w:pPr>
        <w:ind w:left="3117" w:hanging="425"/>
      </w:pPr>
      <w:rPr>
        <w:rFonts w:ascii="Arial" w:hAnsi="Arial" w:hint="default"/>
      </w:rPr>
    </w:lvl>
    <w:lvl w:ilvl="6">
      <w:start w:val="1"/>
      <w:numFmt w:val="bullet"/>
      <w:lvlText w:val="•"/>
      <w:lvlJc w:val="left"/>
      <w:pPr>
        <w:ind w:left="3542" w:hanging="425"/>
      </w:pPr>
      <w:rPr>
        <w:rFonts w:ascii="Arial" w:hAnsi="Arial" w:hint="default"/>
      </w:rPr>
    </w:lvl>
    <w:lvl w:ilvl="7">
      <w:start w:val="1"/>
      <w:numFmt w:val="bullet"/>
      <w:lvlText w:val="•"/>
      <w:lvlJc w:val="left"/>
      <w:pPr>
        <w:ind w:left="3967" w:hanging="425"/>
      </w:pPr>
      <w:rPr>
        <w:rFonts w:ascii="Arial" w:hAnsi="Arial" w:hint="default"/>
      </w:rPr>
    </w:lvl>
    <w:lvl w:ilvl="8">
      <w:start w:val="1"/>
      <w:numFmt w:val="bullet"/>
      <w:lvlText w:val="•"/>
      <w:lvlJc w:val="left"/>
      <w:pPr>
        <w:ind w:left="4392" w:hanging="425"/>
      </w:pPr>
      <w:rPr>
        <w:rFonts w:ascii="Arial" w:hAnsi="Arial" w:hint="default"/>
      </w:rPr>
    </w:lvl>
  </w:abstractNum>
  <w:abstractNum w:abstractNumId="3" w15:restartNumberingAfterBreak="0">
    <w:nsid w:val="19EB0378"/>
    <w:multiLevelType w:val="multilevel"/>
    <w:tmpl w:val="BFC6C286"/>
    <w:lvl w:ilvl="0">
      <w:start w:val="1"/>
      <w:numFmt w:val="none"/>
      <w:pStyle w:val="FootnoteNumbered"/>
      <w:suff w:val="nothing"/>
      <w:lvlText w:val=""/>
      <w:lvlJc w:val="left"/>
      <w:pPr>
        <w:ind w:left="851" w:hanging="284"/>
      </w:pPr>
      <w:rPr>
        <w:rFonts w:hint="default"/>
      </w:rPr>
    </w:lvl>
    <w:lvl w:ilvl="1">
      <w:start w:val="1"/>
      <w:numFmt w:val="none"/>
      <w:pStyle w:val="FootnoteNumbered2"/>
      <w:suff w:val="nothing"/>
      <w:lvlText w:val=""/>
      <w:lvlJc w:val="left"/>
      <w:pPr>
        <w:ind w:left="1135" w:hanging="284"/>
      </w:pPr>
      <w:rPr>
        <w:rFonts w:hint="default"/>
      </w:rPr>
    </w:lvl>
    <w:lvl w:ilvl="2">
      <w:start w:val="1"/>
      <w:numFmt w:val="none"/>
      <w:pStyle w:val="FootnoteNumbered3"/>
      <w:suff w:val="nothing"/>
      <w:lvlText w:val=""/>
      <w:lvlJc w:val="left"/>
      <w:pPr>
        <w:ind w:left="1419" w:hanging="284"/>
      </w:pPr>
      <w:rPr>
        <w:rFonts w:hint="default"/>
      </w:rPr>
    </w:lvl>
    <w:lvl w:ilvl="3">
      <w:start w:val="1"/>
      <w:numFmt w:val="none"/>
      <w:lvlText w:val="%4"/>
      <w:lvlJc w:val="left"/>
      <w:pPr>
        <w:ind w:left="1703" w:hanging="284"/>
      </w:pPr>
      <w:rPr>
        <w:rFonts w:hint="default"/>
      </w:rPr>
    </w:lvl>
    <w:lvl w:ilvl="4">
      <w:start w:val="1"/>
      <w:numFmt w:val="none"/>
      <w:lvlText w:val=""/>
      <w:lvlJc w:val="left"/>
      <w:pPr>
        <w:ind w:left="1987" w:hanging="284"/>
      </w:pPr>
      <w:rPr>
        <w:rFonts w:hint="default"/>
      </w:rPr>
    </w:lvl>
    <w:lvl w:ilvl="5">
      <w:start w:val="1"/>
      <w:numFmt w:val="none"/>
      <w:lvlText w:val=""/>
      <w:lvlJc w:val="left"/>
      <w:pPr>
        <w:ind w:left="2271" w:hanging="284"/>
      </w:pPr>
      <w:rPr>
        <w:rFonts w:hint="default"/>
      </w:rPr>
    </w:lvl>
    <w:lvl w:ilvl="6">
      <w:start w:val="1"/>
      <w:numFmt w:val="none"/>
      <w:lvlText w:val=""/>
      <w:lvlJc w:val="left"/>
      <w:pPr>
        <w:ind w:left="2555" w:hanging="284"/>
      </w:pPr>
      <w:rPr>
        <w:rFonts w:hint="default"/>
      </w:rPr>
    </w:lvl>
    <w:lvl w:ilvl="7">
      <w:start w:val="1"/>
      <w:numFmt w:val="none"/>
      <w:lvlText w:val=""/>
      <w:lvlJc w:val="left"/>
      <w:pPr>
        <w:ind w:left="2839" w:hanging="284"/>
      </w:pPr>
      <w:rPr>
        <w:rFonts w:hint="default"/>
      </w:rPr>
    </w:lvl>
    <w:lvl w:ilvl="8">
      <w:start w:val="1"/>
      <w:numFmt w:val="none"/>
      <w:lvlText w:val=""/>
      <w:lvlJc w:val="left"/>
      <w:pPr>
        <w:ind w:left="3123" w:hanging="284"/>
      </w:pPr>
      <w:rPr>
        <w:rFonts w:hint="default"/>
      </w:rPr>
    </w:lvl>
  </w:abstractNum>
  <w:abstractNum w:abstractNumId="4" w15:restartNumberingAfterBreak="0">
    <w:nsid w:val="1D086867"/>
    <w:multiLevelType w:val="multilevel"/>
    <w:tmpl w:val="438262E4"/>
    <w:lvl w:ilvl="0">
      <w:start w:val="1"/>
      <w:numFmt w:val="lowerLetter"/>
      <w:lvlText w:val="%1)"/>
      <w:lvlJc w:val="left"/>
      <w:pPr>
        <w:tabs>
          <w:tab w:val="num" w:pos="1154"/>
        </w:tabs>
        <w:ind w:left="1154" w:hanging="360"/>
      </w:pPr>
      <w:rPr>
        <w:rFonts w:hint="default"/>
      </w:rPr>
    </w:lvl>
    <w:lvl w:ilvl="1">
      <w:start w:val="1"/>
      <w:numFmt w:val="lowerLetter"/>
      <w:pStyle w:val="ListContinue"/>
      <w:lvlText w:val="%2)"/>
      <w:lvlJc w:val="left"/>
      <w:pPr>
        <w:tabs>
          <w:tab w:val="num" w:pos="1514"/>
        </w:tabs>
        <w:ind w:left="1514" w:hanging="360"/>
      </w:pPr>
      <w:rPr>
        <w:rFonts w:hint="default"/>
      </w:rPr>
    </w:lvl>
    <w:lvl w:ilvl="2">
      <w:start w:val="1"/>
      <w:numFmt w:val="lowerRoman"/>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5" w15:restartNumberingAfterBreak="0">
    <w:nsid w:val="37BE3610"/>
    <w:multiLevelType w:val="multilevel"/>
    <w:tmpl w:val="206AEB8A"/>
    <w:lvl w:ilvl="0">
      <w:start w:val="1"/>
      <w:numFmt w:val="bullet"/>
      <w:pStyle w:val="FootnoteBullet"/>
      <w:lvlText w:val="•"/>
      <w:lvlJc w:val="left"/>
      <w:pPr>
        <w:ind w:left="851" w:hanging="284"/>
      </w:pPr>
      <w:rPr>
        <w:rFonts w:ascii="Arial" w:hAnsi="Arial" w:hint="default"/>
      </w:rPr>
    </w:lvl>
    <w:lvl w:ilvl="1">
      <w:start w:val="1"/>
      <w:numFmt w:val="bullet"/>
      <w:lvlText w:val="•"/>
      <w:lvlJc w:val="left"/>
      <w:pPr>
        <w:ind w:left="1135" w:hanging="284"/>
      </w:pPr>
      <w:rPr>
        <w:rFonts w:ascii="Arial" w:hAnsi="Arial" w:hint="default"/>
      </w:rPr>
    </w:lvl>
    <w:lvl w:ilvl="2">
      <w:start w:val="1"/>
      <w:numFmt w:val="bullet"/>
      <w:lvlText w:val="•"/>
      <w:lvlJc w:val="left"/>
      <w:pPr>
        <w:ind w:left="1419" w:hanging="284"/>
      </w:pPr>
      <w:rPr>
        <w:rFonts w:ascii="Arial" w:hAnsi="Arial" w:hint="default"/>
      </w:rPr>
    </w:lvl>
    <w:lvl w:ilvl="3">
      <w:start w:val="1"/>
      <w:numFmt w:val="bullet"/>
      <w:lvlText w:val="•"/>
      <w:lvlJc w:val="left"/>
      <w:pPr>
        <w:ind w:left="1703" w:hanging="284"/>
      </w:pPr>
      <w:rPr>
        <w:rFonts w:ascii="Arial" w:hAnsi="Arial" w:hint="default"/>
      </w:rPr>
    </w:lvl>
    <w:lvl w:ilvl="4">
      <w:start w:val="1"/>
      <w:numFmt w:val="bullet"/>
      <w:lvlText w:val="•"/>
      <w:lvlJc w:val="left"/>
      <w:pPr>
        <w:ind w:left="1987" w:hanging="284"/>
      </w:pPr>
      <w:rPr>
        <w:rFonts w:ascii="Arial" w:hAnsi="Arial" w:hint="default"/>
      </w:rPr>
    </w:lvl>
    <w:lvl w:ilvl="5">
      <w:start w:val="1"/>
      <w:numFmt w:val="bullet"/>
      <w:lvlText w:val="•"/>
      <w:lvlJc w:val="left"/>
      <w:pPr>
        <w:ind w:left="2268" w:hanging="281"/>
      </w:pPr>
      <w:rPr>
        <w:rFonts w:ascii="Arial" w:hAnsi="Arial" w:hint="default"/>
      </w:rPr>
    </w:lvl>
    <w:lvl w:ilvl="6">
      <w:start w:val="1"/>
      <w:numFmt w:val="bullet"/>
      <w:lvlText w:val="•"/>
      <w:lvlJc w:val="left"/>
      <w:pPr>
        <w:ind w:left="2552" w:hanging="284"/>
      </w:pPr>
      <w:rPr>
        <w:rFonts w:ascii="Arial" w:hAnsi="Arial" w:hint="default"/>
      </w:rPr>
    </w:lvl>
    <w:lvl w:ilvl="7">
      <w:start w:val="1"/>
      <w:numFmt w:val="bullet"/>
      <w:lvlText w:val="•"/>
      <w:lvlJc w:val="left"/>
      <w:pPr>
        <w:ind w:left="2835" w:hanging="283"/>
      </w:pPr>
      <w:rPr>
        <w:rFonts w:ascii="Arial" w:hAnsi="Arial" w:hint="default"/>
      </w:rPr>
    </w:lvl>
    <w:lvl w:ilvl="8">
      <w:start w:val="1"/>
      <w:numFmt w:val="bullet"/>
      <w:lvlText w:val="•"/>
      <w:lvlJc w:val="left"/>
      <w:pPr>
        <w:ind w:left="3119" w:hanging="284"/>
      </w:pPr>
      <w:rPr>
        <w:rFonts w:ascii="Arial" w:hAnsi="Arial" w:hint="default"/>
      </w:rPr>
    </w:lvl>
  </w:abstractNum>
  <w:abstractNum w:abstractNumId="6" w15:restartNumberingAfterBreak="0">
    <w:nsid w:val="4072259A"/>
    <w:multiLevelType w:val="hybridMultilevel"/>
    <w:tmpl w:val="58041C90"/>
    <w:lvl w:ilvl="0" w:tplc="617091BC">
      <w:start w:val="1"/>
      <w:numFmt w:val="decimal"/>
      <w:pStyle w:val="Summarybodytext"/>
      <w:lvlText w:val="%1"/>
      <w:lvlJc w:val="left"/>
      <w:pPr>
        <w:ind w:left="833" w:hanging="360"/>
      </w:pPr>
      <w:rPr>
        <w:rFonts w:hint="default"/>
      </w:rPr>
    </w:lvl>
    <w:lvl w:ilvl="1" w:tplc="14090019">
      <w:start w:val="1"/>
      <w:numFmt w:val="lowerLetter"/>
      <w:pStyle w:val="Summarybodytext"/>
      <w:lvlText w:val="%2."/>
      <w:lvlJc w:val="left"/>
      <w:pPr>
        <w:ind w:left="1553" w:hanging="360"/>
      </w:pPr>
    </w:lvl>
    <w:lvl w:ilvl="2" w:tplc="1409001B" w:tentative="1">
      <w:start w:val="1"/>
      <w:numFmt w:val="lowerRoman"/>
      <w:lvlText w:val="%3."/>
      <w:lvlJc w:val="right"/>
      <w:pPr>
        <w:ind w:left="2273" w:hanging="180"/>
      </w:pPr>
    </w:lvl>
    <w:lvl w:ilvl="3" w:tplc="1409000F" w:tentative="1">
      <w:start w:val="1"/>
      <w:numFmt w:val="decimal"/>
      <w:lvlText w:val="%4."/>
      <w:lvlJc w:val="left"/>
      <w:pPr>
        <w:ind w:left="2993" w:hanging="360"/>
      </w:pPr>
    </w:lvl>
    <w:lvl w:ilvl="4" w:tplc="14090019" w:tentative="1">
      <w:start w:val="1"/>
      <w:numFmt w:val="lowerLetter"/>
      <w:lvlText w:val="%5."/>
      <w:lvlJc w:val="left"/>
      <w:pPr>
        <w:ind w:left="3713" w:hanging="360"/>
      </w:pPr>
    </w:lvl>
    <w:lvl w:ilvl="5" w:tplc="1409001B" w:tentative="1">
      <w:start w:val="1"/>
      <w:numFmt w:val="lowerRoman"/>
      <w:lvlText w:val="%6."/>
      <w:lvlJc w:val="right"/>
      <w:pPr>
        <w:ind w:left="4433" w:hanging="180"/>
      </w:pPr>
    </w:lvl>
    <w:lvl w:ilvl="6" w:tplc="1409000F" w:tentative="1">
      <w:start w:val="1"/>
      <w:numFmt w:val="decimal"/>
      <w:lvlText w:val="%7."/>
      <w:lvlJc w:val="left"/>
      <w:pPr>
        <w:ind w:left="5153" w:hanging="360"/>
      </w:pPr>
    </w:lvl>
    <w:lvl w:ilvl="7" w:tplc="14090019" w:tentative="1">
      <w:start w:val="1"/>
      <w:numFmt w:val="lowerLetter"/>
      <w:lvlText w:val="%8."/>
      <w:lvlJc w:val="left"/>
      <w:pPr>
        <w:ind w:left="5873" w:hanging="360"/>
      </w:pPr>
    </w:lvl>
    <w:lvl w:ilvl="8" w:tplc="1409001B" w:tentative="1">
      <w:start w:val="1"/>
      <w:numFmt w:val="lowerRoman"/>
      <w:lvlText w:val="%9."/>
      <w:lvlJc w:val="right"/>
      <w:pPr>
        <w:ind w:left="6593" w:hanging="180"/>
      </w:pPr>
    </w:lvl>
  </w:abstractNum>
  <w:abstractNum w:abstractNumId="7" w15:restartNumberingAfterBreak="0">
    <w:nsid w:val="45C025E5"/>
    <w:multiLevelType w:val="multilevel"/>
    <w:tmpl w:val="F6F4801C"/>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rPr>
        <w:rFonts w:hint="default"/>
      </w:rPr>
    </w:lvl>
    <w:lvl w:ilvl="2">
      <w:start w:val="1"/>
      <w:numFmt w:val="none"/>
      <w:pStyle w:val="BodyTextIndent"/>
      <w:suff w:val="nothing"/>
      <w:lvlText w:val=""/>
      <w:lvlJc w:val="left"/>
      <w:pPr>
        <w:ind w:left="709" w:firstLine="0"/>
      </w:pPr>
      <w:rPr>
        <w:rFonts w:hint="default"/>
      </w:rPr>
    </w:lvl>
    <w:lvl w:ilvl="3">
      <w:start w:val="1"/>
      <w:numFmt w:val="lowerLetter"/>
      <w:pStyle w:val="BodyText2"/>
      <w:lvlText w:val="(%4)"/>
      <w:lvlJc w:val="left"/>
      <w:pPr>
        <w:tabs>
          <w:tab w:val="num" w:pos="1134"/>
        </w:tabs>
        <w:ind w:left="1134" w:hanging="425"/>
      </w:pPr>
      <w:rPr>
        <w:rFonts w:hint="default"/>
      </w:rPr>
    </w:lvl>
    <w:lvl w:ilvl="4">
      <w:start w:val="1"/>
      <w:numFmt w:val="none"/>
      <w:pStyle w:val="BodyTextIndent2"/>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8" w15:restartNumberingAfterBreak="0">
    <w:nsid w:val="48B2128C"/>
    <w:multiLevelType w:val="hybridMultilevel"/>
    <w:tmpl w:val="831E902E"/>
    <w:lvl w:ilvl="0" w:tplc="E7C87D18">
      <w:start w:val="1"/>
      <w:numFmt w:val="decimal"/>
      <w:pStyle w:val="G1GuidelinesText"/>
      <w:lvlText w:val="G%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F765D8"/>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DA27885"/>
    <w:multiLevelType w:val="multilevel"/>
    <w:tmpl w:val="FD58AA42"/>
    <w:lvl w:ilvl="0">
      <w:start w:val="1"/>
      <w:numFmt w:val="lowerRoman"/>
      <w:pStyle w:val="ListRomanNumeral"/>
      <w:lvlText w:val="(%1)"/>
      <w:lvlJc w:val="right"/>
      <w:pPr>
        <w:ind w:left="1530" w:hanging="198"/>
      </w:pPr>
      <w:rPr>
        <w:rFonts w:hint="default"/>
      </w:rPr>
    </w:lvl>
    <w:lvl w:ilvl="1">
      <w:start w:val="1"/>
      <w:numFmt w:val="lowerLetter"/>
      <w:lvlText w:val="%2)"/>
      <w:lvlJc w:val="left"/>
      <w:pPr>
        <w:ind w:left="1728" w:hanging="198"/>
      </w:pPr>
      <w:rPr>
        <w:rFonts w:hint="default"/>
      </w:rPr>
    </w:lvl>
    <w:lvl w:ilvl="2">
      <w:start w:val="1"/>
      <w:numFmt w:val="lowerRoman"/>
      <w:lvlText w:val="%3)"/>
      <w:lvlJc w:val="left"/>
      <w:pPr>
        <w:ind w:left="1926" w:hanging="198"/>
      </w:pPr>
      <w:rPr>
        <w:rFonts w:hint="default"/>
      </w:rPr>
    </w:lvl>
    <w:lvl w:ilvl="3">
      <w:start w:val="1"/>
      <w:numFmt w:val="decimal"/>
      <w:lvlText w:val="(%4)"/>
      <w:lvlJc w:val="left"/>
      <w:pPr>
        <w:ind w:left="2124" w:hanging="198"/>
      </w:pPr>
      <w:rPr>
        <w:rFonts w:hint="default"/>
      </w:rPr>
    </w:lvl>
    <w:lvl w:ilvl="4">
      <w:start w:val="1"/>
      <w:numFmt w:val="lowerLetter"/>
      <w:lvlText w:val="(%5)"/>
      <w:lvlJc w:val="left"/>
      <w:pPr>
        <w:ind w:left="2322" w:hanging="198"/>
      </w:pPr>
      <w:rPr>
        <w:rFonts w:hint="default"/>
      </w:rPr>
    </w:lvl>
    <w:lvl w:ilvl="5">
      <w:start w:val="1"/>
      <w:numFmt w:val="lowerRoman"/>
      <w:lvlText w:val="(%6)"/>
      <w:lvlJc w:val="left"/>
      <w:pPr>
        <w:ind w:left="2520" w:hanging="198"/>
      </w:pPr>
      <w:rPr>
        <w:rFonts w:hint="default"/>
      </w:rPr>
    </w:lvl>
    <w:lvl w:ilvl="6">
      <w:start w:val="1"/>
      <w:numFmt w:val="decimal"/>
      <w:lvlText w:val="%7."/>
      <w:lvlJc w:val="left"/>
      <w:pPr>
        <w:ind w:left="2718" w:hanging="198"/>
      </w:pPr>
      <w:rPr>
        <w:rFonts w:hint="default"/>
      </w:rPr>
    </w:lvl>
    <w:lvl w:ilvl="7">
      <w:start w:val="1"/>
      <w:numFmt w:val="lowerLetter"/>
      <w:lvlText w:val="%8."/>
      <w:lvlJc w:val="left"/>
      <w:pPr>
        <w:ind w:left="2916" w:hanging="198"/>
      </w:pPr>
      <w:rPr>
        <w:rFonts w:hint="default"/>
      </w:rPr>
    </w:lvl>
    <w:lvl w:ilvl="8">
      <w:start w:val="1"/>
      <w:numFmt w:val="lowerRoman"/>
      <w:lvlText w:val="%9."/>
      <w:lvlJc w:val="left"/>
      <w:pPr>
        <w:ind w:left="3114" w:hanging="198"/>
      </w:pPr>
      <w:rPr>
        <w:rFonts w:hint="default"/>
      </w:rPr>
    </w:lvl>
  </w:abstractNum>
  <w:abstractNum w:abstractNumId="11" w15:restartNumberingAfterBreak="0">
    <w:nsid w:val="4FFB24C0"/>
    <w:multiLevelType w:val="hybridMultilevel"/>
    <w:tmpl w:val="DD66239A"/>
    <w:lvl w:ilvl="0" w:tplc="17DA5760">
      <w:start w:val="1"/>
      <w:numFmt w:val="bullet"/>
      <w:pStyle w:val="B2Recommendation"/>
      <w:lvlText w:val="-"/>
      <w:lvlJc w:val="left"/>
      <w:pPr>
        <w:tabs>
          <w:tab w:val="num" w:pos="1701"/>
        </w:tabs>
        <w:ind w:left="1701" w:hanging="567"/>
      </w:pPr>
      <w:rPr>
        <w:rFonts w:ascii="Times New Roman Mäori" w:hAnsi="Times New Roman Mäo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BC0578"/>
    <w:multiLevelType w:val="multilevel"/>
    <w:tmpl w:val="A344FAE2"/>
    <w:lvl w:ilvl="0">
      <w:start w:val="1"/>
      <w:numFmt w:val="decimal"/>
      <w:pStyle w:val="Numberedpara"/>
      <w:lvlText w:val="%1."/>
      <w:lvlJc w:val="left"/>
      <w:pPr>
        <w:ind w:left="567" w:hanging="567"/>
      </w:pPr>
      <w:rPr>
        <w:rFonts w:ascii="Metropolis Light" w:hAnsi="Metropolis Light" w:hint="default"/>
        <w:b w:val="0"/>
        <w:bCs/>
        <w:i w:val="0"/>
        <w:iCs/>
        <w:color w:val="auto"/>
        <w:sz w:val="20"/>
        <w:szCs w:val="20"/>
      </w:rPr>
    </w:lvl>
    <w:lvl w:ilvl="1">
      <w:start w:val="1"/>
      <w:numFmt w:val="lowerLetter"/>
      <w:lvlText w:val="(%2)"/>
      <w:lvlJc w:val="left"/>
      <w:pPr>
        <w:tabs>
          <w:tab w:val="num" w:pos="1134"/>
        </w:tabs>
        <w:ind w:left="1134" w:hanging="567"/>
      </w:pPr>
      <w:rPr>
        <w:rFonts w:ascii="Metropolis Light" w:hAnsi="Metropolis Light" w:hint="default"/>
        <w:b w:val="0"/>
        <w:bCs/>
        <w:i w:val="0"/>
        <w:iCs/>
        <w:sz w:val="20"/>
        <w:szCs w:val="20"/>
      </w:rPr>
    </w:lvl>
    <w:lvl w:ilvl="2">
      <w:start w:val="1"/>
      <w:numFmt w:val="lowerRoman"/>
      <w:lvlText w:val="%3."/>
      <w:lvlJc w:val="right"/>
      <w:pPr>
        <w:tabs>
          <w:tab w:val="num" w:pos="1418"/>
        </w:tabs>
        <w:ind w:left="141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A9135E6"/>
    <w:multiLevelType w:val="multilevel"/>
    <w:tmpl w:val="04090023"/>
    <w:styleLink w:val="ArticleSection1"/>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C976384"/>
    <w:multiLevelType w:val="multilevel"/>
    <w:tmpl w:val="D7080BBA"/>
    <w:lvl w:ilvl="0">
      <w:start w:val="1"/>
      <w:numFmt w:val="bullet"/>
      <w:pStyle w:val="QuoteBullet"/>
      <w:lvlText w:val="•"/>
      <w:lvlJc w:val="left"/>
      <w:pPr>
        <w:ind w:left="1418" w:hanging="284"/>
      </w:pPr>
      <w:rPr>
        <w:rFonts w:ascii="Arial" w:hAnsi="Arial" w:hint="default"/>
      </w:rPr>
    </w:lvl>
    <w:lvl w:ilvl="1">
      <w:start w:val="1"/>
      <w:numFmt w:val="bullet"/>
      <w:pStyle w:val="QuoteBullet2"/>
      <w:lvlText w:val="•"/>
      <w:lvlJc w:val="left"/>
      <w:pPr>
        <w:ind w:left="1702" w:hanging="284"/>
      </w:pPr>
      <w:rPr>
        <w:rFonts w:ascii="Arial" w:hAnsi="Arial" w:hint="default"/>
      </w:rPr>
    </w:lvl>
    <w:lvl w:ilvl="2">
      <w:start w:val="1"/>
      <w:numFmt w:val="bullet"/>
      <w:pStyle w:val="QuoteBullet3"/>
      <w:lvlText w:val="•"/>
      <w:lvlJc w:val="left"/>
      <w:pPr>
        <w:ind w:left="1986" w:hanging="284"/>
      </w:pPr>
      <w:rPr>
        <w:rFonts w:ascii="Arial" w:hAnsi="Arial" w:hint="default"/>
      </w:rPr>
    </w:lvl>
    <w:lvl w:ilvl="3">
      <w:start w:val="1"/>
      <w:numFmt w:val="bullet"/>
      <w:lvlText w:val="•"/>
      <w:lvlJc w:val="left"/>
      <w:pPr>
        <w:ind w:left="2270" w:hanging="284"/>
      </w:pPr>
      <w:rPr>
        <w:rFonts w:ascii="Arial" w:hAnsi="Arial" w:hint="default"/>
      </w:rPr>
    </w:lvl>
    <w:lvl w:ilvl="4">
      <w:start w:val="1"/>
      <w:numFmt w:val="bullet"/>
      <w:lvlText w:val="•"/>
      <w:lvlJc w:val="left"/>
      <w:pPr>
        <w:ind w:left="2554" w:hanging="284"/>
      </w:pPr>
      <w:rPr>
        <w:rFonts w:ascii="Arial" w:hAnsi="Arial" w:hint="default"/>
      </w:rPr>
    </w:lvl>
    <w:lvl w:ilvl="5">
      <w:start w:val="1"/>
      <w:numFmt w:val="bullet"/>
      <w:lvlText w:val="•"/>
      <w:lvlJc w:val="left"/>
      <w:pPr>
        <w:ind w:left="2838" w:hanging="284"/>
      </w:pPr>
      <w:rPr>
        <w:rFonts w:ascii="Arial" w:hAnsi="Arial" w:hint="default"/>
      </w:rPr>
    </w:lvl>
    <w:lvl w:ilvl="6">
      <w:start w:val="1"/>
      <w:numFmt w:val="bullet"/>
      <w:lvlText w:val="•"/>
      <w:lvlJc w:val="left"/>
      <w:pPr>
        <w:ind w:left="3122" w:hanging="284"/>
      </w:pPr>
      <w:rPr>
        <w:rFonts w:ascii="Arial" w:hAnsi="Arial" w:hint="default"/>
      </w:rPr>
    </w:lvl>
    <w:lvl w:ilvl="7">
      <w:start w:val="1"/>
      <w:numFmt w:val="bullet"/>
      <w:lvlText w:val="•"/>
      <w:lvlJc w:val="left"/>
      <w:pPr>
        <w:ind w:left="3406" w:hanging="284"/>
      </w:pPr>
      <w:rPr>
        <w:rFonts w:ascii="Arial" w:hAnsi="Arial" w:hint="default"/>
      </w:rPr>
    </w:lvl>
    <w:lvl w:ilvl="8">
      <w:start w:val="1"/>
      <w:numFmt w:val="bullet"/>
      <w:lvlText w:val="•"/>
      <w:lvlJc w:val="left"/>
      <w:pPr>
        <w:ind w:left="3690" w:hanging="284"/>
      </w:pPr>
      <w:rPr>
        <w:rFonts w:ascii="Arial" w:hAnsi="Arial" w:hint="default"/>
      </w:rPr>
    </w:lvl>
  </w:abstractNum>
  <w:abstractNum w:abstractNumId="15" w15:restartNumberingAfterBreak="0">
    <w:nsid w:val="5E8F5927"/>
    <w:multiLevelType w:val="hybridMultilevel"/>
    <w:tmpl w:val="3D4043E2"/>
    <w:lvl w:ilvl="0" w:tplc="9ED85490">
      <w:start w:val="1"/>
      <w:numFmt w:val="decimal"/>
      <w:pStyle w:val="QuestionText"/>
      <w:lvlText w:val="Q%1."/>
      <w:lvlJc w:val="left"/>
      <w:pPr>
        <w:ind w:left="64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6" w15:restartNumberingAfterBreak="0">
    <w:nsid w:val="610D0C23"/>
    <w:multiLevelType w:val="multilevel"/>
    <w:tmpl w:val="0E1492F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1559" w:hanging="425"/>
      </w:pPr>
      <w:rPr>
        <w:rFonts w:hint="default"/>
        <w:sz w:val="22"/>
      </w:rPr>
    </w:lvl>
    <w:lvl w:ilvl="2">
      <w:start w:val="1"/>
      <w:numFmt w:val="decimal"/>
      <w:pStyle w:val="ListNumber3"/>
      <w:lvlText w:val="%1.%2.%3."/>
      <w:lvlJc w:val="left"/>
      <w:pPr>
        <w:ind w:left="1984" w:hanging="425"/>
      </w:pPr>
      <w:rPr>
        <w:rFonts w:hint="default"/>
        <w:sz w:val="20"/>
      </w:rPr>
    </w:lvl>
    <w:lvl w:ilvl="3">
      <w:start w:val="1"/>
      <w:numFmt w:val="decimal"/>
      <w:pStyle w:val="ListNumber4"/>
      <w:lvlText w:val="%1.%2.%3.%4."/>
      <w:lvlJc w:val="left"/>
      <w:pPr>
        <w:ind w:left="2409" w:hanging="425"/>
      </w:pPr>
      <w:rPr>
        <w:rFonts w:hint="default"/>
        <w:sz w:val="20"/>
      </w:rPr>
    </w:lvl>
    <w:lvl w:ilvl="4">
      <w:start w:val="1"/>
      <w:numFmt w:val="decimal"/>
      <w:pStyle w:val="ListNumber5"/>
      <w:lvlText w:val="%1.%2.%3.%4.%5."/>
      <w:lvlJc w:val="left"/>
      <w:pPr>
        <w:ind w:left="2834" w:hanging="425"/>
      </w:pPr>
      <w:rPr>
        <w:rFonts w:hint="default"/>
        <w:sz w:val="20"/>
      </w:rPr>
    </w:lvl>
    <w:lvl w:ilvl="5">
      <w:start w:val="1"/>
      <w:numFmt w:val="decimal"/>
      <w:lvlText w:val="%1.%2.%3.%4.%5.%6."/>
      <w:lvlJc w:val="left"/>
      <w:pPr>
        <w:ind w:left="3259" w:hanging="425"/>
      </w:pPr>
      <w:rPr>
        <w:rFonts w:hint="default"/>
      </w:rPr>
    </w:lvl>
    <w:lvl w:ilvl="6">
      <w:start w:val="1"/>
      <w:numFmt w:val="decimal"/>
      <w:lvlText w:val="%1.%2.%3.%4.%5.%6.%7."/>
      <w:lvlJc w:val="left"/>
      <w:pPr>
        <w:ind w:left="3684" w:hanging="425"/>
      </w:pPr>
      <w:rPr>
        <w:rFonts w:hint="default"/>
      </w:rPr>
    </w:lvl>
    <w:lvl w:ilvl="7">
      <w:start w:val="1"/>
      <w:numFmt w:val="decimal"/>
      <w:lvlText w:val="%1.%2.%3.%4.%5.%6.%7.%8."/>
      <w:lvlJc w:val="left"/>
      <w:pPr>
        <w:ind w:left="4109" w:hanging="425"/>
      </w:pPr>
      <w:rPr>
        <w:rFonts w:hint="default"/>
      </w:rPr>
    </w:lvl>
    <w:lvl w:ilvl="8">
      <w:start w:val="1"/>
      <w:numFmt w:val="decimal"/>
      <w:lvlText w:val="%1.%2.%3.%4.%5.%6.%7.%8.%9."/>
      <w:lvlJc w:val="left"/>
      <w:pPr>
        <w:ind w:left="4534" w:hanging="425"/>
      </w:pPr>
      <w:rPr>
        <w:rFonts w:hint="default"/>
      </w:rPr>
    </w:lvl>
  </w:abstractNum>
  <w:abstractNum w:abstractNumId="17" w15:restartNumberingAfterBreak="0">
    <w:nsid w:val="6E551553"/>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8" w15:restartNumberingAfterBreak="0">
    <w:nsid w:val="6F6C61AA"/>
    <w:multiLevelType w:val="hybridMultilevel"/>
    <w:tmpl w:val="4060072A"/>
    <w:lvl w:ilvl="0" w:tplc="28AA682E">
      <w:start w:val="1"/>
      <w:numFmt w:val="decimal"/>
      <w:pStyle w:val="CommentsText"/>
      <w:lvlText w:val="C%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4C9151B"/>
    <w:multiLevelType w:val="multilevel"/>
    <w:tmpl w:val="05B43110"/>
    <w:lvl w:ilvl="0">
      <w:start w:val="1"/>
      <w:numFmt w:val="none"/>
      <w:pStyle w:val="Quote"/>
      <w:suff w:val="nothing"/>
      <w:lvlText w:val=""/>
      <w:lvlJc w:val="left"/>
      <w:pPr>
        <w:ind w:left="1418" w:hanging="284"/>
      </w:pPr>
      <w:rPr>
        <w:rFonts w:hint="default"/>
      </w:rPr>
    </w:lvl>
    <w:lvl w:ilvl="1">
      <w:start w:val="1"/>
      <w:numFmt w:val="decimal"/>
      <w:pStyle w:val="QuoteIndent1"/>
      <w:suff w:val="nothing"/>
      <w:lvlText w:val="%1"/>
      <w:lvlJc w:val="left"/>
      <w:pPr>
        <w:ind w:left="1702" w:hanging="284"/>
      </w:pPr>
      <w:rPr>
        <w:rFonts w:hint="default"/>
      </w:rPr>
    </w:lvl>
    <w:lvl w:ilvl="2">
      <w:start w:val="1"/>
      <w:numFmt w:val="none"/>
      <w:pStyle w:val="QuoteIndent2"/>
      <w:suff w:val="nothing"/>
      <w:lvlText w:val=""/>
      <w:lvlJc w:val="left"/>
      <w:pPr>
        <w:ind w:left="1986" w:hanging="284"/>
      </w:pPr>
      <w:rPr>
        <w:rFonts w:hint="default"/>
      </w:rPr>
    </w:lvl>
    <w:lvl w:ilvl="3">
      <w:start w:val="1"/>
      <w:numFmt w:val="decimal"/>
      <w:suff w:val="nothing"/>
      <w:lvlText w:val="%1"/>
      <w:lvlJc w:val="left"/>
      <w:pPr>
        <w:ind w:left="2270" w:hanging="284"/>
      </w:pPr>
      <w:rPr>
        <w:rFonts w:hint="default"/>
      </w:rPr>
    </w:lvl>
    <w:lvl w:ilvl="4">
      <w:start w:val="1"/>
      <w:numFmt w:val="decimal"/>
      <w:suff w:val="nothing"/>
      <w:lvlText w:val="%1"/>
      <w:lvlJc w:val="left"/>
      <w:pPr>
        <w:ind w:left="2554" w:hanging="284"/>
      </w:pPr>
      <w:rPr>
        <w:rFonts w:hint="default"/>
      </w:rPr>
    </w:lvl>
    <w:lvl w:ilvl="5">
      <w:start w:val="1"/>
      <w:numFmt w:val="decimal"/>
      <w:suff w:val="nothing"/>
      <w:lvlText w:val="%1"/>
      <w:lvlJc w:val="left"/>
      <w:pPr>
        <w:ind w:left="2838" w:hanging="284"/>
      </w:pPr>
      <w:rPr>
        <w:rFonts w:hint="default"/>
      </w:rPr>
    </w:lvl>
    <w:lvl w:ilvl="6">
      <w:start w:val="1"/>
      <w:numFmt w:val="decimal"/>
      <w:suff w:val="nothing"/>
      <w:lvlText w:val="%1"/>
      <w:lvlJc w:val="left"/>
      <w:pPr>
        <w:ind w:left="3122" w:hanging="284"/>
      </w:pPr>
      <w:rPr>
        <w:rFonts w:hint="default"/>
      </w:rPr>
    </w:lvl>
    <w:lvl w:ilvl="7">
      <w:start w:val="1"/>
      <w:numFmt w:val="decimal"/>
      <w:suff w:val="nothing"/>
      <w:lvlText w:val="%8%1"/>
      <w:lvlJc w:val="left"/>
      <w:pPr>
        <w:ind w:left="3406" w:hanging="284"/>
      </w:pPr>
      <w:rPr>
        <w:rFonts w:hint="default"/>
      </w:rPr>
    </w:lvl>
    <w:lvl w:ilvl="8">
      <w:start w:val="1"/>
      <w:numFmt w:val="decimal"/>
      <w:suff w:val="nothing"/>
      <w:lvlText w:val="%1"/>
      <w:lvlJc w:val="left"/>
      <w:pPr>
        <w:ind w:left="3690" w:hanging="284"/>
      </w:pPr>
      <w:rPr>
        <w:rFonts w:hint="default"/>
      </w:rPr>
    </w:lvl>
  </w:abstractNum>
  <w:abstractNum w:abstractNumId="20" w15:restartNumberingAfterBreak="0">
    <w:nsid w:val="76530D9A"/>
    <w:multiLevelType w:val="multilevel"/>
    <w:tmpl w:val="FCAA9BA6"/>
    <w:styleLink w:val="Chapter11"/>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21" w15:restartNumberingAfterBreak="0">
    <w:nsid w:val="7CFB013C"/>
    <w:multiLevelType w:val="hybridMultilevel"/>
    <w:tmpl w:val="2D765A02"/>
    <w:lvl w:ilvl="0" w:tplc="5218C090">
      <w:start w:val="1"/>
      <w:numFmt w:val="lowerLetter"/>
      <w:pStyle w:val="Questionabc"/>
      <w:lvlText w:val="%1."/>
      <w:lvlJc w:val="left"/>
      <w:pPr>
        <w:ind w:left="1678" w:hanging="360"/>
      </w:pPr>
      <w:rPr>
        <w:rFonts w:ascii="Metropolis" w:hAnsi="Metropolis" w:hint="default"/>
      </w:rPr>
    </w:lvl>
    <w:lvl w:ilvl="1" w:tplc="14090019" w:tentative="1">
      <w:start w:val="1"/>
      <w:numFmt w:val="lowerLetter"/>
      <w:lvlText w:val="%2."/>
      <w:lvlJc w:val="left"/>
      <w:pPr>
        <w:ind w:left="2398" w:hanging="360"/>
      </w:pPr>
    </w:lvl>
    <w:lvl w:ilvl="2" w:tplc="1409001B" w:tentative="1">
      <w:start w:val="1"/>
      <w:numFmt w:val="lowerRoman"/>
      <w:lvlText w:val="%3."/>
      <w:lvlJc w:val="right"/>
      <w:pPr>
        <w:ind w:left="3118" w:hanging="180"/>
      </w:pPr>
    </w:lvl>
    <w:lvl w:ilvl="3" w:tplc="1409000F" w:tentative="1">
      <w:start w:val="1"/>
      <w:numFmt w:val="decimal"/>
      <w:lvlText w:val="%4."/>
      <w:lvlJc w:val="left"/>
      <w:pPr>
        <w:ind w:left="3838" w:hanging="360"/>
      </w:pPr>
    </w:lvl>
    <w:lvl w:ilvl="4" w:tplc="14090019" w:tentative="1">
      <w:start w:val="1"/>
      <w:numFmt w:val="lowerLetter"/>
      <w:lvlText w:val="%5."/>
      <w:lvlJc w:val="left"/>
      <w:pPr>
        <w:ind w:left="4558" w:hanging="360"/>
      </w:pPr>
    </w:lvl>
    <w:lvl w:ilvl="5" w:tplc="1409001B" w:tentative="1">
      <w:start w:val="1"/>
      <w:numFmt w:val="lowerRoman"/>
      <w:lvlText w:val="%6."/>
      <w:lvlJc w:val="right"/>
      <w:pPr>
        <w:ind w:left="5278" w:hanging="180"/>
      </w:pPr>
    </w:lvl>
    <w:lvl w:ilvl="6" w:tplc="1409000F" w:tentative="1">
      <w:start w:val="1"/>
      <w:numFmt w:val="decimal"/>
      <w:lvlText w:val="%7."/>
      <w:lvlJc w:val="left"/>
      <w:pPr>
        <w:ind w:left="5998" w:hanging="360"/>
      </w:pPr>
    </w:lvl>
    <w:lvl w:ilvl="7" w:tplc="14090019" w:tentative="1">
      <w:start w:val="1"/>
      <w:numFmt w:val="lowerLetter"/>
      <w:lvlText w:val="%8."/>
      <w:lvlJc w:val="left"/>
      <w:pPr>
        <w:ind w:left="6718" w:hanging="360"/>
      </w:pPr>
    </w:lvl>
    <w:lvl w:ilvl="8" w:tplc="1409001B" w:tentative="1">
      <w:start w:val="1"/>
      <w:numFmt w:val="lowerRoman"/>
      <w:lvlText w:val="%9."/>
      <w:lvlJc w:val="right"/>
      <w:pPr>
        <w:ind w:left="7438" w:hanging="180"/>
      </w:pPr>
    </w:lvl>
  </w:abstractNum>
  <w:num w:numId="1" w16cid:durableId="774640787">
    <w:abstractNumId w:val="1"/>
  </w:num>
  <w:num w:numId="2" w16cid:durableId="603928914">
    <w:abstractNumId w:val="4"/>
  </w:num>
  <w:num w:numId="3" w16cid:durableId="907689822">
    <w:abstractNumId w:val="16"/>
  </w:num>
  <w:num w:numId="4" w16cid:durableId="1225986972">
    <w:abstractNumId w:val="17"/>
  </w:num>
  <w:num w:numId="5" w16cid:durableId="1758674774">
    <w:abstractNumId w:val="9"/>
  </w:num>
  <w:num w:numId="6" w16cid:durableId="1107582883">
    <w:abstractNumId w:val="13"/>
  </w:num>
  <w:num w:numId="7" w16cid:durableId="190001694">
    <w:abstractNumId w:val="2"/>
  </w:num>
  <w:num w:numId="8" w16cid:durableId="2079327887">
    <w:abstractNumId w:val="14"/>
  </w:num>
  <w:num w:numId="9" w16cid:durableId="277294117">
    <w:abstractNumId w:val="15"/>
  </w:num>
  <w:num w:numId="10" w16cid:durableId="12734651">
    <w:abstractNumId w:val="18"/>
  </w:num>
  <w:num w:numId="11" w16cid:durableId="1747916718">
    <w:abstractNumId w:val="5"/>
  </w:num>
  <w:num w:numId="12" w16cid:durableId="1115096389">
    <w:abstractNumId w:val="3"/>
  </w:num>
  <w:num w:numId="13" w16cid:durableId="622274775">
    <w:abstractNumId w:val="6"/>
  </w:num>
  <w:num w:numId="14" w16cid:durableId="1161581102">
    <w:abstractNumId w:val="19"/>
  </w:num>
  <w:num w:numId="15" w16cid:durableId="64232503">
    <w:abstractNumId w:val="8"/>
  </w:num>
  <w:num w:numId="16" w16cid:durableId="19324265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7387886">
    <w:abstractNumId w:val="20"/>
  </w:num>
  <w:num w:numId="18" w16cid:durableId="284580225">
    <w:abstractNumId w:val="11"/>
  </w:num>
  <w:num w:numId="19" w16cid:durableId="1932658738">
    <w:abstractNumId w:val="7"/>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lvlText w:val="%1.%2"/>
        <w:lvlJc w:val="left"/>
        <w:pPr>
          <w:tabs>
            <w:tab w:val="num" w:pos="709"/>
          </w:tabs>
          <w:ind w:left="709" w:hanging="596"/>
        </w:pPr>
      </w:lvl>
    </w:lvlOverride>
    <w:lvlOverride w:ilvl="2">
      <w:lvl w:ilvl="2">
        <w:start w:val="1"/>
        <w:numFmt w:val="none"/>
        <w:pStyle w:val="BodyTextIndent"/>
        <w:suff w:val="nothing"/>
        <w:lvlText w:val=""/>
        <w:lvlJc w:val="left"/>
        <w:pPr>
          <w:ind w:left="709" w:firstLine="0"/>
        </w:pPr>
        <w:rPr>
          <w:rFonts w:hint="default"/>
        </w:rPr>
      </w:lvl>
    </w:lvlOverride>
    <w:lvlOverride w:ilvl="3">
      <w:lvl w:ilvl="3">
        <w:start w:val="1"/>
        <w:numFmt w:val="lowerLetter"/>
        <w:pStyle w:val="BodyText2"/>
        <w:lvlText w:val="(%4)"/>
        <w:lvlJc w:val="left"/>
        <w:pPr>
          <w:tabs>
            <w:tab w:val="num" w:pos="1134"/>
          </w:tabs>
          <w:ind w:left="1134" w:hanging="425"/>
        </w:pPr>
        <w:rPr>
          <w:rFonts w:hint="default"/>
        </w:rPr>
      </w:lvl>
    </w:lvlOverride>
    <w:lvlOverride w:ilvl="4">
      <w:lvl w:ilvl="4">
        <w:start w:val="1"/>
        <w:numFmt w:val="none"/>
        <w:pStyle w:val="BodyTextIndent2"/>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20" w16cid:durableId="1717192548">
    <w:abstractNumId w:val="0"/>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pStyle w:val="BodyText"/>
        <w:lvlText w:val="%1.%2"/>
        <w:lvlJc w:val="left"/>
        <w:pPr>
          <w:tabs>
            <w:tab w:val="num" w:pos="709"/>
          </w:tabs>
          <w:ind w:left="709" w:hanging="596"/>
        </w:pPr>
        <w:rPr>
          <w:rFonts w:hint="default"/>
          <w:b w:val="0"/>
          <w:bCs/>
          <w:i w:val="0"/>
          <w:iCs/>
        </w:rPr>
      </w:lvl>
    </w:lvlOverride>
    <w:lvlOverride w:ilvl="2">
      <w:lvl w:ilvl="2">
        <w:start w:val="1"/>
        <w:numFmt w:val="none"/>
        <w:pStyle w:val="BodyTextnonum"/>
        <w:suff w:val="nothing"/>
        <w:lvlText w:val=""/>
        <w:lvlJc w:val="left"/>
        <w:pPr>
          <w:ind w:left="709" w:firstLine="0"/>
        </w:pPr>
        <w:rPr>
          <w:rFonts w:hint="default"/>
        </w:rPr>
      </w:lvl>
    </w:lvlOverride>
    <w:lvlOverride w:ilvl="3">
      <w:lvl w:ilvl="3">
        <w:start w:val="1"/>
        <w:numFmt w:val="lowerLetter"/>
        <w:lvlText w:val="(%4)"/>
        <w:lvlJc w:val="left"/>
        <w:pPr>
          <w:tabs>
            <w:tab w:val="num" w:pos="1134"/>
          </w:tabs>
          <w:ind w:left="1134" w:hanging="425"/>
        </w:pPr>
        <w:rPr>
          <w:rFonts w:hint="default"/>
        </w:rPr>
      </w:lvl>
    </w:lvlOverride>
    <w:lvlOverride w:ilvl="4">
      <w:lvl w:ilvl="4">
        <w:start w:val="1"/>
        <w:numFmt w:val="none"/>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21" w16cid:durableId="16351056">
    <w:abstractNumId w:val="21"/>
  </w:num>
  <w:num w:numId="22" w16cid:durableId="1406298635">
    <w:abstractNumId w:val="0"/>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pStyle w:val="BodyText"/>
        <w:lvlText w:val="%1.%2"/>
        <w:lvlJc w:val="left"/>
        <w:pPr>
          <w:tabs>
            <w:tab w:val="num" w:pos="709"/>
          </w:tabs>
          <w:ind w:left="709" w:hanging="596"/>
        </w:pPr>
        <w:rPr>
          <w:rFonts w:hint="default"/>
          <w:b w:val="0"/>
          <w:bCs/>
          <w:i w:val="0"/>
          <w:iCs/>
        </w:rPr>
      </w:lvl>
    </w:lvlOverride>
    <w:lvlOverride w:ilvl="2">
      <w:lvl w:ilvl="2">
        <w:start w:val="1"/>
        <w:numFmt w:val="none"/>
        <w:pStyle w:val="BodyTextnonum"/>
        <w:suff w:val="nothing"/>
        <w:lvlText w:val=""/>
        <w:lvlJc w:val="left"/>
        <w:pPr>
          <w:ind w:left="709" w:firstLine="0"/>
        </w:pPr>
        <w:rPr>
          <w:rFonts w:hint="default"/>
        </w:rPr>
      </w:lvl>
    </w:lvlOverride>
    <w:lvlOverride w:ilvl="3">
      <w:lvl w:ilvl="3">
        <w:start w:val="1"/>
        <w:numFmt w:val="lowerLetter"/>
        <w:lvlText w:val="(%4)"/>
        <w:lvlJc w:val="left"/>
        <w:pPr>
          <w:tabs>
            <w:tab w:val="num" w:pos="1134"/>
          </w:tabs>
          <w:ind w:left="1134" w:hanging="425"/>
        </w:pPr>
        <w:rPr>
          <w:rFonts w:hint="default"/>
        </w:rPr>
      </w:lvl>
    </w:lvlOverride>
    <w:lvlOverride w:ilvl="4">
      <w:lvl w:ilvl="4">
        <w:start w:val="1"/>
        <w:numFmt w:val="none"/>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23" w16cid:durableId="235824591">
    <w:abstractNumId w:val="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24" w16cid:durableId="1737050819">
    <w:abstractNumId w:val="12"/>
  </w:num>
  <w:num w:numId="25" w16cid:durableId="1379355629">
    <w:abstractNumId w:val="12"/>
    <w:lvlOverride w:ilvl="0">
      <w:startOverride w:val="4"/>
    </w:lvlOverride>
  </w:num>
  <w:num w:numId="26" w16cid:durableId="696199446">
    <w:abstractNumId w:val="12"/>
  </w:num>
  <w:num w:numId="27" w16cid:durableId="20739609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823946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75013167">
    <w:abstractNumId w:val="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0" w16cid:durableId="599333817">
    <w:abstractNumId w:val="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1" w16cid:durableId="715786540">
    <w:abstractNumId w:val="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2" w16cid:durableId="1873376142">
    <w:abstractNumId w:val="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3" w16cid:durableId="329603258">
    <w:abstractNumId w:val="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4" w16cid:durableId="1752697940">
    <w:abstractNumId w:val="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5" w16cid:durableId="414471173">
    <w:abstractNumId w:val="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6" w16cid:durableId="87584369">
    <w:abstractNumId w:val="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7" w16cid:durableId="1610047990">
    <w:abstractNumId w:val="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8" w16cid:durableId="1711219509">
    <w:abstractNumId w:val="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9" w16cid:durableId="437792763">
    <w:abstractNumId w:val="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40" w16cid:durableId="160631345">
    <w:abstractNumId w:val="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41" w16cid:durableId="59794066">
    <w:abstractNumId w:val="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42" w16cid:durableId="1986471851">
    <w:abstractNumId w:val="7"/>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lvlText w:val="%1.%2"/>
        <w:lvlJc w:val="left"/>
        <w:pPr>
          <w:tabs>
            <w:tab w:val="num" w:pos="709"/>
          </w:tabs>
          <w:ind w:left="709" w:hanging="596"/>
        </w:pPr>
      </w:lvl>
    </w:lvlOverride>
    <w:lvlOverride w:ilvl="2">
      <w:lvl w:ilvl="2">
        <w:start w:val="1"/>
        <w:numFmt w:val="none"/>
        <w:pStyle w:val="BodyTextIndent"/>
        <w:suff w:val="nothing"/>
        <w:lvlText w:val=""/>
        <w:lvlJc w:val="left"/>
        <w:pPr>
          <w:ind w:left="709" w:firstLine="0"/>
        </w:pPr>
        <w:rPr>
          <w:rFonts w:hint="default"/>
        </w:rPr>
      </w:lvl>
    </w:lvlOverride>
    <w:lvlOverride w:ilvl="3">
      <w:lvl w:ilvl="3">
        <w:start w:val="1"/>
        <w:numFmt w:val="lowerLetter"/>
        <w:pStyle w:val="BodyText2"/>
        <w:lvlText w:val="(%4)"/>
        <w:lvlJc w:val="left"/>
        <w:pPr>
          <w:tabs>
            <w:tab w:val="num" w:pos="1134"/>
          </w:tabs>
          <w:ind w:left="1134" w:hanging="425"/>
        </w:pPr>
        <w:rPr>
          <w:rFonts w:hint="default"/>
        </w:rPr>
      </w:lvl>
    </w:lvlOverride>
    <w:lvlOverride w:ilvl="4">
      <w:lvl w:ilvl="4">
        <w:start w:val="1"/>
        <w:numFmt w:val="none"/>
        <w:pStyle w:val="BodyTextIndent2"/>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43" w16cid:durableId="840925073">
    <w:abstractNumId w:val="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44" w16cid:durableId="1969627269">
    <w:abstractNumId w:val="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45" w16cid:durableId="7737182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47730943">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596"/>
        </w:pPr>
        <w:rPr>
          <w:rFonts w:hint="default"/>
          <w:b w:val="0"/>
          <w:bCs/>
          <w:i w:val="0"/>
          <w:iCs/>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47" w16cid:durableId="2002541953">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596"/>
        </w:pPr>
        <w:rPr>
          <w:rFonts w:hint="default"/>
          <w:b w:val="0"/>
          <w:bCs/>
          <w:i w:val="0"/>
          <w:iCs/>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48" w16cid:durableId="984899031">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596"/>
        </w:pPr>
        <w:rPr>
          <w:rFonts w:hint="default"/>
          <w:b w:val="0"/>
          <w:bCs/>
          <w:i w:val="0"/>
          <w:iCs/>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49" w16cid:durableId="590431286">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596"/>
        </w:pPr>
        <w:rPr>
          <w:rFonts w:hint="default"/>
          <w:b w:val="0"/>
          <w:bCs/>
          <w:i w:val="0"/>
          <w:iCs/>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50" w16cid:durableId="594705187">
    <w:abstractNumId w:val="0"/>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pStyle w:val="BodyText"/>
        <w:lvlText w:val="%1.%2"/>
        <w:lvlJc w:val="left"/>
        <w:pPr>
          <w:tabs>
            <w:tab w:val="num" w:pos="709"/>
          </w:tabs>
          <w:ind w:left="709" w:hanging="596"/>
        </w:pPr>
        <w:rPr>
          <w:rFonts w:hint="default"/>
          <w:b w:val="0"/>
          <w:bCs/>
          <w:i w:val="0"/>
          <w:iCs/>
        </w:rPr>
      </w:lvl>
    </w:lvlOverride>
    <w:lvlOverride w:ilvl="2">
      <w:lvl w:ilvl="2">
        <w:start w:val="1"/>
        <w:numFmt w:val="none"/>
        <w:pStyle w:val="BodyTextnonum"/>
        <w:suff w:val="nothing"/>
        <w:lvlText w:val=""/>
        <w:lvlJc w:val="left"/>
        <w:pPr>
          <w:ind w:left="709" w:firstLine="0"/>
        </w:pPr>
        <w:rPr>
          <w:rFonts w:hint="default"/>
        </w:rPr>
      </w:lvl>
    </w:lvlOverride>
    <w:lvlOverride w:ilvl="3">
      <w:lvl w:ilvl="3">
        <w:start w:val="1"/>
        <w:numFmt w:val="lowerLetter"/>
        <w:lvlText w:val="(%4)"/>
        <w:lvlJc w:val="left"/>
        <w:pPr>
          <w:tabs>
            <w:tab w:val="num" w:pos="1134"/>
          </w:tabs>
          <w:ind w:left="1134" w:hanging="425"/>
        </w:pPr>
        <w:rPr>
          <w:rFonts w:hint="default"/>
        </w:rPr>
      </w:lvl>
    </w:lvlOverride>
    <w:lvlOverride w:ilvl="4">
      <w:lvl w:ilvl="4">
        <w:start w:val="1"/>
        <w:numFmt w:val="none"/>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51" w16cid:durableId="545216915">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596"/>
        </w:pPr>
        <w:rPr>
          <w:rFonts w:hint="default"/>
          <w:b w:val="0"/>
          <w:bCs/>
          <w:i w:val="0"/>
          <w:iCs/>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52" w16cid:durableId="831678746">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596"/>
        </w:pPr>
        <w:rPr>
          <w:rFonts w:hint="default"/>
          <w:b w:val="0"/>
          <w:bCs/>
          <w:i w:val="0"/>
          <w:iCs/>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53" w16cid:durableId="1484003396">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596"/>
        </w:pPr>
        <w:rPr>
          <w:rFonts w:hint="default"/>
          <w:b w:val="0"/>
          <w:bCs/>
          <w:i w:val="0"/>
          <w:iCs/>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54" w16cid:durableId="1186990168">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596"/>
        </w:pPr>
        <w:rPr>
          <w:rFonts w:hint="default"/>
          <w:b w:val="0"/>
          <w:bCs/>
          <w:i w:val="0"/>
          <w:iCs/>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55" w16cid:durableId="1470827210">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596"/>
        </w:pPr>
        <w:rPr>
          <w:rFonts w:hint="default"/>
          <w:b w:val="0"/>
          <w:bCs/>
          <w:i w:val="0"/>
          <w:iCs/>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56" w16cid:durableId="1430541765">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596"/>
        </w:pPr>
        <w:rPr>
          <w:rFonts w:hint="default"/>
          <w:b w:val="0"/>
          <w:bCs/>
          <w:i w:val="0"/>
          <w:iCs/>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57" w16cid:durableId="1929072864">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596"/>
        </w:pPr>
        <w:rPr>
          <w:rFonts w:hint="default"/>
          <w:b w:val="0"/>
          <w:bCs/>
          <w:i w:val="0"/>
          <w:iCs/>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58" w16cid:durableId="260650043">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596"/>
        </w:pPr>
        <w:rPr>
          <w:rFonts w:hint="default"/>
          <w:b w:val="0"/>
          <w:bCs/>
          <w:i w:val="0"/>
          <w:iCs/>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59" w16cid:durableId="875627228">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596"/>
        </w:pPr>
        <w:rPr>
          <w:rFonts w:hint="default"/>
          <w:b w:val="0"/>
          <w:bCs/>
          <w:i w:val="0"/>
          <w:iCs/>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60" w16cid:durableId="1323580517">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596"/>
        </w:pPr>
        <w:rPr>
          <w:rFonts w:hint="default"/>
          <w:b w:val="0"/>
          <w:bCs/>
          <w:i w:val="0"/>
          <w:iCs/>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61" w16cid:durableId="761029948">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596"/>
        </w:pPr>
        <w:rPr>
          <w:rFonts w:hint="default"/>
          <w:b w:val="0"/>
          <w:bCs/>
          <w:i w:val="0"/>
          <w:iCs/>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62" w16cid:durableId="1487629212">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596"/>
        </w:pPr>
        <w:rPr>
          <w:rFonts w:hint="default"/>
          <w:b w:val="0"/>
          <w:bCs/>
          <w:i w:val="0"/>
          <w:iCs/>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63" w16cid:durableId="273094343">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596"/>
        </w:pPr>
        <w:rPr>
          <w:rFonts w:hint="default"/>
          <w:b w:val="0"/>
          <w:bCs/>
          <w:i w:val="0"/>
          <w:iCs/>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64" w16cid:durableId="1824160496">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596"/>
        </w:pPr>
        <w:rPr>
          <w:rFonts w:hint="default"/>
          <w:b w:val="0"/>
          <w:bCs/>
          <w:i w:val="0"/>
          <w:iCs/>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65" w16cid:durableId="2070031116">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596"/>
        </w:pPr>
        <w:rPr>
          <w:rFonts w:hint="default"/>
          <w:b w:val="0"/>
          <w:bCs/>
          <w:i w:val="0"/>
          <w:iCs/>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66" w16cid:durableId="1005942369">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596"/>
        </w:pPr>
        <w:rPr>
          <w:rFonts w:hint="default"/>
          <w:b w:val="0"/>
          <w:bCs/>
          <w:i w:val="0"/>
          <w:iCs/>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67" w16cid:durableId="866020188">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596"/>
        </w:pPr>
        <w:rPr>
          <w:rFonts w:hint="default"/>
          <w:b w:val="0"/>
          <w:bCs/>
          <w:i w:val="0"/>
          <w:iCs/>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68" w16cid:durableId="153111760">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596"/>
        </w:pPr>
        <w:rPr>
          <w:rFonts w:hint="default"/>
          <w:b w:val="0"/>
          <w:bCs/>
          <w:i w:val="0"/>
          <w:iCs/>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69" w16cid:durableId="1818646471">
    <w:abstractNumId w:val="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70" w16cid:durableId="1442916343">
    <w:abstractNumId w:val="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71" w16cid:durableId="690496973">
    <w:abstractNumId w:val="12"/>
  </w:num>
  <w:num w:numId="72" w16cid:durableId="397096888">
    <w:abstractNumId w:val="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73" w16cid:durableId="1464738330">
    <w:abstractNumId w:val="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74" w16cid:durableId="1690989001">
    <w:abstractNumId w:val="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75" w16cid:durableId="1222139175">
    <w:abstractNumId w:val="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76" w16cid:durableId="1515415394">
    <w:abstractNumId w:val="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77" w16cid:durableId="677738205">
    <w:abstractNumId w:val="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78" w16cid:durableId="498928864">
    <w:abstractNumId w:val="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79" w16cid:durableId="702756571">
    <w:abstractNumId w:val="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80" w16cid:durableId="1536036752">
    <w:abstractNumId w:val="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81" w16cid:durableId="554318081">
    <w:abstractNumId w:val="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82" w16cid:durableId="934172449">
    <w:abstractNumId w:val="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83" w16cid:durableId="1566992461">
    <w:abstractNumId w:val="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84" w16cid:durableId="1931036564">
    <w:abstractNumId w:val="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85" w16cid:durableId="2110080672">
    <w:abstractNumId w:val="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86" w16cid:durableId="5984874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7991058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7436484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1208044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6060358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70"/>
  <w:embedTrueTypeFonts/>
  <w:saveSubsetFonts/>
  <w:proofState w:spelling="clean" w:grammar="clean"/>
  <w:attachedTemplate r:id="rId1"/>
  <w:documentProtection w:formatting="1" w:enforcement="1" w:cryptProviderType="rsaAES" w:cryptAlgorithmClass="hash" w:cryptAlgorithmType="typeAny" w:cryptAlgorithmSid="14" w:cryptSpinCount="100000" w:hash="0UNpIs365z8YfX1GBccO023M/SVeMf4du+pR+1Ko9SXChYP2mjRCOMegCe1DGh73GOULwMCXb57lfDvxJlsicQ==" w:salt="6hD0VjWkWOzaQd1SNvVpZA=="/>
  <w:styleLockTheme/>
  <w:styleLockQFSet/>
  <w:defaultTabStop w:val="567"/>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F68"/>
    <w:rsid w:val="00001AD3"/>
    <w:rsid w:val="0000291B"/>
    <w:rsid w:val="000037C4"/>
    <w:rsid w:val="0000391C"/>
    <w:rsid w:val="00003AC8"/>
    <w:rsid w:val="00005F26"/>
    <w:rsid w:val="00006419"/>
    <w:rsid w:val="00006774"/>
    <w:rsid w:val="00006CFE"/>
    <w:rsid w:val="00006E90"/>
    <w:rsid w:val="00006FB9"/>
    <w:rsid w:val="000098D6"/>
    <w:rsid w:val="00010039"/>
    <w:rsid w:val="00010306"/>
    <w:rsid w:val="0001218A"/>
    <w:rsid w:val="000128E3"/>
    <w:rsid w:val="00012A81"/>
    <w:rsid w:val="00012B72"/>
    <w:rsid w:val="00013465"/>
    <w:rsid w:val="00013796"/>
    <w:rsid w:val="00013D5F"/>
    <w:rsid w:val="00013F82"/>
    <w:rsid w:val="0001404A"/>
    <w:rsid w:val="00014EBD"/>
    <w:rsid w:val="00015A32"/>
    <w:rsid w:val="00015AC7"/>
    <w:rsid w:val="00015D37"/>
    <w:rsid w:val="00015EEA"/>
    <w:rsid w:val="0001616B"/>
    <w:rsid w:val="00016329"/>
    <w:rsid w:val="00016E53"/>
    <w:rsid w:val="0001799F"/>
    <w:rsid w:val="00017A58"/>
    <w:rsid w:val="00020A1C"/>
    <w:rsid w:val="00020BF6"/>
    <w:rsid w:val="00021071"/>
    <w:rsid w:val="0002122A"/>
    <w:rsid w:val="00021335"/>
    <w:rsid w:val="00021572"/>
    <w:rsid w:val="000225DF"/>
    <w:rsid w:val="00022A5B"/>
    <w:rsid w:val="00022BD4"/>
    <w:rsid w:val="00022BF4"/>
    <w:rsid w:val="00022D37"/>
    <w:rsid w:val="00022F42"/>
    <w:rsid w:val="00023098"/>
    <w:rsid w:val="000233F7"/>
    <w:rsid w:val="00023983"/>
    <w:rsid w:val="00023F16"/>
    <w:rsid w:val="00024037"/>
    <w:rsid w:val="00024854"/>
    <w:rsid w:val="00024F5C"/>
    <w:rsid w:val="00025A22"/>
    <w:rsid w:val="00025AFA"/>
    <w:rsid w:val="00025FB6"/>
    <w:rsid w:val="000260CA"/>
    <w:rsid w:val="0002639E"/>
    <w:rsid w:val="00026FB4"/>
    <w:rsid w:val="00027D23"/>
    <w:rsid w:val="00031579"/>
    <w:rsid w:val="00031935"/>
    <w:rsid w:val="00031C0B"/>
    <w:rsid w:val="00031E0A"/>
    <w:rsid w:val="00032BB9"/>
    <w:rsid w:val="00032E71"/>
    <w:rsid w:val="000330B7"/>
    <w:rsid w:val="000331D1"/>
    <w:rsid w:val="000332A9"/>
    <w:rsid w:val="000332F9"/>
    <w:rsid w:val="00033950"/>
    <w:rsid w:val="00033A05"/>
    <w:rsid w:val="00033EC0"/>
    <w:rsid w:val="00033ECA"/>
    <w:rsid w:val="00034096"/>
    <w:rsid w:val="00034567"/>
    <w:rsid w:val="00035302"/>
    <w:rsid w:val="0003554E"/>
    <w:rsid w:val="00035A35"/>
    <w:rsid w:val="00035B2E"/>
    <w:rsid w:val="000360F9"/>
    <w:rsid w:val="000366E3"/>
    <w:rsid w:val="00037102"/>
    <w:rsid w:val="0003737C"/>
    <w:rsid w:val="00037514"/>
    <w:rsid w:val="000377B7"/>
    <w:rsid w:val="00037980"/>
    <w:rsid w:val="00037D2D"/>
    <w:rsid w:val="00040AB0"/>
    <w:rsid w:val="00040E49"/>
    <w:rsid w:val="0004128A"/>
    <w:rsid w:val="00041750"/>
    <w:rsid w:val="00041942"/>
    <w:rsid w:val="00041AB6"/>
    <w:rsid w:val="0004204A"/>
    <w:rsid w:val="000425EC"/>
    <w:rsid w:val="00042DFC"/>
    <w:rsid w:val="0004363B"/>
    <w:rsid w:val="0004374A"/>
    <w:rsid w:val="00044319"/>
    <w:rsid w:val="0004464B"/>
    <w:rsid w:val="00044C80"/>
    <w:rsid w:val="00045249"/>
    <w:rsid w:val="00045641"/>
    <w:rsid w:val="0004585A"/>
    <w:rsid w:val="00045E3F"/>
    <w:rsid w:val="00046840"/>
    <w:rsid w:val="0004685A"/>
    <w:rsid w:val="0004691B"/>
    <w:rsid w:val="00046AE5"/>
    <w:rsid w:val="00046B65"/>
    <w:rsid w:val="00046C6A"/>
    <w:rsid w:val="00046CD4"/>
    <w:rsid w:val="00046F72"/>
    <w:rsid w:val="00050AB4"/>
    <w:rsid w:val="00050D2F"/>
    <w:rsid w:val="00051195"/>
    <w:rsid w:val="000511F6"/>
    <w:rsid w:val="00051DFD"/>
    <w:rsid w:val="00051E55"/>
    <w:rsid w:val="00051F43"/>
    <w:rsid w:val="0005206E"/>
    <w:rsid w:val="0005272F"/>
    <w:rsid w:val="000529E8"/>
    <w:rsid w:val="00052AA3"/>
    <w:rsid w:val="00053029"/>
    <w:rsid w:val="00053458"/>
    <w:rsid w:val="0005361A"/>
    <w:rsid w:val="00053F39"/>
    <w:rsid w:val="000542A1"/>
    <w:rsid w:val="00054A69"/>
    <w:rsid w:val="00055AA2"/>
    <w:rsid w:val="00055E4E"/>
    <w:rsid w:val="00056A5D"/>
    <w:rsid w:val="00056C76"/>
    <w:rsid w:val="000579C6"/>
    <w:rsid w:val="00057B64"/>
    <w:rsid w:val="00057D00"/>
    <w:rsid w:val="00057D12"/>
    <w:rsid w:val="00057ECD"/>
    <w:rsid w:val="0006041C"/>
    <w:rsid w:val="000606BA"/>
    <w:rsid w:val="000610EF"/>
    <w:rsid w:val="000616E2"/>
    <w:rsid w:val="0006289E"/>
    <w:rsid w:val="00062AEC"/>
    <w:rsid w:val="00062CC9"/>
    <w:rsid w:val="000631D6"/>
    <w:rsid w:val="00063271"/>
    <w:rsid w:val="000634FA"/>
    <w:rsid w:val="00063ADA"/>
    <w:rsid w:val="00063B25"/>
    <w:rsid w:val="000648F0"/>
    <w:rsid w:val="00064B0F"/>
    <w:rsid w:val="00064B80"/>
    <w:rsid w:val="000653CD"/>
    <w:rsid w:val="0006592B"/>
    <w:rsid w:val="00065F95"/>
    <w:rsid w:val="00066469"/>
    <w:rsid w:val="000666A0"/>
    <w:rsid w:val="00066CFD"/>
    <w:rsid w:val="00067547"/>
    <w:rsid w:val="00067960"/>
    <w:rsid w:val="00070456"/>
    <w:rsid w:val="00070999"/>
    <w:rsid w:val="000711E1"/>
    <w:rsid w:val="00071309"/>
    <w:rsid w:val="00071384"/>
    <w:rsid w:val="000713C6"/>
    <w:rsid w:val="000715A1"/>
    <w:rsid w:val="00072152"/>
    <w:rsid w:val="000725B0"/>
    <w:rsid w:val="000725B8"/>
    <w:rsid w:val="00072D17"/>
    <w:rsid w:val="000730A9"/>
    <w:rsid w:val="00073B59"/>
    <w:rsid w:val="00073CD5"/>
    <w:rsid w:val="00073F76"/>
    <w:rsid w:val="00074664"/>
    <w:rsid w:val="000753BF"/>
    <w:rsid w:val="000757BE"/>
    <w:rsid w:val="000758B5"/>
    <w:rsid w:val="000766D6"/>
    <w:rsid w:val="00076933"/>
    <w:rsid w:val="00076D12"/>
    <w:rsid w:val="000774B5"/>
    <w:rsid w:val="000777FC"/>
    <w:rsid w:val="00080781"/>
    <w:rsid w:val="00080DC9"/>
    <w:rsid w:val="00081637"/>
    <w:rsid w:val="00081736"/>
    <w:rsid w:val="00081B1C"/>
    <w:rsid w:val="00081E0E"/>
    <w:rsid w:val="00081FA9"/>
    <w:rsid w:val="000821C3"/>
    <w:rsid w:val="000827BE"/>
    <w:rsid w:val="00082917"/>
    <w:rsid w:val="000837C6"/>
    <w:rsid w:val="00084842"/>
    <w:rsid w:val="00084C46"/>
    <w:rsid w:val="000850F0"/>
    <w:rsid w:val="000852F0"/>
    <w:rsid w:val="00085630"/>
    <w:rsid w:val="000865A0"/>
    <w:rsid w:val="00086B82"/>
    <w:rsid w:val="00087115"/>
    <w:rsid w:val="00087878"/>
    <w:rsid w:val="00090256"/>
    <w:rsid w:val="00090285"/>
    <w:rsid w:val="000902F4"/>
    <w:rsid w:val="000909B1"/>
    <w:rsid w:val="00090C15"/>
    <w:rsid w:val="00090D99"/>
    <w:rsid w:val="00091E9C"/>
    <w:rsid w:val="00091F4F"/>
    <w:rsid w:val="000927E6"/>
    <w:rsid w:val="00092CF1"/>
    <w:rsid w:val="00092CFE"/>
    <w:rsid w:val="00092EEB"/>
    <w:rsid w:val="00093614"/>
    <w:rsid w:val="00093E30"/>
    <w:rsid w:val="00094378"/>
    <w:rsid w:val="00094403"/>
    <w:rsid w:val="00094644"/>
    <w:rsid w:val="00094CF6"/>
    <w:rsid w:val="00095D07"/>
    <w:rsid w:val="00095FDC"/>
    <w:rsid w:val="0009614D"/>
    <w:rsid w:val="00096237"/>
    <w:rsid w:val="000963B7"/>
    <w:rsid w:val="00096561"/>
    <w:rsid w:val="00096DAA"/>
    <w:rsid w:val="00096E6C"/>
    <w:rsid w:val="00096F68"/>
    <w:rsid w:val="000971A0"/>
    <w:rsid w:val="0009752D"/>
    <w:rsid w:val="000975EB"/>
    <w:rsid w:val="0009796F"/>
    <w:rsid w:val="00097C23"/>
    <w:rsid w:val="000A067B"/>
    <w:rsid w:val="000A07D2"/>
    <w:rsid w:val="000A09EC"/>
    <w:rsid w:val="000A10E7"/>
    <w:rsid w:val="000A12C9"/>
    <w:rsid w:val="000A18F5"/>
    <w:rsid w:val="000A19E2"/>
    <w:rsid w:val="000A1A98"/>
    <w:rsid w:val="000A1D93"/>
    <w:rsid w:val="000A1E5F"/>
    <w:rsid w:val="000A34BB"/>
    <w:rsid w:val="000A42E7"/>
    <w:rsid w:val="000A42F7"/>
    <w:rsid w:val="000A4D76"/>
    <w:rsid w:val="000A5199"/>
    <w:rsid w:val="000A52E2"/>
    <w:rsid w:val="000A5592"/>
    <w:rsid w:val="000A573D"/>
    <w:rsid w:val="000A582B"/>
    <w:rsid w:val="000A5C4E"/>
    <w:rsid w:val="000A6468"/>
    <w:rsid w:val="000A68F0"/>
    <w:rsid w:val="000A722A"/>
    <w:rsid w:val="000B1922"/>
    <w:rsid w:val="000B1DB0"/>
    <w:rsid w:val="000B26E9"/>
    <w:rsid w:val="000B328B"/>
    <w:rsid w:val="000B3B64"/>
    <w:rsid w:val="000B3EA9"/>
    <w:rsid w:val="000B401D"/>
    <w:rsid w:val="000B4493"/>
    <w:rsid w:val="000B525C"/>
    <w:rsid w:val="000B556D"/>
    <w:rsid w:val="000B632E"/>
    <w:rsid w:val="000B68CD"/>
    <w:rsid w:val="000B6DF1"/>
    <w:rsid w:val="000C0622"/>
    <w:rsid w:val="000C0AAD"/>
    <w:rsid w:val="000C0CED"/>
    <w:rsid w:val="000C1180"/>
    <w:rsid w:val="000C12B3"/>
    <w:rsid w:val="000C184F"/>
    <w:rsid w:val="000C21D2"/>
    <w:rsid w:val="000C2FAF"/>
    <w:rsid w:val="000C31FB"/>
    <w:rsid w:val="000C32C0"/>
    <w:rsid w:val="000C33AB"/>
    <w:rsid w:val="000C389A"/>
    <w:rsid w:val="000C41C3"/>
    <w:rsid w:val="000C427F"/>
    <w:rsid w:val="000C4547"/>
    <w:rsid w:val="000C4576"/>
    <w:rsid w:val="000C5291"/>
    <w:rsid w:val="000C574A"/>
    <w:rsid w:val="000C5A63"/>
    <w:rsid w:val="000C5F9E"/>
    <w:rsid w:val="000C6397"/>
    <w:rsid w:val="000C6A43"/>
    <w:rsid w:val="000C7370"/>
    <w:rsid w:val="000C78B2"/>
    <w:rsid w:val="000D01A2"/>
    <w:rsid w:val="000D0FE3"/>
    <w:rsid w:val="000D17E9"/>
    <w:rsid w:val="000D1AE5"/>
    <w:rsid w:val="000D226B"/>
    <w:rsid w:val="000D254B"/>
    <w:rsid w:val="000D2823"/>
    <w:rsid w:val="000D35B4"/>
    <w:rsid w:val="000D3731"/>
    <w:rsid w:val="000D39C1"/>
    <w:rsid w:val="000D3A7F"/>
    <w:rsid w:val="000D3FCE"/>
    <w:rsid w:val="000D45FB"/>
    <w:rsid w:val="000D5216"/>
    <w:rsid w:val="000D53DF"/>
    <w:rsid w:val="000D5566"/>
    <w:rsid w:val="000D5B35"/>
    <w:rsid w:val="000D6019"/>
    <w:rsid w:val="000D695D"/>
    <w:rsid w:val="000D6AC2"/>
    <w:rsid w:val="000D6CF6"/>
    <w:rsid w:val="000D6E44"/>
    <w:rsid w:val="000D7889"/>
    <w:rsid w:val="000E035B"/>
    <w:rsid w:val="000E0BFC"/>
    <w:rsid w:val="000E1487"/>
    <w:rsid w:val="000E1ABA"/>
    <w:rsid w:val="000E27B0"/>
    <w:rsid w:val="000E2AC5"/>
    <w:rsid w:val="000E2FDF"/>
    <w:rsid w:val="000E378D"/>
    <w:rsid w:val="000E395B"/>
    <w:rsid w:val="000E3AE7"/>
    <w:rsid w:val="000E4705"/>
    <w:rsid w:val="000E483E"/>
    <w:rsid w:val="000E50FE"/>
    <w:rsid w:val="000E56A8"/>
    <w:rsid w:val="000E5C96"/>
    <w:rsid w:val="000E65D6"/>
    <w:rsid w:val="000E6AD8"/>
    <w:rsid w:val="000E72E2"/>
    <w:rsid w:val="000E7903"/>
    <w:rsid w:val="000F0260"/>
    <w:rsid w:val="000F0A86"/>
    <w:rsid w:val="000F0BC0"/>
    <w:rsid w:val="000F11E2"/>
    <w:rsid w:val="000F16BF"/>
    <w:rsid w:val="000F185D"/>
    <w:rsid w:val="000F1E2D"/>
    <w:rsid w:val="000F1FEF"/>
    <w:rsid w:val="000F22CD"/>
    <w:rsid w:val="000F238E"/>
    <w:rsid w:val="000F2AF7"/>
    <w:rsid w:val="000F323F"/>
    <w:rsid w:val="000F3379"/>
    <w:rsid w:val="000F35F0"/>
    <w:rsid w:val="000F3D22"/>
    <w:rsid w:val="000F3EE3"/>
    <w:rsid w:val="000F40F5"/>
    <w:rsid w:val="000F41D7"/>
    <w:rsid w:val="000F4351"/>
    <w:rsid w:val="000F436A"/>
    <w:rsid w:val="000F4886"/>
    <w:rsid w:val="000F4929"/>
    <w:rsid w:val="000F4C40"/>
    <w:rsid w:val="000F4C96"/>
    <w:rsid w:val="000F4E22"/>
    <w:rsid w:val="000F4E3A"/>
    <w:rsid w:val="000F51CB"/>
    <w:rsid w:val="000F5467"/>
    <w:rsid w:val="000F586D"/>
    <w:rsid w:val="000F593D"/>
    <w:rsid w:val="000F62B4"/>
    <w:rsid w:val="000F6928"/>
    <w:rsid w:val="000F6BE6"/>
    <w:rsid w:val="000F6E3F"/>
    <w:rsid w:val="000F7061"/>
    <w:rsid w:val="000F71C5"/>
    <w:rsid w:val="000F781C"/>
    <w:rsid w:val="000F7820"/>
    <w:rsid w:val="000F7E91"/>
    <w:rsid w:val="00100281"/>
    <w:rsid w:val="00101754"/>
    <w:rsid w:val="001019A1"/>
    <w:rsid w:val="00101C64"/>
    <w:rsid w:val="001026DA"/>
    <w:rsid w:val="001033F2"/>
    <w:rsid w:val="00103AF9"/>
    <w:rsid w:val="00103B3D"/>
    <w:rsid w:val="001041D2"/>
    <w:rsid w:val="0010434C"/>
    <w:rsid w:val="00104734"/>
    <w:rsid w:val="001047FB"/>
    <w:rsid w:val="00104AEF"/>
    <w:rsid w:val="001050BC"/>
    <w:rsid w:val="0010582E"/>
    <w:rsid w:val="00105E37"/>
    <w:rsid w:val="00105EBE"/>
    <w:rsid w:val="0010638A"/>
    <w:rsid w:val="0010664A"/>
    <w:rsid w:val="0010679D"/>
    <w:rsid w:val="001069B0"/>
    <w:rsid w:val="00106C9C"/>
    <w:rsid w:val="00106EB8"/>
    <w:rsid w:val="00106FFD"/>
    <w:rsid w:val="001076F0"/>
    <w:rsid w:val="00107723"/>
    <w:rsid w:val="00107B8C"/>
    <w:rsid w:val="00107E29"/>
    <w:rsid w:val="00110351"/>
    <w:rsid w:val="001103CE"/>
    <w:rsid w:val="00110692"/>
    <w:rsid w:val="00110C29"/>
    <w:rsid w:val="001110AC"/>
    <w:rsid w:val="001116D4"/>
    <w:rsid w:val="00111A39"/>
    <w:rsid w:val="00111B38"/>
    <w:rsid w:val="00111CE2"/>
    <w:rsid w:val="00111D16"/>
    <w:rsid w:val="00112444"/>
    <w:rsid w:val="00112555"/>
    <w:rsid w:val="00112F00"/>
    <w:rsid w:val="0011310B"/>
    <w:rsid w:val="00113189"/>
    <w:rsid w:val="001133F9"/>
    <w:rsid w:val="001134D3"/>
    <w:rsid w:val="00113C4B"/>
    <w:rsid w:val="00113CC3"/>
    <w:rsid w:val="00114506"/>
    <w:rsid w:val="00114530"/>
    <w:rsid w:val="00114E98"/>
    <w:rsid w:val="00114F9F"/>
    <w:rsid w:val="001153C4"/>
    <w:rsid w:val="00116084"/>
    <w:rsid w:val="001164D0"/>
    <w:rsid w:val="00116972"/>
    <w:rsid w:val="00116AB3"/>
    <w:rsid w:val="00116CED"/>
    <w:rsid w:val="00117532"/>
    <w:rsid w:val="00117BDD"/>
    <w:rsid w:val="001206D3"/>
    <w:rsid w:val="00120CC3"/>
    <w:rsid w:val="0012151E"/>
    <w:rsid w:val="00122616"/>
    <w:rsid w:val="00122A41"/>
    <w:rsid w:val="00122DA7"/>
    <w:rsid w:val="001238F7"/>
    <w:rsid w:val="00124B0E"/>
    <w:rsid w:val="00124C6C"/>
    <w:rsid w:val="00124F88"/>
    <w:rsid w:val="001250C0"/>
    <w:rsid w:val="001252E7"/>
    <w:rsid w:val="0012595D"/>
    <w:rsid w:val="001260C2"/>
    <w:rsid w:val="0012637E"/>
    <w:rsid w:val="001269E2"/>
    <w:rsid w:val="00126CC4"/>
    <w:rsid w:val="00126FF0"/>
    <w:rsid w:val="00127EEF"/>
    <w:rsid w:val="001302EB"/>
    <w:rsid w:val="0013079F"/>
    <w:rsid w:val="00130C52"/>
    <w:rsid w:val="00131314"/>
    <w:rsid w:val="00131B68"/>
    <w:rsid w:val="00131B9E"/>
    <w:rsid w:val="001320F7"/>
    <w:rsid w:val="0013261C"/>
    <w:rsid w:val="00133011"/>
    <w:rsid w:val="001335A3"/>
    <w:rsid w:val="00133624"/>
    <w:rsid w:val="00133E27"/>
    <w:rsid w:val="001357D4"/>
    <w:rsid w:val="00135ABE"/>
    <w:rsid w:val="00135C08"/>
    <w:rsid w:val="00135EC1"/>
    <w:rsid w:val="00136679"/>
    <w:rsid w:val="00136871"/>
    <w:rsid w:val="00136DC8"/>
    <w:rsid w:val="00136EAF"/>
    <w:rsid w:val="001371A7"/>
    <w:rsid w:val="0013723A"/>
    <w:rsid w:val="00137431"/>
    <w:rsid w:val="0013791E"/>
    <w:rsid w:val="00140248"/>
    <w:rsid w:val="0014090C"/>
    <w:rsid w:val="00140B97"/>
    <w:rsid w:val="00140BD5"/>
    <w:rsid w:val="00140DFB"/>
    <w:rsid w:val="001412C4"/>
    <w:rsid w:val="0014174C"/>
    <w:rsid w:val="0014242C"/>
    <w:rsid w:val="001426BB"/>
    <w:rsid w:val="00142F4E"/>
    <w:rsid w:val="00143336"/>
    <w:rsid w:val="00143F9B"/>
    <w:rsid w:val="001448B3"/>
    <w:rsid w:val="0014491E"/>
    <w:rsid w:val="0014520D"/>
    <w:rsid w:val="001453A0"/>
    <w:rsid w:val="00145AF5"/>
    <w:rsid w:val="00145C23"/>
    <w:rsid w:val="00145D46"/>
    <w:rsid w:val="00145ED5"/>
    <w:rsid w:val="0014635F"/>
    <w:rsid w:val="00146CD4"/>
    <w:rsid w:val="00146D34"/>
    <w:rsid w:val="0014702E"/>
    <w:rsid w:val="0014755D"/>
    <w:rsid w:val="00147864"/>
    <w:rsid w:val="00147B5C"/>
    <w:rsid w:val="00147E2C"/>
    <w:rsid w:val="00150902"/>
    <w:rsid w:val="00150A9F"/>
    <w:rsid w:val="001515CE"/>
    <w:rsid w:val="0015167D"/>
    <w:rsid w:val="0015180C"/>
    <w:rsid w:val="001524D4"/>
    <w:rsid w:val="001525BD"/>
    <w:rsid w:val="00152D73"/>
    <w:rsid w:val="00152EF5"/>
    <w:rsid w:val="001531FB"/>
    <w:rsid w:val="00153682"/>
    <w:rsid w:val="00153C2D"/>
    <w:rsid w:val="00154FDE"/>
    <w:rsid w:val="001557E8"/>
    <w:rsid w:val="00155822"/>
    <w:rsid w:val="00155949"/>
    <w:rsid w:val="00155DBA"/>
    <w:rsid w:val="0015608B"/>
    <w:rsid w:val="001560E7"/>
    <w:rsid w:val="0015642A"/>
    <w:rsid w:val="00156500"/>
    <w:rsid w:val="00156CF6"/>
    <w:rsid w:val="00156D2E"/>
    <w:rsid w:val="001574AB"/>
    <w:rsid w:val="0015779A"/>
    <w:rsid w:val="001577C7"/>
    <w:rsid w:val="00160832"/>
    <w:rsid w:val="001609CA"/>
    <w:rsid w:val="00160A63"/>
    <w:rsid w:val="0016178D"/>
    <w:rsid w:val="00161A4B"/>
    <w:rsid w:val="00162785"/>
    <w:rsid w:val="00162875"/>
    <w:rsid w:val="00163C8D"/>
    <w:rsid w:val="00163EF5"/>
    <w:rsid w:val="00164126"/>
    <w:rsid w:val="00164525"/>
    <w:rsid w:val="00164D7A"/>
    <w:rsid w:val="001674DE"/>
    <w:rsid w:val="00167BD1"/>
    <w:rsid w:val="001702E9"/>
    <w:rsid w:val="00170BD9"/>
    <w:rsid w:val="00170C78"/>
    <w:rsid w:val="0017104F"/>
    <w:rsid w:val="00171E23"/>
    <w:rsid w:val="001723B0"/>
    <w:rsid w:val="00172D00"/>
    <w:rsid w:val="00172EC3"/>
    <w:rsid w:val="0017350D"/>
    <w:rsid w:val="00173E25"/>
    <w:rsid w:val="00174025"/>
    <w:rsid w:val="00174773"/>
    <w:rsid w:val="00175010"/>
    <w:rsid w:val="00175622"/>
    <w:rsid w:val="00176287"/>
    <w:rsid w:val="001778F8"/>
    <w:rsid w:val="00177A95"/>
    <w:rsid w:val="00177B08"/>
    <w:rsid w:val="00177D87"/>
    <w:rsid w:val="0018007A"/>
    <w:rsid w:val="00180192"/>
    <w:rsid w:val="00180313"/>
    <w:rsid w:val="001808D2"/>
    <w:rsid w:val="00181637"/>
    <w:rsid w:val="00181F21"/>
    <w:rsid w:val="001823B6"/>
    <w:rsid w:val="001828C9"/>
    <w:rsid w:val="00183149"/>
    <w:rsid w:val="00184135"/>
    <w:rsid w:val="001844EF"/>
    <w:rsid w:val="00184690"/>
    <w:rsid w:val="00184762"/>
    <w:rsid w:val="0018498A"/>
    <w:rsid w:val="00184EA0"/>
    <w:rsid w:val="00184F17"/>
    <w:rsid w:val="00185091"/>
    <w:rsid w:val="001852CF"/>
    <w:rsid w:val="0018561F"/>
    <w:rsid w:val="00185C04"/>
    <w:rsid w:val="00186102"/>
    <w:rsid w:val="00186C60"/>
    <w:rsid w:val="0018714C"/>
    <w:rsid w:val="00187155"/>
    <w:rsid w:val="0018876E"/>
    <w:rsid w:val="00190428"/>
    <w:rsid w:val="00190467"/>
    <w:rsid w:val="00190C3D"/>
    <w:rsid w:val="00190C42"/>
    <w:rsid w:val="00190CE2"/>
    <w:rsid w:val="00190EDE"/>
    <w:rsid w:val="001911EF"/>
    <w:rsid w:val="0019120D"/>
    <w:rsid w:val="0019135F"/>
    <w:rsid w:val="0019155E"/>
    <w:rsid w:val="00191B68"/>
    <w:rsid w:val="00192112"/>
    <w:rsid w:val="00192499"/>
    <w:rsid w:val="001924DB"/>
    <w:rsid w:val="0019268D"/>
    <w:rsid w:val="001927EA"/>
    <w:rsid w:val="001938A7"/>
    <w:rsid w:val="00193AE9"/>
    <w:rsid w:val="00193FAE"/>
    <w:rsid w:val="001942A3"/>
    <w:rsid w:val="00194353"/>
    <w:rsid w:val="00194511"/>
    <w:rsid w:val="001949F2"/>
    <w:rsid w:val="00196413"/>
    <w:rsid w:val="0019666D"/>
    <w:rsid w:val="00196775"/>
    <w:rsid w:val="001967E8"/>
    <w:rsid w:val="00196875"/>
    <w:rsid w:val="00196F87"/>
    <w:rsid w:val="001972C6"/>
    <w:rsid w:val="00197568"/>
    <w:rsid w:val="001A03D8"/>
    <w:rsid w:val="001A0461"/>
    <w:rsid w:val="001A06AA"/>
    <w:rsid w:val="001A0AF6"/>
    <w:rsid w:val="001A0CDB"/>
    <w:rsid w:val="001A0F6D"/>
    <w:rsid w:val="001A23CD"/>
    <w:rsid w:val="001A2B3A"/>
    <w:rsid w:val="001A40EA"/>
    <w:rsid w:val="001A4447"/>
    <w:rsid w:val="001A44F5"/>
    <w:rsid w:val="001A4BE4"/>
    <w:rsid w:val="001A5008"/>
    <w:rsid w:val="001A560B"/>
    <w:rsid w:val="001A5679"/>
    <w:rsid w:val="001A567C"/>
    <w:rsid w:val="001A5B60"/>
    <w:rsid w:val="001A70C6"/>
    <w:rsid w:val="001A7399"/>
    <w:rsid w:val="001B0E02"/>
    <w:rsid w:val="001B18B7"/>
    <w:rsid w:val="001B1A1B"/>
    <w:rsid w:val="001B1FAF"/>
    <w:rsid w:val="001B263C"/>
    <w:rsid w:val="001B27CE"/>
    <w:rsid w:val="001B29B9"/>
    <w:rsid w:val="001B3D6F"/>
    <w:rsid w:val="001B4439"/>
    <w:rsid w:val="001B47D1"/>
    <w:rsid w:val="001B4C19"/>
    <w:rsid w:val="001B4D83"/>
    <w:rsid w:val="001B5649"/>
    <w:rsid w:val="001B56C9"/>
    <w:rsid w:val="001B65CF"/>
    <w:rsid w:val="001B721B"/>
    <w:rsid w:val="001B7659"/>
    <w:rsid w:val="001B7B9E"/>
    <w:rsid w:val="001C0271"/>
    <w:rsid w:val="001C0DC2"/>
    <w:rsid w:val="001C14F6"/>
    <w:rsid w:val="001C15C6"/>
    <w:rsid w:val="001C1951"/>
    <w:rsid w:val="001C1C98"/>
    <w:rsid w:val="001C1D2A"/>
    <w:rsid w:val="001C2600"/>
    <w:rsid w:val="001C27E8"/>
    <w:rsid w:val="001C2D4E"/>
    <w:rsid w:val="001C2FCF"/>
    <w:rsid w:val="001C323F"/>
    <w:rsid w:val="001C3272"/>
    <w:rsid w:val="001C34B1"/>
    <w:rsid w:val="001C3E99"/>
    <w:rsid w:val="001C4105"/>
    <w:rsid w:val="001C41A4"/>
    <w:rsid w:val="001C42EC"/>
    <w:rsid w:val="001C4653"/>
    <w:rsid w:val="001C50F0"/>
    <w:rsid w:val="001C56C9"/>
    <w:rsid w:val="001C6976"/>
    <w:rsid w:val="001C6CA5"/>
    <w:rsid w:val="001C6DDE"/>
    <w:rsid w:val="001C711B"/>
    <w:rsid w:val="001C7203"/>
    <w:rsid w:val="001C7217"/>
    <w:rsid w:val="001C7690"/>
    <w:rsid w:val="001C779F"/>
    <w:rsid w:val="001C7C57"/>
    <w:rsid w:val="001D0E0A"/>
    <w:rsid w:val="001D1050"/>
    <w:rsid w:val="001D218B"/>
    <w:rsid w:val="001D2947"/>
    <w:rsid w:val="001D38D5"/>
    <w:rsid w:val="001D399D"/>
    <w:rsid w:val="001D3D40"/>
    <w:rsid w:val="001D3DD6"/>
    <w:rsid w:val="001D3EB9"/>
    <w:rsid w:val="001D5266"/>
    <w:rsid w:val="001D54AF"/>
    <w:rsid w:val="001D5586"/>
    <w:rsid w:val="001D58A3"/>
    <w:rsid w:val="001D5A00"/>
    <w:rsid w:val="001D5D76"/>
    <w:rsid w:val="001D5FD0"/>
    <w:rsid w:val="001D7175"/>
    <w:rsid w:val="001D7732"/>
    <w:rsid w:val="001D7B18"/>
    <w:rsid w:val="001E0065"/>
    <w:rsid w:val="001E0224"/>
    <w:rsid w:val="001E0DE6"/>
    <w:rsid w:val="001E0DFD"/>
    <w:rsid w:val="001E110B"/>
    <w:rsid w:val="001E2441"/>
    <w:rsid w:val="001E27E2"/>
    <w:rsid w:val="001E354F"/>
    <w:rsid w:val="001E3621"/>
    <w:rsid w:val="001E3C35"/>
    <w:rsid w:val="001E3F81"/>
    <w:rsid w:val="001E4E1E"/>
    <w:rsid w:val="001E4E2C"/>
    <w:rsid w:val="001E50B6"/>
    <w:rsid w:val="001E64EB"/>
    <w:rsid w:val="001E6685"/>
    <w:rsid w:val="001E6701"/>
    <w:rsid w:val="001E68CD"/>
    <w:rsid w:val="001E6C53"/>
    <w:rsid w:val="001E77EE"/>
    <w:rsid w:val="001E7810"/>
    <w:rsid w:val="001E7B50"/>
    <w:rsid w:val="001E7E4A"/>
    <w:rsid w:val="001F0194"/>
    <w:rsid w:val="001F0572"/>
    <w:rsid w:val="001F18B5"/>
    <w:rsid w:val="001F1BAD"/>
    <w:rsid w:val="001F1DC1"/>
    <w:rsid w:val="001F1E66"/>
    <w:rsid w:val="001F22EC"/>
    <w:rsid w:val="001F35DC"/>
    <w:rsid w:val="001F3AC8"/>
    <w:rsid w:val="001F3BAB"/>
    <w:rsid w:val="001F42BA"/>
    <w:rsid w:val="001F4693"/>
    <w:rsid w:val="001F4788"/>
    <w:rsid w:val="001F4B58"/>
    <w:rsid w:val="001F5625"/>
    <w:rsid w:val="001F5B70"/>
    <w:rsid w:val="001F5EF7"/>
    <w:rsid w:val="001F618F"/>
    <w:rsid w:val="001F64B2"/>
    <w:rsid w:val="001F6A5B"/>
    <w:rsid w:val="001F6BA1"/>
    <w:rsid w:val="001F6BB2"/>
    <w:rsid w:val="001F79F1"/>
    <w:rsid w:val="001F7A58"/>
    <w:rsid w:val="001F7A85"/>
    <w:rsid w:val="0020001F"/>
    <w:rsid w:val="00200628"/>
    <w:rsid w:val="00200787"/>
    <w:rsid w:val="00201A05"/>
    <w:rsid w:val="00202306"/>
    <w:rsid w:val="002024E5"/>
    <w:rsid w:val="00202873"/>
    <w:rsid w:val="00202AB0"/>
    <w:rsid w:val="00202D68"/>
    <w:rsid w:val="00202FE2"/>
    <w:rsid w:val="002036D3"/>
    <w:rsid w:val="00203B6A"/>
    <w:rsid w:val="00203D5C"/>
    <w:rsid w:val="00204B67"/>
    <w:rsid w:val="00205389"/>
    <w:rsid w:val="00205583"/>
    <w:rsid w:val="00206902"/>
    <w:rsid w:val="00206956"/>
    <w:rsid w:val="00207018"/>
    <w:rsid w:val="002073C5"/>
    <w:rsid w:val="00207DA2"/>
    <w:rsid w:val="002100BE"/>
    <w:rsid w:val="00210B05"/>
    <w:rsid w:val="00210C12"/>
    <w:rsid w:val="00210D04"/>
    <w:rsid w:val="00212D7D"/>
    <w:rsid w:val="00212EC5"/>
    <w:rsid w:val="00213859"/>
    <w:rsid w:val="002138E8"/>
    <w:rsid w:val="00213BAC"/>
    <w:rsid w:val="00213ED5"/>
    <w:rsid w:val="0021428F"/>
    <w:rsid w:val="0021442E"/>
    <w:rsid w:val="00214462"/>
    <w:rsid w:val="00214732"/>
    <w:rsid w:val="0021527F"/>
    <w:rsid w:val="00215339"/>
    <w:rsid w:val="00215A76"/>
    <w:rsid w:val="00215DC4"/>
    <w:rsid w:val="00216083"/>
    <w:rsid w:val="00216CD5"/>
    <w:rsid w:val="002175E3"/>
    <w:rsid w:val="00217C3B"/>
    <w:rsid w:val="00220432"/>
    <w:rsid w:val="002207A3"/>
    <w:rsid w:val="00220A57"/>
    <w:rsid w:val="00220DE8"/>
    <w:rsid w:val="00221033"/>
    <w:rsid w:val="0022107F"/>
    <w:rsid w:val="00221828"/>
    <w:rsid w:val="00221A13"/>
    <w:rsid w:val="00221E7D"/>
    <w:rsid w:val="002228E3"/>
    <w:rsid w:val="00222A24"/>
    <w:rsid w:val="00222ECD"/>
    <w:rsid w:val="00223B78"/>
    <w:rsid w:val="00223B8C"/>
    <w:rsid w:val="0022421B"/>
    <w:rsid w:val="00224494"/>
    <w:rsid w:val="00224945"/>
    <w:rsid w:val="00224E6D"/>
    <w:rsid w:val="00225163"/>
    <w:rsid w:val="002252E0"/>
    <w:rsid w:val="002259F0"/>
    <w:rsid w:val="00225A4A"/>
    <w:rsid w:val="00225BA9"/>
    <w:rsid w:val="002262F0"/>
    <w:rsid w:val="00226640"/>
    <w:rsid w:val="0022681A"/>
    <w:rsid w:val="00226B08"/>
    <w:rsid w:val="00226F42"/>
    <w:rsid w:val="0022708B"/>
    <w:rsid w:val="002273D5"/>
    <w:rsid w:val="00227772"/>
    <w:rsid w:val="00227DE6"/>
    <w:rsid w:val="002306EB"/>
    <w:rsid w:val="00230F15"/>
    <w:rsid w:val="002316A0"/>
    <w:rsid w:val="00231B34"/>
    <w:rsid w:val="00231D95"/>
    <w:rsid w:val="0023222F"/>
    <w:rsid w:val="00232540"/>
    <w:rsid w:val="00232F49"/>
    <w:rsid w:val="002334EF"/>
    <w:rsid w:val="00233DCC"/>
    <w:rsid w:val="00234A0E"/>
    <w:rsid w:val="00235092"/>
    <w:rsid w:val="002353BB"/>
    <w:rsid w:val="0023655D"/>
    <w:rsid w:val="00236B59"/>
    <w:rsid w:val="00236DC1"/>
    <w:rsid w:val="0023799C"/>
    <w:rsid w:val="00237C16"/>
    <w:rsid w:val="002402AD"/>
    <w:rsid w:val="002403AF"/>
    <w:rsid w:val="00241001"/>
    <w:rsid w:val="00241A97"/>
    <w:rsid w:val="0024216C"/>
    <w:rsid w:val="00242728"/>
    <w:rsid w:val="0024288A"/>
    <w:rsid w:val="00242904"/>
    <w:rsid w:val="00242A8E"/>
    <w:rsid w:val="0024334D"/>
    <w:rsid w:val="00243C42"/>
    <w:rsid w:val="00243DC8"/>
    <w:rsid w:val="002441E0"/>
    <w:rsid w:val="002441F8"/>
    <w:rsid w:val="0024467B"/>
    <w:rsid w:val="00244793"/>
    <w:rsid w:val="00244859"/>
    <w:rsid w:val="00244B8F"/>
    <w:rsid w:val="00244D76"/>
    <w:rsid w:val="00244D8A"/>
    <w:rsid w:val="002453FF"/>
    <w:rsid w:val="002465E3"/>
    <w:rsid w:val="00247C01"/>
    <w:rsid w:val="002502E7"/>
    <w:rsid w:val="00250955"/>
    <w:rsid w:val="00250CEC"/>
    <w:rsid w:val="00250E2D"/>
    <w:rsid w:val="00251844"/>
    <w:rsid w:val="0025192B"/>
    <w:rsid w:val="00251B3D"/>
    <w:rsid w:val="00251E81"/>
    <w:rsid w:val="00252228"/>
    <w:rsid w:val="00252332"/>
    <w:rsid w:val="002528B1"/>
    <w:rsid w:val="002529E6"/>
    <w:rsid w:val="00252CCB"/>
    <w:rsid w:val="00253141"/>
    <w:rsid w:val="0025437F"/>
    <w:rsid w:val="00254709"/>
    <w:rsid w:val="00254984"/>
    <w:rsid w:val="00255ABF"/>
    <w:rsid w:val="00255C0E"/>
    <w:rsid w:val="00256716"/>
    <w:rsid w:val="00256EAC"/>
    <w:rsid w:val="00256FBA"/>
    <w:rsid w:val="0025724B"/>
    <w:rsid w:val="00260A74"/>
    <w:rsid w:val="00261D5E"/>
    <w:rsid w:val="00262877"/>
    <w:rsid w:val="002629CF"/>
    <w:rsid w:val="00262C70"/>
    <w:rsid w:val="0026334A"/>
    <w:rsid w:val="002633D8"/>
    <w:rsid w:val="00263689"/>
    <w:rsid w:val="0026385E"/>
    <w:rsid w:val="00263B8B"/>
    <w:rsid w:val="0026451E"/>
    <w:rsid w:val="0026491D"/>
    <w:rsid w:val="00264FE4"/>
    <w:rsid w:val="00266548"/>
    <w:rsid w:val="002666A6"/>
    <w:rsid w:val="0026671D"/>
    <w:rsid w:val="00266EB9"/>
    <w:rsid w:val="00267226"/>
    <w:rsid w:val="002679E1"/>
    <w:rsid w:val="00267BD9"/>
    <w:rsid w:val="00267CE8"/>
    <w:rsid w:val="00267FA3"/>
    <w:rsid w:val="00270185"/>
    <w:rsid w:val="002707B6"/>
    <w:rsid w:val="00270955"/>
    <w:rsid w:val="00270991"/>
    <w:rsid w:val="00270A47"/>
    <w:rsid w:val="00270BE3"/>
    <w:rsid w:val="0027234E"/>
    <w:rsid w:val="00272990"/>
    <w:rsid w:val="00272B2C"/>
    <w:rsid w:val="00272D35"/>
    <w:rsid w:val="00273352"/>
    <w:rsid w:val="00273720"/>
    <w:rsid w:val="002741EC"/>
    <w:rsid w:val="00274769"/>
    <w:rsid w:val="00274896"/>
    <w:rsid w:val="00274F47"/>
    <w:rsid w:val="0027531A"/>
    <w:rsid w:val="0027582E"/>
    <w:rsid w:val="00275ACC"/>
    <w:rsid w:val="00275F09"/>
    <w:rsid w:val="00276D33"/>
    <w:rsid w:val="00277767"/>
    <w:rsid w:val="00277AC3"/>
    <w:rsid w:val="00277CCA"/>
    <w:rsid w:val="00277DED"/>
    <w:rsid w:val="00280003"/>
    <w:rsid w:val="0028074F"/>
    <w:rsid w:val="0028081F"/>
    <w:rsid w:val="002818AD"/>
    <w:rsid w:val="00282B40"/>
    <w:rsid w:val="00282CBB"/>
    <w:rsid w:val="002836A4"/>
    <w:rsid w:val="00283ABE"/>
    <w:rsid w:val="00283B05"/>
    <w:rsid w:val="00283B90"/>
    <w:rsid w:val="0028400B"/>
    <w:rsid w:val="00284F71"/>
    <w:rsid w:val="00285F07"/>
    <w:rsid w:val="00285F82"/>
    <w:rsid w:val="00285F92"/>
    <w:rsid w:val="0028623D"/>
    <w:rsid w:val="002863DD"/>
    <w:rsid w:val="00286CBC"/>
    <w:rsid w:val="00286FB9"/>
    <w:rsid w:val="0028711B"/>
    <w:rsid w:val="00287703"/>
    <w:rsid w:val="00287A90"/>
    <w:rsid w:val="00287D7B"/>
    <w:rsid w:val="00287F60"/>
    <w:rsid w:val="0029008B"/>
    <w:rsid w:val="002900A9"/>
    <w:rsid w:val="002900BE"/>
    <w:rsid w:val="002904AA"/>
    <w:rsid w:val="00290A00"/>
    <w:rsid w:val="00290C8F"/>
    <w:rsid w:val="00290F8E"/>
    <w:rsid w:val="002912D7"/>
    <w:rsid w:val="00292D41"/>
    <w:rsid w:val="0029349C"/>
    <w:rsid w:val="00293641"/>
    <w:rsid w:val="00293728"/>
    <w:rsid w:val="00293749"/>
    <w:rsid w:val="002941E1"/>
    <w:rsid w:val="00294244"/>
    <w:rsid w:val="002942E0"/>
    <w:rsid w:val="00294392"/>
    <w:rsid w:val="00294CC1"/>
    <w:rsid w:val="002957EE"/>
    <w:rsid w:val="00295858"/>
    <w:rsid w:val="0029616C"/>
    <w:rsid w:val="002961FF"/>
    <w:rsid w:val="00296288"/>
    <w:rsid w:val="002965CD"/>
    <w:rsid w:val="002971F4"/>
    <w:rsid w:val="00297E84"/>
    <w:rsid w:val="002A0647"/>
    <w:rsid w:val="002A0C56"/>
    <w:rsid w:val="002A1565"/>
    <w:rsid w:val="002A1A00"/>
    <w:rsid w:val="002A1E5C"/>
    <w:rsid w:val="002A2135"/>
    <w:rsid w:val="002A241E"/>
    <w:rsid w:val="002A2503"/>
    <w:rsid w:val="002A2E29"/>
    <w:rsid w:val="002A338E"/>
    <w:rsid w:val="002A359F"/>
    <w:rsid w:val="002A386C"/>
    <w:rsid w:val="002A4043"/>
    <w:rsid w:val="002A40BB"/>
    <w:rsid w:val="002A4BA7"/>
    <w:rsid w:val="002A4E75"/>
    <w:rsid w:val="002A5088"/>
    <w:rsid w:val="002A51C7"/>
    <w:rsid w:val="002A56B1"/>
    <w:rsid w:val="002A5C74"/>
    <w:rsid w:val="002A5F5D"/>
    <w:rsid w:val="002A6766"/>
    <w:rsid w:val="002A68F9"/>
    <w:rsid w:val="002A6BED"/>
    <w:rsid w:val="002A6F0D"/>
    <w:rsid w:val="002A6F11"/>
    <w:rsid w:val="002B01AB"/>
    <w:rsid w:val="002B032D"/>
    <w:rsid w:val="002B057F"/>
    <w:rsid w:val="002B1732"/>
    <w:rsid w:val="002B218D"/>
    <w:rsid w:val="002B2273"/>
    <w:rsid w:val="002B256A"/>
    <w:rsid w:val="002B2AE3"/>
    <w:rsid w:val="002B3026"/>
    <w:rsid w:val="002B32F0"/>
    <w:rsid w:val="002B3590"/>
    <w:rsid w:val="002B4020"/>
    <w:rsid w:val="002B430C"/>
    <w:rsid w:val="002B4378"/>
    <w:rsid w:val="002B495B"/>
    <w:rsid w:val="002B5296"/>
    <w:rsid w:val="002B539C"/>
    <w:rsid w:val="002B5528"/>
    <w:rsid w:val="002B5CB2"/>
    <w:rsid w:val="002B5F12"/>
    <w:rsid w:val="002B6907"/>
    <w:rsid w:val="002B69E4"/>
    <w:rsid w:val="002B7310"/>
    <w:rsid w:val="002B7907"/>
    <w:rsid w:val="002C04A7"/>
    <w:rsid w:val="002C04E4"/>
    <w:rsid w:val="002C10EB"/>
    <w:rsid w:val="002C15D2"/>
    <w:rsid w:val="002C2A6B"/>
    <w:rsid w:val="002C2D24"/>
    <w:rsid w:val="002C38B9"/>
    <w:rsid w:val="002C3A7A"/>
    <w:rsid w:val="002C3AFC"/>
    <w:rsid w:val="002C3BD3"/>
    <w:rsid w:val="002C3C34"/>
    <w:rsid w:val="002C3DC0"/>
    <w:rsid w:val="002C4D51"/>
    <w:rsid w:val="002C55F5"/>
    <w:rsid w:val="002C590F"/>
    <w:rsid w:val="002C5AF6"/>
    <w:rsid w:val="002C66F2"/>
    <w:rsid w:val="002C6923"/>
    <w:rsid w:val="002C719D"/>
    <w:rsid w:val="002C75E6"/>
    <w:rsid w:val="002C78DC"/>
    <w:rsid w:val="002C7A34"/>
    <w:rsid w:val="002C7D55"/>
    <w:rsid w:val="002D0847"/>
    <w:rsid w:val="002D0889"/>
    <w:rsid w:val="002D1343"/>
    <w:rsid w:val="002D1D00"/>
    <w:rsid w:val="002D2476"/>
    <w:rsid w:val="002D306F"/>
    <w:rsid w:val="002D33A0"/>
    <w:rsid w:val="002D3842"/>
    <w:rsid w:val="002D3EC0"/>
    <w:rsid w:val="002D515C"/>
    <w:rsid w:val="002D53F9"/>
    <w:rsid w:val="002D55E1"/>
    <w:rsid w:val="002D5DF4"/>
    <w:rsid w:val="002D5E58"/>
    <w:rsid w:val="002D63FC"/>
    <w:rsid w:val="002D6477"/>
    <w:rsid w:val="002D6D9B"/>
    <w:rsid w:val="002D6E83"/>
    <w:rsid w:val="002D7765"/>
    <w:rsid w:val="002D7DD8"/>
    <w:rsid w:val="002E016D"/>
    <w:rsid w:val="002E06F4"/>
    <w:rsid w:val="002E098E"/>
    <w:rsid w:val="002E141D"/>
    <w:rsid w:val="002E1523"/>
    <w:rsid w:val="002E1CE1"/>
    <w:rsid w:val="002E2A92"/>
    <w:rsid w:val="002E2C3C"/>
    <w:rsid w:val="002E3BF3"/>
    <w:rsid w:val="002E4875"/>
    <w:rsid w:val="002E4A75"/>
    <w:rsid w:val="002E4E2B"/>
    <w:rsid w:val="002E5178"/>
    <w:rsid w:val="002E578C"/>
    <w:rsid w:val="002E5EE7"/>
    <w:rsid w:val="002E638E"/>
    <w:rsid w:val="002E67E1"/>
    <w:rsid w:val="002E6B49"/>
    <w:rsid w:val="002F08CC"/>
    <w:rsid w:val="002F170F"/>
    <w:rsid w:val="002F1A6C"/>
    <w:rsid w:val="002F2706"/>
    <w:rsid w:val="002F2AD9"/>
    <w:rsid w:val="002F302A"/>
    <w:rsid w:val="002F313F"/>
    <w:rsid w:val="002F3155"/>
    <w:rsid w:val="002F32A1"/>
    <w:rsid w:val="002F3643"/>
    <w:rsid w:val="002F3A7A"/>
    <w:rsid w:val="002F3B1F"/>
    <w:rsid w:val="002F3E16"/>
    <w:rsid w:val="002F3F0F"/>
    <w:rsid w:val="002F440F"/>
    <w:rsid w:val="002F445C"/>
    <w:rsid w:val="002F465B"/>
    <w:rsid w:val="002F4AA9"/>
    <w:rsid w:val="002F4FF4"/>
    <w:rsid w:val="002F5333"/>
    <w:rsid w:val="002F54B0"/>
    <w:rsid w:val="002F5E4F"/>
    <w:rsid w:val="002F62AF"/>
    <w:rsid w:val="002F649F"/>
    <w:rsid w:val="002F6744"/>
    <w:rsid w:val="002F675E"/>
    <w:rsid w:val="002F67E3"/>
    <w:rsid w:val="002F6E5F"/>
    <w:rsid w:val="002F7196"/>
    <w:rsid w:val="002F7248"/>
    <w:rsid w:val="002F7FCE"/>
    <w:rsid w:val="00300881"/>
    <w:rsid w:val="003008B0"/>
    <w:rsid w:val="00300AA8"/>
    <w:rsid w:val="00300B12"/>
    <w:rsid w:val="00300C8E"/>
    <w:rsid w:val="0030100E"/>
    <w:rsid w:val="00301D97"/>
    <w:rsid w:val="003024F1"/>
    <w:rsid w:val="0030273E"/>
    <w:rsid w:val="003039D4"/>
    <w:rsid w:val="00303A88"/>
    <w:rsid w:val="00304788"/>
    <w:rsid w:val="00304DC4"/>
    <w:rsid w:val="003053A7"/>
    <w:rsid w:val="0030563C"/>
    <w:rsid w:val="00305CF5"/>
    <w:rsid w:val="00305E6D"/>
    <w:rsid w:val="00305E76"/>
    <w:rsid w:val="00305FCE"/>
    <w:rsid w:val="00306371"/>
    <w:rsid w:val="00306446"/>
    <w:rsid w:val="003064FC"/>
    <w:rsid w:val="003067D1"/>
    <w:rsid w:val="00306D4B"/>
    <w:rsid w:val="00306D88"/>
    <w:rsid w:val="00307166"/>
    <w:rsid w:val="0030739C"/>
    <w:rsid w:val="003078AC"/>
    <w:rsid w:val="0031002D"/>
    <w:rsid w:val="00310135"/>
    <w:rsid w:val="0031093C"/>
    <w:rsid w:val="00310F2A"/>
    <w:rsid w:val="00311985"/>
    <w:rsid w:val="003126C1"/>
    <w:rsid w:val="003126DB"/>
    <w:rsid w:val="00313746"/>
    <w:rsid w:val="00313985"/>
    <w:rsid w:val="003139B6"/>
    <w:rsid w:val="00313BFF"/>
    <w:rsid w:val="00313E14"/>
    <w:rsid w:val="00313ED0"/>
    <w:rsid w:val="0031439D"/>
    <w:rsid w:val="00314820"/>
    <w:rsid w:val="00315B84"/>
    <w:rsid w:val="00315D5F"/>
    <w:rsid w:val="00316D41"/>
    <w:rsid w:val="00316F66"/>
    <w:rsid w:val="00317238"/>
    <w:rsid w:val="0031739F"/>
    <w:rsid w:val="00317C79"/>
    <w:rsid w:val="0032029C"/>
    <w:rsid w:val="00320EE3"/>
    <w:rsid w:val="003218A1"/>
    <w:rsid w:val="00321977"/>
    <w:rsid w:val="00321A4C"/>
    <w:rsid w:val="003220BE"/>
    <w:rsid w:val="00322C6F"/>
    <w:rsid w:val="00322C7E"/>
    <w:rsid w:val="00322DC8"/>
    <w:rsid w:val="003232D3"/>
    <w:rsid w:val="00323E22"/>
    <w:rsid w:val="00323E5F"/>
    <w:rsid w:val="00323F54"/>
    <w:rsid w:val="00324296"/>
    <w:rsid w:val="0032450C"/>
    <w:rsid w:val="003245FF"/>
    <w:rsid w:val="00324636"/>
    <w:rsid w:val="00324B13"/>
    <w:rsid w:val="00324BD8"/>
    <w:rsid w:val="00324E67"/>
    <w:rsid w:val="00325129"/>
    <w:rsid w:val="00325613"/>
    <w:rsid w:val="003256EB"/>
    <w:rsid w:val="00325931"/>
    <w:rsid w:val="00325E6F"/>
    <w:rsid w:val="00326038"/>
    <w:rsid w:val="0032605B"/>
    <w:rsid w:val="003273FB"/>
    <w:rsid w:val="0033027A"/>
    <w:rsid w:val="003302C0"/>
    <w:rsid w:val="003302F2"/>
    <w:rsid w:val="00330A23"/>
    <w:rsid w:val="00330B0B"/>
    <w:rsid w:val="00330BF6"/>
    <w:rsid w:val="00330CFE"/>
    <w:rsid w:val="00332A3D"/>
    <w:rsid w:val="00333123"/>
    <w:rsid w:val="00333188"/>
    <w:rsid w:val="00333526"/>
    <w:rsid w:val="0033360B"/>
    <w:rsid w:val="00333FC5"/>
    <w:rsid w:val="0033420C"/>
    <w:rsid w:val="00334695"/>
    <w:rsid w:val="0033499B"/>
    <w:rsid w:val="00334AA7"/>
    <w:rsid w:val="00334C53"/>
    <w:rsid w:val="00334F5A"/>
    <w:rsid w:val="00335065"/>
    <w:rsid w:val="00336DAF"/>
    <w:rsid w:val="00336F52"/>
    <w:rsid w:val="00337797"/>
    <w:rsid w:val="003378B8"/>
    <w:rsid w:val="00337977"/>
    <w:rsid w:val="00337A41"/>
    <w:rsid w:val="00337B1C"/>
    <w:rsid w:val="00337FE8"/>
    <w:rsid w:val="00340624"/>
    <w:rsid w:val="003409A4"/>
    <w:rsid w:val="003409AE"/>
    <w:rsid w:val="00340A67"/>
    <w:rsid w:val="00340B03"/>
    <w:rsid w:val="00340E33"/>
    <w:rsid w:val="00340E57"/>
    <w:rsid w:val="00341D62"/>
    <w:rsid w:val="0034258A"/>
    <w:rsid w:val="003426D6"/>
    <w:rsid w:val="00342999"/>
    <w:rsid w:val="003429AF"/>
    <w:rsid w:val="00343070"/>
    <w:rsid w:val="0034341C"/>
    <w:rsid w:val="00343599"/>
    <w:rsid w:val="0034381A"/>
    <w:rsid w:val="003439AA"/>
    <w:rsid w:val="00343A9A"/>
    <w:rsid w:val="0034406F"/>
    <w:rsid w:val="00344637"/>
    <w:rsid w:val="00344C87"/>
    <w:rsid w:val="00345B15"/>
    <w:rsid w:val="00345BA8"/>
    <w:rsid w:val="0034681C"/>
    <w:rsid w:val="00346AFC"/>
    <w:rsid w:val="003470CF"/>
    <w:rsid w:val="003473E0"/>
    <w:rsid w:val="00347A6F"/>
    <w:rsid w:val="003502D1"/>
    <w:rsid w:val="0035038C"/>
    <w:rsid w:val="0035038E"/>
    <w:rsid w:val="003503A7"/>
    <w:rsid w:val="00350A5D"/>
    <w:rsid w:val="00351237"/>
    <w:rsid w:val="003512E5"/>
    <w:rsid w:val="003518A5"/>
    <w:rsid w:val="0035195E"/>
    <w:rsid w:val="00352033"/>
    <w:rsid w:val="00352424"/>
    <w:rsid w:val="003524BC"/>
    <w:rsid w:val="00352C7E"/>
    <w:rsid w:val="00352DE6"/>
    <w:rsid w:val="003531CB"/>
    <w:rsid w:val="00353A04"/>
    <w:rsid w:val="00353A76"/>
    <w:rsid w:val="00353E54"/>
    <w:rsid w:val="003543A5"/>
    <w:rsid w:val="003545F4"/>
    <w:rsid w:val="00354784"/>
    <w:rsid w:val="00355683"/>
    <w:rsid w:val="00355881"/>
    <w:rsid w:val="00355A92"/>
    <w:rsid w:val="00355ED0"/>
    <w:rsid w:val="00355F9C"/>
    <w:rsid w:val="0035604B"/>
    <w:rsid w:val="00356347"/>
    <w:rsid w:val="00356724"/>
    <w:rsid w:val="00356E76"/>
    <w:rsid w:val="0035744E"/>
    <w:rsid w:val="003574D2"/>
    <w:rsid w:val="003574D6"/>
    <w:rsid w:val="00357AB4"/>
    <w:rsid w:val="0036027D"/>
    <w:rsid w:val="003604D2"/>
    <w:rsid w:val="00360ADE"/>
    <w:rsid w:val="0036113A"/>
    <w:rsid w:val="003611C6"/>
    <w:rsid w:val="00362175"/>
    <w:rsid w:val="00362331"/>
    <w:rsid w:val="0036356D"/>
    <w:rsid w:val="00363A61"/>
    <w:rsid w:val="0036414C"/>
    <w:rsid w:val="0036482A"/>
    <w:rsid w:val="0036484E"/>
    <w:rsid w:val="00364A21"/>
    <w:rsid w:val="00364A90"/>
    <w:rsid w:val="00365060"/>
    <w:rsid w:val="003657CF"/>
    <w:rsid w:val="00365932"/>
    <w:rsid w:val="00365C25"/>
    <w:rsid w:val="00365CFD"/>
    <w:rsid w:val="00366606"/>
    <w:rsid w:val="00366D02"/>
    <w:rsid w:val="00367662"/>
    <w:rsid w:val="00367EC4"/>
    <w:rsid w:val="00367F3A"/>
    <w:rsid w:val="00367FEE"/>
    <w:rsid w:val="0037106D"/>
    <w:rsid w:val="003710DD"/>
    <w:rsid w:val="003712AE"/>
    <w:rsid w:val="00371409"/>
    <w:rsid w:val="00371651"/>
    <w:rsid w:val="00372560"/>
    <w:rsid w:val="003727BE"/>
    <w:rsid w:val="00372828"/>
    <w:rsid w:val="00372D2E"/>
    <w:rsid w:val="00373761"/>
    <w:rsid w:val="003743D7"/>
    <w:rsid w:val="00374441"/>
    <w:rsid w:val="003766B0"/>
    <w:rsid w:val="00376ED0"/>
    <w:rsid w:val="003770AC"/>
    <w:rsid w:val="003800E1"/>
    <w:rsid w:val="00382828"/>
    <w:rsid w:val="00382A2D"/>
    <w:rsid w:val="00382D92"/>
    <w:rsid w:val="003838B7"/>
    <w:rsid w:val="00383DB3"/>
    <w:rsid w:val="00384672"/>
    <w:rsid w:val="00384EAE"/>
    <w:rsid w:val="0038617F"/>
    <w:rsid w:val="00390230"/>
    <w:rsid w:val="00390263"/>
    <w:rsid w:val="00390D9E"/>
    <w:rsid w:val="00390F49"/>
    <w:rsid w:val="0039168A"/>
    <w:rsid w:val="00391D58"/>
    <w:rsid w:val="003922E5"/>
    <w:rsid w:val="00392AFB"/>
    <w:rsid w:val="00392C24"/>
    <w:rsid w:val="003933B3"/>
    <w:rsid w:val="0039350B"/>
    <w:rsid w:val="00393744"/>
    <w:rsid w:val="00393E89"/>
    <w:rsid w:val="00393F2C"/>
    <w:rsid w:val="00394099"/>
    <w:rsid w:val="00394676"/>
    <w:rsid w:val="00395358"/>
    <w:rsid w:val="003959CC"/>
    <w:rsid w:val="00395D61"/>
    <w:rsid w:val="00395FCD"/>
    <w:rsid w:val="00395FE4"/>
    <w:rsid w:val="00396417"/>
    <w:rsid w:val="003965E3"/>
    <w:rsid w:val="00396900"/>
    <w:rsid w:val="0039776F"/>
    <w:rsid w:val="003979D9"/>
    <w:rsid w:val="003A0251"/>
    <w:rsid w:val="003A0EBA"/>
    <w:rsid w:val="003A12B0"/>
    <w:rsid w:val="003A1352"/>
    <w:rsid w:val="003A13CC"/>
    <w:rsid w:val="003A177A"/>
    <w:rsid w:val="003A1BB9"/>
    <w:rsid w:val="003A1C1A"/>
    <w:rsid w:val="003A22F3"/>
    <w:rsid w:val="003A2F4D"/>
    <w:rsid w:val="003A3535"/>
    <w:rsid w:val="003A3676"/>
    <w:rsid w:val="003A375A"/>
    <w:rsid w:val="003A396E"/>
    <w:rsid w:val="003A3A6B"/>
    <w:rsid w:val="003A423C"/>
    <w:rsid w:val="003A534D"/>
    <w:rsid w:val="003A5D4D"/>
    <w:rsid w:val="003A5E3C"/>
    <w:rsid w:val="003A5F36"/>
    <w:rsid w:val="003A6133"/>
    <w:rsid w:val="003A65C6"/>
    <w:rsid w:val="003A668B"/>
    <w:rsid w:val="003A7408"/>
    <w:rsid w:val="003B018D"/>
    <w:rsid w:val="003B0453"/>
    <w:rsid w:val="003B0B1A"/>
    <w:rsid w:val="003B0C51"/>
    <w:rsid w:val="003B0CCB"/>
    <w:rsid w:val="003B0D6F"/>
    <w:rsid w:val="003B0DA0"/>
    <w:rsid w:val="003B0FFD"/>
    <w:rsid w:val="003B10E7"/>
    <w:rsid w:val="003B137B"/>
    <w:rsid w:val="003B1A95"/>
    <w:rsid w:val="003B1CCE"/>
    <w:rsid w:val="003B255E"/>
    <w:rsid w:val="003B25DC"/>
    <w:rsid w:val="003B267E"/>
    <w:rsid w:val="003B2F96"/>
    <w:rsid w:val="003B312F"/>
    <w:rsid w:val="003B377A"/>
    <w:rsid w:val="003B39CE"/>
    <w:rsid w:val="003B40AF"/>
    <w:rsid w:val="003B4903"/>
    <w:rsid w:val="003B5348"/>
    <w:rsid w:val="003B5B91"/>
    <w:rsid w:val="003B5CA5"/>
    <w:rsid w:val="003B609C"/>
    <w:rsid w:val="003B616A"/>
    <w:rsid w:val="003B62E0"/>
    <w:rsid w:val="003B6BB4"/>
    <w:rsid w:val="003B77C2"/>
    <w:rsid w:val="003B7C6F"/>
    <w:rsid w:val="003C048D"/>
    <w:rsid w:val="003C0932"/>
    <w:rsid w:val="003C1077"/>
    <w:rsid w:val="003C1D43"/>
    <w:rsid w:val="003C1DE1"/>
    <w:rsid w:val="003C1E9D"/>
    <w:rsid w:val="003C1EB7"/>
    <w:rsid w:val="003C2B62"/>
    <w:rsid w:val="003C2D39"/>
    <w:rsid w:val="003C3261"/>
    <w:rsid w:val="003C3277"/>
    <w:rsid w:val="003C36D1"/>
    <w:rsid w:val="003C3889"/>
    <w:rsid w:val="003C3AD7"/>
    <w:rsid w:val="003C4772"/>
    <w:rsid w:val="003C4910"/>
    <w:rsid w:val="003C4C79"/>
    <w:rsid w:val="003C5937"/>
    <w:rsid w:val="003C6273"/>
    <w:rsid w:val="003C65BC"/>
    <w:rsid w:val="003C6704"/>
    <w:rsid w:val="003C6CE2"/>
    <w:rsid w:val="003D0DBB"/>
    <w:rsid w:val="003D0F47"/>
    <w:rsid w:val="003D1C80"/>
    <w:rsid w:val="003D2B13"/>
    <w:rsid w:val="003D2C91"/>
    <w:rsid w:val="003D2DD6"/>
    <w:rsid w:val="003D30F7"/>
    <w:rsid w:val="003D39A5"/>
    <w:rsid w:val="003D3DD6"/>
    <w:rsid w:val="003D43AE"/>
    <w:rsid w:val="003D49FC"/>
    <w:rsid w:val="003D5CBD"/>
    <w:rsid w:val="003D60D6"/>
    <w:rsid w:val="003D6160"/>
    <w:rsid w:val="003D64CB"/>
    <w:rsid w:val="003D6AD6"/>
    <w:rsid w:val="003D6D83"/>
    <w:rsid w:val="003D6E88"/>
    <w:rsid w:val="003D71B1"/>
    <w:rsid w:val="003D7531"/>
    <w:rsid w:val="003E07AE"/>
    <w:rsid w:val="003E08DF"/>
    <w:rsid w:val="003E0AA2"/>
    <w:rsid w:val="003E1E0A"/>
    <w:rsid w:val="003E2B1B"/>
    <w:rsid w:val="003E2C2C"/>
    <w:rsid w:val="003E2E09"/>
    <w:rsid w:val="003E368A"/>
    <w:rsid w:val="003E39AD"/>
    <w:rsid w:val="003E3C59"/>
    <w:rsid w:val="003E4707"/>
    <w:rsid w:val="003E4ED0"/>
    <w:rsid w:val="003E55DA"/>
    <w:rsid w:val="003E5AC3"/>
    <w:rsid w:val="003E6662"/>
    <w:rsid w:val="003E6FA7"/>
    <w:rsid w:val="003E71FF"/>
    <w:rsid w:val="003E7839"/>
    <w:rsid w:val="003F02FF"/>
    <w:rsid w:val="003F08B3"/>
    <w:rsid w:val="003F0C24"/>
    <w:rsid w:val="003F1778"/>
    <w:rsid w:val="003F1E90"/>
    <w:rsid w:val="003F1E9D"/>
    <w:rsid w:val="003F201B"/>
    <w:rsid w:val="003F3174"/>
    <w:rsid w:val="003F3180"/>
    <w:rsid w:val="003F3212"/>
    <w:rsid w:val="003F3B1B"/>
    <w:rsid w:val="003F3B39"/>
    <w:rsid w:val="003F4438"/>
    <w:rsid w:val="003F482A"/>
    <w:rsid w:val="003F4D51"/>
    <w:rsid w:val="003F55F3"/>
    <w:rsid w:val="003F56AD"/>
    <w:rsid w:val="003F5815"/>
    <w:rsid w:val="003F5AFA"/>
    <w:rsid w:val="003F6098"/>
    <w:rsid w:val="003F638F"/>
    <w:rsid w:val="003F642C"/>
    <w:rsid w:val="003F69F5"/>
    <w:rsid w:val="003F6C7B"/>
    <w:rsid w:val="003F7CAB"/>
    <w:rsid w:val="00400092"/>
    <w:rsid w:val="004000D0"/>
    <w:rsid w:val="0040067F"/>
    <w:rsid w:val="00400789"/>
    <w:rsid w:val="00402309"/>
    <w:rsid w:val="0040265D"/>
    <w:rsid w:val="00402901"/>
    <w:rsid w:val="004029A1"/>
    <w:rsid w:val="00402AA7"/>
    <w:rsid w:val="00402E16"/>
    <w:rsid w:val="00403680"/>
    <w:rsid w:val="00403A85"/>
    <w:rsid w:val="004041E7"/>
    <w:rsid w:val="0040420E"/>
    <w:rsid w:val="00404DEB"/>
    <w:rsid w:val="004052A6"/>
    <w:rsid w:val="004057EE"/>
    <w:rsid w:val="00405AD4"/>
    <w:rsid w:val="0040618A"/>
    <w:rsid w:val="00406CFB"/>
    <w:rsid w:val="00406D3C"/>
    <w:rsid w:val="00406D9B"/>
    <w:rsid w:val="00406E5D"/>
    <w:rsid w:val="00406FB7"/>
    <w:rsid w:val="00406FEE"/>
    <w:rsid w:val="00407078"/>
    <w:rsid w:val="00407811"/>
    <w:rsid w:val="00407A06"/>
    <w:rsid w:val="00407EF3"/>
    <w:rsid w:val="00410441"/>
    <w:rsid w:val="004109A6"/>
    <w:rsid w:val="00410EEF"/>
    <w:rsid w:val="00411507"/>
    <w:rsid w:val="00411926"/>
    <w:rsid w:val="004123BA"/>
    <w:rsid w:val="00412F7A"/>
    <w:rsid w:val="00413FDE"/>
    <w:rsid w:val="0041411B"/>
    <w:rsid w:val="0041459B"/>
    <w:rsid w:val="00414739"/>
    <w:rsid w:val="0041473E"/>
    <w:rsid w:val="0041493C"/>
    <w:rsid w:val="00414AF1"/>
    <w:rsid w:val="00414D07"/>
    <w:rsid w:val="00414E3E"/>
    <w:rsid w:val="00415178"/>
    <w:rsid w:val="0041564D"/>
    <w:rsid w:val="004167E1"/>
    <w:rsid w:val="00416F2B"/>
    <w:rsid w:val="004172BE"/>
    <w:rsid w:val="0041786D"/>
    <w:rsid w:val="00417C02"/>
    <w:rsid w:val="00417D94"/>
    <w:rsid w:val="00420123"/>
    <w:rsid w:val="00420378"/>
    <w:rsid w:val="004206F9"/>
    <w:rsid w:val="00420C96"/>
    <w:rsid w:val="00420EDD"/>
    <w:rsid w:val="00421A17"/>
    <w:rsid w:val="00421B43"/>
    <w:rsid w:val="0042232E"/>
    <w:rsid w:val="00422356"/>
    <w:rsid w:val="004223FB"/>
    <w:rsid w:val="0042251E"/>
    <w:rsid w:val="00422990"/>
    <w:rsid w:val="0042305A"/>
    <w:rsid w:val="00423616"/>
    <w:rsid w:val="00423F88"/>
    <w:rsid w:val="004241B6"/>
    <w:rsid w:val="00424217"/>
    <w:rsid w:val="004242B0"/>
    <w:rsid w:val="0042496E"/>
    <w:rsid w:val="0042550B"/>
    <w:rsid w:val="00425BB0"/>
    <w:rsid w:val="00425D64"/>
    <w:rsid w:val="004261DC"/>
    <w:rsid w:val="004262B3"/>
    <w:rsid w:val="004263A6"/>
    <w:rsid w:val="00426B0E"/>
    <w:rsid w:val="00426F43"/>
    <w:rsid w:val="00427AFC"/>
    <w:rsid w:val="00427D36"/>
    <w:rsid w:val="00427E4A"/>
    <w:rsid w:val="004301F8"/>
    <w:rsid w:val="00430F1A"/>
    <w:rsid w:val="00431047"/>
    <w:rsid w:val="00431363"/>
    <w:rsid w:val="004315AF"/>
    <w:rsid w:val="004315F0"/>
    <w:rsid w:val="00431D5D"/>
    <w:rsid w:val="00431E37"/>
    <w:rsid w:val="00432371"/>
    <w:rsid w:val="00432646"/>
    <w:rsid w:val="00433A20"/>
    <w:rsid w:val="00433ADC"/>
    <w:rsid w:val="00433AE5"/>
    <w:rsid w:val="00433C49"/>
    <w:rsid w:val="00433E45"/>
    <w:rsid w:val="00434F55"/>
    <w:rsid w:val="00435720"/>
    <w:rsid w:val="00435B16"/>
    <w:rsid w:val="00436CD3"/>
    <w:rsid w:val="004371CE"/>
    <w:rsid w:val="004404FD"/>
    <w:rsid w:val="004411A9"/>
    <w:rsid w:val="004413E6"/>
    <w:rsid w:val="004420BF"/>
    <w:rsid w:val="00442340"/>
    <w:rsid w:val="00442DBA"/>
    <w:rsid w:val="00443934"/>
    <w:rsid w:val="0044424D"/>
    <w:rsid w:val="004446BA"/>
    <w:rsid w:val="00444B69"/>
    <w:rsid w:val="00444C08"/>
    <w:rsid w:val="00445201"/>
    <w:rsid w:val="0044559B"/>
    <w:rsid w:val="004457DA"/>
    <w:rsid w:val="00445E70"/>
    <w:rsid w:val="00445F56"/>
    <w:rsid w:val="00446849"/>
    <w:rsid w:val="00446D36"/>
    <w:rsid w:val="00446FD0"/>
    <w:rsid w:val="00447A04"/>
    <w:rsid w:val="00447E6E"/>
    <w:rsid w:val="00450088"/>
    <w:rsid w:val="00450C1F"/>
    <w:rsid w:val="004512A3"/>
    <w:rsid w:val="004512C6"/>
    <w:rsid w:val="004516A8"/>
    <w:rsid w:val="00451E7B"/>
    <w:rsid w:val="00452652"/>
    <w:rsid w:val="00452770"/>
    <w:rsid w:val="0045298E"/>
    <w:rsid w:val="00452ABA"/>
    <w:rsid w:val="00453549"/>
    <w:rsid w:val="004535D1"/>
    <w:rsid w:val="004537F0"/>
    <w:rsid w:val="00453A6F"/>
    <w:rsid w:val="004546A0"/>
    <w:rsid w:val="00454974"/>
    <w:rsid w:val="00455028"/>
    <w:rsid w:val="004559D0"/>
    <w:rsid w:val="00455A85"/>
    <w:rsid w:val="00455A93"/>
    <w:rsid w:val="00455AD9"/>
    <w:rsid w:val="00455BAB"/>
    <w:rsid w:val="00456491"/>
    <w:rsid w:val="00456949"/>
    <w:rsid w:val="00456E0E"/>
    <w:rsid w:val="00456E63"/>
    <w:rsid w:val="00456F5D"/>
    <w:rsid w:val="00457461"/>
    <w:rsid w:val="004575E9"/>
    <w:rsid w:val="004578A8"/>
    <w:rsid w:val="0045790B"/>
    <w:rsid w:val="00460183"/>
    <w:rsid w:val="00460862"/>
    <w:rsid w:val="00460AA3"/>
    <w:rsid w:val="00460CF9"/>
    <w:rsid w:val="00460E5F"/>
    <w:rsid w:val="00460F67"/>
    <w:rsid w:val="00461648"/>
    <w:rsid w:val="00462378"/>
    <w:rsid w:val="00462921"/>
    <w:rsid w:val="00462B60"/>
    <w:rsid w:val="00464D29"/>
    <w:rsid w:val="00464E4B"/>
    <w:rsid w:val="00465110"/>
    <w:rsid w:val="0046517A"/>
    <w:rsid w:val="0046653C"/>
    <w:rsid w:val="00467310"/>
    <w:rsid w:val="00467477"/>
    <w:rsid w:val="00467E08"/>
    <w:rsid w:val="00467EAC"/>
    <w:rsid w:val="00467F84"/>
    <w:rsid w:val="00470B1E"/>
    <w:rsid w:val="00470F23"/>
    <w:rsid w:val="00471181"/>
    <w:rsid w:val="00471347"/>
    <w:rsid w:val="00471645"/>
    <w:rsid w:val="004716BF"/>
    <w:rsid w:val="00471DD3"/>
    <w:rsid w:val="00472356"/>
    <w:rsid w:val="00472533"/>
    <w:rsid w:val="00472679"/>
    <w:rsid w:val="00472935"/>
    <w:rsid w:val="004731E1"/>
    <w:rsid w:val="00473268"/>
    <w:rsid w:val="00473E50"/>
    <w:rsid w:val="00474593"/>
    <w:rsid w:val="0047528C"/>
    <w:rsid w:val="00475312"/>
    <w:rsid w:val="00475488"/>
    <w:rsid w:val="00475A5C"/>
    <w:rsid w:val="00475BCF"/>
    <w:rsid w:val="004767E4"/>
    <w:rsid w:val="00476BDF"/>
    <w:rsid w:val="00477A2E"/>
    <w:rsid w:val="00480170"/>
    <w:rsid w:val="004801A5"/>
    <w:rsid w:val="004815B8"/>
    <w:rsid w:val="004818CB"/>
    <w:rsid w:val="00482407"/>
    <w:rsid w:val="00482C7C"/>
    <w:rsid w:val="004835E2"/>
    <w:rsid w:val="00483E90"/>
    <w:rsid w:val="00483FB2"/>
    <w:rsid w:val="00484A38"/>
    <w:rsid w:val="00484E13"/>
    <w:rsid w:val="00484E3D"/>
    <w:rsid w:val="004851B9"/>
    <w:rsid w:val="004851FB"/>
    <w:rsid w:val="00485318"/>
    <w:rsid w:val="004868B6"/>
    <w:rsid w:val="00486E7C"/>
    <w:rsid w:val="00486F09"/>
    <w:rsid w:val="004878BB"/>
    <w:rsid w:val="00487D30"/>
    <w:rsid w:val="00487DE5"/>
    <w:rsid w:val="00490043"/>
    <w:rsid w:val="004901C9"/>
    <w:rsid w:val="00490383"/>
    <w:rsid w:val="004914C2"/>
    <w:rsid w:val="00491509"/>
    <w:rsid w:val="00491B86"/>
    <w:rsid w:val="004921ED"/>
    <w:rsid w:val="00492569"/>
    <w:rsid w:val="00492F47"/>
    <w:rsid w:val="00493355"/>
    <w:rsid w:val="004935CE"/>
    <w:rsid w:val="00493FBF"/>
    <w:rsid w:val="004944F6"/>
    <w:rsid w:val="004946C8"/>
    <w:rsid w:val="00494CF3"/>
    <w:rsid w:val="00494E51"/>
    <w:rsid w:val="00495090"/>
    <w:rsid w:val="00495258"/>
    <w:rsid w:val="00495916"/>
    <w:rsid w:val="00496619"/>
    <w:rsid w:val="00496A64"/>
    <w:rsid w:val="00496AA6"/>
    <w:rsid w:val="00497342"/>
    <w:rsid w:val="004978D2"/>
    <w:rsid w:val="00498327"/>
    <w:rsid w:val="004A0497"/>
    <w:rsid w:val="004A04CD"/>
    <w:rsid w:val="004A0AF3"/>
    <w:rsid w:val="004A0BC0"/>
    <w:rsid w:val="004A0BF8"/>
    <w:rsid w:val="004A0C3C"/>
    <w:rsid w:val="004A1235"/>
    <w:rsid w:val="004A172F"/>
    <w:rsid w:val="004A1924"/>
    <w:rsid w:val="004A28C7"/>
    <w:rsid w:val="004A2AEB"/>
    <w:rsid w:val="004A2ECA"/>
    <w:rsid w:val="004A2ECE"/>
    <w:rsid w:val="004A3466"/>
    <w:rsid w:val="004A388C"/>
    <w:rsid w:val="004A3B7C"/>
    <w:rsid w:val="004A4712"/>
    <w:rsid w:val="004A4AC2"/>
    <w:rsid w:val="004A4C0D"/>
    <w:rsid w:val="004A506B"/>
    <w:rsid w:val="004A54CE"/>
    <w:rsid w:val="004A5527"/>
    <w:rsid w:val="004A5D97"/>
    <w:rsid w:val="004A6614"/>
    <w:rsid w:val="004A6CAC"/>
    <w:rsid w:val="004A6E6E"/>
    <w:rsid w:val="004A75E9"/>
    <w:rsid w:val="004A7730"/>
    <w:rsid w:val="004A7A3F"/>
    <w:rsid w:val="004A7F81"/>
    <w:rsid w:val="004B0744"/>
    <w:rsid w:val="004B0774"/>
    <w:rsid w:val="004B089C"/>
    <w:rsid w:val="004B08FE"/>
    <w:rsid w:val="004B1120"/>
    <w:rsid w:val="004B1682"/>
    <w:rsid w:val="004B1F96"/>
    <w:rsid w:val="004B22C7"/>
    <w:rsid w:val="004B2587"/>
    <w:rsid w:val="004B2934"/>
    <w:rsid w:val="004B2DB0"/>
    <w:rsid w:val="004B3BA6"/>
    <w:rsid w:val="004B3C44"/>
    <w:rsid w:val="004B3CEA"/>
    <w:rsid w:val="004B3D3F"/>
    <w:rsid w:val="004B3FED"/>
    <w:rsid w:val="004B4096"/>
    <w:rsid w:val="004B4886"/>
    <w:rsid w:val="004B5509"/>
    <w:rsid w:val="004B597E"/>
    <w:rsid w:val="004B5A2D"/>
    <w:rsid w:val="004B6B50"/>
    <w:rsid w:val="004B6F52"/>
    <w:rsid w:val="004B7587"/>
    <w:rsid w:val="004B7A3B"/>
    <w:rsid w:val="004C0A13"/>
    <w:rsid w:val="004C0D86"/>
    <w:rsid w:val="004C0D88"/>
    <w:rsid w:val="004C110C"/>
    <w:rsid w:val="004C14F6"/>
    <w:rsid w:val="004C1A8B"/>
    <w:rsid w:val="004C1F3F"/>
    <w:rsid w:val="004C2672"/>
    <w:rsid w:val="004C2876"/>
    <w:rsid w:val="004C3753"/>
    <w:rsid w:val="004C3D68"/>
    <w:rsid w:val="004C4263"/>
    <w:rsid w:val="004C447A"/>
    <w:rsid w:val="004C4E70"/>
    <w:rsid w:val="004C53A8"/>
    <w:rsid w:val="004C556E"/>
    <w:rsid w:val="004C5604"/>
    <w:rsid w:val="004C587A"/>
    <w:rsid w:val="004C5E80"/>
    <w:rsid w:val="004C62B0"/>
    <w:rsid w:val="004C66D3"/>
    <w:rsid w:val="004C6A0D"/>
    <w:rsid w:val="004C6D06"/>
    <w:rsid w:val="004C6DBF"/>
    <w:rsid w:val="004C7495"/>
    <w:rsid w:val="004C76C8"/>
    <w:rsid w:val="004C7CFA"/>
    <w:rsid w:val="004D046F"/>
    <w:rsid w:val="004D05C2"/>
    <w:rsid w:val="004D0849"/>
    <w:rsid w:val="004D0AF2"/>
    <w:rsid w:val="004D0C06"/>
    <w:rsid w:val="004D148B"/>
    <w:rsid w:val="004D1C4F"/>
    <w:rsid w:val="004D2157"/>
    <w:rsid w:val="004D29B6"/>
    <w:rsid w:val="004D2EEE"/>
    <w:rsid w:val="004D4087"/>
    <w:rsid w:val="004D4402"/>
    <w:rsid w:val="004D4A8D"/>
    <w:rsid w:val="004D4C76"/>
    <w:rsid w:val="004D4C8E"/>
    <w:rsid w:val="004D4F0D"/>
    <w:rsid w:val="004D62A0"/>
    <w:rsid w:val="004D62BF"/>
    <w:rsid w:val="004D64D8"/>
    <w:rsid w:val="004D7222"/>
    <w:rsid w:val="004D72C5"/>
    <w:rsid w:val="004E1618"/>
    <w:rsid w:val="004E16A8"/>
    <w:rsid w:val="004E1CDB"/>
    <w:rsid w:val="004E3A8E"/>
    <w:rsid w:val="004E3B1E"/>
    <w:rsid w:val="004E4794"/>
    <w:rsid w:val="004E4E61"/>
    <w:rsid w:val="004E4E7A"/>
    <w:rsid w:val="004E4F23"/>
    <w:rsid w:val="004E523E"/>
    <w:rsid w:val="004E5E7E"/>
    <w:rsid w:val="004E64D3"/>
    <w:rsid w:val="004E67AE"/>
    <w:rsid w:val="004E698A"/>
    <w:rsid w:val="004E6ADB"/>
    <w:rsid w:val="004E71AB"/>
    <w:rsid w:val="004E7690"/>
    <w:rsid w:val="004F009A"/>
    <w:rsid w:val="004F0330"/>
    <w:rsid w:val="004F0E1C"/>
    <w:rsid w:val="004F1083"/>
    <w:rsid w:val="004F1BA0"/>
    <w:rsid w:val="004F1E88"/>
    <w:rsid w:val="004F2DCE"/>
    <w:rsid w:val="004F3B19"/>
    <w:rsid w:val="004F3B6D"/>
    <w:rsid w:val="004F3E6E"/>
    <w:rsid w:val="004F40A3"/>
    <w:rsid w:val="004F425C"/>
    <w:rsid w:val="004F58D2"/>
    <w:rsid w:val="004F5DB6"/>
    <w:rsid w:val="004F6028"/>
    <w:rsid w:val="004F6C0A"/>
    <w:rsid w:val="004F6C28"/>
    <w:rsid w:val="004F6C5C"/>
    <w:rsid w:val="004F6DE1"/>
    <w:rsid w:val="005012DD"/>
    <w:rsid w:val="00501AB9"/>
    <w:rsid w:val="00501F62"/>
    <w:rsid w:val="00502531"/>
    <w:rsid w:val="005027BF"/>
    <w:rsid w:val="00502903"/>
    <w:rsid w:val="00502B6A"/>
    <w:rsid w:val="00502C5A"/>
    <w:rsid w:val="00502E7D"/>
    <w:rsid w:val="00503266"/>
    <w:rsid w:val="0050339D"/>
    <w:rsid w:val="0050353F"/>
    <w:rsid w:val="0050356D"/>
    <w:rsid w:val="00503DED"/>
    <w:rsid w:val="005059A3"/>
    <w:rsid w:val="00505B14"/>
    <w:rsid w:val="00505CC0"/>
    <w:rsid w:val="00506656"/>
    <w:rsid w:val="00506AD8"/>
    <w:rsid w:val="005071E7"/>
    <w:rsid w:val="0050760D"/>
    <w:rsid w:val="00507C64"/>
    <w:rsid w:val="0051043B"/>
    <w:rsid w:val="0051060D"/>
    <w:rsid w:val="00510936"/>
    <w:rsid w:val="00510984"/>
    <w:rsid w:val="005109D8"/>
    <w:rsid w:val="00510F7A"/>
    <w:rsid w:val="0051114A"/>
    <w:rsid w:val="00511967"/>
    <w:rsid w:val="00511FF3"/>
    <w:rsid w:val="00512972"/>
    <w:rsid w:val="005134AB"/>
    <w:rsid w:val="00513686"/>
    <w:rsid w:val="00513A44"/>
    <w:rsid w:val="00513A59"/>
    <w:rsid w:val="005142D4"/>
    <w:rsid w:val="0051434F"/>
    <w:rsid w:val="005143FA"/>
    <w:rsid w:val="0051470D"/>
    <w:rsid w:val="0051502F"/>
    <w:rsid w:val="005152E4"/>
    <w:rsid w:val="00515462"/>
    <w:rsid w:val="00515ABD"/>
    <w:rsid w:val="005161F3"/>
    <w:rsid w:val="00516AFE"/>
    <w:rsid w:val="00516D88"/>
    <w:rsid w:val="005170D3"/>
    <w:rsid w:val="00517125"/>
    <w:rsid w:val="00517BD8"/>
    <w:rsid w:val="00517DB2"/>
    <w:rsid w:val="00520368"/>
    <w:rsid w:val="0052048F"/>
    <w:rsid w:val="005205D1"/>
    <w:rsid w:val="005208F1"/>
    <w:rsid w:val="00520D72"/>
    <w:rsid w:val="00520FF3"/>
    <w:rsid w:val="00521CBF"/>
    <w:rsid w:val="00521DE7"/>
    <w:rsid w:val="00521FAB"/>
    <w:rsid w:val="00521FC2"/>
    <w:rsid w:val="00522449"/>
    <w:rsid w:val="00522A75"/>
    <w:rsid w:val="00522AD2"/>
    <w:rsid w:val="00523241"/>
    <w:rsid w:val="005243E0"/>
    <w:rsid w:val="00525585"/>
    <w:rsid w:val="0052563D"/>
    <w:rsid w:val="00525984"/>
    <w:rsid w:val="00525F01"/>
    <w:rsid w:val="00526283"/>
    <w:rsid w:val="00526C14"/>
    <w:rsid w:val="00526DA7"/>
    <w:rsid w:val="00526EBA"/>
    <w:rsid w:val="00526F40"/>
    <w:rsid w:val="0052732C"/>
    <w:rsid w:val="00527B5E"/>
    <w:rsid w:val="00527CA1"/>
    <w:rsid w:val="00527E15"/>
    <w:rsid w:val="00530656"/>
    <w:rsid w:val="00530817"/>
    <w:rsid w:val="00530CE5"/>
    <w:rsid w:val="00530D57"/>
    <w:rsid w:val="00531244"/>
    <w:rsid w:val="00531C3A"/>
    <w:rsid w:val="00531EA3"/>
    <w:rsid w:val="005320AC"/>
    <w:rsid w:val="00532298"/>
    <w:rsid w:val="00532342"/>
    <w:rsid w:val="00532386"/>
    <w:rsid w:val="00532652"/>
    <w:rsid w:val="005329DA"/>
    <w:rsid w:val="00533DD0"/>
    <w:rsid w:val="00533DD7"/>
    <w:rsid w:val="00533ED3"/>
    <w:rsid w:val="005344C6"/>
    <w:rsid w:val="00534840"/>
    <w:rsid w:val="00534D1A"/>
    <w:rsid w:val="005357AC"/>
    <w:rsid w:val="00535851"/>
    <w:rsid w:val="0053787D"/>
    <w:rsid w:val="005379B0"/>
    <w:rsid w:val="00537A16"/>
    <w:rsid w:val="00540668"/>
    <w:rsid w:val="00540895"/>
    <w:rsid w:val="00540976"/>
    <w:rsid w:val="005409B5"/>
    <w:rsid w:val="00540C2D"/>
    <w:rsid w:val="00541465"/>
    <w:rsid w:val="005415EE"/>
    <w:rsid w:val="00541BDA"/>
    <w:rsid w:val="00541D38"/>
    <w:rsid w:val="005421C8"/>
    <w:rsid w:val="00542A30"/>
    <w:rsid w:val="00542B35"/>
    <w:rsid w:val="00542BAD"/>
    <w:rsid w:val="0054348A"/>
    <w:rsid w:val="00543607"/>
    <w:rsid w:val="0054380D"/>
    <w:rsid w:val="0054385B"/>
    <w:rsid w:val="00544047"/>
    <w:rsid w:val="005441B6"/>
    <w:rsid w:val="00544560"/>
    <w:rsid w:val="00545643"/>
    <w:rsid w:val="005457E6"/>
    <w:rsid w:val="0054584C"/>
    <w:rsid w:val="00546BEC"/>
    <w:rsid w:val="00546D03"/>
    <w:rsid w:val="00546D65"/>
    <w:rsid w:val="005474EE"/>
    <w:rsid w:val="00547AEB"/>
    <w:rsid w:val="00547F20"/>
    <w:rsid w:val="00550436"/>
    <w:rsid w:val="005504E4"/>
    <w:rsid w:val="00550EB3"/>
    <w:rsid w:val="00551035"/>
    <w:rsid w:val="00551331"/>
    <w:rsid w:val="00551B37"/>
    <w:rsid w:val="00551E21"/>
    <w:rsid w:val="00552900"/>
    <w:rsid w:val="00552D50"/>
    <w:rsid w:val="00553745"/>
    <w:rsid w:val="00554133"/>
    <w:rsid w:val="005542A6"/>
    <w:rsid w:val="00554329"/>
    <w:rsid w:val="005545F4"/>
    <w:rsid w:val="00554675"/>
    <w:rsid w:val="00554A34"/>
    <w:rsid w:val="00554B1B"/>
    <w:rsid w:val="00554F03"/>
    <w:rsid w:val="00555A44"/>
    <w:rsid w:val="00555C9B"/>
    <w:rsid w:val="00556035"/>
    <w:rsid w:val="00556918"/>
    <w:rsid w:val="00556E34"/>
    <w:rsid w:val="00560252"/>
    <w:rsid w:val="00560332"/>
    <w:rsid w:val="00560358"/>
    <w:rsid w:val="005610A2"/>
    <w:rsid w:val="005612EE"/>
    <w:rsid w:val="0056198D"/>
    <w:rsid w:val="00561E4E"/>
    <w:rsid w:val="005620EB"/>
    <w:rsid w:val="005621F3"/>
    <w:rsid w:val="00562963"/>
    <w:rsid w:val="005630E4"/>
    <w:rsid w:val="00564031"/>
    <w:rsid w:val="0056407D"/>
    <w:rsid w:val="00564156"/>
    <w:rsid w:val="00565332"/>
    <w:rsid w:val="005654B3"/>
    <w:rsid w:val="00565704"/>
    <w:rsid w:val="005659BF"/>
    <w:rsid w:val="00565DD2"/>
    <w:rsid w:val="00565FF1"/>
    <w:rsid w:val="00566E80"/>
    <w:rsid w:val="00566FE7"/>
    <w:rsid w:val="00567320"/>
    <w:rsid w:val="00570E6E"/>
    <w:rsid w:val="00571101"/>
    <w:rsid w:val="00571232"/>
    <w:rsid w:val="00571345"/>
    <w:rsid w:val="0057178F"/>
    <w:rsid w:val="00571850"/>
    <w:rsid w:val="00571EDA"/>
    <w:rsid w:val="005726A4"/>
    <w:rsid w:val="005730E5"/>
    <w:rsid w:val="00573B5B"/>
    <w:rsid w:val="00573D35"/>
    <w:rsid w:val="005754C3"/>
    <w:rsid w:val="005759B9"/>
    <w:rsid w:val="00575B9E"/>
    <w:rsid w:val="005760D3"/>
    <w:rsid w:val="005761E3"/>
    <w:rsid w:val="00576781"/>
    <w:rsid w:val="005767C3"/>
    <w:rsid w:val="00576A77"/>
    <w:rsid w:val="00577A80"/>
    <w:rsid w:val="00577B47"/>
    <w:rsid w:val="00577EAF"/>
    <w:rsid w:val="00580658"/>
    <w:rsid w:val="0058074B"/>
    <w:rsid w:val="00581697"/>
    <w:rsid w:val="00581907"/>
    <w:rsid w:val="00581E62"/>
    <w:rsid w:val="00582CB4"/>
    <w:rsid w:val="00582E45"/>
    <w:rsid w:val="00584210"/>
    <w:rsid w:val="005844E2"/>
    <w:rsid w:val="005845E2"/>
    <w:rsid w:val="005847DA"/>
    <w:rsid w:val="0058513F"/>
    <w:rsid w:val="00585929"/>
    <w:rsid w:val="00586675"/>
    <w:rsid w:val="00586688"/>
    <w:rsid w:val="00586EF0"/>
    <w:rsid w:val="00587135"/>
    <w:rsid w:val="005876C0"/>
    <w:rsid w:val="00587943"/>
    <w:rsid w:val="00590275"/>
    <w:rsid w:val="00590844"/>
    <w:rsid w:val="005909D1"/>
    <w:rsid w:val="00591148"/>
    <w:rsid w:val="00591379"/>
    <w:rsid w:val="0059147D"/>
    <w:rsid w:val="0059159A"/>
    <w:rsid w:val="0059178F"/>
    <w:rsid w:val="00591B5A"/>
    <w:rsid w:val="00591B64"/>
    <w:rsid w:val="00591BB4"/>
    <w:rsid w:val="00591F4E"/>
    <w:rsid w:val="005928CE"/>
    <w:rsid w:val="00592C5C"/>
    <w:rsid w:val="00592F36"/>
    <w:rsid w:val="00593CFA"/>
    <w:rsid w:val="00593FF2"/>
    <w:rsid w:val="00594350"/>
    <w:rsid w:val="005943EB"/>
    <w:rsid w:val="00595799"/>
    <w:rsid w:val="00595A21"/>
    <w:rsid w:val="00596F0B"/>
    <w:rsid w:val="005971D7"/>
    <w:rsid w:val="0059739E"/>
    <w:rsid w:val="005975DE"/>
    <w:rsid w:val="00597666"/>
    <w:rsid w:val="005977A1"/>
    <w:rsid w:val="005A06C8"/>
    <w:rsid w:val="005A1CA5"/>
    <w:rsid w:val="005A1DC6"/>
    <w:rsid w:val="005A2C0D"/>
    <w:rsid w:val="005A3C91"/>
    <w:rsid w:val="005A46BA"/>
    <w:rsid w:val="005A471E"/>
    <w:rsid w:val="005A4748"/>
    <w:rsid w:val="005A482E"/>
    <w:rsid w:val="005A4832"/>
    <w:rsid w:val="005A4B92"/>
    <w:rsid w:val="005A5204"/>
    <w:rsid w:val="005A5360"/>
    <w:rsid w:val="005A6379"/>
    <w:rsid w:val="005A6ADE"/>
    <w:rsid w:val="005B05FA"/>
    <w:rsid w:val="005B09B6"/>
    <w:rsid w:val="005B0F77"/>
    <w:rsid w:val="005B13AD"/>
    <w:rsid w:val="005B1B0E"/>
    <w:rsid w:val="005B2217"/>
    <w:rsid w:val="005B3241"/>
    <w:rsid w:val="005B3313"/>
    <w:rsid w:val="005B34E6"/>
    <w:rsid w:val="005B443D"/>
    <w:rsid w:val="005B5079"/>
    <w:rsid w:val="005B598B"/>
    <w:rsid w:val="005B5CBD"/>
    <w:rsid w:val="005B5F7D"/>
    <w:rsid w:val="005B620B"/>
    <w:rsid w:val="005B624B"/>
    <w:rsid w:val="005B625B"/>
    <w:rsid w:val="005B6285"/>
    <w:rsid w:val="005B668E"/>
    <w:rsid w:val="005B6DCB"/>
    <w:rsid w:val="005B7A59"/>
    <w:rsid w:val="005C00AB"/>
    <w:rsid w:val="005C04A4"/>
    <w:rsid w:val="005C04C3"/>
    <w:rsid w:val="005C0C60"/>
    <w:rsid w:val="005C1CD9"/>
    <w:rsid w:val="005C1F2B"/>
    <w:rsid w:val="005C2480"/>
    <w:rsid w:val="005C2FC4"/>
    <w:rsid w:val="005C3372"/>
    <w:rsid w:val="005C4DB1"/>
    <w:rsid w:val="005C5173"/>
    <w:rsid w:val="005C5A63"/>
    <w:rsid w:val="005C677C"/>
    <w:rsid w:val="005C6B11"/>
    <w:rsid w:val="005C6B8B"/>
    <w:rsid w:val="005C767A"/>
    <w:rsid w:val="005C77B4"/>
    <w:rsid w:val="005D04D3"/>
    <w:rsid w:val="005D0604"/>
    <w:rsid w:val="005D065B"/>
    <w:rsid w:val="005D19CD"/>
    <w:rsid w:val="005D1A4D"/>
    <w:rsid w:val="005D259D"/>
    <w:rsid w:val="005D2F47"/>
    <w:rsid w:val="005D2FE9"/>
    <w:rsid w:val="005D39C5"/>
    <w:rsid w:val="005D3DF8"/>
    <w:rsid w:val="005D42E7"/>
    <w:rsid w:val="005D5097"/>
    <w:rsid w:val="005D5400"/>
    <w:rsid w:val="005D5821"/>
    <w:rsid w:val="005D6106"/>
    <w:rsid w:val="005D64EF"/>
    <w:rsid w:val="005D6924"/>
    <w:rsid w:val="005D6B08"/>
    <w:rsid w:val="005D6E04"/>
    <w:rsid w:val="005D72A7"/>
    <w:rsid w:val="005D7DCD"/>
    <w:rsid w:val="005E0F69"/>
    <w:rsid w:val="005E13B3"/>
    <w:rsid w:val="005E1E56"/>
    <w:rsid w:val="005E25DD"/>
    <w:rsid w:val="005E2E82"/>
    <w:rsid w:val="005E387C"/>
    <w:rsid w:val="005E3882"/>
    <w:rsid w:val="005E3AAA"/>
    <w:rsid w:val="005E41E7"/>
    <w:rsid w:val="005E448A"/>
    <w:rsid w:val="005E49AA"/>
    <w:rsid w:val="005E4B3F"/>
    <w:rsid w:val="005E56DB"/>
    <w:rsid w:val="005E5DC8"/>
    <w:rsid w:val="005E6089"/>
    <w:rsid w:val="005E7055"/>
    <w:rsid w:val="005E7277"/>
    <w:rsid w:val="005E7768"/>
    <w:rsid w:val="005F0830"/>
    <w:rsid w:val="005F0D81"/>
    <w:rsid w:val="005F1669"/>
    <w:rsid w:val="005F1922"/>
    <w:rsid w:val="005F1A95"/>
    <w:rsid w:val="005F1E3F"/>
    <w:rsid w:val="005F1F0C"/>
    <w:rsid w:val="005F21B6"/>
    <w:rsid w:val="005F3223"/>
    <w:rsid w:val="005F3FFA"/>
    <w:rsid w:val="005F45F2"/>
    <w:rsid w:val="005F4D6D"/>
    <w:rsid w:val="005F5294"/>
    <w:rsid w:val="005F56B9"/>
    <w:rsid w:val="005F5E28"/>
    <w:rsid w:val="005F5EDA"/>
    <w:rsid w:val="005F64D0"/>
    <w:rsid w:val="005F6989"/>
    <w:rsid w:val="00600DC5"/>
    <w:rsid w:val="00601792"/>
    <w:rsid w:val="00601802"/>
    <w:rsid w:val="0060241E"/>
    <w:rsid w:val="0060287A"/>
    <w:rsid w:val="006028D6"/>
    <w:rsid w:val="00603C64"/>
    <w:rsid w:val="00605BCC"/>
    <w:rsid w:val="00605C37"/>
    <w:rsid w:val="0060604B"/>
    <w:rsid w:val="006078C3"/>
    <w:rsid w:val="006103B8"/>
    <w:rsid w:val="00610964"/>
    <w:rsid w:val="00610999"/>
    <w:rsid w:val="00610A95"/>
    <w:rsid w:val="00610E86"/>
    <w:rsid w:val="006114DE"/>
    <w:rsid w:val="0061162A"/>
    <w:rsid w:val="00612B2D"/>
    <w:rsid w:val="00613634"/>
    <w:rsid w:val="006137C0"/>
    <w:rsid w:val="006139F2"/>
    <w:rsid w:val="00613B03"/>
    <w:rsid w:val="00614DA3"/>
    <w:rsid w:val="00615AEC"/>
    <w:rsid w:val="0061701F"/>
    <w:rsid w:val="0061713D"/>
    <w:rsid w:val="006173A1"/>
    <w:rsid w:val="006205C4"/>
    <w:rsid w:val="00621BFA"/>
    <w:rsid w:val="00622015"/>
    <w:rsid w:val="00622695"/>
    <w:rsid w:val="006228EA"/>
    <w:rsid w:val="006229FB"/>
    <w:rsid w:val="00623151"/>
    <w:rsid w:val="00623513"/>
    <w:rsid w:val="00623E0F"/>
    <w:rsid w:val="006245D5"/>
    <w:rsid w:val="00624E42"/>
    <w:rsid w:val="00624EEC"/>
    <w:rsid w:val="0062505C"/>
    <w:rsid w:val="00625476"/>
    <w:rsid w:val="006256CA"/>
    <w:rsid w:val="00625F1F"/>
    <w:rsid w:val="006261ED"/>
    <w:rsid w:val="006268CA"/>
    <w:rsid w:val="00626FD3"/>
    <w:rsid w:val="00630A59"/>
    <w:rsid w:val="00630F83"/>
    <w:rsid w:val="00631C0D"/>
    <w:rsid w:val="00631E30"/>
    <w:rsid w:val="006322EA"/>
    <w:rsid w:val="0063289E"/>
    <w:rsid w:val="006334FE"/>
    <w:rsid w:val="00633CBD"/>
    <w:rsid w:val="00633E03"/>
    <w:rsid w:val="0063523B"/>
    <w:rsid w:val="006353D6"/>
    <w:rsid w:val="00635D37"/>
    <w:rsid w:val="006364F5"/>
    <w:rsid w:val="006369F1"/>
    <w:rsid w:val="00636AE7"/>
    <w:rsid w:val="006372D1"/>
    <w:rsid w:val="00637613"/>
    <w:rsid w:val="006376B4"/>
    <w:rsid w:val="00637D3E"/>
    <w:rsid w:val="00641524"/>
    <w:rsid w:val="00641656"/>
    <w:rsid w:val="00641F5B"/>
    <w:rsid w:val="00642588"/>
    <w:rsid w:val="00642A3D"/>
    <w:rsid w:val="00642C6F"/>
    <w:rsid w:val="00643138"/>
    <w:rsid w:val="006433D6"/>
    <w:rsid w:val="006434C6"/>
    <w:rsid w:val="00643E02"/>
    <w:rsid w:val="00644159"/>
    <w:rsid w:val="00644782"/>
    <w:rsid w:val="006449E8"/>
    <w:rsid w:val="0064504B"/>
    <w:rsid w:val="006459A9"/>
    <w:rsid w:val="006460EE"/>
    <w:rsid w:val="00646839"/>
    <w:rsid w:val="00646E61"/>
    <w:rsid w:val="00647C62"/>
    <w:rsid w:val="00647D55"/>
    <w:rsid w:val="00647D99"/>
    <w:rsid w:val="00647F1C"/>
    <w:rsid w:val="006505B1"/>
    <w:rsid w:val="00651427"/>
    <w:rsid w:val="0065197B"/>
    <w:rsid w:val="00652617"/>
    <w:rsid w:val="0065299C"/>
    <w:rsid w:val="00652EDE"/>
    <w:rsid w:val="00653495"/>
    <w:rsid w:val="006539BA"/>
    <w:rsid w:val="00653B83"/>
    <w:rsid w:val="00653BE1"/>
    <w:rsid w:val="00654150"/>
    <w:rsid w:val="006541A3"/>
    <w:rsid w:val="00654C38"/>
    <w:rsid w:val="00655138"/>
    <w:rsid w:val="00655A2D"/>
    <w:rsid w:val="00655A68"/>
    <w:rsid w:val="00655DDF"/>
    <w:rsid w:val="00655E84"/>
    <w:rsid w:val="00655E9F"/>
    <w:rsid w:val="00656BE3"/>
    <w:rsid w:val="00657199"/>
    <w:rsid w:val="00657D54"/>
    <w:rsid w:val="00661639"/>
    <w:rsid w:val="00661960"/>
    <w:rsid w:val="00661E08"/>
    <w:rsid w:val="00662F9E"/>
    <w:rsid w:val="00663232"/>
    <w:rsid w:val="0066370C"/>
    <w:rsid w:val="00663878"/>
    <w:rsid w:val="0066391F"/>
    <w:rsid w:val="00663BED"/>
    <w:rsid w:val="00663F35"/>
    <w:rsid w:val="006640BF"/>
    <w:rsid w:val="00664209"/>
    <w:rsid w:val="0066443E"/>
    <w:rsid w:val="0066500C"/>
    <w:rsid w:val="006656C0"/>
    <w:rsid w:val="00666798"/>
    <w:rsid w:val="0066698A"/>
    <w:rsid w:val="00666FE7"/>
    <w:rsid w:val="00667054"/>
    <w:rsid w:val="00667C9D"/>
    <w:rsid w:val="0067173D"/>
    <w:rsid w:val="00671C85"/>
    <w:rsid w:val="0067254A"/>
    <w:rsid w:val="006726D6"/>
    <w:rsid w:val="00672810"/>
    <w:rsid w:val="0067311D"/>
    <w:rsid w:val="00673684"/>
    <w:rsid w:val="0067382E"/>
    <w:rsid w:val="00673B74"/>
    <w:rsid w:val="0067419A"/>
    <w:rsid w:val="006741ED"/>
    <w:rsid w:val="00674524"/>
    <w:rsid w:val="00674576"/>
    <w:rsid w:val="00674784"/>
    <w:rsid w:val="006758E2"/>
    <w:rsid w:val="0067652B"/>
    <w:rsid w:val="00676F72"/>
    <w:rsid w:val="00677516"/>
    <w:rsid w:val="00677800"/>
    <w:rsid w:val="00677DA0"/>
    <w:rsid w:val="00677DB4"/>
    <w:rsid w:val="00677F16"/>
    <w:rsid w:val="0068006E"/>
    <w:rsid w:val="006803C6"/>
    <w:rsid w:val="00680852"/>
    <w:rsid w:val="00680D29"/>
    <w:rsid w:val="00680DA9"/>
    <w:rsid w:val="006810E9"/>
    <w:rsid w:val="00681730"/>
    <w:rsid w:val="006818BF"/>
    <w:rsid w:val="00681BD8"/>
    <w:rsid w:val="00681DB4"/>
    <w:rsid w:val="0068219A"/>
    <w:rsid w:val="0068325D"/>
    <w:rsid w:val="00683301"/>
    <w:rsid w:val="006835B7"/>
    <w:rsid w:val="00683B36"/>
    <w:rsid w:val="006841E2"/>
    <w:rsid w:val="00684839"/>
    <w:rsid w:val="00684B43"/>
    <w:rsid w:val="00684C16"/>
    <w:rsid w:val="00684DA2"/>
    <w:rsid w:val="00684EC8"/>
    <w:rsid w:val="006856E5"/>
    <w:rsid w:val="0068611C"/>
    <w:rsid w:val="0068627F"/>
    <w:rsid w:val="00686ACE"/>
    <w:rsid w:val="00686BDC"/>
    <w:rsid w:val="00686C22"/>
    <w:rsid w:val="00687004"/>
    <w:rsid w:val="006908C4"/>
    <w:rsid w:val="00691C66"/>
    <w:rsid w:val="006924CD"/>
    <w:rsid w:val="006927B7"/>
    <w:rsid w:val="00692AB2"/>
    <w:rsid w:val="00692BB9"/>
    <w:rsid w:val="00692DE5"/>
    <w:rsid w:val="006931D2"/>
    <w:rsid w:val="0069324F"/>
    <w:rsid w:val="0069391C"/>
    <w:rsid w:val="00694006"/>
    <w:rsid w:val="0069498E"/>
    <w:rsid w:val="006952F8"/>
    <w:rsid w:val="00695462"/>
    <w:rsid w:val="0069550F"/>
    <w:rsid w:val="0069604A"/>
    <w:rsid w:val="00696A44"/>
    <w:rsid w:val="00696FFB"/>
    <w:rsid w:val="00697031"/>
    <w:rsid w:val="00697104"/>
    <w:rsid w:val="006971BD"/>
    <w:rsid w:val="006A0715"/>
    <w:rsid w:val="006A1055"/>
    <w:rsid w:val="006A10E6"/>
    <w:rsid w:val="006A1623"/>
    <w:rsid w:val="006A1629"/>
    <w:rsid w:val="006A27E9"/>
    <w:rsid w:val="006A2965"/>
    <w:rsid w:val="006A4268"/>
    <w:rsid w:val="006A52CC"/>
    <w:rsid w:val="006A6126"/>
    <w:rsid w:val="006A6E4F"/>
    <w:rsid w:val="006A7B73"/>
    <w:rsid w:val="006A7C55"/>
    <w:rsid w:val="006A7D13"/>
    <w:rsid w:val="006A7F40"/>
    <w:rsid w:val="006B071C"/>
    <w:rsid w:val="006B0E4F"/>
    <w:rsid w:val="006B15D5"/>
    <w:rsid w:val="006B170A"/>
    <w:rsid w:val="006B18D3"/>
    <w:rsid w:val="006B20A5"/>
    <w:rsid w:val="006B2403"/>
    <w:rsid w:val="006B249D"/>
    <w:rsid w:val="006B288D"/>
    <w:rsid w:val="006B2C44"/>
    <w:rsid w:val="006B33E2"/>
    <w:rsid w:val="006B3824"/>
    <w:rsid w:val="006B4097"/>
    <w:rsid w:val="006B464E"/>
    <w:rsid w:val="006B5870"/>
    <w:rsid w:val="006B5B99"/>
    <w:rsid w:val="006B5E85"/>
    <w:rsid w:val="006B5EA2"/>
    <w:rsid w:val="006B619A"/>
    <w:rsid w:val="006B6C31"/>
    <w:rsid w:val="006B6D1A"/>
    <w:rsid w:val="006B764F"/>
    <w:rsid w:val="006C02A0"/>
    <w:rsid w:val="006C02E2"/>
    <w:rsid w:val="006C070A"/>
    <w:rsid w:val="006C099A"/>
    <w:rsid w:val="006C1563"/>
    <w:rsid w:val="006C1782"/>
    <w:rsid w:val="006C1890"/>
    <w:rsid w:val="006C207D"/>
    <w:rsid w:val="006C21E6"/>
    <w:rsid w:val="006C239D"/>
    <w:rsid w:val="006C24AB"/>
    <w:rsid w:val="006C3215"/>
    <w:rsid w:val="006C3552"/>
    <w:rsid w:val="006C36B4"/>
    <w:rsid w:val="006C39E4"/>
    <w:rsid w:val="006C3CF3"/>
    <w:rsid w:val="006C3FAD"/>
    <w:rsid w:val="006C4550"/>
    <w:rsid w:val="006C487D"/>
    <w:rsid w:val="006C5857"/>
    <w:rsid w:val="006C598D"/>
    <w:rsid w:val="006C5C58"/>
    <w:rsid w:val="006C5F4D"/>
    <w:rsid w:val="006C6429"/>
    <w:rsid w:val="006C6D8C"/>
    <w:rsid w:val="006C6DD3"/>
    <w:rsid w:val="006C6E43"/>
    <w:rsid w:val="006C7523"/>
    <w:rsid w:val="006C75C0"/>
    <w:rsid w:val="006C7800"/>
    <w:rsid w:val="006C793B"/>
    <w:rsid w:val="006C7BF9"/>
    <w:rsid w:val="006D012B"/>
    <w:rsid w:val="006D023F"/>
    <w:rsid w:val="006D03C0"/>
    <w:rsid w:val="006D1227"/>
    <w:rsid w:val="006D1298"/>
    <w:rsid w:val="006D16AF"/>
    <w:rsid w:val="006D1B09"/>
    <w:rsid w:val="006D1B8A"/>
    <w:rsid w:val="006D2AAA"/>
    <w:rsid w:val="006D2AEE"/>
    <w:rsid w:val="006D2D3E"/>
    <w:rsid w:val="006D30F4"/>
    <w:rsid w:val="006D39BD"/>
    <w:rsid w:val="006D3D8D"/>
    <w:rsid w:val="006D4D27"/>
    <w:rsid w:val="006D4F8D"/>
    <w:rsid w:val="006D520D"/>
    <w:rsid w:val="006D5211"/>
    <w:rsid w:val="006D5758"/>
    <w:rsid w:val="006D59B3"/>
    <w:rsid w:val="006D5BD9"/>
    <w:rsid w:val="006D6047"/>
    <w:rsid w:val="006D6FD5"/>
    <w:rsid w:val="006D7C8D"/>
    <w:rsid w:val="006D7CF4"/>
    <w:rsid w:val="006E04CD"/>
    <w:rsid w:val="006E06A5"/>
    <w:rsid w:val="006E0E00"/>
    <w:rsid w:val="006E20B0"/>
    <w:rsid w:val="006E3035"/>
    <w:rsid w:val="006E3495"/>
    <w:rsid w:val="006E3E6F"/>
    <w:rsid w:val="006E412D"/>
    <w:rsid w:val="006E507A"/>
    <w:rsid w:val="006E5089"/>
    <w:rsid w:val="006E576C"/>
    <w:rsid w:val="006E5FE3"/>
    <w:rsid w:val="006E6100"/>
    <w:rsid w:val="006E6841"/>
    <w:rsid w:val="006E6871"/>
    <w:rsid w:val="006E7C21"/>
    <w:rsid w:val="006E7CF4"/>
    <w:rsid w:val="006E7F07"/>
    <w:rsid w:val="006F0152"/>
    <w:rsid w:val="006F04D3"/>
    <w:rsid w:val="006F0664"/>
    <w:rsid w:val="006F09B2"/>
    <w:rsid w:val="006F1384"/>
    <w:rsid w:val="006F152B"/>
    <w:rsid w:val="006F1B44"/>
    <w:rsid w:val="006F1D07"/>
    <w:rsid w:val="006F26A0"/>
    <w:rsid w:val="006F2721"/>
    <w:rsid w:val="006F2985"/>
    <w:rsid w:val="006F2C89"/>
    <w:rsid w:val="006F2E1F"/>
    <w:rsid w:val="006F2E4B"/>
    <w:rsid w:val="006F2EF5"/>
    <w:rsid w:val="006F31ED"/>
    <w:rsid w:val="006F37C9"/>
    <w:rsid w:val="006F3A0E"/>
    <w:rsid w:val="006F4726"/>
    <w:rsid w:val="006F47B4"/>
    <w:rsid w:val="006F4909"/>
    <w:rsid w:val="006F4937"/>
    <w:rsid w:val="006F4B9A"/>
    <w:rsid w:val="006F5136"/>
    <w:rsid w:val="006F55AB"/>
    <w:rsid w:val="006F5614"/>
    <w:rsid w:val="006F5E7C"/>
    <w:rsid w:val="006F5E80"/>
    <w:rsid w:val="006F5F79"/>
    <w:rsid w:val="006F6D84"/>
    <w:rsid w:val="006F6E82"/>
    <w:rsid w:val="006F6EDA"/>
    <w:rsid w:val="007007C7"/>
    <w:rsid w:val="00700BA0"/>
    <w:rsid w:val="00700CF2"/>
    <w:rsid w:val="00701165"/>
    <w:rsid w:val="007013B5"/>
    <w:rsid w:val="00701593"/>
    <w:rsid w:val="00701D22"/>
    <w:rsid w:val="0070221D"/>
    <w:rsid w:val="0070226C"/>
    <w:rsid w:val="00702824"/>
    <w:rsid w:val="00702973"/>
    <w:rsid w:val="00702F55"/>
    <w:rsid w:val="00702FB3"/>
    <w:rsid w:val="007038D9"/>
    <w:rsid w:val="00703FD4"/>
    <w:rsid w:val="007044C9"/>
    <w:rsid w:val="0070461F"/>
    <w:rsid w:val="00704D6E"/>
    <w:rsid w:val="00705205"/>
    <w:rsid w:val="00705659"/>
    <w:rsid w:val="00705C45"/>
    <w:rsid w:val="00706271"/>
    <w:rsid w:val="0070632F"/>
    <w:rsid w:val="00706430"/>
    <w:rsid w:val="00706519"/>
    <w:rsid w:val="00707743"/>
    <w:rsid w:val="00707B8C"/>
    <w:rsid w:val="00710154"/>
    <w:rsid w:val="00711997"/>
    <w:rsid w:val="007121A4"/>
    <w:rsid w:val="0071281A"/>
    <w:rsid w:val="00712A56"/>
    <w:rsid w:val="00712E54"/>
    <w:rsid w:val="007130CD"/>
    <w:rsid w:val="00713E8B"/>
    <w:rsid w:val="00713F36"/>
    <w:rsid w:val="0071418A"/>
    <w:rsid w:val="00714848"/>
    <w:rsid w:val="00714D07"/>
    <w:rsid w:val="00715703"/>
    <w:rsid w:val="0071655C"/>
    <w:rsid w:val="007168BC"/>
    <w:rsid w:val="00716BA3"/>
    <w:rsid w:val="00716DFB"/>
    <w:rsid w:val="00716E5E"/>
    <w:rsid w:val="007176BF"/>
    <w:rsid w:val="007177C8"/>
    <w:rsid w:val="00717C51"/>
    <w:rsid w:val="00717DC0"/>
    <w:rsid w:val="00720335"/>
    <w:rsid w:val="00720A58"/>
    <w:rsid w:val="00720F15"/>
    <w:rsid w:val="007210D1"/>
    <w:rsid w:val="00721143"/>
    <w:rsid w:val="007211CA"/>
    <w:rsid w:val="007214E9"/>
    <w:rsid w:val="00721A78"/>
    <w:rsid w:val="00721A8A"/>
    <w:rsid w:val="00722135"/>
    <w:rsid w:val="00722CA9"/>
    <w:rsid w:val="00722E42"/>
    <w:rsid w:val="007236B4"/>
    <w:rsid w:val="00723FAB"/>
    <w:rsid w:val="0072413B"/>
    <w:rsid w:val="0072542B"/>
    <w:rsid w:val="00725840"/>
    <w:rsid w:val="00725A6E"/>
    <w:rsid w:val="00726175"/>
    <w:rsid w:val="007262E1"/>
    <w:rsid w:val="0072635E"/>
    <w:rsid w:val="00726820"/>
    <w:rsid w:val="00727477"/>
    <w:rsid w:val="007277E9"/>
    <w:rsid w:val="007304DF"/>
    <w:rsid w:val="007306DF"/>
    <w:rsid w:val="0073225B"/>
    <w:rsid w:val="0073236C"/>
    <w:rsid w:val="007323FD"/>
    <w:rsid w:val="00732740"/>
    <w:rsid w:val="007328E0"/>
    <w:rsid w:val="00732985"/>
    <w:rsid w:val="00732B16"/>
    <w:rsid w:val="007333BF"/>
    <w:rsid w:val="0073358D"/>
    <w:rsid w:val="00733676"/>
    <w:rsid w:val="00733B14"/>
    <w:rsid w:val="00733B83"/>
    <w:rsid w:val="0073410D"/>
    <w:rsid w:val="00734355"/>
    <w:rsid w:val="00735046"/>
    <w:rsid w:val="0073533E"/>
    <w:rsid w:val="00735C4F"/>
    <w:rsid w:val="00735D64"/>
    <w:rsid w:val="00736012"/>
    <w:rsid w:val="00736251"/>
    <w:rsid w:val="00736B39"/>
    <w:rsid w:val="00736D58"/>
    <w:rsid w:val="00736F81"/>
    <w:rsid w:val="00737738"/>
    <w:rsid w:val="007377C1"/>
    <w:rsid w:val="007379A0"/>
    <w:rsid w:val="00737CF6"/>
    <w:rsid w:val="00740664"/>
    <w:rsid w:val="00741078"/>
    <w:rsid w:val="00741CFB"/>
    <w:rsid w:val="0074277B"/>
    <w:rsid w:val="00742D1F"/>
    <w:rsid w:val="00742F19"/>
    <w:rsid w:val="00742FCC"/>
    <w:rsid w:val="00743457"/>
    <w:rsid w:val="0074371E"/>
    <w:rsid w:val="007438D8"/>
    <w:rsid w:val="0074393C"/>
    <w:rsid w:val="00743C35"/>
    <w:rsid w:val="00743EDC"/>
    <w:rsid w:val="007441EA"/>
    <w:rsid w:val="0074457C"/>
    <w:rsid w:val="00744B6A"/>
    <w:rsid w:val="00744FF0"/>
    <w:rsid w:val="007451B2"/>
    <w:rsid w:val="00745640"/>
    <w:rsid w:val="00745F03"/>
    <w:rsid w:val="00745F0A"/>
    <w:rsid w:val="00745F3D"/>
    <w:rsid w:val="00746066"/>
    <w:rsid w:val="00746B8E"/>
    <w:rsid w:val="00747361"/>
    <w:rsid w:val="0074770F"/>
    <w:rsid w:val="00747851"/>
    <w:rsid w:val="00747FF9"/>
    <w:rsid w:val="007500B9"/>
    <w:rsid w:val="007503CC"/>
    <w:rsid w:val="007504A3"/>
    <w:rsid w:val="00750527"/>
    <w:rsid w:val="00750ED6"/>
    <w:rsid w:val="0075122E"/>
    <w:rsid w:val="007529DA"/>
    <w:rsid w:val="00752FD3"/>
    <w:rsid w:val="007533AC"/>
    <w:rsid w:val="00754008"/>
    <w:rsid w:val="00754A64"/>
    <w:rsid w:val="00754AA8"/>
    <w:rsid w:val="00754B52"/>
    <w:rsid w:val="00754C7C"/>
    <w:rsid w:val="007567AE"/>
    <w:rsid w:val="00756CB0"/>
    <w:rsid w:val="00756DF0"/>
    <w:rsid w:val="00757521"/>
    <w:rsid w:val="0076018A"/>
    <w:rsid w:val="007611DC"/>
    <w:rsid w:val="00761768"/>
    <w:rsid w:val="00763147"/>
    <w:rsid w:val="0076327F"/>
    <w:rsid w:val="007641FB"/>
    <w:rsid w:val="00764794"/>
    <w:rsid w:val="00764F8B"/>
    <w:rsid w:val="007650DD"/>
    <w:rsid w:val="00765596"/>
    <w:rsid w:val="007656C5"/>
    <w:rsid w:val="00766105"/>
    <w:rsid w:val="00766227"/>
    <w:rsid w:val="00766943"/>
    <w:rsid w:val="00766EE0"/>
    <w:rsid w:val="00766F35"/>
    <w:rsid w:val="007678E5"/>
    <w:rsid w:val="007700EB"/>
    <w:rsid w:val="0077073C"/>
    <w:rsid w:val="00770949"/>
    <w:rsid w:val="007712AF"/>
    <w:rsid w:val="0077181E"/>
    <w:rsid w:val="00771F19"/>
    <w:rsid w:val="007724B9"/>
    <w:rsid w:val="007725D6"/>
    <w:rsid w:val="00772ED6"/>
    <w:rsid w:val="00773369"/>
    <w:rsid w:val="00773521"/>
    <w:rsid w:val="0077353F"/>
    <w:rsid w:val="0077420B"/>
    <w:rsid w:val="00774577"/>
    <w:rsid w:val="00774C37"/>
    <w:rsid w:val="00775D4F"/>
    <w:rsid w:val="0077614B"/>
    <w:rsid w:val="007765E9"/>
    <w:rsid w:val="00776DDE"/>
    <w:rsid w:val="00776F23"/>
    <w:rsid w:val="00777A34"/>
    <w:rsid w:val="00777A5A"/>
    <w:rsid w:val="00777D2B"/>
    <w:rsid w:val="00777E59"/>
    <w:rsid w:val="00780658"/>
    <w:rsid w:val="00780E37"/>
    <w:rsid w:val="00780EA6"/>
    <w:rsid w:val="0078133D"/>
    <w:rsid w:val="007814ED"/>
    <w:rsid w:val="00781793"/>
    <w:rsid w:val="00781DFA"/>
    <w:rsid w:val="00782830"/>
    <w:rsid w:val="00782EC9"/>
    <w:rsid w:val="0078324B"/>
    <w:rsid w:val="00783312"/>
    <w:rsid w:val="00783484"/>
    <w:rsid w:val="00783502"/>
    <w:rsid w:val="00783A32"/>
    <w:rsid w:val="00783D0A"/>
    <w:rsid w:val="00783FC0"/>
    <w:rsid w:val="00784081"/>
    <w:rsid w:val="00784366"/>
    <w:rsid w:val="007846CA"/>
    <w:rsid w:val="007847E5"/>
    <w:rsid w:val="00784877"/>
    <w:rsid w:val="0078558C"/>
    <w:rsid w:val="007855CF"/>
    <w:rsid w:val="00785AD9"/>
    <w:rsid w:val="00786597"/>
    <w:rsid w:val="00786D5F"/>
    <w:rsid w:val="00786F2E"/>
    <w:rsid w:val="00787711"/>
    <w:rsid w:val="00787BB9"/>
    <w:rsid w:val="00787CF1"/>
    <w:rsid w:val="00790003"/>
    <w:rsid w:val="00790B76"/>
    <w:rsid w:val="00790CD3"/>
    <w:rsid w:val="0079101E"/>
    <w:rsid w:val="007915F1"/>
    <w:rsid w:val="00791B6A"/>
    <w:rsid w:val="00791ED5"/>
    <w:rsid w:val="00792130"/>
    <w:rsid w:val="00792965"/>
    <w:rsid w:val="00792D25"/>
    <w:rsid w:val="00793DC8"/>
    <w:rsid w:val="0079586F"/>
    <w:rsid w:val="00796103"/>
    <w:rsid w:val="0079681B"/>
    <w:rsid w:val="007972D8"/>
    <w:rsid w:val="0079741A"/>
    <w:rsid w:val="00797953"/>
    <w:rsid w:val="00797F28"/>
    <w:rsid w:val="007A0A8A"/>
    <w:rsid w:val="007A0BA5"/>
    <w:rsid w:val="007A0C37"/>
    <w:rsid w:val="007A20B3"/>
    <w:rsid w:val="007A21F5"/>
    <w:rsid w:val="007A2415"/>
    <w:rsid w:val="007A2AB1"/>
    <w:rsid w:val="007A3152"/>
    <w:rsid w:val="007A3221"/>
    <w:rsid w:val="007A33F9"/>
    <w:rsid w:val="007A3A11"/>
    <w:rsid w:val="007A3AAF"/>
    <w:rsid w:val="007A4AF2"/>
    <w:rsid w:val="007A4DC5"/>
    <w:rsid w:val="007A5443"/>
    <w:rsid w:val="007A561D"/>
    <w:rsid w:val="007A6214"/>
    <w:rsid w:val="007A69F8"/>
    <w:rsid w:val="007A725A"/>
    <w:rsid w:val="007A7D99"/>
    <w:rsid w:val="007B01C6"/>
    <w:rsid w:val="007B0E36"/>
    <w:rsid w:val="007B0FAA"/>
    <w:rsid w:val="007B150E"/>
    <w:rsid w:val="007B213B"/>
    <w:rsid w:val="007B2256"/>
    <w:rsid w:val="007B276D"/>
    <w:rsid w:val="007B2817"/>
    <w:rsid w:val="007B2959"/>
    <w:rsid w:val="007B2A86"/>
    <w:rsid w:val="007B2BAE"/>
    <w:rsid w:val="007B3515"/>
    <w:rsid w:val="007B3921"/>
    <w:rsid w:val="007B46E9"/>
    <w:rsid w:val="007B4C5C"/>
    <w:rsid w:val="007B4F41"/>
    <w:rsid w:val="007B501B"/>
    <w:rsid w:val="007B5197"/>
    <w:rsid w:val="007B5451"/>
    <w:rsid w:val="007B72DD"/>
    <w:rsid w:val="007B74C1"/>
    <w:rsid w:val="007B7C66"/>
    <w:rsid w:val="007C03FF"/>
    <w:rsid w:val="007C05A3"/>
    <w:rsid w:val="007C08C1"/>
    <w:rsid w:val="007C160F"/>
    <w:rsid w:val="007C181C"/>
    <w:rsid w:val="007C1C10"/>
    <w:rsid w:val="007C1D89"/>
    <w:rsid w:val="007C2462"/>
    <w:rsid w:val="007C28FF"/>
    <w:rsid w:val="007C2D77"/>
    <w:rsid w:val="007C2FFA"/>
    <w:rsid w:val="007C3929"/>
    <w:rsid w:val="007C3C0E"/>
    <w:rsid w:val="007C4104"/>
    <w:rsid w:val="007C42BA"/>
    <w:rsid w:val="007C43C8"/>
    <w:rsid w:val="007C4EDC"/>
    <w:rsid w:val="007C4EFA"/>
    <w:rsid w:val="007C5896"/>
    <w:rsid w:val="007C5B18"/>
    <w:rsid w:val="007C5EFD"/>
    <w:rsid w:val="007C6E73"/>
    <w:rsid w:val="007C6FD3"/>
    <w:rsid w:val="007C720E"/>
    <w:rsid w:val="007C730A"/>
    <w:rsid w:val="007C7B54"/>
    <w:rsid w:val="007D0490"/>
    <w:rsid w:val="007D0998"/>
    <w:rsid w:val="007D09A4"/>
    <w:rsid w:val="007D114E"/>
    <w:rsid w:val="007D127E"/>
    <w:rsid w:val="007D1581"/>
    <w:rsid w:val="007D1971"/>
    <w:rsid w:val="007D1CFA"/>
    <w:rsid w:val="007D1F54"/>
    <w:rsid w:val="007D206A"/>
    <w:rsid w:val="007D2266"/>
    <w:rsid w:val="007D24E3"/>
    <w:rsid w:val="007D3718"/>
    <w:rsid w:val="007D3E45"/>
    <w:rsid w:val="007D4774"/>
    <w:rsid w:val="007D47CF"/>
    <w:rsid w:val="007D4C2F"/>
    <w:rsid w:val="007D551E"/>
    <w:rsid w:val="007D556B"/>
    <w:rsid w:val="007D5727"/>
    <w:rsid w:val="007D601F"/>
    <w:rsid w:val="007D6051"/>
    <w:rsid w:val="007D6189"/>
    <w:rsid w:val="007D67FD"/>
    <w:rsid w:val="007D684C"/>
    <w:rsid w:val="007D6AE5"/>
    <w:rsid w:val="007D7442"/>
    <w:rsid w:val="007D75BE"/>
    <w:rsid w:val="007D7D0D"/>
    <w:rsid w:val="007E0671"/>
    <w:rsid w:val="007E0ECF"/>
    <w:rsid w:val="007E15FE"/>
    <w:rsid w:val="007E1DDD"/>
    <w:rsid w:val="007E1F20"/>
    <w:rsid w:val="007E2511"/>
    <w:rsid w:val="007E27DA"/>
    <w:rsid w:val="007E2B1A"/>
    <w:rsid w:val="007E348D"/>
    <w:rsid w:val="007E4154"/>
    <w:rsid w:val="007E4277"/>
    <w:rsid w:val="007E4CAA"/>
    <w:rsid w:val="007E500A"/>
    <w:rsid w:val="007E51F7"/>
    <w:rsid w:val="007E5A19"/>
    <w:rsid w:val="007E5D21"/>
    <w:rsid w:val="007E61F3"/>
    <w:rsid w:val="007E724B"/>
    <w:rsid w:val="007E79F7"/>
    <w:rsid w:val="007E7F95"/>
    <w:rsid w:val="007E9B47"/>
    <w:rsid w:val="007F0341"/>
    <w:rsid w:val="007F0621"/>
    <w:rsid w:val="007F081C"/>
    <w:rsid w:val="007F13BC"/>
    <w:rsid w:val="007F158B"/>
    <w:rsid w:val="007F1948"/>
    <w:rsid w:val="007F1CD3"/>
    <w:rsid w:val="007F20B4"/>
    <w:rsid w:val="007F36D1"/>
    <w:rsid w:val="007F4283"/>
    <w:rsid w:val="007F48E5"/>
    <w:rsid w:val="007F5004"/>
    <w:rsid w:val="007F5283"/>
    <w:rsid w:val="007F5E02"/>
    <w:rsid w:val="007F6138"/>
    <w:rsid w:val="007F6446"/>
    <w:rsid w:val="007F685B"/>
    <w:rsid w:val="007F70C2"/>
    <w:rsid w:val="007F70CB"/>
    <w:rsid w:val="007F7176"/>
    <w:rsid w:val="007F72E0"/>
    <w:rsid w:val="007F75AB"/>
    <w:rsid w:val="007F7E1C"/>
    <w:rsid w:val="00800059"/>
    <w:rsid w:val="008007DC"/>
    <w:rsid w:val="00800998"/>
    <w:rsid w:val="00800B65"/>
    <w:rsid w:val="00801454"/>
    <w:rsid w:val="008015ED"/>
    <w:rsid w:val="008025C3"/>
    <w:rsid w:val="00802BE8"/>
    <w:rsid w:val="00802EB5"/>
    <w:rsid w:val="00803963"/>
    <w:rsid w:val="00803FED"/>
    <w:rsid w:val="00804138"/>
    <w:rsid w:val="00804299"/>
    <w:rsid w:val="00804707"/>
    <w:rsid w:val="0080488B"/>
    <w:rsid w:val="008058C8"/>
    <w:rsid w:val="00806028"/>
    <w:rsid w:val="008062DD"/>
    <w:rsid w:val="00806A25"/>
    <w:rsid w:val="00806AF9"/>
    <w:rsid w:val="00806B46"/>
    <w:rsid w:val="00806E23"/>
    <w:rsid w:val="00806FE0"/>
    <w:rsid w:val="00807FB1"/>
    <w:rsid w:val="008087FA"/>
    <w:rsid w:val="008103CE"/>
    <w:rsid w:val="00810FCD"/>
    <w:rsid w:val="008117F5"/>
    <w:rsid w:val="00811CF1"/>
    <w:rsid w:val="0081274C"/>
    <w:rsid w:val="00812B27"/>
    <w:rsid w:val="00813301"/>
    <w:rsid w:val="00813598"/>
    <w:rsid w:val="00813FA5"/>
    <w:rsid w:val="008142F2"/>
    <w:rsid w:val="00814580"/>
    <w:rsid w:val="00814720"/>
    <w:rsid w:val="0081484F"/>
    <w:rsid w:val="00814E20"/>
    <w:rsid w:val="00814E97"/>
    <w:rsid w:val="00815A88"/>
    <w:rsid w:val="00815C62"/>
    <w:rsid w:val="00815F20"/>
    <w:rsid w:val="0081619E"/>
    <w:rsid w:val="0081696A"/>
    <w:rsid w:val="00816CF1"/>
    <w:rsid w:val="00816E2B"/>
    <w:rsid w:val="00817336"/>
    <w:rsid w:val="00817660"/>
    <w:rsid w:val="00817771"/>
    <w:rsid w:val="0082013A"/>
    <w:rsid w:val="00820436"/>
    <w:rsid w:val="00820762"/>
    <w:rsid w:val="00820AA1"/>
    <w:rsid w:val="00821760"/>
    <w:rsid w:val="008219E4"/>
    <w:rsid w:val="00821BBA"/>
    <w:rsid w:val="00821FA2"/>
    <w:rsid w:val="008229EF"/>
    <w:rsid w:val="00822C9E"/>
    <w:rsid w:val="00823197"/>
    <w:rsid w:val="008237BF"/>
    <w:rsid w:val="0082384F"/>
    <w:rsid w:val="008239D1"/>
    <w:rsid w:val="00823A96"/>
    <w:rsid w:val="00823E91"/>
    <w:rsid w:val="0082440C"/>
    <w:rsid w:val="008248D3"/>
    <w:rsid w:val="00824D65"/>
    <w:rsid w:val="008250ED"/>
    <w:rsid w:val="00825400"/>
    <w:rsid w:val="00825996"/>
    <w:rsid w:val="00826058"/>
    <w:rsid w:val="0082648D"/>
    <w:rsid w:val="008267B8"/>
    <w:rsid w:val="008269C6"/>
    <w:rsid w:val="00826C97"/>
    <w:rsid w:val="00826F65"/>
    <w:rsid w:val="00827B3F"/>
    <w:rsid w:val="00830B2D"/>
    <w:rsid w:val="00830B99"/>
    <w:rsid w:val="00831081"/>
    <w:rsid w:val="00831693"/>
    <w:rsid w:val="00831C31"/>
    <w:rsid w:val="00831C85"/>
    <w:rsid w:val="00831DC4"/>
    <w:rsid w:val="00832298"/>
    <w:rsid w:val="00832615"/>
    <w:rsid w:val="008328FF"/>
    <w:rsid w:val="00832E4B"/>
    <w:rsid w:val="008338D8"/>
    <w:rsid w:val="00833968"/>
    <w:rsid w:val="00833D5D"/>
    <w:rsid w:val="0083471B"/>
    <w:rsid w:val="00834CEC"/>
    <w:rsid w:val="00834FEB"/>
    <w:rsid w:val="0083513D"/>
    <w:rsid w:val="00835529"/>
    <w:rsid w:val="00835A54"/>
    <w:rsid w:val="00835D20"/>
    <w:rsid w:val="008360B2"/>
    <w:rsid w:val="00836526"/>
    <w:rsid w:val="0083655A"/>
    <w:rsid w:val="00836AAB"/>
    <w:rsid w:val="00836DF8"/>
    <w:rsid w:val="008372F4"/>
    <w:rsid w:val="0083759F"/>
    <w:rsid w:val="008377D1"/>
    <w:rsid w:val="008378D6"/>
    <w:rsid w:val="0084032E"/>
    <w:rsid w:val="0084067E"/>
    <w:rsid w:val="00842BAE"/>
    <w:rsid w:val="00842CF0"/>
    <w:rsid w:val="00843C1F"/>
    <w:rsid w:val="00843EC5"/>
    <w:rsid w:val="00844466"/>
    <w:rsid w:val="00844573"/>
    <w:rsid w:val="0084463F"/>
    <w:rsid w:val="00844B16"/>
    <w:rsid w:val="008450B5"/>
    <w:rsid w:val="008455BE"/>
    <w:rsid w:val="00845AFB"/>
    <w:rsid w:val="00845D22"/>
    <w:rsid w:val="008464C8"/>
    <w:rsid w:val="00846636"/>
    <w:rsid w:val="00847466"/>
    <w:rsid w:val="00847767"/>
    <w:rsid w:val="0084796D"/>
    <w:rsid w:val="00850A7C"/>
    <w:rsid w:val="008513DC"/>
    <w:rsid w:val="008519DD"/>
    <w:rsid w:val="00851DEE"/>
    <w:rsid w:val="00852482"/>
    <w:rsid w:val="00852492"/>
    <w:rsid w:val="00852B66"/>
    <w:rsid w:val="00852E17"/>
    <w:rsid w:val="008530F1"/>
    <w:rsid w:val="00853340"/>
    <w:rsid w:val="008545FC"/>
    <w:rsid w:val="00854C33"/>
    <w:rsid w:val="00855504"/>
    <w:rsid w:val="008556EF"/>
    <w:rsid w:val="008557D2"/>
    <w:rsid w:val="00856694"/>
    <w:rsid w:val="008570BE"/>
    <w:rsid w:val="00857DF9"/>
    <w:rsid w:val="008604F6"/>
    <w:rsid w:val="00861BD1"/>
    <w:rsid w:val="00862353"/>
    <w:rsid w:val="008626EB"/>
    <w:rsid w:val="008627F6"/>
    <w:rsid w:val="00862A24"/>
    <w:rsid w:val="00862C35"/>
    <w:rsid w:val="00862EC9"/>
    <w:rsid w:val="00863479"/>
    <w:rsid w:val="00863D46"/>
    <w:rsid w:val="00863EF3"/>
    <w:rsid w:val="00864541"/>
    <w:rsid w:val="008647DA"/>
    <w:rsid w:val="008657D4"/>
    <w:rsid w:val="008658DC"/>
    <w:rsid w:val="00866696"/>
    <w:rsid w:val="00866F77"/>
    <w:rsid w:val="00870447"/>
    <w:rsid w:val="008707F3"/>
    <w:rsid w:val="008708CD"/>
    <w:rsid w:val="00870A09"/>
    <w:rsid w:val="0087132A"/>
    <w:rsid w:val="00871698"/>
    <w:rsid w:val="00873358"/>
    <w:rsid w:val="0087401B"/>
    <w:rsid w:val="008740A0"/>
    <w:rsid w:val="00874125"/>
    <w:rsid w:val="00874202"/>
    <w:rsid w:val="0087422F"/>
    <w:rsid w:val="00874544"/>
    <w:rsid w:val="00874A89"/>
    <w:rsid w:val="008751B9"/>
    <w:rsid w:val="0087575B"/>
    <w:rsid w:val="00875E17"/>
    <w:rsid w:val="008765AC"/>
    <w:rsid w:val="00876901"/>
    <w:rsid w:val="0087702F"/>
    <w:rsid w:val="00877692"/>
    <w:rsid w:val="0087784D"/>
    <w:rsid w:val="0088053D"/>
    <w:rsid w:val="008809A2"/>
    <w:rsid w:val="008811C2"/>
    <w:rsid w:val="008814BB"/>
    <w:rsid w:val="008819EC"/>
    <w:rsid w:val="00882684"/>
    <w:rsid w:val="00883221"/>
    <w:rsid w:val="008837CE"/>
    <w:rsid w:val="0088397F"/>
    <w:rsid w:val="008840B0"/>
    <w:rsid w:val="008841E2"/>
    <w:rsid w:val="008842AF"/>
    <w:rsid w:val="00884AA0"/>
    <w:rsid w:val="00884C27"/>
    <w:rsid w:val="00885141"/>
    <w:rsid w:val="008852FC"/>
    <w:rsid w:val="00885875"/>
    <w:rsid w:val="00885AA8"/>
    <w:rsid w:val="008861D2"/>
    <w:rsid w:val="00886253"/>
    <w:rsid w:val="00886412"/>
    <w:rsid w:val="008866EC"/>
    <w:rsid w:val="008872BD"/>
    <w:rsid w:val="00887674"/>
    <w:rsid w:val="00887C25"/>
    <w:rsid w:val="00887DAD"/>
    <w:rsid w:val="00890198"/>
    <w:rsid w:val="0089059A"/>
    <w:rsid w:val="008906BB"/>
    <w:rsid w:val="0089164C"/>
    <w:rsid w:val="00891B5F"/>
    <w:rsid w:val="00891D20"/>
    <w:rsid w:val="00892821"/>
    <w:rsid w:val="00893083"/>
    <w:rsid w:val="008937BA"/>
    <w:rsid w:val="00893DE2"/>
    <w:rsid w:val="00893E4B"/>
    <w:rsid w:val="00894907"/>
    <w:rsid w:val="0089527C"/>
    <w:rsid w:val="00895492"/>
    <w:rsid w:val="00895ECB"/>
    <w:rsid w:val="00896331"/>
    <w:rsid w:val="00896390"/>
    <w:rsid w:val="0089665C"/>
    <w:rsid w:val="00896F5A"/>
    <w:rsid w:val="008976A7"/>
    <w:rsid w:val="00897E30"/>
    <w:rsid w:val="008A01B6"/>
    <w:rsid w:val="008A04CD"/>
    <w:rsid w:val="008A0534"/>
    <w:rsid w:val="008A0790"/>
    <w:rsid w:val="008A1CA3"/>
    <w:rsid w:val="008A2330"/>
    <w:rsid w:val="008A2858"/>
    <w:rsid w:val="008A28C7"/>
    <w:rsid w:val="008A2935"/>
    <w:rsid w:val="008A30B3"/>
    <w:rsid w:val="008A3261"/>
    <w:rsid w:val="008A3419"/>
    <w:rsid w:val="008A34E4"/>
    <w:rsid w:val="008A3CEC"/>
    <w:rsid w:val="008A40C0"/>
    <w:rsid w:val="008A437E"/>
    <w:rsid w:val="008A4BAD"/>
    <w:rsid w:val="008A4DEB"/>
    <w:rsid w:val="008A5C14"/>
    <w:rsid w:val="008A643E"/>
    <w:rsid w:val="008A73F9"/>
    <w:rsid w:val="008A77F0"/>
    <w:rsid w:val="008B03C6"/>
    <w:rsid w:val="008B08A5"/>
    <w:rsid w:val="008B100C"/>
    <w:rsid w:val="008B104C"/>
    <w:rsid w:val="008B17BB"/>
    <w:rsid w:val="008B1F86"/>
    <w:rsid w:val="008B2816"/>
    <w:rsid w:val="008B2AF9"/>
    <w:rsid w:val="008B30B2"/>
    <w:rsid w:val="008B310E"/>
    <w:rsid w:val="008B3521"/>
    <w:rsid w:val="008B3A77"/>
    <w:rsid w:val="008B454B"/>
    <w:rsid w:val="008B4E25"/>
    <w:rsid w:val="008B563C"/>
    <w:rsid w:val="008B579D"/>
    <w:rsid w:val="008B5CC7"/>
    <w:rsid w:val="008B6303"/>
    <w:rsid w:val="008B6D3A"/>
    <w:rsid w:val="008B6F99"/>
    <w:rsid w:val="008C0052"/>
    <w:rsid w:val="008C0C7D"/>
    <w:rsid w:val="008C12D0"/>
    <w:rsid w:val="008C166D"/>
    <w:rsid w:val="008C173F"/>
    <w:rsid w:val="008C1749"/>
    <w:rsid w:val="008C178E"/>
    <w:rsid w:val="008C2307"/>
    <w:rsid w:val="008C23ED"/>
    <w:rsid w:val="008C26CE"/>
    <w:rsid w:val="008C3126"/>
    <w:rsid w:val="008C33D8"/>
    <w:rsid w:val="008C3760"/>
    <w:rsid w:val="008C3B5A"/>
    <w:rsid w:val="008C3D4C"/>
    <w:rsid w:val="008C4B41"/>
    <w:rsid w:val="008C5321"/>
    <w:rsid w:val="008C5A98"/>
    <w:rsid w:val="008C6191"/>
    <w:rsid w:val="008C6627"/>
    <w:rsid w:val="008C6F2E"/>
    <w:rsid w:val="008C723C"/>
    <w:rsid w:val="008C745F"/>
    <w:rsid w:val="008C7784"/>
    <w:rsid w:val="008C7A56"/>
    <w:rsid w:val="008C956D"/>
    <w:rsid w:val="008D0A40"/>
    <w:rsid w:val="008D105E"/>
    <w:rsid w:val="008D11A9"/>
    <w:rsid w:val="008D11B8"/>
    <w:rsid w:val="008D1E79"/>
    <w:rsid w:val="008D2059"/>
    <w:rsid w:val="008D206F"/>
    <w:rsid w:val="008D2301"/>
    <w:rsid w:val="008D28D7"/>
    <w:rsid w:val="008D31B4"/>
    <w:rsid w:val="008D340E"/>
    <w:rsid w:val="008D3991"/>
    <w:rsid w:val="008D3B16"/>
    <w:rsid w:val="008D3C11"/>
    <w:rsid w:val="008D447D"/>
    <w:rsid w:val="008D46DF"/>
    <w:rsid w:val="008D4F8E"/>
    <w:rsid w:val="008D5224"/>
    <w:rsid w:val="008D62A6"/>
    <w:rsid w:val="008D6FDB"/>
    <w:rsid w:val="008D7574"/>
    <w:rsid w:val="008D7660"/>
    <w:rsid w:val="008D7931"/>
    <w:rsid w:val="008D7D7E"/>
    <w:rsid w:val="008D7E91"/>
    <w:rsid w:val="008E06AB"/>
    <w:rsid w:val="008E0ABD"/>
    <w:rsid w:val="008E0BC1"/>
    <w:rsid w:val="008E0FD2"/>
    <w:rsid w:val="008E1269"/>
    <w:rsid w:val="008E1380"/>
    <w:rsid w:val="008E16DA"/>
    <w:rsid w:val="008E1CC0"/>
    <w:rsid w:val="008E1E35"/>
    <w:rsid w:val="008E1F6D"/>
    <w:rsid w:val="008E25A5"/>
    <w:rsid w:val="008E25D1"/>
    <w:rsid w:val="008E2630"/>
    <w:rsid w:val="008E2D56"/>
    <w:rsid w:val="008E2E8E"/>
    <w:rsid w:val="008E32B1"/>
    <w:rsid w:val="008E341A"/>
    <w:rsid w:val="008E38DA"/>
    <w:rsid w:val="008E391B"/>
    <w:rsid w:val="008E4F36"/>
    <w:rsid w:val="008E52D3"/>
    <w:rsid w:val="008E5332"/>
    <w:rsid w:val="008E5914"/>
    <w:rsid w:val="008E6265"/>
    <w:rsid w:val="008E635E"/>
    <w:rsid w:val="008E6539"/>
    <w:rsid w:val="008E69B0"/>
    <w:rsid w:val="008E6B46"/>
    <w:rsid w:val="008E7318"/>
    <w:rsid w:val="008E7E9A"/>
    <w:rsid w:val="008E7EC4"/>
    <w:rsid w:val="008E7F2F"/>
    <w:rsid w:val="008F0072"/>
    <w:rsid w:val="008F04A7"/>
    <w:rsid w:val="008F073A"/>
    <w:rsid w:val="008F1B07"/>
    <w:rsid w:val="008F2151"/>
    <w:rsid w:val="008F25BC"/>
    <w:rsid w:val="008F2641"/>
    <w:rsid w:val="008F276C"/>
    <w:rsid w:val="008F2EEB"/>
    <w:rsid w:val="008F30A9"/>
    <w:rsid w:val="008F38EF"/>
    <w:rsid w:val="008F3A5A"/>
    <w:rsid w:val="008F3A85"/>
    <w:rsid w:val="008F4121"/>
    <w:rsid w:val="008F421B"/>
    <w:rsid w:val="008F427B"/>
    <w:rsid w:val="008F428F"/>
    <w:rsid w:val="008F472D"/>
    <w:rsid w:val="008F485D"/>
    <w:rsid w:val="008F4A6A"/>
    <w:rsid w:val="008F4E79"/>
    <w:rsid w:val="008F4EC8"/>
    <w:rsid w:val="008F525A"/>
    <w:rsid w:val="008F5CA6"/>
    <w:rsid w:val="008F5CF8"/>
    <w:rsid w:val="008F62E5"/>
    <w:rsid w:val="008F6782"/>
    <w:rsid w:val="008F69D2"/>
    <w:rsid w:val="008F7F66"/>
    <w:rsid w:val="00900732"/>
    <w:rsid w:val="00900A02"/>
    <w:rsid w:val="00900D6F"/>
    <w:rsid w:val="00900FDB"/>
    <w:rsid w:val="00902022"/>
    <w:rsid w:val="009022EC"/>
    <w:rsid w:val="009026AF"/>
    <w:rsid w:val="00902763"/>
    <w:rsid w:val="00903051"/>
    <w:rsid w:val="00903890"/>
    <w:rsid w:val="00903DAD"/>
    <w:rsid w:val="0090409D"/>
    <w:rsid w:val="009040ED"/>
    <w:rsid w:val="009044BA"/>
    <w:rsid w:val="00904533"/>
    <w:rsid w:val="00904722"/>
    <w:rsid w:val="00904872"/>
    <w:rsid w:val="00904A27"/>
    <w:rsid w:val="00905276"/>
    <w:rsid w:val="0090544C"/>
    <w:rsid w:val="00905C0C"/>
    <w:rsid w:val="00906053"/>
    <w:rsid w:val="0090714C"/>
    <w:rsid w:val="00907902"/>
    <w:rsid w:val="00910204"/>
    <w:rsid w:val="00910B26"/>
    <w:rsid w:val="00910FCA"/>
    <w:rsid w:val="0091194D"/>
    <w:rsid w:val="00911A79"/>
    <w:rsid w:val="009124A0"/>
    <w:rsid w:val="009124B2"/>
    <w:rsid w:val="00912779"/>
    <w:rsid w:val="0091283B"/>
    <w:rsid w:val="00912BAA"/>
    <w:rsid w:val="00912EFA"/>
    <w:rsid w:val="00914296"/>
    <w:rsid w:val="00914B02"/>
    <w:rsid w:val="00914F37"/>
    <w:rsid w:val="00915642"/>
    <w:rsid w:val="00916677"/>
    <w:rsid w:val="00916C26"/>
    <w:rsid w:val="00916CB1"/>
    <w:rsid w:val="00917C3F"/>
    <w:rsid w:val="00917C7E"/>
    <w:rsid w:val="009205AE"/>
    <w:rsid w:val="00920852"/>
    <w:rsid w:val="0092098A"/>
    <w:rsid w:val="00921247"/>
    <w:rsid w:val="00921FB3"/>
    <w:rsid w:val="009229E4"/>
    <w:rsid w:val="00923CCA"/>
    <w:rsid w:val="009242EB"/>
    <w:rsid w:val="00924430"/>
    <w:rsid w:val="0092446B"/>
    <w:rsid w:val="009246CC"/>
    <w:rsid w:val="00924ACF"/>
    <w:rsid w:val="00924B05"/>
    <w:rsid w:val="00925D33"/>
    <w:rsid w:val="009261D3"/>
    <w:rsid w:val="00926CB8"/>
    <w:rsid w:val="00927324"/>
    <w:rsid w:val="00927C64"/>
    <w:rsid w:val="00927ED5"/>
    <w:rsid w:val="00927F34"/>
    <w:rsid w:val="00930FEE"/>
    <w:rsid w:val="0093117B"/>
    <w:rsid w:val="00931309"/>
    <w:rsid w:val="00931601"/>
    <w:rsid w:val="00931A0F"/>
    <w:rsid w:val="00931C56"/>
    <w:rsid w:val="00931C81"/>
    <w:rsid w:val="00931D7C"/>
    <w:rsid w:val="0093217D"/>
    <w:rsid w:val="009330D4"/>
    <w:rsid w:val="00933CE7"/>
    <w:rsid w:val="00933E10"/>
    <w:rsid w:val="00934072"/>
    <w:rsid w:val="0093452C"/>
    <w:rsid w:val="009345F4"/>
    <w:rsid w:val="00934BBF"/>
    <w:rsid w:val="00935F61"/>
    <w:rsid w:val="0093612A"/>
    <w:rsid w:val="00936267"/>
    <w:rsid w:val="00936271"/>
    <w:rsid w:val="00936992"/>
    <w:rsid w:val="009369C9"/>
    <w:rsid w:val="00936E67"/>
    <w:rsid w:val="009370F9"/>
    <w:rsid w:val="00940ECF"/>
    <w:rsid w:val="0094125E"/>
    <w:rsid w:val="009415D9"/>
    <w:rsid w:val="009415F0"/>
    <w:rsid w:val="00941A10"/>
    <w:rsid w:val="0094266F"/>
    <w:rsid w:val="00943177"/>
    <w:rsid w:val="00943350"/>
    <w:rsid w:val="00943617"/>
    <w:rsid w:val="00943FCA"/>
    <w:rsid w:val="00944219"/>
    <w:rsid w:val="00944B11"/>
    <w:rsid w:val="00944B26"/>
    <w:rsid w:val="00944C85"/>
    <w:rsid w:val="00944DA1"/>
    <w:rsid w:val="00945BAA"/>
    <w:rsid w:val="00945D73"/>
    <w:rsid w:val="00945E8A"/>
    <w:rsid w:val="00946937"/>
    <w:rsid w:val="00946CFF"/>
    <w:rsid w:val="0094719B"/>
    <w:rsid w:val="009504D6"/>
    <w:rsid w:val="009510AD"/>
    <w:rsid w:val="00952692"/>
    <w:rsid w:val="00952A53"/>
    <w:rsid w:val="009531AF"/>
    <w:rsid w:val="009531DC"/>
    <w:rsid w:val="009534E9"/>
    <w:rsid w:val="00953503"/>
    <w:rsid w:val="00953576"/>
    <w:rsid w:val="00955671"/>
    <w:rsid w:val="00955E14"/>
    <w:rsid w:val="00955EB4"/>
    <w:rsid w:val="00955ED1"/>
    <w:rsid w:val="009561E2"/>
    <w:rsid w:val="009565CC"/>
    <w:rsid w:val="00956949"/>
    <w:rsid w:val="00956FB4"/>
    <w:rsid w:val="009578B0"/>
    <w:rsid w:val="00957E1B"/>
    <w:rsid w:val="009604A1"/>
    <w:rsid w:val="00960BCD"/>
    <w:rsid w:val="0096151E"/>
    <w:rsid w:val="00961596"/>
    <w:rsid w:val="00961621"/>
    <w:rsid w:val="0096174B"/>
    <w:rsid w:val="009626E4"/>
    <w:rsid w:val="00962EFE"/>
    <w:rsid w:val="00963E41"/>
    <w:rsid w:val="009642DD"/>
    <w:rsid w:val="00964431"/>
    <w:rsid w:val="00964F09"/>
    <w:rsid w:val="0096548B"/>
    <w:rsid w:val="00965570"/>
    <w:rsid w:val="009655AC"/>
    <w:rsid w:val="009657AF"/>
    <w:rsid w:val="00965A0C"/>
    <w:rsid w:val="00965BB1"/>
    <w:rsid w:val="00965CBE"/>
    <w:rsid w:val="00965DA1"/>
    <w:rsid w:val="00966131"/>
    <w:rsid w:val="00966144"/>
    <w:rsid w:val="0096628F"/>
    <w:rsid w:val="0096676C"/>
    <w:rsid w:val="00966C07"/>
    <w:rsid w:val="00966D7F"/>
    <w:rsid w:val="00966E32"/>
    <w:rsid w:val="00967320"/>
    <w:rsid w:val="00970974"/>
    <w:rsid w:val="00970F9D"/>
    <w:rsid w:val="0097165A"/>
    <w:rsid w:val="00971742"/>
    <w:rsid w:val="00972451"/>
    <w:rsid w:val="00972AF6"/>
    <w:rsid w:val="00972F90"/>
    <w:rsid w:val="0097348F"/>
    <w:rsid w:val="00973DEC"/>
    <w:rsid w:val="0097437C"/>
    <w:rsid w:val="0097513D"/>
    <w:rsid w:val="00975C82"/>
    <w:rsid w:val="009766E8"/>
    <w:rsid w:val="00976B8B"/>
    <w:rsid w:val="00977B5F"/>
    <w:rsid w:val="00977F89"/>
    <w:rsid w:val="00980398"/>
    <w:rsid w:val="009807FE"/>
    <w:rsid w:val="00980A79"/>
    <w:rsid w:val="00980D05"/>
    <w:rsid w:val="00980FB8"/>
    <w:rsid w:val="00981150"/>
    <w:rsid w:val="00981E65"/>
    <w:rsid w:val="00981EF3"/>
    <w:rsid w:val="00982FDC"/>
    <w:rsid w:val="00983090"/>
    <w:rsid w:val="00983970"/>
    <w:rsid w:val="00983E34"/>
    <w:rsid w:val="00984512"/>
    <w:rsid w:val="00984AD3"/>
    <w:rsid w:val="00984D67"/>
    <w:rsid w:val="00984EB4"/>
    <w:rsid w:val="009851A2"/>
    <w:rsid w:val="009854B3"/>
    <w:rsid w:val="00985591"/>
    <w:rsid w:val="00985BE3"/>
    <w:rsid w:val="00986ADD"/>
    <w:rsid w:val="00986BF2"/>
    <w:rsid w:val="00986F4C"/>
    <w:rsid w:val="00987166"/>
    <w:rsid w:val="009871F7"/>
    <w:rsid w:val="00987A35"/>
    <w:rsid w:val="00990768"/>
    <w:rsid w:val="00990881"/>
    <w:rsid w:val="0099152B"/>
    <w:rsid w:val="0099175B"/>
    <w:rsid w:val="00991E23"/>
    <w:rsid w:val="009921B0"/>
    <w:rsid w:val="009924EF"/>
    <w:rsid w:val="0099254B"/>
    <w:rsid w:val="0099294A"/>
    <w:rsid w:val="00993245"/>
    <w:rsid w:val="009933FB"/>
    <w:rsid w:val="00993ADB"/>
    <w:rsid w:val="00993C3B"/>
    <w:rsid w:val="00995CE7"/>
    <w:rsid w:val="00995D5B"/>
    <w:rsid w:val="00995E58"/>
    <w:rsid w:val="00996662"/>
    <w:rsid w:val="00996832"/>
    <w:rsid w:val="00996B65"/>
    <w:rsid w:val="00996C9B"/>
    <w:rsid w:val="009971BF"/>
    <w:rsid w:val="009972AB"/>
    <w:rsid w:val="0099758F"/>
    <w:rsid w:val="009A0440"/>
    <w:rsid w:val="009A0556"/>
    <w:rsid w:val="009A11A5"/>
    <w:rsid w:val="009A12EF"/>
    <w:rsid w:val="009A1518"/>
    <w:rsid w:val="009A1AAF"/>
    <w:rsid w:val="009A1CAD"/>
    <w:rsid w:val="009A2111"/>
    <w:rsid w:val="009A3262"/>
    <w:rsid w:val="009A3586"/>
    <w:rsid w:val="009A3E36"/>
    <w:rsid w:val="009A4172"/>
    <w:rsid w:val="009A44D4"/>
    <w:rsid w:val="009A4576"/>
    <w:rsid w:val="009A4E99"/>
    <w:rsid w:val="009A590F"/>
    <w:rsid w:val="009A5BD9"/>
    <w:rsid w:val="009A60A7"/>
    <w:rsid w:val="009A6752"/>
    <w:rsid w:val="009A6E0C"/>
    <w:rsid w:val="009A79DC"/>
    <w:rsid w:val="009A7DE0"/>
    <w:rsid w:val="009B0024"/>
    <w:rsid w:val="009B02D6"/>
    <w:rsid w:val="009B04BE"/>
    <w:rsid w:val="009B08BC"/>
    <w:rsid w:val="009B09F5"/>
    <w:rsid w:val="009B0A2F"/>
    <w:rsid w:val="009B0F83"/>
    <w:rsid w:val="009B150D"/>
    <w:rsid w:val="009B264A"/>
    <w:rsid w:val="009B2696"/>
    <w:rsid w:val="009B2A96"/>
    <w:rsid w:val="009B2D89"/>
    <w:rsid w:val="009B314B"/>
    <w:rsid w:val="009B33DE"/>
    <w:rsid w:val="009B3465"/>
    <w:rsid w:val="009B373D"/>
    <w:rsid w:val="009B3809"/>
    <w:rsid w:val="009B3F00"/>
    <w:rsid w:val="009B4233"/>
    <w:rsid w:val="009B4F4C"/>
    <w:rsid w:val="009B5089"/>
    <w:rsid w:val="009B5263"/>
    <w:rsid w:val="009B5955"/>
    <w:rsid w:val="009B6DA3"/>
    <w:rsid w:val="009B6E0F"/>
    <w:rsid w:val="009B7679"/>
    <w:rsid w:val="009B78C5"/>
    <w:rsid w:val="009B7BF8"/>
    <w:rsid w:val="009C03CC"/>
    <w:rsid w:val="009C0690"/>
    <w:rsid w:val="009C0C46"/>
    <w:rsid w:val="009C1384"/>
    <w:rsid w:val="009C1B71"/>
    <w:rsid w:val="009C1DBB"/>
    <w:rsid w:val="009C1FF5"/>
    <w:rsid w:val="009C227F"/>
    <w:rsid w:val="009C2782"/>
    <w:rsid w:val="009C2D70"/>
    <w:rsid w:val="009C2DE5"/>
    <w:rsid w:val="009C3D0A"/>
    <w:rsid w:val="009C5325"/>
    <w:rsid w:val="009C53E8"/>
    <w:rsid w:val="009C587B"/>
    <w:rsid w:val="009C5D6B"/>
    <w:rsid w:val="009C6AEC"/>
    <w:rsid w:val="009C6B09"/>
    <w:rsid w:val="009C6C46"/>
    <w:rsid w:val="009C742A"/>
    <w:rsid w:val="009C7CDC"/>
    <w:rsid w:val="009C7D47"/>
    <w:rsid w:val="009D043E"/>
    <w:rsid w:val="009D05EC"/>
    <w:rsid w:val="009D1397"/>
    <w:rsid w:val="009D23A4"/>
    <w:rsid w:val="009D3296"/>
    <w:rsid w:val="009D46C0"/>
    <w:rsid w:val="009D488A"/>
    <w:rsid w:val="009D48D8"/>
    <w:rsid w:val="009D51C7"/>
    <w:rsid w:val="009D5A21"/>
    <w:rsid w:val="009D5F26"/>
    <w:rsid w:val="009D6A48"/>
    <w:rsid w:val="009D7046"/>
    <w:rsid w:val="009D74B3"/>
    <w:rsid w:val="009D76AE"/>
    <w:rsid w:val="009D76BB"/>
    <w:rsid w:val="009E070E"/>
    <w:rsid w:val="009E0889"/>
    <w:rsid w:val="009E0D9B"/>
    <w:rsid w:val="009E18C8"/>
    <w:rsid w:val="009E18EA"/>
    <w:rsid w:val="009E19B9"/>
    <w:rsid w:val="009E236E"/>
    <w:rsid w:val="009E24C4"/>
    <w:rsid w:val="009E25F9"/>
    <w:rsid w:val="009E2C12"/>
    <w:rsid w:val="009E47A7"/>
    <w:rsid w:val="009E4E55"/>
    <w:rsid w:val="009E5A6E"/>
    <w:rsid w:val="009E64C8"/>
    <w:rsid w:val="009E658B"/>
    <w:rsid w:val="009E67E8"/>
    <w:rsid w:val="009E6E90"/>
    <w:rsid w:val="009E6EAC"/>
    <w:rsid w:val="009E6F70"/>
    <w:rsid w:val="009E6FD4"/>
    <w:rsid w:val="009E7294"/>
    <w:rsid w:val="009E7A4E"/>
    <w:rsid w:val="009E7D24"/>
    <w:rsid w:val="009E7ECA"/>
    <w:rsid w:val="009F0306"/>
    <w:rsid w:val="009F06FC"/>
    <w:rsid w:val="009F0988"/>
    <w:rsid w:val="009F10F6"/>
    <w:rsid w:val="009F118E"/>
    <w:rsid w:val="009F23DA"/>
    <w:rsid w:val="009F248B"/>
    <w:rsid w:val="009F2B24"/>
    <w:rsid w:val="009F3843"/>
    <w:rsid w:val="009F5762"/>
    <w:rsid w:val="009F5844"/>
    <w:rsid w:val="009F6128"/>
    <w:rsid w:val="009F65D9"/>
    <w:rsid w:val="009F665B"/>
    <w:rsid w:val="009F6AE1"/>
    <w:rsid w:val="009F6DDF"/>
    <w:rsid w:val="00A019B2"/>
    <w:rsid w:val="00A01D6E"/>
    <w:rsid w:val="00A033F5"/>
    <w:rsid w:val="00A03965"/>
    <w:rsid w:val="00A03DA2"/>
    <w:rsid w:val="00A044BE"/>
    <w:rsid w:val="00A0485E"/>
    <w:rsid w:val="00A04B8F"/>
    <w:rsid w:val="00A055D5"/>
    <w:rsid w:val="00A055E8"/>
    <w:rsid w:val="00A05A46"/>
    <w:rsid w:val="00A065D6"/>
    <w:rsid w:val="00A067E3"/>
    <w:rsid w:val="00A07840"/>
    <w:rsid w:val="00A07BC0"/>
    <w:rsid w:val="00A100E0"/>
    <w:rsid w:val="00A10235"/>
    <w:rsid w:val="00A108AD"/>
    <w:rsid w:val="00A10DC7"/>
    <w:rsid w:val="00A1103C"/>
    <w:rsid w:val="00A12254"/>
    <w:rsid w:val="00A12326"/>
    <w:rsid w:val="00A12391"/>
    <w:rsid w:val="00A12457"/>
    <w:rsid w:val="00A1263D"/>
    <w:rsid w:val="00A12A90"/>
    <w:rsid w:val="00A12BB6"/>
    <w:rsid w:val="00A12D42"/>
    <w:rsid w:val="00A12E02"/>
    <w:rsid w:val="00A13977"/>
    <w:rsid w:val="00A1451B"/>
    <w:rsid w:val="00A15482"/>
    <w:rsid w:val="00A15496"/>
    <w:rsid w:val="00A15B05"/>
    <w:rsid w:val="00A16150"/>
    <w:rsid w:val="00A17027"/>
    <w:rsid w:val="00A1738C"/>
    <w:rsid w:val="00A17595"/>
    <w:rsid w:val="00A17920"/>
    <w:rsid w:val="00A20D5B"/>
    <w:rsid w:val="00A21D87"/>
    <w:rsid w:val="00A22848"/>
    <w:rsid w:val="00A2336C"/>
    <w:rsid w:val="00A239BB"/>
    <w:rsid w:val="00A23C9C"/>
    <w:rsid w:val="00A23D3B"/>
    <w:rsid w:val="00A23FA1"/>
    <w:rsid w:val="00A244D2"/>
    <w:rsid w:val="00A2464B"/>
    <w:rsid w:val="00A24691"/>
    <w:rsid w:val="00A24833"/>
    <w:rsid w:val="00A24FF8"/>
    <w:rsid w:val="00A25303"/>
    <w:rsid w:val="00A25386"/>
    <w:rsid w:val="00A253E6"/>
    <w:rsid w:val="00A25457"/>
    <w:rsid w:val="00A255D0"/>
    <w:rsid w:val="00A25766"/>
    <w:rsid w:val="00A262A3"/>
    <w:rsid w:val="00A267FA"/>
    <w:rsid w:val="00A275CD"/>
    <w:rsid w:val="00A27756"/>
    <w:rsid w:val="00A2777A"/>
    <w:rsid w:val="00A278B9"/>
    <w:rsid w:val="00A279C1"/>
    <w:rsid w:val="00A27CAA"/>
    <w:rsid w:val="00A302FA"/>
    <w:rsid w:val="00A30470"/>
    <w:rsid w:val="00A3149E"/>
    <w:rsid w:val="00A31738"/>
    <w:rsid w:val="00A32009"/>
    <w:rsid w:val="00A32697"/>
    <w:rsid w:val="00A33DC5"/>
    <w:rsid w:val="00A341D1"/>
    <w:rsid w:val="00A34479"/>
    <w:rsid w:val="00A34CE9"/>
    <w:rsid w:val="00A34F96"/>
    <w:rsid w:val="00A357A8"/>
    <w:rsid w:val="00A35A05"/>
    <w:rsid w:val="00A35B02"/>
    <w:rsid w:val="00A35F68"/>
    <w:rsid w:val="00A35F82"/>
    <w:rsid w:val="00A3615F"/>
    <w:rsid w:val="00A363A8"/>
    <w:rsid w:val="00A36710"/>
    <w:rsid w:val="00A36A3E"/>
    <w:rsid w:val="00A36C01"/>
    <w:rsid w:val="00A372BB"/>
    <w:rsid w:val="00A37AB4"/>
    <w:rsid w:val="00A37B33"/>
    <w:rsid w:val="00A37FA0"/>
    <w:rsid w:val="00A4075C"/>
    <w:rsid w:val="00A40D0B"/>
    <w:rsid w:val="00A40E3B"/>
    <w:rsid w:val="00A41596"/>
    <w:rsid w:val="00A420B7"/>
    <w:rsid w:val="00A421A6"/>
    <w:rsid w:val="00A42D55"/>
    <w:rsid w:val="00A42D5C"/>
    <w:rsid w:val="00A430BB"/>
    <w:rsid w:val="00A4310E"/>
    <w:rsid w:val="00A4314B"/>
    <w:rsid w:val="00A43153"/>
    <w:rsid w:val="00A43986"/>
    <w:rsid w:val="00A43F17"/>
    <w:rsid w:val="00A4469A"/>
    <w:rsid w:val="00A446EB"/>
    <w:rsid w:val="00A4478E"/>
    <w:rsid w:val="00A447C0"/>
    <w:rsid w:val="00A4566D"/>
    <w:rsid w:val="00A45841"/>
    <w:rsid w:val="00A45E46"/>
    <w:rsid w:val="00A4694F"/>
    <w:rsid w:val="00A46BCD"/>
    <w:rsid w:val="00A46DEC"/>
    <w:rsid w:val="00A47959"/>
    <w:rsid w:val="00A47A7E"/>
    <w:rsid w:val="00A5067C"/>
    <w:rsid w:val="00A5074D"/>
    <w:rsid w:val="00A50B30"/>
    <w:rsid w:val="00A51479"/>
    <w:rsid w:val="00A51481"/>
    <w:rsid w:val="00A51543"/>
    <w:rsid w:val="00A5200E"/>
    <w:rsid w:val="00A527D5"/>
    <w:rsid w:val="00A52929"/>
    <w:rsid w:val="00A52C31"/>
    <w:rsid w:val="00A53B6A"/>
    <w:rsid w:val="00A53D68"/>
    <w:rsid w:val="00A54020"/>
    <w:rsid w:val="00A5422F"/>
    <w:rsid w:val="00A54648"/>
    <w:rsid w:val="00A548F1"/>
    <w:rsid w:val="00A54B98"/>
    <w:rsid w:val="00A54CCD"/>
    <w:rsid w:val="00A55131"/>
    <w:rsid w:val="00A55394"/>
    <w:rsid w:val="00A55963"/>
    <w:rsid w:val="00A559FD"/>
    <w:rsid w:val="00A55CBA"/>
    <w:rsid w:val="00A55CE1"/>
    <w:rsid w:val="00A563C3"/>
    <w:rsid w:val="00A57E34"/>
    <w:rsid w:val="00A60143"/>
    <w:rsid w:val="00A601B7"/>
    <w:rsid w:val="00A603B7"/>
    <w:rsid w:val="00A60E97"/>
    <w:rsid w:val="00A61452"/>
    <w:rsid w:val="00A619DC"/>
    <w:rsid w:val="00A61BA0"/>
    <w:rsid w:val="00A61E36"/>
    <w:rsid w:val="00A61EC2"/>
    <w:rsid w:val="00A62522"/>
    <w:rsid w:val="00A63020"/>
    <w:rsid w:val="00A633B0"/>
    <w:rsid w:val="00A639E6"/>
    <w:rsid w:val="00A639FD"/>
    <w:rsid w:val="00A63FE4"/>
    <w:rsid w:val="00A64F20"/>
    <w:rsid w:val="00A64FF8"/>
    <w:rsid w:val="00A65424"/>
    <w:rsid w:val="00A654CF"/>
    <w:rsid w:val="00A65847"/>
    <w:rsid w:val="00A67047"/>
    <w:rsid w:val="00A6770E"/>
    <w:rsid w:val="00A67A7B"/>
    <w:rsid w:val="00A67AEB"/>
    <w:rsid w:val="00A67F9C"/>
    <w:rsid w:val="00A7015B"/>
    <w:rsid w:val="00A70878"/>
    <w:rsid w:val="00A70FDE"/>
    <w:rsid w:val="00A710AC"/>
    <w:rsid w:val="00A71578"/>
    <w:rsid w:val="00A717E2"/>
    <w:rsid w:val="00A71878"/>
    <w:rsid w:val="00A718EE"/>
    <w:rsid w:val="00A71C31"/>
    <w:rsid w:val="00A72476"/>
    <w:rsid w:val="00A727A9"/>
    <w:rsid w:val="00A727F0"/>
    <w:rsid w:val="00A72880"/>
    <w:rsid w:val="00A72AC0"/>
    <w:rsid w:val="00A72BAC"/>
    <w:rsid w:val="00A73076"/>
    <w:rsid w:val="00A7423A"/>
    <w:rsid w:val="00A74942"/>
    <w:rsid w:val="00A74B9C"/>
    <w:rsid w:val="00A74D85"/>
    <w:rsid w:val="00A75212"/>
    <w:rsid w:val="00A7545F"/>
    <w:rsid w:val="00A75998"/>
    <w:rsid w:val="00A759A0"/>
    <w:rsid w:val="00A7614B"/>
    <w:rsid w:val="00A762E4"/>
    <w:rsid w:val="00A7661A"/>
    <w:rsid w:val="00A76E46"/>
    <w:rsid w:val="00A7774D"/>
    <w:rsid w:val="00A77F8A"/>
    <w:rsid w:val="00A803AD"/>
    <w:rsid w:val="00A80C70"/>
    <w:rsid w:val="00A81744"/>
    <w:rsid w:val="00A81836"/>
    <w:rsid w:val="00A81842"/>
    <w:rsid w:val="00A819E2"/>
    <w:rsid w:val="00A81AAA"/>
    <w:rsid w:val="00A8243E"/>
    <w:rsid w:val="00A82F83"/>
    <w:rsid w:val="00A8302C"/>
    <w:rsid w:val="00A83D4D"/>
    <w:rsid w:val="00A83E1A"/>
    <w:rsid w:val="00A8408D"/>
    <w:rsid w:val="00A847D3"/>
    <w:rsid w:val="00A84CF8"/>
    <w:rsid w:val="00A851DE"/>
    <w:rsid w:val="00A859BA"/>
    <w:rsid w:val="00A85B3B"/>
    <w:rsid w:val="00A863BC"/>
    <w:rsid w:val="00A86A25"/>
    <w:rsid w:val="00A86BEA"/>
    <w:rsid w:val="00A86BEE"/>
    <w:rsid w:val="00A86C06"/>
    <w:rsid w:val="00A86EAB"/>
    <w:rsid w:val="00A86FAB"/>
    <w:rsid w:val="00A87EBE"/>
    <w:rsid w:val="00A903BD"/>
    <w:rsid w:val="00A9052B"/>
    <w:rsid w:val="00A91512"/>
    <w:rsid w:val="00A920B6"/>
    <w:rsid w:val="00A920F8"/>
    <w:rsid w:val="00A93C33"/>
    <w:rsid w:val="00A9478D"/>
    <w:rsid w:val="00A9491C"/>
    <w:rsid w:val="00A95768"/>
    <w:rsid w:val="00A95863"/>
    <w:rsid w:val="00A95BCE"/>
    <w:rsid w:val="00A95EC2"/>
    <w:rsid w:val="00A9603C"/>
    <w:rsid w:val="00A961BC"/>
    <w:rsid w:val="00A965EA"/>
    <w:rsid w:val="00A97E82"/>
    <w:rsid w:val="00A97FD3"/>
    <w:rsid w:val="00AA0252"/>
    <w:rsid w:val="00AA0B8A"/>
    <w:rsid w:val="00AA1444"/>
    <w:rsid w:val="00AA1DD5"/>
    <w:rsid w:val="00AA2388"/>
    <w:rsid w:val="00AA2AC6"/>
    <w:rsid w:val="00AA32EB"/>
    <w:rsid w:val="00AA347D"/>
    <w:rsid w:val="00AA43B0"/>
    <w:rsid w:val="00AA4882"/>
    <w:rsid w:val="00AA4A33"/>
    <w:rsid w:val="00AA4ACC"/>
    <w:rsid w:val="00AA59B9"/>
    <w:rsid w:val="00AA5C7F"/>
    <w:rsid w:val="00AA6215"/>
    <w:rsid w:val="00AA6C89"/>
    <w:rsid w:val="00AA762B"/>
    <w:rsid w:val="00AA77E3"/>
    <w:rsid w:val="00AA7832"/>
    <w:rsid w:val="00AB032F"/>
    <w:rsid w:val="00AB0411"/>
    <w:rsid w:val="00AB09EB"/>
    <w:rsid w:val="00AB1502"/>
    <w:rsid w:val="00AB1532"/>
    <w:rsid w:val="00AB16D1"/>
    <w:rsid w:val="00AB1A81"/>
    <w:rsid w:val="00AB26EE"/>
    <w:rsid w:val="00AB27F6"/>
    <w:rsid w:val="00AB418B"/>
    <w:rsid w:val="00AB50D2"/>
    <w:rsid w:val="00AB54CC"/>
    <w:rsid w:val="00AB59E8"/>
    <w:rsid w:val="00AB5FF6"/>
    <w:rsid w:val="00AB608C"/>
    <w:rsid w:val="00AB66C7"/>
    <w:rsid w:val="00AB6A0D"/>
    <w:rsid w:val="00AB6F18"/>
    <w:rsid w:val="00AC0385"/>
    <w:rsid w:val="00AC06AC"/>
    <w:rsid w:val="00AC10C7"/>
    <w:rsid w:val="00AC1928"/>
    <w:rsid w:val="00AC225C"/>
    <w:rsid w:val="00AC2BAC"/>
    <w:rsid w:val="00AC312F"/>
    <w:rsid w:val="00AC337C"/>
    <w:rsid w:val="00AC3D4E"/>
    <w:rsid w:val="00AC3FE3"/>
    <w:rsid w:val="00AC4442"/>
    <w:rsid w:val="00AC4CAE"/>
    <w:rsid w:val="00AC4D36"/>
    <w:rsid w:val="00AC5740"/>
    <w:rsid w:val="00AC5B8B"/>
    <w:rsid w:val="00AC5D78"/>
    <w:rsid w:val="00AC6969"/>
    <w:rsid w:val="00AC6CB9"/>
    <w:rsid w:val="00AC7974"/>
    <w:rsid w:val="00AC7DB2"/>
    <w:rsid w:val="00AC7E44"/>
    <w:rsid w:val="00AD05C5"/>
    <w:rsid w:val="00AD06E7"/>
    <w:rsid w:val="00AD06EC"/>
    <w:rsid w:val="00AD0B51"/>
    <w:rsid w:val="00AD0C6B"/>
    <w:rsid w:val="00AD0E34"/>
    <w:rsid w:val="00AD2100"/>
    <w:rsid w:val="00AD21B4"/>
    <w:rsid w:val="00AD23CA"/>
    <w:rsid w:val="00AD2492"/>
    <w:rsid w:val="00AD2BB7"/>
    <w:rsid w:val="00AD45AC"/>
    <w:rsid w:val="00AD47C1"/>
    <w:rsid w:val="00AD4ACF"/>
    <w:rsid w:val="00AD5339"/>
    <w:rsid w:val="00AD53B6"/>
    <w:rsid w:val="00AD6192"/>
    <w:rsid w:val="00AD68D6"/>
    <w:rsid w:val="00AD6DC5"/>
    <w:rsid w:val="00AD70D6"/>
    <w:rsid w:val="00AD70E0"/>
    <w:rsid w:val="00AD7ACB"/>
    <w:rsid w:val="00AE01A2"/>
    <w:rsid w:val="00AE02E8"/>
    <w:rsid w:val="00AE0954"/>
    <w:rsid w:val="00AE0A79"/>
    <w:rsid w:val="00AE0FF0"/>
    <w:rsid w:val="00AE2C3C"/>
    <w:rsid w:val="00AE3176"/>
    <w:rsid w:val="00AE3C9F"/>
    <w:rsid w:val="00AE4093"/>
    <w:rsid w:val="00AE47AB"/>
    <w:rsid w:val="00AE4FAA"/>
    <w:rsid w:val="00AE5236"/>
    <w:rsid w:val="00AE5356"/>
    <w:rsid w:val="00AE55F3"/>
    <w:rsid w:val="00AE5639"/>
    <w:rsid w:val="00AE5858"/>
    <w:rsid w:val="00AE5BB4"/>
    <w:rsid w:val="00AE6111"/>
    <w:rsid w:val="00AE66C4"/>
    <w:rsid w:val="00AE6FA0"/>
    <w:rsid w:val="00AE75DD"/>
    <w:rsid w:val="00AE7BA8"/>
    <w:rsid w:val="00AF092F"/>
    <w:rsid w:val="00AF0CBA"/>
    <w:rsid w:val="00AF2E4D"/>
    <w:rsid w:val="00AF3C7E"/>
    <w:rsid w:val="00AF3D11"/>
    <w:rsid w:val="00AF4139"/>
    <w:rsid w:val="00AF43B9"/>
    <w:rsid w:val="00AF4414"/>
    <w:rsid w:val="00AF4C97"/>
    <w:rsid w:val="00AF4E2C"/>
    <w:rsid w:val="00AF56F7"/>
    <w:rsid w:val="00AF63ED"/>
    <w:rsid w:val="00AF66F8"/>
    <w:rsid w:val="00AF6A55"/>
    <w:rsid w:val="00AF74E7"/>
    <w:rsid w:val="00AF78B7"/>
    <w:rsid w:val="00AF78C5"/>
    <w:rsid w:val="00B00334"/>
    <w:rsid w:val="00B00D06"/>
    <w:rsid w:val="00B011BB"/>
    <w:rsid w:val="00B015AE"/>
    <w:rsid w:val="00B01735"/>
    <w:rsid w:val="00B01C5B"/>
    <w:rsid w:val="00B0248B"/>
    <w:rsid w:val="00B024D3"/>
    <w:rsid w:val="00B024FB"/>
    <w:rsid w:val="00B0272C"/>
    <w:rsid w:val="00B02ECB"/>
    <w:rsid w:val="00B034C1"/>
    <w:rsid w:val="00B03785"/>
    <w:rsid w:val="00B03AE6"/>
    <w:rsid w:val="00B03BB6"/>
    <w:rsid w:val="00B03D2B"/>
    <w:rsid w:val="00B049B9"/>
    <w:rsid w:val="00B0515B"/>
    <w:rsid w:val="00B05B0C"/>
    <w:rsid w:val="00B05B1C"/>
    <w:rsid w:val="00B06464"/>
    <w:rsid w:val="00B0666E"/>
    <w:rsid w:val="00B06AAE"/>
    <w:rsid w:val="00B06F6C"/>
    <w:rsid w:val="00B10BE9"/>
    <w:rsid w:val="00B119F1"/>
    <w:rsid w:val="00B11D34"/>
    <w:rsid w:val="00B11D50"/>
    <w:rsid w:val="00B11FF4"/>
    <w:rsid w:val="00B1311A"/>
    <w:rsid w:val="00B13456"/>
    <w:rsid w:val="00B13463"/>
    <w:rsid w:val="00B137ED"/>
    <w:rsid w:val="00B13E35"/>
    <w:rsid w:val="00B141A8"/>
    <w:rsid w:val="00B14361"/>
    <w:rsid w:val="00B14475"/>
    <w:rsid w:val="00B15224"/>
    <w:rsid w:val="00B15434"/>
    <w:rsid w:val="00B15885"/>
    <w:rsid w:val="00B15C35"/>
    <w:rsid w:val="00B16615"/>
    <w:rsid w:val="00B16792"/>
    <w:rsid w:val="00B174A7"/>
    <w:rsid w:val="00B1786A"/>
    <w:rsid w:val="00B17E33"/>
    <w:rsid w:val="00B207BE"/>
    <w:rsid w:val="00B208C5"/>
    <w:rsid w:val="00B209CB"/>
    <w:rsid w:val="00B211E2"/>
    <w:rsid w:val="00B218F5"/>
    <w:rsid w:val="00B21A77"/>
    <w:rsid w:val="00B21C74"/>
    <w:rsid w:val="00B221D3"/>
    <w:rsid w:val="00B224A6"/>
    <w:rsid w:val="00B227BB"/>
    <w:rsid w:val="00B23305"/>
    <w:rsid w:val="00B23387"/>
    <w:rsid w:val="00B23A0E"/>
    <w:rsid w:val="00B23FD2"/>
    <w:rsid w:val="00B244B8"/>
    <w:rsid w:val="00B24963"/>
    <w:rsid w:val="00B24A51"/>
    <w:rsid w:val="00B24B7D"/>
    <w:rsid w:val="00B25027"/>
    <w:rsid w:val="00B2533F"/>
    <w:rsid w:val="00B25390"/>
    <w:rsid w:val="00B2571C"/>
    <w:rsid w:val="00B259DC"/>
    <w:rsid w:val="00B25C54"/>
    <w:rsid w:val="00B266B1"/>
    <w:rsid w:val="00B266D1"/>
    <w:rsid w:val="00B267AD"/>
    <w:rsid w:val="00B26B19"/>
    <w:rsid w:val="00B26BA5"/>
    <w:rsid w:val="00B30063"/>
    <w:rsid w:val="00B301AC"/>
    <w:rsid w:val="00B30389"/>
    <w:rsid w:val="00B303D3"/>
    <w:rsid w:val="00B30AD7"/>
    <w:rsid w:val="00B3151F"/>
    <w:rsid w:val="00B31E5C"/>
    <w:rsid w:val="00B32EA8"/>
    <w:rsid w:val="00B32F58"/>
    <w:rsid w:val="00B330C3"/>
    <w:rsid w:val="00B333C1"/>
    <w:rsid w:val="00B333FF"/>
    <w:rsid w:val="00B33504"/>
    <w:rsid w:val="00B33F2B"/>
    <w:rsid w:val="00B3469B"/>
    <w:rsid w:val="00B354C2"/>
    <w:rsid w:val="00B36250"/>
    <w:rsid w:val="00B36363"/>
    <w:rsid w:val="00B3690B"/>
    <w:rsid w:val="00B369B6"/>
    <w:rsid w:val="00B373F2"/>
    <w:rsid w:val="00B40556"/>
    <w:rsid w:val="00B40641"/>
    <w:rsid w:val="00B4080C"/>
    <w:rsid w:val="00B411C2"/>
    <w:rsid w:val="00B413D2"/>
    <w:rsid w:val="00B4167C"/>
    <w:rsid w:val="00B416BC"/>
    <w:rsid w:val="00B417C6"/>
    <w:rsid w:val="00B41C49"/>
    <w:rsid w:val="00B42114"/>
    <w:rsid w:val="00B42CA0"/>
    <w:rsid w:val="00B42F4A"/>
    <w:rsid w:val="00B430FC"/>
    <w:rsid w:val="00B4323F"/>
    <w:rsid w:val="00B433FD"/>
    <w:rsid w:val="00B43F68"/>
    <w:rsid w:val="00B440F4"/>
    <w:rsid w:val="00B44902"/>
    <w:rsid w:val="00B44BBF"/>
    <w:rsid w:val="00B44EC3"/>
    <w:rsid w:val="00B44FFB"/>
    <w:rsid w:val="00B4526A"/>
    <w:rsid w:val="00B45E72"/>
    <w:rsid w:val="00B469B6"/>
    <w:rsid w:val="00B469C6"/>
    <w:rsid w:val="00B46E69"/>
    <w:rsid w:val="00B47400"/>
    <w:rsid w:val="00B47AC2"/>
    <w:rsid w:val="00B505E6"/>
    <w:rsid w:val="00B508DE"/>
    <w:rsid w:val="00B50B0E"/>
    <w:rsid w:val="00B50BFA"/>
    <w:rsid w:val="00B50D9F"/>
    <w:rsid w:val="00B517D0"/>
    <w:rsid w:val="00B51F21"/>
    <w:rsid w:val="00B5202B"/>
    <w:rsid w:val="00B520E2"/>
    <w:rsid w:val="00B522BC"/>
    <w:rsid w:val="00B527DE"/>
    <w:rsid w:val="00B5291F"/>
    <w:rsid w:val="00B52B33"/>
    <w:rsid w:val="00B543D9"/>
    <w:rsid w:val="00B5476C"/>
    <w:rsid w:val="00B54CF5"/>
    <w:rsid w:val="00B552E7"/>
    <w:rsid w:val="00B563F6"/>
    <w:rsid w:val="00B56643"/>
    <w:rsid w:val="00B56AAC"/>
    <w:rsid w:val="00B56F12"/>
    <w:rsid w:val="00B570A6"/>
    <w:rsid w:val="00B5781E"/>
    <w:rsid w:val="00B600E0"/>
    <w:rsid w:val="00B604AC"/>
    <w:rsid w:val="00B605EA"/>
    <w:rsid w:val="00B60B67"/>
    <w:rsid w:val="00B60D75"/>
    <w:rsid w:val="00B61764"/>
    <w:rsid w:val="00B61E27"/>
    <w:rsid w:val="00B623F5"/>
    <w:rsid w:val="00B62B1E"/>
    <w:rsid w:val="00B62EF8"/>
    <w:rsid w:val="00B6386E"/>
    <w:rsid w:val="00B63B17"/>
    <w:rsid w:val="00B6446C"/>
    <w:rsid w:val="00B65503"/>
    <w:rsid w:val="00B6574C"/>
    <w:rsid w:val="00B65780"/>
    <w:rsid w:val="00B65CBE"/>
    <w:rsid w:val="00B66304"/>
    <w:rsid w:val="00B66D90"/>
    <w:rsid w:val="00B66DC1"/>
    <w:rsid w:val="00B67D66"/>
    <w:rsid w:val="00B7048C"/>
    <w:rsid w:val="00B7079F"/>
    <w:rsid w:val="00B709DC"/>
    <w:rsid w:val="00B70B82"/>
    <w:rsid w:val="00B70D67"/>
    <w:rsid w:val="00B7109E"/>
    <w:rsid w:val="00B71623"/>
    <w:rsid w:val="00B71D6E"/>
    <w:rsid w:val="00B71E3E"/>
    <w:rsid w:val="00B71ED2"/>
    <w:rsid w:val="00B73FF3"/>
    <w:rsid w:val="00B75142"/>
    <w:rsid w:val="00B7581A"/>
    <w:rsid w:val="00B75B7A"/>
    <w:rsid w:val="00B75DD0"/>
    <w:rsid w:val="00B762C4"/>
    <w:rsid w:val="00B76795"/>
    <w:rsid w:val="00B76820"/>
    <w:rsid w:val="00B77D99"/>
    <w:rsid w:val="00B80092"/>
    <w:rsid w:val="00B80135"/>
    <w:rsid w:val="00B80A7B"/>
    <w:rsid w:val="00B80DC0"/>
    <w:rsid w:val="00B815D2"/>
    <w:rsid w:val="00B81777"/>
    <w:rsid w:val="00B81893"/>
    <w:rsid w:val="00B818BE"/>
    <w:rsid w:val="00B81977"/>
    <w:rsid w:val="00B8198B"/>
    <w:rsid w:val="00B8238D"/>
    <w:rsid w:val="00B8240B"/>
    <w:rsid w:val="00B825CB"/>
    <w:rsid w:val="00B825D5"/>
    <w:rsid w:val="00B82D30"/>
    <w:rsid w:val="00B8330F"/>
    <w:rsid w:val="00B833F2"/>
    <w:rsid w:val="00B834A9"/>
    <w:rsid w:val="00B835F3"/>
    <w:rsid w:val="00B8412B"/>
    <w:rsid w:val="00B8427A"/>
    <w:rsid w:val="00B8459B"/>
    <w:rsid w:val="00B84C28"/>
    <w:rsid w:val="00B84DFF"/>
    <w:rsid w:val="00B854A4"/>
    <w:rsid w:val="00B855A7"/>
    <w:rsid w:val="00B8593E"/>
    <w:rsid w:val="00B85B4F"/>
    <w:rsid w:val="00B86730"/>
    <w:rsid w:val="00B871ED"/>
    <w:rsid w:val="00B87580"/>
    <w:rsid w:val="00B87BF2"/>
    <w:rsid w:val="00B90377"/>
    <w:rsid w:val="00B90806"/>
    <w:rsid w:val="00B90871"/>
    <w:rsid w:val="00B908D2"/>
    <w:rsid w:val="00B9105E"/>
    <w:rsid w:val="00B91386"/>
    <w:rsid w:val="00B91408"/>
    <w:rsid w:val="00B919E0"/>
    <w:rsid w:val="00B91A14"/>
    <w:rsid w:val="00B92249"/>
    <w:rsid w:val="00B92A05"/>
    <w:rsid w:val="00B92A33"/>
    <w:rsid w:val="00B92B0A"/>
    <w:rsid w:val="00B9310A"/>
    <w:rsid w:val="00B9444B"/>
    <w:rsid w:val="00B94494"/>
    <w:rsid w:val="00B948D4"/>
    <w:rsid w:val="00B94C75"/>
    <w:rsid w:val="00B94D1A"/>
    <w:rsid w:val="00B94EC4"/>
    <w:rsid w:val="00B94F2B"/>
    <w:rsid w:val="00B95ECC"/>
    <w:rsid w:val="00B95F29"/>
    <w:rsid w:val="00B962BC"/>
    <w:rsid w:val="00B979BE"/>
    <w:rsid w:val="00B97D9E"/>
    <w:rsid w:val="00BA0421"/>
    <w:rsid w:val="00BA07A4"/>
    <w:rsid w:val="00BA08B8"/>
    <w:rsid w:val="00BA0B3A"/>
    <w:rsid w:val="00BA0CB4"/>
    <w:rsid w:val="00BA0D4B"/>
    <w:rsid w:val="00BA103A"/>
    <w:rsid w:val="00BA13C2"/>
    <w:rsid w:val="00BA144D"/>
    <w:rsid w:val="00BA15F1"/>
    <w:rsid w:val="00BA1C81"/>
    <w:rsid w:val="00BA1D37"/>
    <w:rsid w:val="00BA250B"/>
    <w:rsid w:val="00BA25E2"/>
    <w:rsid w:val="00BA2DD0"/>
    <w:rsid w:val="00BA3425"/>
    <w:rsid w:val="00BA3542"/>
    <w:rsid w:val="00BA3ABE"/>
    <w:rsid w:val="00BA4CA3"/>
    <w:rsid w:val="00BA5283"/>
    <w:rsid w:val="00BA5682"/>
    <w:rsid w:val="00BA5D6C"/>
    <w:rsid w:val="00BA5D7F"/>
    <w:rsid w:val="00BA6071"/>
    <w:rsid w:val="00BA6567"/>
    <w:rsid w:val="00BA6BA9"/>
    <w:rsid w:val="00BA6F32"/>
    <w:rsid w:val="00BA6FD6"/>
    <w:rsid w:val="00BB06E0"/>
    <w:rsid w:val="00BB1327"/>
    <w:rsid w:val="00BB1A8A"/>
    <w:rsid w:val="00BB2515"/>
    <w:rsid w:val="00BB2860"/>
    <w:rsid w:val="00BB2A61"/>
    <w:rsid w:val="00BB368F"/>
    <w:rsid w:val="00BB4D3F"/>
    <w:rsid w:val="00BB5559"/>
    <w:rsid w:val="00BB61F7"/>
    <w:rsid w:val="00BB65CF"/>
    <w:rsid w:val="00BB685E"/>
    <w:rsid w:val="00BB6974"/>
    <w:rsid w:val="00BB7B18"/>
    <w:rsid w:val="00BB7BFC"/>
    <w:rsid w:val="00BB7E68"/>
    <w:rsid w:val="00BC0526"/>
    <w:rsid w:val="00BC06FF"/>
    <w:rsid w:val="00BC1C30"/>
    <w:rsid w:val="00BC1D30"/>
    <w:rsid w:val="00BC1D44"/>
    <w:rsid w:val="00BC1F4D"/>
    <w:rsid w:val="00BC2283"/>
    <w:rsid w:val="00BC2D1D"/>
    <w:rsid w:val="00BC3299"/>
    <w:rsid w:val="00BC3DC3"/>
    <w:rsid w:val="00BC5307"/>
    <w:rsid w:val="00BC5358"/>
    <w:rsid w:val="00BC5FC8"/>
    <w:rsid w:val="00BC624B"/>
    <w:rsid w:val="00BC747C"/>
    <w:rsid w:val="00BC75AD"/>
    <w:rsid w:val="00BC7ACE"/>
    <w:rsid w:val="00BD021D"/>
    <w:rsid w:val="00BD03B7"/>
    <w:rsid w:val="00BD0782"/>
    <w:rsid w:val="00BD0CE9"/>
    <w:rsid w:val="00BD1665"/>
    <w:rsid w:val="00BD20B1"/>
    <w:rsid w:val="00BD27B7"/>
    <w:rsid w:val="00BD2AB2"/>
    <w:rsid w:val="00BD304C"/>
    <w:rsid w:val="00BD4384"/>
    <w:rsid w:val="00BD44E9"/>
    <w:rsid w:val="00BD4822"/>
    <w:rsid w:val="00BD5305"/>
    <w:rsid w:val="00BD6267"/>
    <w:rsid w:val="00BD6323"/>
    <w:rsid w:val="00BD666D"/>
    <w:rsid w:val="00BD66CB"/>
    <w:rsid w:val="00BD68BE"/>
    <w:rsid w:val="00BD6D12"/>
    <w:rsid w:val="00BD7174"/>
    <w:rsid w:val="00BD7307"/>
    <w:rsid w:val="00BD7649"/>
    <w:rsid w:val="00BD7C40"/>
    <w:rsid w:val="00BD7D4F"/>
    <w:rsid w:val="00BD7DA7"/>
    <w:rsid w:val="00BD7E49"/>
    <w:rsid w:val="00BE0794"/>
    <w:rsid w:val="00BE0A43"/>
    <w:rsid w:val="00BE1CCF"/>
    <w:rsid w:val="00BE20F1"/>
    <w:rsid w:val="00BE2203"/>
    <w:rsid w:val="00BE2229"/>
    <w:rsid w:val="00BE2A60"/>
    <w:rsid w:val="00BE2CF7"/>
    <w:rsid w:val="00BE4959"/>
    <w:rsid w:val="00BE49AF"/>
    <w:rsid w:val="00BE4D84"/>
    <w:rsid w:val="00BE5DF1"/>
    <w:rsid w:val="00BE60BA"/>
    <w:rsid w:val="00BE6287"/>
    <w:rsid w:val="00BE6974"/>
    <w:rsid w:val="00BE6A9D"/>
    <w:rsid w:val="00BE6EB9"/>
    <w:rsid w:val="00BE70B5"/>
    <w:rsid w:val="00BE799E"/>
    <w:rsid w:val="00BE7DBF"/>
    <w:rsid w:val="00BF0BBE"/>
    <w:rsid w:val="00BF1144"/>
    <w:rsid w:val="00BF1450"/>
    <w:rsid w:val="00BF1797"/>
    <w:rsid w:val="00BF195B"/>
    <w:rsid w:val="00BF1AF5"/>
    <w:rsid w:val="00BF24D6"/>
    <w:rsid w:val="00BF28E4"/>
    <w:rsid w:val="00BF2C68"/>
    <w:rsid w:val="00BF2D27"/>
    <w:rsid w:val="00BF2DF3"/>
    <w:rsid w:val="00BF30E0"/>
    <w:rsid w:val="00BF331F"/>
    <w:rsid w:val="00BF3896"/>
    <w:rsid w:val="00BF3B8F"/>
    <w:rsid w:val="00BF45A1"/>
    <w:rsid w:val="00BF4C26"/>
    <w:rsid w:val="00BF51E0"/>
    <w:rsid w:val="00BF5308"/>
    <w:rsid w:val="00BF5352"/>
    <w:rsid w:val="00BF561E"/>
    <w:rsid w:val="00BF5B4B"/>
    <w:rsid w:val="00BF5E3E"/>
    <w:rsid w:val="00BF5E78"/>
    <w:rsid w:val="00BF69CE"/>
    <w:rsid w:val="00BF739B"/>
    <w:rsid w:val="00BF7474"/>
    <w:rsid w:val="00BF74AF"/>
    <w:rsid w:val="00BF779B"/>
    <w:rsid w:val="00BF79C3"/>
    <w:rsid w:val="00C00841"/>
    <w:rsid w:val="00C00D63"/>
    <w:rsid w:val="00C01C90"/>
    <w:rsid w:val="00C01DAD"/>
    <w:rsid w:val="00C0203A"/>
    <w:rsid w:val="00C020DA"/>
    <w:rsid w:val="00C022E9"/>
    <w:rsid w:val="00C0237F"/>
    <w:rsid w:val="00C024A1"/>
    <w:rsid w:val="00C02676"/>
    <w:rsid w:val="00C02FF2"/>
    <w:rsid w:val="00C03B20"/>
    <w:rsid w:val="00C046AA"/>
    <w:rsid w:val="00C05293"/>
    <w:rsid w:val="00C05347"/>
    <w:rsid w:val="00C05D23"/>
    <w:rsid w:val="00C06183"/>
    <w:rsid w:val="00C062A1"/>
    <w:rsid w:val="00C06E62"/>
    <w:rsid w:val="00C075C5"/>
    <w:rsid w:val="00C078CE"/>
    <w:rsid w:val="00C07AF7"/>
    <w:rsid w:val="00C07B93"/>
    <w:rsid w:val="00C07D7E"/>
    <w:rsid w:val="00C10070"/>
    <w:rsid w:val="00C10837"/>
    <w:rsid w:val="00C10CDB"/>
    <w:rsid w:val="00C116F8"/>
    <w:rsid w:val="00C11AA2"/>
    <w:rsid w:val="00C11BC3"/>
    <w:rsid w:val="00C11C23"/>
    <w:rsid w:val="00C12265"/>
    <w:rsid w:val="00C1398D"/>
    <w:rsid w:val="00C146DC"/>
    <w:rsid w:val="00C155C4"/>
    <w:rsid w:val="00C15649"/>
    <w:rsid w:val="00C15770"/>
    <w:rsid w:val="00C15F1B"/>
    <w:rsid w:val="00C16F83"/>
    <w:rsid w:val="00C17C68"/>
    <w:rsid w:val="00C2052F"/>
    <w:rsid w:val="00C2073E"/>
    <w:rsid w:val="00C20AD5"/>
    <w:rsid w:val="00C2126B"/>
    <w:rsid w:val="00C2191E"/>
    <w:rsid w:val="00C224D9"/>
    <w:rsid w:val="00C225BC"/>
    <w:rsid w:val="00C22BA7"/>
    <w:rsid w:val="00C22E37"/>
    <w:rsid w:val="00C23067"/>
    <w:rsid w:val="00C2378B"/>
    <w:rsid w:val="00C23EDD"/>
    <w:rsid w:val="00C24AE4"/>
    <w:rsid w:val="00C24FEF"/>
    <w:rsid w:val="00C26139"/>
    <w:rsid w:val="00C2740D"/>
    <w:rsid w:val="00C2745D"/>
    <w:rsid w:val="00C27675"/>
    <w:rsid w:val="00C27687"/>
    <w:rsid w:val="00C30353"/>
    <w:rsid w:val="00C308EF"/>
    <w:rsid w:val="00C30B64"/>
    <w:rsid w:val="00C3207C"/>
    <w:rsid w:val="00C32B6C"/>
    <w:rsid w:val="00C32CCF"/>
    <w:rsid w:val="00C3302D"/>
    <w:rsid w:val="00C337D5"/>
    <w:rsid w:val="00C339EC"/>
    <w:rsid w:val="00C33D7A"/>
    <w:rsid w:val="00C33DC3"/>
    <w:rsid w:val="00C3442F"/>
    <w:rsid w:val="00C353F4"/>
    <w:rsid w:val="00C35BE1"/>
    <w:rsid w:val="00C35C71"/>
    <w:rsid w:val="00C36195"/>
    <w:rsid w:val="00C363DD"/>
    <w:rsid w:val="00C36988"/>
    <w:rsid w:val="00C36EF6"/>
    <w:rsid w:val="00C37744"/>
    <w:rsid w:val="00C37EB1"/>
    <w:rsid w:val="00C3E13A"/>
    <w:rsid w:val="00C403F4"/>
    <w:rsid w:val="00C407B4"/>
    <w:rsid w:val="00C40E3D"/>
    <w:rsid w:val="00C414BB"/>
    <w:rsid w:val="00C41C09"/>
    <w:rsid w:val="00C41E67"/>
    <w:rsid w:val="00C4292C"/>
    <w:rsid w:val="00C429B2"/>
    <w:rsid w:val="00C42B64"/>
    <w:rsid w:val="00C42F49"/>
    <w:rsid w:val="00C445D2"/>
    <w:rsid w:val="00C44B91"/>
    <w:rsid w:val="00C44CD5"/>
    <w:rsid w:val="00C4605A"/>
    <w:rsid w:val="00C46118"/>
    <w:rsid w:val="00C46169"/>
    <w:rsid w:val="00C473D2"/>
    <w:rsid w:val="00C47607"/>
    <w:rsid w:val="00C47E51"/>
    <w:rsid w:val="00C4DB3E"/>
    <w:rsid w:val="00C503BB"/>
    <w:rsid w:val="00C50414"/>
    <w:rsid w:val="00C50AE7"/>
    <w:rsid w:val="00C50B6C"/>
    <w:rsid w:val="00C50C3A"/>
    <w:rsid w:val="00C50CA4"/>
    <w:rsid w:val="00C50F28"/>
    <w:rsid w:val="00C518CD"/>
    <w:rsid w:val="00C51A84"/>
    <w:rsid w:val="00C51EBD"/>
    <w:rsid w:val="00C524C2"/>
    <w:rsid w:val="00C52872"/>
    <w:rsid w:val="00C52A2F"/>
    <w:rsid w:val="00C53081"/>
    <w:rsid w:val="00C53B75"/>
    <w:rsid w:val="00C53D85"/>
    <w:rsid w:val="00C54185"/>
    <w:rsid w:val="00C548A9"/>
    <w:rsid w:val="00C54AEA"/>
    <w:rsid w:val="00C5521E"/>
    <w:rsid w:val="00C55E25"/>
    <w:rsid w:val="00C55F94"/>
    <w:rsid w:val="00C56606"/>
    <w:rsid w:val="00C56A8E"/>
    <w:rsid w:val="00C56F7F"/>
    <w:rsid w:val="00C575EC"/>
    <w:rsid w:val="00C57912"/>
    <w:rsid w:val="00C603BA"/>
    <w:rsid w:val="00C60504"/>
    <w:rsid w:val="00C60A0C"/>
    <w:rsid w:val="00C60E71"/>
    <w:rsid w:val="00C612BF"/>
    <w:rsid w:val="00C617FF"/>
    <w:rsid w:val="00C61A69"/>
    <w:rsid w:val="00C626A3"/>
    <w:rsid w:val="00C633A0"/>
    <w:rsid w:val="00C63DEE"/>
    <w:rsid w:val="00C63EEA"/>
    <w:rsid w:val="00C641B1"/>
    <w:rsid w:val="00C64415"/>
    <w:rsid w:val="00C64524"/>
    <w:rsid w:val="00C6467C"/>
    <w:rsid w:val="00C649F3"/>
    <w:rsid w:val="00C659F8"/>
    <w:rsid w:val="00C65A9E"/>
    <w:rsid w:val="00C65CD2"/>
    <w:rsid w:val="00C66292"/>
    <w:rsid w:val="00C664CE"/>
    <w:rsid w:val="00C664E0"/>
    <w:rsid w:val="00C66A9F"/>
    <w:rsid w:val="00C66CE9"/>
    <w:rsid w:val="00C670FC"/>
    <w:rsid w:val="00C6715F"/>
    <w:rsid w:val="00C707C4"/>
    <w:rsid w:val="00C70856"/>
    <w:rsid w:val="00C7085B"/>
    <w:rsid w:val="00C7106E"/>
    <w:rsid w:val="00C71882"/>
    <w:rsid w:val="00C718CC"/>
    <w:rsid w:val="00C72250"/>
    <w:rsid w:val="00C725B4"/>
    <w:rsid w:val="00C72648"/>
    <w:rsid w:val="00C7336A"/>
    <w:rsid w:val="00C73521"/>
    <w:rsid w:val="00C73A2C"/>
    <w:rsid w:val="00C7446B"/>
    <w:rsid w:val="00C7456C"/>
    <w:rsid w:val="00C74988"/>
    <w:rsid w:val="00C74A6A"/>
    <w:rsid w:val="00C75A3E"/>
    <w:rsid w:val="00C75A5C"/>
    <w:rsid w:val="00C77200"/>
    <w:rsid w:val="00C77402"/>
    <w:rsid w:val="00C7790D"/>
    <w:rsid w:val="00C80B19"/>
    <w:rsid w:val="00C81A2A"/>
    <w:rsid w:val="00C824D0"/>
    <w:rsid w:val="00C82508"/>
    <w:rsid w:val="00C82E61"/>
    <w:rsid w:val="00C83E35"/>
    <w:rsid w:val="00C84040"/>
    <w:rsid w:val="00C84509"/>
    <w:rsid w:val="00C84825"/>
    <w:rsid w:val="00C84E32"/>
    <w:rsid w:val="00C84EE6"/>
    <w:rsid w:val="00C85074"/>
    <w:rsid w:val="00C85394"/>
    <w:rsid w:val="00C85C7F"/>
    <w:rsid w:val="00C8691C"/>
    <w:rsid w:val="00C86AD1"/>
    <w:rsid w:val="00C86BB7"/>
    <w:rsid w:val="00C8735B"/>
    <w:rsid w:val="00C875FF"/>
    <w:rsid w:val="00C87BFE"/>
    <w:rsid w:val="00C87F79"/>
    <w:rsid w:val="00C9044B"/>
    <w:rsid w:val="00C90EE8"/>
    <w:rsid w:val="00C90F4E"/>
    <w:rsid w:val="00C9110F"/>
    <w:rsid w:val="00C919B8"/>
    <w:rsid w:val="00C92855"/>
    <w:rsid w:val="00C9287C"/>
    <w:rsid w:val="00C92A33"/>
    <w:rsid w:val="00C92AA2"/>
    <w:rsid w:val="00C92BC9"/>
    <w:rsid w:val="00C9301A"/>
    <w:rsid w:val="00C9337B"/>
    <w:rsid w:val="00C9354D"/>
    <w:rsid w:val="00C94432"/>
    <w:rsid w:val="00C944F4"/>
    <w:rsid w:val="00C95A22"/>
    <w:rsid w:val="00C95DD4"/>
    <w:rsid w:val="00C960C4"/>
    <w:rsid w:val="00C960D8"/>
    <w:rsid w:val="00C96380"/>
    <w:rsid w:val="00C97090"/>
    <w:rsid w:val="00C9769F"/>
    <w:rsid w:val="00CA0361"/>
    <w:rsid w:val="00CA075F"/>
    <w:rsid w:val="00CA0985"/>
    <w:rsid w:val="00CA09F3"/>
    <w:rsid w:val="00CA0E25"/>
    <w:rsid w:val="00CA1356"/>
    <w:rsid w:val="00CA1377"/>
    <w:rsid w:val="00CA14C8"/>
    <w:rsid w:val="00CA19CD"/>
    <w:rsid w:val="00CA1FC9"/>
    <w:rsid w:val="00CA2CBD"/>
    <w:rsid w:val="00CA36CB"/>
    <w:rsid w:val="00CA37AC"/>
    <w:rsid w:val="00CA3875"/>
    <w:rsid w:val="00CA3A07"/>
    <w:rsid w:val="00CA469B"/>
    <w:rsid w:val="00CA4BAE"/>
    <w:rsid w:val="00CA4CB5"/>
    <w:rsid w:val="00CA4E6F"/>
    <w:rsid w:val="00CA5219"/>
    <w:rsid w:val="00CA629A"/>
    <w:rsid w:val="00CA6C75"/>
    <w:rsid w:val="00CA6E2F"/>
    <w:rsid w:val="00CA74CD"/>
    <w:rsid w:val="00CA7881"/>
    <w:rsid w:val="00CA78D9"/>
    <w:rsid w:val="00CA7B23"/>
    <w:rsid w:val="00CA7E3E"/>
    <w:rsid w:val="00CB0047"/>
    <w:rsid w:val="00CB0590"/>
    <w:rsid w:val="00CB072E"/>
    <w:rsid w:val="00CB0900"/>
    <w:rsid w:val="00CB0F6B"/>
    <w:rsid w:val="00CB1574"/>
    <w:rsid w:val="00CB191F"/>
    <w:rsid w:val="00CB1AF6"/>
    <w:rsid w:val="00CB1ED5"/>
    <w:rsid w:val="00CB2255"/>
    <w:rsid w:val="00CB255D"/>
    <w:rsid w:val="00CB291F"/>
    <w:rsid w:val="00CB2C1D"/>
    <w:rsid w:val="00CB2DB1"/>
    <w:rsid w:val="00CB2F79"/>
    <w:rsid w:val="00CB3370"/>
    <w:rsid w:val="00CB3BF1"/>
    <w:rsid w:val="00CB3D6C"/>
    <w:rsid w:val="00CB43DB"/>
    <w:rsid w:val="00CB47F0"/>
    <w:rsid w:val="00CB4AEE"/>
    <w:rsid w:val="00CB4C6D"/>
    <w:rsid w:val="00CB5559"/>
    <w:rsid w:val="00CB5A6E"/>
    <w:rsid w:val="00CB7183"/>
    <w:rsid w:val="00CB72D4"/>
    <w:rsid w:val="00CB72D6"/>
    <w:rsid w:val="00CB7930"/>
    <w:rsid w:val="00CB7B7D"/>
    <w:rsid w:val="00CB84C5"/>
    <w:rsid w:val="00CC04FE"/>
    <w:rsid w:val="00CC076E"/>
    <w:rsid w:val="00CC0F76"/>
    <w:rsid w:val="00CC12DB"/>
    <w:rsid w:val="00CC170F"/>
    <w:rsid w:val="00CC1E1B"/>
    <w:rsid w:val="00CC2017"/>
    <w:rsid w:val="00CC2853"/>
    <w:rsid w:val="00CC2992"/>
    <w:rsid w:val="00CC2C89"/>
    <w:rsid w:val="00CC2CB5"/>
    <w:rsid w:val="00CC2F24"/>
    <w:rsid w:val="00CC3091"/>
    <w:rsid w:val="00CC3495"/>
    <w:rsid w:val="00CC37D6"/>
    <w:rsid w:val="00CC3AFD"/>
    <w:rsid w:val="00CC3B80"/>
    <w:rsid w:val="00CC3FEC"/>
    <w:rsid w:val="00CC4D2E"/>
    <w:rsid w:val="00CC5487"/>
    <w:rsid w:val="00CC6099"/>
    <w:rsid w:val="00CC71FF"/>
    <w:rsid w:val="00CC79CE"/>
    <w:rsid w:val="00CD0375"/>
    <w:rsid w:val="00CD0A4E"/>
    <w:rsid w:val="00CD0CC0"/>
    <w:rsid w:val="00CD1061"/>
    <w:rsid w:val="00CD12B4"/>
    <w:rsid w:val="00CD1FFD"/>
    <w:rsid w:val="00CD2B77"/>
    <w:rsid w:val="00CD2D59"/>
    <w:rsid w:val="00CD32E2"/>
    <w:rsid w:val="00CD330E"/>
    <w:rsid w:val="00CD4078"/>
    <w:rsid w:val="00CD4249"/>
    <w:rsid w:val="00CD4335"/>
    <w:rsid w:val="00CD55B6"/>
    <w:rsid w:val="00CD5653"/>
    <w:rsid w:val="00CD5817"/>
    <w:rsid w:val="00CD6420"/>
    <w:rsid w:val="00CD64CE"/>
    <w:rsid w:val="00CD6954"/>
    <w:rsid w:val="00CD7F31"/>
    <w:rsid w:val="00CE001F"/>
    <w:rsid w:val="00CE02CE"/>
    <w:rsid w:val="00CE080C"/>
    <w:rsid w:val="00CE09EA"/>
    <w:rsid w:val="00CE0F52"/>
    <w:rsid w:val="00CE0F63"/>
    <w:rsid w:val="00CE14D2"/>
    <w:rsid w:val="00CE15E9"/>
    <w:rsid w:val="00CE188C"/>
    <w:rsid w:val="00CE1994"/>
    <w:rsid w:val="00CE1D5A"/>
    <w:rsid w:val="00CE279E"/>
    <w:rsid w:val="00CE287C"/>
    <w:rsid w:val="00CE30D4"/>
    <w:rsid w:val="00CE31A3"/>
    <w:rsid w:val="00CE3652"/>
    <w:rsid w:val="00CE3702"/>
    <w:rsid w:val="00CE3BF9"/>
    <w:rsid w:val="00CE4669"/>
    <w:rsid w:val="00CE479E"/>
    <w:rsid w:val="00CE4974"/>
    <w:rsid w:val="00CE5B3F"/>
    <w:rsid w:val="00CE62C7"/>
    <w:rsid w:val="00CE62E2"/>
    <w:rsid w:val="00CE6A40"/>
    <w:rsid w:val="00CE743D"/>
    <w:rsid w:val="00CE7B8C"/>
    <w:rsid w:val="00CF0038"/>
    <w:rsid w:val="00CF0F90"/>
    <w:rsid w:val="00CF11EF"/>
    <w:rsid w:val="00CF1563"/>
    <w:rsid w:val="00CF19F9"/>
    <w:rsid w:val="00CF21DD"/>
    <w:rsid w:val="00CF22F4"/>
    <w:rsid w:val="00CF3AD3"/>
    <w:rsid w:val="00CF3F1C"/>
    <w:rsid w:val="00CF4134"/>
    <w:rsid w:val="00CF4167"/>
    <w:rsid w:val="00CF4289"/>
    <w:rsid w:val="00CF4490"/>
    <w:rsid w:val="00CF4661"/>
    <w:rsid w:val="00CF4E6C"/>
    <w:rsid w:val="00CF4FD0"/>
    <w:rsid w:val="00CF56D0"/>
    <w:rsid w:val="00CF58B3"/>
    <w:rsid w:val="00CF5993"/>
    <w:rsid w:val="00CF6040"/>
    <w:rsid w:val="00CF627B"/>
    <w:rsid w:val="00CF6330"/>
    <w:rsid w:val="00CF6BB0"/>
    <w:rsid w:val="00CF6D30"/>
    <w:rsid w:val="00CF6D99"/>
    <w:rsid w:val="00CF6E5C"/>
    <w:rsid w:val="00CF71BC"/>
    <w:rsid w:val="00D0025F"/>
    <w:rsid w:val="00D00B80"/>
    <w:rsid w:val="00D00C0E"/>
    <w:rsid w:val="00D01027"/>
    <w:rsid w:val="00D0118E"/>
    <w:rsid w:val="00D01830"/>
    <w:rsid w:val="00D0189B"/>
    <w:rsid w:val="00D01D03"/>
    <w:rsid w:val="00D02148"/>
    <w:rsid w:val="00D023A5"/>
    <w:rsid w:val="00D025E0"/>
    <w:rsid w:val="00D028F3"/>
    <w:rsid w:val="00D029C7"/>
    <w:rsid w:val="00D02B9F"/>
    <w:rsid w:val="00D03449"/>
    <w:rsid w:val="00D03F71"/>
    <w:rsid w:val="00D0512D"/>
    <w:rsid w:val="00D0535E"/>
    <w:rsid w:val="00D054FC"/>
    <w:rsid w:val="00D05A2B"/>
    <w:rsid w:val="00D05C87"/>
    <w:rsid w:val="00D0664F"/>
    <w:rsid w:val="00D072C8"/>
    <w:rsid w:val="00D072CA"/>
    <w:rsid w:val="00D07609"/>
    <w:rsid w:val="00D076A9"/>
    <w:rsid w:val="00D07A9B"/>
    <w:rsid w:val="00D10239"/>
    <w:rsid w:val="00D10B54"/>
    <w:rsid w:val="00D10E98"/>
    <w:rsid w:val="00D11527"/>
    <w:rsid w:val="00D115B4"/>
    <w:rsid w:val="00D11669"/>
    <w:rsid w:val="00D11A37"/>
    <w:rsid w:val="00D11D81"/>
    <w:rsid w:val="00D123E7"/>
    <w:rsid w:val="00D12BB2"/>
    <w:rsid w:val="00D12C7C"/>
    <w:rsid w:val="00D13756"/>
    <w:rsid w:val="00D1379D"/>
    <w:rsid w:val="00D1450E"/>
    <w:rsid w:val="00D15253"/>
    <w:rsid w:val="00D1550B"/>
    <w:rsid w:val="00D1572A"/>
    <w:rsid w:val="00D16146"/>
    <w:rsid w:val="00D16A71"/>
    <w:rsid w:val="00D16C95"/>
    <w:rsid w:val="00D16DDF"/>
    <w:rsid w:val="00D16E29"/>
    <w:rsid w:val="00D174E3"/>
    <w:rsid w:val="00D17535"/>
    <w:rsid w:val="00D17CEC"/>
    <w:rsid w:val="00D208DE"/>
    <w:rsid w:val="00D20A73"/>
    <w:rsid w:val="00D20B16"/>
    <w:rsid w:val="00D2164C"/>
    <w:rsid w:val="00D21F55"/>
    <w:rsid w:val="00D22DBE"/>
    <w:rsid w:val="00D2343A"/>
    <w:rsid w:val="00D23F0C"/>
    <w:rsid w:val="00D23FAF"/>
    <w:rsid w:val="00D2413B"/>
    <w:rsid w:val="00D242F8"/>
    <w:rsid w:val="00D25590"/>
    <w:rsid w:val="00D25BE9"/>
    <w:rsid w:val="00D25C78"/>
    <w:rsid w:val="00D25C7F"/>
    <w:rsid w:val="00D25D9A"/>
    <w:rsid w:val="00D26FE2"/>
    <w:rsid w:val="00D270CD"/>
    <w:rsid w:val="00D2716A"/>
    <w:rsid w:val="00D276C3"/>
    <w:rsid w:val="00D27717"/>
    <w:rsid w:val="00D27C8F"/>
    <w:rsid w:val="00D300CE"/>
    <w:rsid w:val="00D3010A"/>
    <w:rsid w:val="00D303C6"/>
    <w:rsid w:val="00D3068C"/>
    <w:rsid w:val="00D30A36"/>
    <w:rsid w:val="00D30FA3"/>
    <w:rsid w:val="00D31780"/>
    <w:rsid w:val="00D31C00"/>
    <w:rsid w:val="00D31E0E"/>
    <w:rsid w:val="00D31EC4"/>
    <w:rsid w:val="00D32C2C"/>
    <w:rsid w:val="00D32C61"/>
    <w:rsid w:val="00D3314C"/>
    <w:rsid w:val="00D3343F"/>
    <w:rsid w:val="00D33708"/>
    <w:rsid w:val="00D33724"/>
    <w:rsid w:val="00D3387C"/>
    <w:rsid w:val="00D34847"/>
    <w:rsid w:val="00D349E9"/>
    <w:rsid w:val="00D3503B"/>
    <w:rsid w:val="00D35066"/>
    <w:rsid w:val="00D35292"/>
    <w:rsid w:val="00D3541D"/>
    <w:rsid w:val="00D354F0"/>
    <w:rsid w:val="00D3550B"/>
    <w:rsid w:val="00D35633"/>
    <w:rsid w:val="00D361E3"/>
    <w:rsid w:val="00D36C41"/>
    <w:rsid w:val="00D36D33"/>
    <w:rsid w:val="00D36FB6"/>
    <w:rsid w:val="00D37B98"/>
    <w:rsid w:val="00D40314"/>
    <w:rsid w:val="00D40365"/>
    <w:rsid w:val="00D4049B"/>
    <w:rsid w:val="00D4063B"/>
    <w:rsid w:val="00D407B1"/>
    <w:rsid w:val="00D409E2"/>
    <w:rsid w:val="00D40AF2"/>
    <w:rsid w:val="00D4114A"/>
    <w:rsid w:val="00D4181A"/>
    <w:rsid w:val="00D41DE2"/>
    <w:rsid w:val="00D4214F"/>
    <w:rsid w:val="00D42D4D"/>
    <w:rsid w:val="00D43350"/>
    <w:rsid w:val="00D43665"/>
    <w:rsid w:val="00D437E7"/>
    <w:rsid w:val="00D43C96"/>
    <w:rsid w:val="00D43EC7"/>
    <w:rsid w:val="00D43ECA"/>
    <w:rsid w:val="00D44172"/>
    <w:rsid w:val="00D445E5"/>
    <w:rsid w:val="00D44602"/>
    <w:rsid w:val="00D44FA5"/>
    <w:rsid w:val="00D4525F"/>
    <w:rsid w:val="00D45EAB"/>
    <w:rsid w:val="00D45F1C"/>
    <w:rsid w:val="00D469F7"/>
    <w:rsid w:val="00D4789E"/>
    <w:rsid w:val="00D5034C"/>
    <w:rsid w:val="00D504B9"/>
    <w:rsid w:val="00D5070F"/>
    <w:rsid w:val="00D50B24"/>
    <w:rsid w:val="00D51440"/>
    <w:rsid w:val="00D51509"/>
    <w:rsid w:val="00D51624"/>
    <w:rsid w:val="00D521EA"/>
    <w:rsid w:val="00D5298E"/>
    <w:rsid w:val="00D53594"/>
    <w:rsid w:val="00D5385B"/>
    <w:rsid w:val="00D539B6"/>
    <w:rsid w:val="00D53B35"/>
    <w:rsid w:val="00D53D92"/>
    <w:rsid w:val="00D53DB3"/>
    <w:rsid w:val="00D54047"/>
    <w:rsid w:val="00D54C29"/>
    <w:rsid w:val="00D54E33"/>
    <w:rsid w:val="00D555D9"/>
    <w:rsid w:val="00D55DBD"/>
    <w:rsid w:val="00D56359"/>
    <w:rsid w:val="00D56768"/>
    <w:rsid w:val="00D5712E"/>
    <w:rsid w:val="00D607E6"/>
    <w:rsid w:val="00D60E09"/>
    <w:rsid w:val="00D614AE"/>
    <w:rsid w:val="00D61AC4"/>
    <w:rsid w:val="00D61BE8"/>
    <w:rsid w:val="00D61EEE"/>
    <w:rsid w:val="00D62099"/>
    <w:rsid w:val="00D62AF0"/>
    <w:rsid w:val="00D62F62"/>
    <w:rsid w:val="00D630A1"/>
    <w:rsid w:val="00D63152"/>
    <w:rsid w:val="00D632ED"/>
    <w:rsid w:val="00D633BA"/>
    <w:rsid w:val="00D63638"/>
    <w:rsid w:val="00D63A75"/>
    <w:rsid w:val="00D63CEE"/>
    <w:rsid w:val="00D6521F"/>
    <w:rsid w:val="00D653EC"/>
    <w:rsid w:val="00D65420"/>
    <w:rsid w:val="00D655D4"/>
    <w:rsid w:val="00D6589B"/>
    <w:rsid w:val="00D65A06"/>
    <w:rsid w:val="00D65A97"/>
    <w:rsid w:val="00D65FDD"/>
    <w:rsid w:val="00D66099"/>
    <w:rsid w:val="00D6621A"/>
    <w:rsid w:val="00D66ABF"/>
    <w:rsid w:val="00D66C2C"/>
    <w:rsid w:val="00D67463"/>
    <w:rsid w:val="00D6746F"/>
    <w:rsid w:val="00D678B9"/>
    <w:rsid w:val="00D67AFD"/>
    <w:rsid w:val="00D70A18"/>
    <w:rsid w:val="00D71CFE"/>
    <w:rsid w:val="00D71FD1"/>
    <w:rsid w:val="00D72586"/>
    <w:rsid w:val="00D727AD"/>
    <w:rsid w:val="00D727C6"/>
    <w:rsid w:val="00D72A92"/>
    <w:rsid w:val="00D73615"/>
    <w:rsid w:val="00D73B19"/>
    <w:rsid w:val="00D73DF3"/>
    <w:rsid w:val="00D73E8D"/>
    <w:rsid w:val="00D755DD"/>
    <w:rsid w:val="00D75863"/>
    <w:rsid w:val="00D75CDD"/>
    <w:rsid w:val="00D75FBE"/>
    <w:rsid w:val="00D76914"/>
    <w:rsid w:val="00D7710F"/>
    <w:rsid w:val="00D77972"/>
    <w:rsid w:val="00D80089"/>
    <w:rsid w:val="00D80297"/>
    <w:rsid w:val="00D8037C"/>
    <w:rsid w:val="00D814E4"/>
    <w:rsid w:val="00D8180C"/>
    <w:rsid w:val="00D81BBE"/>
    <w:rsid w:val="00D825D3"/>
    <w:rsid w:val="00D82F30"/>
    <w:rsid w:val="00D838E0"/>
    <w:rsid w:val="00D84289"/>
    <w:rsid w:val="00D846E5"/>
    <w:rsid w:val="00D848D0"/>
    <w:rsid w:val="00D84BCB"/>
    <w:rsid w:val="00D84E07"/>
    <w:rsid w:val="00D84E23"/>
    <w:rsid w:val="00D84FBD"/>
    <w:rsid w:val="00D851BB"/>
    <w:rsid w:val="00D85462"/>
    <w:rsid w:val="00D8661E"/>
    <w:rsid w:val="00D86932"/>
    <w:rsid w:val="00D86B94"/>
    <w:rsid w:val="00D86D62"/>
    <w:rsid w:val="00D876A2"/>
    <w:rsid w:val="00D878EF"/>
    <w:rsid w:val="00D87A12"/>
    <w:rsid w:val="00D904B4"/>
    <w:rsid w:val="00D90ADE"/>
    <w:rsid w:val="00D92397"/>
    <w:rsid w:val="00D92FE9"/>
    <w:rsid w:val="00D935DF"/>
    <w:rsid w:val="00D93C22"/>
    <w:rsid w:val="00D93F4B"/>
    <w:rsid w:val="00D94127"/>
    <w:rsid w:val="00D95A53"/>
    <w:rsid w:val="00D95B27"/>
    <w:rsid w:val="00D95B8F"/>
    <w:rsid w:val="00D95D48"/>
    <w:rsid w:val="00D95E1C"/>
    <w:rsid w:val="00D96326"/>
    <w:rsid w:val="00D96A2F"/>
    <w:rsid w:val="00D97405"/>
    <w:rsid w:val="00D9781E"/>
    <w:rsid w:val="00D97B4A"/>
    <w:rsid w:val="00DA0A80"/>
    <w:rsid w:val="00DA0AF0"/>
    <w:rsid w:val="00DA0B3C"/>
    <w:rsid w:val="00DA0D5C"/>
    <w:rsid w:val="00DA206E"/>
    <w:rsid w:val="00DA2367"/>
    <w:rsid w:val="00DA2BD5"/>
    <w:rsid w:val="00DA2C68"/>
    <w:rsid w:val="00DA3B4F"/>
    <w:rsid w:val="00DA424E"/>
    <w:rsid w:val="00DA444F"/>
    <w:rsid w:val="00DA478B"/>
    <w:rsid w:val="00DA4D13"/>
    <w:rsid w:val="00DA51C0"/>
    <w:rsid w:val="00DA5D41"/>
    <w:rsid w:val="00DA5E07"/>
    <w:rsid w:val="00DA71DC"/>
    <w:rsid w:val="00DA75A9"/>
    <w:rsid w:val="00DA7970"/>
    <w:rsid w:val="00DB0C54"/>
    <w:rsid w:val="00DB13AC"/>
    <w:rsid w:val="00DB176A"/>
    <w:rsid w:val="00DB1808"/>
    <w:rsid w:val="00DB1AC5"/>
    <w:rsid w:val="00DB1BED"/>
    <w:rsid w:val="00DB1D58"/>
    <w:rsid w:val="00DB27D4"/>
    <w:rsid w:val="00DB304A"/>
    <w:rsid w:val="00DB31DB"/>
    <w:rsid w:val="00DB3A42"/>
    <w:rsid w:val="00DB3B82"/>
    <w:rsid w:val="00DB3BA6"/>
    <w:rsid w:val="00DB3EF5"/>
    <w:rsid w:val="00DB429B"/>
    <w:rsid w:val="00DB4956"/>
    <w:rsid w:val="00DB4D2B"/>
    <w:rsid w:val="00DB4EB3"/>
    <w:rsid w:val="00DB5808"/>
    <w:rsid w:val="00DB6659"/>
    <w:rsid w:val="00DB6664"/>
    <w:rsid w:val="00DB6C20"/>
    <w:rsid w:val="00DB6FFC"/>
    <w:rsid w:val="00DB7A16"/>
    <w:rsid w:val="00DB7CB9"/>
    <w:rsid w:val="00DB7FCD"/>
    <w:rsid w:val="00DC00D7"/>
    <w:rsid w:val="00DC14C1"/>
    <w:rsid w:val="00DC22F5"/>
    <w:rsid w:val="00DC231C"/>
    <w:rsid w:val="00DC2403"/>
    <w:rsid w:val="00DC297D"/>
    <w:rsid w:val="00DC2F55"/>
    <w:rsid w:val="00DC3646"/>
    <w:rsid w:val="00DC4947"/>
    <w:rsid w:val="00DC4B36"/>
    <w:rsid w:val="00DC4CE8"/>
    <w:rsid w:val="00DC50A2"/>
    <w:rsid w:val="00DC52B2"/>
    <w:rsid w:val="00DC57EF"/>
    <w:rsid w:val="00DC588A"/>
    <w:rsid w:val="00DC5F83"/>
    <w:rsid w:val="00DC67DD"/>
    <w:rsid w:val="00DC6989"/>
    <w:rsid w:val="00DC77CA"/>
    <w:rsid w:val="00DC7CE8"/>
    <w:rsid w:val="00DD03DB"/>
    <w:rsid w:val="00DD09F2"/>
    <w:rsid w:val="00DD0BFE"/>
    <w:rsid w:val="00DD0CC6"/>
    <w:rsid w:val="00DD0D1C"/>
    <w:rsid w:val="00DD1B62"/>
    <w:rsid w:val="00DD1E96"/>
    <w:rsid w:val="00DD203D"/>
    <w:rsid w:val="00DD21EA"/>
    <w:rsid w:val="00DD22E9"/>
    <w:rsid w:val="00DD233E"/>
    <w:rsid w:val="00DD25E2"/>
    <w:rsid w:val="00DD2615"/>
    <w:rsid w:val="00DD279E"/>
    <w:rsid w:val="00DD2879"/>
    <w:rsid w:val="00DD290B"/>
    <w:rsid w:val="00DD2C99"/>
    <w:rsid w:val="00DD345B"/>
    <w:rsid w:val="00DD35CD"/>
    <w:rsid w:val="00DD41B9"/>
    <w:rsid w:val="00DD459B"/>
    <w:rsid w:val="00DD4614"/>
    <w:rsid w:val="00DD4973"/>
    <w:rsid w:val="00DD5027"/>
    <w:rsid w:val="00DD5066"/>
    <w:rsid w:val="00DD55BC"/>
    <w:rsid w:val="00DD6205"/>
    <w:rsid w:val="00DD6B96"/>
    <w:rsid w:val="00DD6D36"/>
    <w:rsid w:val="00DD78AC"/>
    <w:rsid w:val="00DE02E5"/>
    <w:rsid w:val="00DE04ED"/>
    <w:rsid w:val="00DE05C7"/>
    <w:rsid w:val="00DE05FC"/>
    <w:rsid w:val="00DE0706"/>
    <w:rsid w:val="00DE0C29"/>
    <w:rsid w:val="00DE1B30"/>
    <w:rsid w:val="00DE207D"/>
    <w:rsid w:val="00DE2470"/>
    <w:rsid w:val="00DE24DB"/>
    <w:rsid w:val="00DE27FF"/>
    <w:rsid w:val="00DE2C75"/>
    <w:rsid w:val="00DE2E1D"/>
    <w:rsid w:val="00DE34C3"/>
    <w:rsid w:val="00DE361E"/>
    <w:rsid w:val="00DE3631"/>
    <w:rsid w:val="00DE3B50"/>
    <w:rsid w:val="00DE50F4"/>
    <w:rsid w:val="00DE55A0"/>
    <w:rsid w:val="00DE5E2D"/>
    <w:rsid w:val="00DE6762"/>
    <w:rsid w:val="00DE6974"/>
    <w:rsid w:val="00DE6CA1"/>
    <w:rsid w:val="00DE703A"/>
    <w:rsid w:val="00DE7186"/>
    <w:rsid w:val="00DE71E3"/>
    <w:rsid w:val="00DE742C"/>
    <w:rsid w:val="00DE7B5E"/>
    <w:rsid w:val="00DE7E75"/>
    <w:rsid w:val="00DF06E2"/>
    <w:rsid w:val="00DF06E8"/>
    <w:rsid w:val="00DF0C09"/>
    <w:rsid w:val="00DF0DE6"/>
    <w:rsid w:val="00DF0EA9"/>
    <w:rsid w:val="00DF167C"/>
    <w:rsid w:val="00DF1C0C"/>
    <w:rsid w:val="00DF1FE4"/>
    <w:rsid w:val="00DF215F"/>
    <w:rsid w:val="00DF3325"/>
    <w:rsid w:val="00DF342D"/>
    <w:rsid w:val="00DF34D7"/>
    <w:rsid w:val="00DF3518"/>
    <w:rsid w:val="00DF4B47"/>
    <w:rsid w:val="00DF4E13"/>
    <w:rsid w:val="00DF556E"/>
    <w:rsid w:val="00DF5ABD"/>
    <w:rsid w:val="00DF5AFB"/>
    <w:rsid w:val="00DF5CBC"/>
    <w:rsid w:val="00DF6145"/>
    <w:rsid w:val="00DF61A7"/>
    <w:rsid w:val="00DF677E"/>
    <w:rsid w:val="00DF67B0"/>
    <w:rsid w:val="00DF6DF9"/>
    <w:rsid w:val="00DF7C6C"/>
    <w:rsid w:val="00DF7CF7"/>
    <w:rsid w:val="00DF7D0B"/>
    <w:rsid w:val="00DF7DB9"/>
    <w:rsid w:val="00E0113F"/>
    <w:rsid w:val="00E0172E"/>
    <w:rsid w:val="00E01AAC"/>
    <w:rsid w:val="00E01CD5"/>
    <w:rsid w:val="00E027A9"/>
    <w:rsid w:val="00E02C30"/>
    <w:rsid w:val="00E03124"/>
    <w:rsid w:val="00E036A0"/>
    <w:rsid w:val="00E038A0"/>
    <w:rsid w:val="00E038ED"/>
    <w:rsid w:val="00E03D3D"/>
    <w:rsid w:val="00E03F6C"/>
    <w:rsid w:val="00E03F7F"/>
    <w:rsid w:val="00E042A7"/>
    <w:rsid w:val="00E047C3"/>
    <w:rsid w:val="00E04C9D"/>
    <w:rsid w:val="00E04D71"/>
    <w:rsid w:val="00E04E60"/>
    <w:rsid w:val="00E04E88"/>
    <w:rsid w:val="00E058CF"/>
    <w:rsid w:val="00E0647E"/>
    <w:rsid w:val="00E066A0"/>
    <w:rsid w:val="00E06ECF"/>
    <w:rsid w:val="00E06F4E"/>
    <w:rsid w:val="00E06FE1"/>
    <w:rsid w:val="00E0747A"/>
    <w:rsid w:val="00E07B59"/>
    <w:rsid w:val="00E10D86"/>
    <w:rsid w:val="00E11419"/>
    <w:rsid w:val="00E1202E"/>
    <w:rsid w:val="00E126AA"/>
    <w:rsid w:val="00E126C9"/>
    <w:rsid w:val="00E12735"/>
    <w:rsid w:val="00E127E9"/>
    <w:rsid w:val="00E1295B"/>
    <w:rsid w:val="00E12995"/>
    <w:rsid w:val="00E12E21"/>
    <w:rsid w:val="00E1369F"/>
    <w:rsid w:val="00E14088"/>
    <w:rsid w:val="00E1682D"/>
    <w:rsid w:val="00E16D30"/>
    <w:rsid w:val="00E17BF6"/>
    <w:rsid w:val="00E17CD8"/>
    <w:rsid w:val="00E201BF"/>
    <w:rsid w:val="00E20873"/>
    <w:rsid w:val="00E23459"/>
    <w:rsid w:val="00E23774"/>
    <w:rsid w:val="00E23AF6"/>
    <w:rsid w:val="00E2425E"/>
    <w:rsid w:val="00E24534"/>
    <w:rsid w:val="00E248B4"/>
    <w:rsid w:val="00E24EC0"/>
    <w:rsid w:val="00E250E7"/>
    <w:rsid w:val="00E257B2"/>
    <w:rsid w:val="00E25950"/>
    <w:rsid w:val="00E25E4B"/>
    <w:rsid w:val="00E265D1"/>
    <w:rsid w:val="00E2683A"/>
    <w:rsid w:val="00E2696F"/>
    <w:rsid w:val="00E26F9F"/>
    <w:rsid w:val="00E30179"/>
    <w:rsid w:val="00E306F0"/>
    <w:rsid w:val="00E30FF0"/>
    <w:rsid w:val="00E311A8"/>
    <w:rsid w:val="00E311E8"/>
    <w:rsid w:val="00E3164F"/>
    <w:rsid w:val="00E31ED5"/>
    <w:rsid w:val="00E32149"/>
    <w:rsid w:val="00E32489"/>
    <w:rsid w:val="00E326ED"/>
    <w:rsid w:val="00E3333B"/>
    <w:rsid w:val="00E33907"/>
    <w:rsid w:val="00E33AE5"/>
    <w:rsid w:val="00E33AE7"/>
    <w:rsid w:val="00E33C1C"/>
    <w:rsid w:val="00E33C29"/>
    <w:rsid w:val="00E34F7D"/>
    <w:rsid w:val="00E3513C"/>
    <w:rsid w:val="00E35673"/>
    <w:rsid w:val="00E356D0"/>
    <w:rsid w:val="00E360AD"/>
    <w:rsid w:val="00E36377"/>
    <w:rsid w:val="00E366A9"/>
    <w:rsid w:val="00E36947"/>
    <w:rsid w:val="00E36AC6"/>
    <w:rsid w:val="00E36D7D"/>
    <w:rsid w:val="00E36EE0"/>
    <w:rsid w:val="00E3785E"/>
    <w:rsid w:val="00E37A45"/>
    <w:rsid w:val="00E37EF8"/>
    <w:rsid w:val="00E40182"/>
    <w:rsid w:val="00E40625"/>
    <w:rsid w:val="00E40806"/>
    <w:rsid w:val="00E40B4B"/>
    <w:rsid w:val="00E41E59"/>
    <w:rsid w:val="00E422F5"/>
    <w:rsid w:val="00E42365"/>
    <w:rsid w:val="00E4259B"/>
    <w:rsid w:val="00E42B8A"/>
    <w:rsid w:val="00E42C55"/>
    <w:rsid w:val="00E4327E"/>
    <w:rsid w:val="00E432AB"/>
    <w:rsid w:val="00E4413A"/>
    <w:rsid w:val="00E44C7D"/>
    <w:rsid w:val="00E4503F"/>
    <w:rsid w:val="00E45413"/>
    <w:rsid w:val="00E45656"/>
    <w:rsid w:val="00E45C84"/>
    <w:rsid w:val="00E45D41"/>
    <w:rsid w:val="00E4684F"/>
    <w:rsid w:val="00E46B6B"/>
    <w:rsid w:val="00E47CF8"/>
    <w:rsid w:val="00E5055D"/>
    <w:rsid w:val="00E50B85"/>
    <w:rsid w:val="00E51186"/>
    <w:rsid w:val="00E512F6"/>
    <w:rsid w:val="00E5133E"/>
    <w:rsid w:val="00E51FD6"/>
    <w:rsid w:val="00E52875"/>
    <w:rsid w:val="00E528CD"/>
    <w:rsid w:val="00E52B32"/>
    <w:rsid w:val="00E52B4E"/>
    <w:rsid w:val="00E532A9"/>
    <w:rsid w:val="00E54029"/>
    <w:rsid w:val="00E54068"/>
    <w:rsid w:val="00E54396"/>
    <w:rsid w:val="00E554CB"/>
    <w:rsid w:val="00E55AD6"/>
    <w:rsid w:val="00E55B9C"/>
    <w:rsid w:val="00E55D86"/>
    <w:rsid w:val="00E56436"/>
    <w:rsid w:val="00E5687A"/>
    <w:rsid w:val="00E57C8B"/>
    <w:rsid w:val="00E57E69"/>
    <w:rsid w:val="00E57EE9"/>
    <w:rsid w:val="00E60216"/>
    <w:rsid w:val="00E60792"/>
    <w:rsid w:val="00E60A14"/>
    <w:rsid w:val="00E621B9"/>
    <w:rsid w:val="00E6224F"/>
    <w:rsid w:val="00E62CC9"/>
    <w:rsid w:val="00E6379C"/>
    <w:rsid w:val="00E63A24"/>
    <w:rsid w:val="00E63F08"/>
    <w:rsid w:val="00E645C9"/>
    <w:rsid w:val="00E64E97"/>
    <w:rsid w:val="00E64EA5"/>
    <w:rsid w:val="00E65A43"/>
    <w:rsid w:val="00E66E42"/>
    <w:rsid w:val="00E67496"/>
    <w:rsid w:val="00E67774"/>
    <w:rsid w:val="00E700EA"/>
    <w:rsid w:val="00E71443"/>
    <w:rsid w:val="00E718ED"/>
    <w:rsid w:val="00E7259E"/>
    <w:rsid w:val="00E72AD2"/>
    <w:rsid w:val="00E73401"/>
    <w:rsid w:val="00E73CC2"/>
    <w:rsid w:val="00E73EED"/>
    <w:rsid w:val="00E73F10"/>
    <w:rsid w:val="00E73FF9"/>
    <w:rsid w:val="00E7459A"/>
    <w:rsid w:val="00E74C13"/>
    <w:rsid w:val="00E7532B"/>
    <w:rsid w:val="00E758DE"/>
    <w:rsid w:val="00E75A67"/>
    <w:rsid w:val="00E767C6"/>
    <w:rsid w:val="00E76AC7"/>
    <w:rsid w:val="00E76E74"/>
    <w:rsid w:val="00E76F2A"/>
    <w:rsid w:val="00E776F4"/>
    <w:rsid w:val="00E77799"/>
    <w:rsid w:val="00E77D3D"/>
    <w:rsid w:val="00E804E9"/>
    <w:rsid w:val="00E80B32"/>
    <w:rsid w:val="00E80DAC"/>
    <w:rsid w:val="00E8153D"/>
    <w:rsid w:val="00E8174F"/>
    <w:rsid w:val="00E81873"/>
    <w:rsid w:val="00E81CE4"/>
    <w:rsid w:val="00E823EE"/>
    <w:rsid w:val="00E82497"/>
    <w:rsid w:val="00E83FD4"/>
    <w:rsid w:val="00E8436B"/>
    <w:rsid w:val="00E84551"/>
    <w:rsid w:val="00E84633"/>
    <w:rsid w:val="00E84926"/>
    <w:rsid w:val="00E84EEC"/>
    <w:rsid w:val="00E853E5"/>
    <w:rsid w:val="00E85605"/>
    <w:rsid w:val="00E85739"/>
    <w:rsid w:val="00E85D68"/>
    <w:rsid w:val="00E86406"/>
    <w:rsid w:val="00E86C39"/>
    <w:rsid w:val="00E870F4"/>
    <w:rsid w:val="00E874C6"/>
    <w:rsid w:val="00E87691"/>
    <w:rsid w:val="00E87D44"/>
    <w:rsid w:val="00E906E6"/>
    <w:rsid w:val="00E907E2"/>
    <w:rsid w:val="00E909CE"/>
    <w:rsid w:val="00E90D6F"/>
    <w:rsid w:val="00E9181F"/>
    <w:rsid w:val="00E9240B"/>
    <w:rsid w:val="00E92BDB"/>
    <w:rsid w:val="00E92C27"/>
    <w:rsid w:val="00E93810"/>
    <w:rsid w:val="00E94183"/>
    <w:rsid w:val="00E94966"/>
    <w:rsid w:val="00E9498F"/>
    <w:rsid w:val="00E94D2A"/>
    <w:rsid w:val="00E94F11"/>
    <w:rsid w:val="00E95504"/>
    <w:rsid w:val="00E9589D"/>
    <w:rsid w:val="00E96A7C"/>
    <w:rsid w:val="00E96A96"/>
    <w:rsid w:val="00E973C4"/>
    <w:rsid w:val="00E97B10"/>
    <w:rsid w:val="00EA025B"/>
    <w:rsid w:val="00EA0A85"/>
    <w:rsid w:val="00EA12B0"/>
    <w:rsid w:val="00EA21FB"/>
    <w:rsid w:val="00EA22A7"/>
    <w:rsid w:val="00EA26AE"/>
    <w:rsid w:val="00EA2AF6"/>
    <w:rsid w:val="00EA2F87"/>
    <w:rsid w:val="00EA34F4"/>
    <w:rsid w:val="00EA3E30"/>
    <w:rsid w:val="00EA46ED"/>
    <w:rsid w:val="00EA556E"/>
    <w:rsid w:val="00EA55AE"/>
    <w:rsid w:val="00EA5BAB"/>
    <w:rsid w:val="00EA6111"/>
    <w:rsid w:val="00EA6116"/>
    <w:rsid w:val="00EA6314"/>
    <w:rsid w:val="00EA7D99"/>
    <w:rsid w:val="00EA7EDB"/>
    <w:rsid w:val="00EB107A"/>
    <w:rsid w:val="00EB14F8"/>
    <w:rsid w:val="00EB16D7"/>
    <w:rsid w:val="00EB1837"/>
    <w:rsid w:val="00EB197B"/>
    <w:rsid w:val="00EB234D"/>
    <w:rsid w:val="00EB2588"/>
    <w:rsid w:val="00EB2938"/>
    <w:rsid w:val="00EB3160"/>
    <w:rsid w:val="00EB3AAE"/>
    <w:rsid w:val="00EB3B05"/>
    <w:rsid w:val="00EB3C96"/>
    <w:rsid w:val="00EB3EA2"/>
    <w:rsid w:val="00EB3FA4"/>
    <w:rsid w:val="00EB4160"/>
    <w:rsid w:val="00EB425E"/>
    <w:rsid w:val="00EB4751"/>
    <w:rsid w:val="00EB48D8"/>
    <w:rsid w:val="00EB4C38"/>
    <w:rsid w:val="00EB4FF3"/>
    <w:rsid w:val="00EB5651"/>
    <w:rsid w:val="00EB5732"/>
    <w:rsid w:val="00EB6508"/>
    <w:rsid w:val="00EB6555"/>
    <w:rsid w:val="00EB658B"/>
    <w:rsid w:val="00EB6701"/>
    <w:rsid w:val="00EB6933"/>
    <w:rsid w:val="00EB6B2A"/>
    <w:rsid w:val="00EB6C32"/>
    <w:rsid w:val="00EB6F3C"/>
    <w:rsid w:val="00EB7AB7"/>
    <w:rsid w:val="00EB7D62"/>
    <w:rsid w:val="00EC0673"/>
    <w:rsid w:val="00EC07FE"/>
    <w:rsid w:val="00EC08E9"/>
    <w:rsid w:val="00EC09C2"/>
    <w:rsid w:val="00EC15F4"/>
    <w:rsid w:val="00EC2670"/>
    <w:rsid w:val="00EC2922"/>
    <w:rsid w:val="00EC2F11"/>
    <w:rsid w:val="00EC3013"/>
    <w:rsid w:val="00EC3279"/>
    <w:rsid w:val="00EC3AAB"/>
    <w:rsid w:val="00EC40EC"/>
    <w:rsid w:val="00EC4589"/>
    <w:rsid w:val="00EC5404"/>
    <w:rsid w:val="00EC5638"/>
    <w:rsid w:val="00EC575D"/>
    <w:rsid w:val="00EC7402"/>
    <w:rsid w:val="00EC7853"/>
    <w:rsid w:val="00EC7E0A"/>
    <w:rsid w:val="00ED04BB"/>
    <w:rsid w:val="00ED0A0B"/>
    <w:rsid w:val="00ED0AA2"/>
    <w:rsid w:val="00ED0B61"/>
    <w:rsid w:val="00ED0B98"/>
    <w:rsid w:val="00ED1062"/>
    <w:rsid w:val="00ED11C1"/>
    <w:rsid w:val="00ED1E9C"/>
    <w:rsid w:val="00ED2222"/>
    <w:rsid w:val="00ED263D"/>
    <w:rsid w:val="00ED2CD7"/>
    <w:rsid w:val="00ED3195"/>
    <w:rsid w:val="00ED377E"/>
    <w:rsid w:val="00ED37F3"/>
    <w:rsid w:val="00ED3F6A"/>
    <w:rsid w:val="00ED4002"/>
    <w:rsid w:val="00ED4592"/>
    <w:rsid w:val="00ED53C7"/>
    <w:rsid w:val="00ED53D5"/>
    <w:rsid w:val="00ED5441"/>
    <w:rsid w:val="00ED571B"/>
    <w:rsid w:val="00ED69FD"/>
    <w:rsid w:val="00ED7047"/>
    <w:rsid w:val="00ED77FC"/>
    <w:rsid w:val="00EE0258"/>
    <w:rsid w:val="00EE0750"/>
    <w:rsid w:val="00EE087C"/>
    <w:rsid w:val="00EE11A5"/>
    <w:rsid w:val="00EE1597"/>
    <w:rsid w:val="00EE172C"/>
    <w:rsid w:val="00EE268B"/>
    <w:rsid w:val="00EE2EB3"/>
    <w:rsid w:val="00EE30DC"/>
    <w:rsid w:val="00EE37AA"/>
    <w:rsid w:val="00EE3C4C"/>
    <w:rsid w:val="00EE3F1F"/>
    <w:rsid w:val="00EE4162"/>
    <w:rsid w:val="00EE440B"/>
    <w:rsid w:val="00EE4783"/>
    <w:rsid w:val="00EE5234"/>
    <w:rsid w:val="00EE5767"/>
    <w:rsid w:val="00EE7069"/>
    <w:rsid w:val="00EE71F5"/>
    <w:rsid w:val="00EE726F"/>
    <w:rsid w:val="00EE73B8"/>
    <w:rsid w:val="00EE7935"/>
    <w:rsid w:val="00EE7BAA"/>
    <w:rsid w:val="00EF0CD2"/>
    <w:rsid w:val="00EF16B7"/>
    <w:rsid w:val="00EF2283"/>
    <w:rsid w:val="00EF2AFD"/>
    <w:rsid w:val="00EF3194"/>
    <w:rsid w:val="00EF338A"/>
    <w:rsid w:val="00EF33E1"/>
    <w:rsid w:val="00EF3471"/>
    <w:rsid w:val="00EF3501"/>
    <w:rsid w:val="00EF3878"/>
    <w:rsid w:val="00EF392F"/>
    <w:rsid w:val="00EF3C33"/>
    <w:rsid w:val="00EF47E9"/>
    <w:rsid w:val="00EF4904"/>
    <w:rsid w:val="00EF513D"/>
    <w:rsid w:val="00EF5288"/>
    <w:rsid w:val="00EF532D"/>
    <w:rsid w:val="00EF57CE"/>
    <w:rsid w:val="00EF5DFF"/>
    <w:rsid w:val="00EF63D9"/>
    <w:rsid w:val="00EF6581"/>
    <w:rsid w:val="00EF65BC"/>
    <w:rsid w:val="00EF6A24"/>
    <w:rsid w:val="00EF6F0C"/>
    <w:rsid w:val="00EF7104"/>
    <w:rsid w:val="00EF71D7"/>
    <w:rsid w:val="00EF760A"/>
    <w:rsid w:val="00F008FE"/>
    <w:rsid w:val="00F00A06"/>
    <w:rsid w:val="00F00A5E"/>
    <w:rsid w:val="00F01250"/>
    <w:rsid w:val="00F01969"/>
    <w:rsid w:val="00F0243B"/>
    <w:rsid w:val="00F03CAD"/>
    <w:rsid w:val="00F03D29"/>
    <w:rsid w:val="00F03F29"/>
    <w:rsid w:val="00F04156"/>
    <w:rsid w:val="00F04348"/>
    <w:rsid w:val="00F055FE"/>
    <w:rsid w:val="00F056A2"/>
    <w:rsid w:val="00F057EB"/>
    <w:rsid w:val="00F0669D"/>
    <w:rsid w:val="00F06A3B"/>
    <w:rsid w:val="00F06EE8"/>
    <w:rsid w:val="00F07740"/>
    <w:rsid w:val="00F078F5"/>
    <w:rsid w:val="00F07B80"/>
    <w:rsid w:val="00F07B8A"/>
    <w:rsid w:val="00F1037A"/>
    <w:rsid w:val="00F10921"/>
    <w:rsid w:val="00F11208"/>
    <w:rsid w:val="00F112AA"/>
    <w:rsid w:val="00F1150D"/>
    <w:rsid w:val="00F11624"/>
    <w:rsid w:val="00F11FBB"/>
    <w:rsid w:val="00F121A2"/>
    <w:rsid w:val="00F129C9"/>
    <w:rsid w:val="00F12AC2"/>
    <w:rsid w:val="00F12CB3"/>
    <w:rsid w:val="00F12D62"/>
    <w:rsid w:val="00F13244"/>
    <w:rsid w:val="00F13C5E"/>
    <w:rsid w:val="00F13F47"/>
    <w:rsid w:val="00F13F99"/>
    <w:rsid w:val="00F149D6"/>
    <w:rsid w:val="00F15349"/>
    <w:rsid w:val="00F1536D"/>
    <w:rsid w:val="00F15593"/>
    <w:rsid w:val="00F15A5D"/>
    <w:rsid w:val="00F161DF"/>
    <w:rsid w:val="00F1742D"/>
    <w:rsid w:val="00F1793A"/>
    <w:rsid w:val="00F17AF2"/>
    <w:rsid w:val="00F17D5E"/>
    <w:rsid w:val="00F17E2D"/>
    <w:rsid w:val="00F20180"/>
    <w:rsid w:val="00F201FC"/>
    <w:rsid w:val="00F2042F"/>
    <w:rsid w:val="00F2090B"/>
    <w:rsid w:val="00F20D49"/>
    <w:rsid w:val="00F221B9"/>
    <w:rsid w:val="00F23568"/>
    <w:rsid w:val="00F236B6"/>
    <w:rsid w:val="00F23EA2"/>
    <w:rsid w:val="00F24056"/>
    <w:rsid w:val="00F24206"/>
    <w:rsid w:val="00F2462E"/>
    <w:rsid w:val="00F247F8"/>
    <w:rsid w:val="00F24990"/>
    <w:rsid w:val="00F24B0F"/>
    <w:rsid w:val="00F24BA6"/>
    <w:rsid w:val="00F24EFA"/>
    <w:rsid w:val="00F2569A"/>
    <w:rsid w:val="00F258D7"/>
    <w:rsid w:val="00F25B39"/>
    <w:rsid w:val="00F26260"/>
    <w:rsid w:val="00F262BA"/>
    <w:rsid w:val="00F27088"/>
    <w:rsid w:val="00F278A9"/>
    <w:rsid w:val="00F278C7"/>
    <w:rsid w:val="00F27C64"/>
    <w:rsid w:val="00F27E3E"/>
    <w:rsid w:val="00F300C3"/>
    <w:rsid w:val="00F3044C"/>
    <w:rsid w:val="00F30C56"/>
    <w:rsid w:val="00F30E42"/>
    <w:rsid w:val="00F31465"/>
    <w:rsid w:val="00F319C4"/>
    <w:rsid w:val="00F31BC7"/>
    <w:rsid w:val="00F3259C"/>
    <w:rsid w:val="00F328D1"/>
    <w:rsid w:val="00F3373C"/>
    <w:rsid w:val="00F34586"/>
    <w:rsid w:val="00F34A55"/>
    <w:rsid w:val="00F3500C"/>
    <w:rsid w:val="00F35116"/>
    <w:rsid w:val="00F353E0"/>
    <w:rsid w:val="00F3550E"/>
    <w:rsid w:val="00F358A7"/>
    <w:rsid w:val="00F36247"/>
    <w:rsid w:val="00F36A72"/>
    <w:rsid w:val="00F37972"/>
    <w:rsid w:val="00F37E60"/>
    <w:rsid w:val="00F37F62"/>
    <w:rsid w:val="00F40017"/>
    <w:rsid w:val="00F40201"/>
    <w:rsid w:val="00F40731"/>
    <w:rsid w:val="00F4080E"/>
    <w:rsid w:val="00F40823"/>
    <w:rsid w:val="00F41014"/>
    <w:rsid w:val="00F41259"/>
    <w:rsid w:val="00F41436"/>
    <w:rsid w:val="00F414FB"/>
    <w:rsid w:val="00F419A0"/>
    <w:rsid w:val="00F41C58"/>
    <w:rsid w:val="00F42366"/>
    <w:rsid w:val="00F42C21"/>
    <w:rsid w:val="00F43868"/>
    <w:rsid w:val="00F43956"/>
    <w:rsid w:val="00F4420B"/>
    <w:rsid w:val="00F44DCD"/>
    <w:rsid w:val="00F45CAD"/>
    <w:rsid w:val="00F460D2"/>
    <w:rsid w:val="00F461F3"/>
    <w:rsid w:val="00F463DD"/>
    <w:rsid w:val="00F464B1"/>
    <w:rsid w:val="00F470E3"/>
    <w:rsid w:val="00F470E5"/>
    <w:rsid w:val="00F47503"/>
    <w:rsid w:val="00F475CD"/>
    <w:rsid w:val="00F47972"/>
    <w:rsid w:val="00F5076C"/>
    <w:rsid w:val="00F509B8"/>
    <w:rsid w:val="00F509B9"/>
    <w:rsid w:val="00F50F46"/>
    <w:rsid w:val="00F51009"/>
    <w:rsid w:val="00F51060"/>
    <w:rsid w:val="00F514E3"/>
    <w:rsid w:val="00F5159E"/>
    <w:rsid w:val="00F51FAF"/>
    <w:rsid w:val="00F52B68"/>
    <w:rsid w:val="00F52E11"/>
    <w:rsid w:val="00F53D05"/>
    <w:rsid w:val="00F53E52"/>
    <w:rsid w:val="00F5416D"/>
    <w:rsid w:val="00F543BA"/>
    <w:rsid w:val="00F54527"/>
    <w:rsid w:val="00F549F9"/>
    <w:rsid w:val="00F54B26"/>
    <w:rsid w:val="00F56417"/>
    <w:rsid w:val="00F56638"/>
    <w:rsid w:val="00F5665C"/>
    <w:rsid w:val="00F56EFE"/>
    <w:rsid w:val="00F57376"/>
    <w:rsid w:val="00F57E57"/>
    <w:rsid w:val="00F601CC"/>
    <w:rsid w:val="00F60AFC"/>
    <w:rsid w:val="00F60B00"/>
    <w:rsid w:val="00F60C31"/>
    <w:rsid w:val="00F61663"/>
    <w:rsid w:val="00F617DD"/>
    <w:rsid w:val="00F61A43"/>
    <w:rsid w:val="00F61AB0"/>
    <w:rsid w:val="00F61EBD"/>
    <w:rsid w:val="00F648B2"/>
    <w:rsid w:val="00F65735"/>
    <w:rsid w:val="00F65AE4"/>
    <w:rsid w:val="00F65E35"/>
    <w:rsid w:val="00F65F25"/>
    <w:rsid w:val="00F6700F"/>
    <w:rsid w:val="00F67268"/>
    <w:rsid w:val="00F67862"/>
    <w:rsid w:val="00F70439"/>
    <w:rsid w:val="00F71282"/>
    <w:rsid w:val="00F7137F"/>
    <w:rsid w:val="00F71CDB"/>
    <w:rsid w:val="00F71FCD"/>
    <w:rsid w:val="00F72295"/>
    <w:rsid w:val="00F722D3"/>
    <w:rsid w:val="00F739DB"/>
    <w:rsid w:val="00F73C47"/>
    <w:rsid w:val="00F74582"/>
    <w:rsid w:val="00F74A10"/>
    <w:rsid w:val="00F74F92"/>
    <w:rsid w:val="00F750B6"/>
    <w:rsid w:val="00F7532A"/>
    <w:rsid w:val="00F758E1"/>
    <w:rsid w:val="00F763CF"/>
    <w:rsid w:val="00F76AC6"/>
    <w:rsid w:val="00F77FD9"/>
    <w:rsid w:val="00F80159"/>
    <w:rsid w:val="00F80C40"/>
    <w:rsid w:val="00F8120F"/>
    <w:rsid w:val="00F812E8"/>
    <w:rsid w:val="00F816BD"/>
    <w:rsid w:val="00F818C0"/>
    <w:rsid w:val="00F818EA"/>
    <w:rsid w:val="00F81AF4"/>
    <w:rsid w:val="00F82BE0"/>
    <w:rsid w:val="00F82F41"/>
    <w:rsid w:val="00F832F8"/>
    <w:rsid w:val="00F83632"/>
    <w:rsid w:val="00F8379A"/>
    <w:rsid w:val="00F83DE5"/>
    <w:rsid w:val="00F842FD"/>
    <w:rsid w:val="00F84E66"/>
    <w:rsid w:val="00F8559F"/>
    <w:rsid w:val="00F85949"/>
    <w:rsid w:val="00F86565"/>
    <w:rsid w:val="00F86617"/>
    <w:rsid w:val="00F86A12"/>
    <w:rsid w:val="00F86DAA"/>
    <w:rsid w:val="00F86DE4"/>
    <w:rsid w:val="00F8708E"/>
    <w:rsid w:val="00F903F6"/>
    <w:rsid w:val="00F9059F"/>
    <w:rsid w:val="00F90752"/>
    <w:rsid w:val="00F91D94"/>
    <w:rsid w:val="00F924E3"/>
    <w:rsid w:val="00F92864"/>
    <w:rsid w:val="00F92E5E"/>
    <w:rsid w:val="00F92E60"/>
    <w:rsid w:val="00F93328"/>
    <w:rsid w:val="00F939FC"/>
    <w:rsid w:val="00F94127"/>
    <w:rsid w:val="00F941D2"/>
    <w:rsid w:val="00F9448B"/>
    <w:rsid w:val="00F944E8"/>
    <w:rsid w:val="00F94735"/>
    <w:rsid w:val="00F949B1"/>
    <w:rsid w:val="00F949D2"/>
    <w:rsid w:val="00F94C89"/>
    <w:rsid w:val="00F94FBF"/>
    <w:rsid w:val="00F958C7"/>
    <w:rsid w:val="00F95A11"/>
    <w:rsid w:val="00F96095"/>
    <w:rsid w:val="00F963ED"/>
    <w:rsid w:val="00F974C0"/>
    <w:rsid w:val="00F977DC"/>
    <w:rsid w:val="00FA07AC"/>
    <w:rsid w:val="00FA08DB"/>
    <w:rsid w:val="00FA0BC0"/>
    <w:rsid w:val="00FA0CE7"/>
    <w:rsid w:val="00FA1013"/>
    <w:rsid w:val="00FA151A"/>
    <w:rsid w:val="00FA1A9F"/>
    <w:rsid w:val="00FA1F2C"/>
    <w:rsid w:val="00FA1F41"/>
    <w:rsid w:val="00FA1FD1"/>
    <w:rsid w:val="00FA21D9"/>
    <w:rsid w:val="00FA29DC"/>
    <w:rsid w:val="00FA3605"/>
    <w:rsid w:val="00FA37A3"/>
    <w:rsid w:val="00FA3827"/>
    <w:rsid w:val="00FA3A15"/>
    <w:rsid w:val="00FA3EBA"/>
    <w:rsid w:val="00FA3F57"/>
    <w:rsid w:val="00FA507F"/>
    <w:rsid w:val="00FA53A9"/>
    <w:rsid w:val="00FA589C"/>
    <w:rsid w:val="00FA5C49"/>
    <w:rsid w:val="00FA5D4C"/>
    <w:rsid w:val="00FA6A37"/>
    <w:rsid w:val="00FA6B03"/>
    <w:rsid w:val="00FA742C"/>
    <w:rsid w:val="00FA7903"/>
    <w:rsid w:val="00FA7D34"/>
    <w:rsid w:val="00FB026F"/>
    <w:rsid w:val="00FB0566"/>
    <w:rsid w:val="00FB0C1B"/>
    <w:rsid w:val="00FB185C"/>
    <w:rsid w:val="00FB1DBC"/>
    <w:rsid w:val="00FB23C7"/>
    <w:rsid w:val="00FB245B"/>
    <w:rsid w:val="00FB283E"/>
    <w:rsid w:val="00FB2986"/>
    <w:rsid w:val="00FB3937"/>
    <w:rsid w:val="00FB3980"/>
    <w:rsid w:val="00FB3AAD"/>
    <w:rsid w:val="00FB3E04"/>
    <w:rsid w:val="00FB4216"/>
    <w:rsid w:val="00FB51F8"/>
    <w:rsid w:val="00FB5288"/>
    <w:rsid w:val="00FB5464"/>
    <w:rsid w:val="00FB588A"/>
    <w:rsid w:val="00FB618F"/>
    <w:rsid w:val="00FB6430"/>
    <w:rsid w:val="00FB663B"/>
    <w:rsid w:val="00FB6959"/>
    <w:rsid w:val="00FB6C35"/>
    <w:rsid w:val="00FB6C36"/>
    <w:rsid w:val="00FB6EB0"/>
    <w:rsid w:val="00FB7495"/>
    <w:rsid w:val="00FC014D"/>
    <w:rsid w:val="00FC0857"/>
    <w:rsid w:val="00FC0BC7"/>
    <w:rsid w:val="00FC0D27"/>
    <w:rsid w:val="00FC0EE0"/>
    <w:rsid w:val="00FC167C"/>
    <w:rsid w:val="00FC1E03"/>
    <w:rsid w:val="00FC221A"/>
    <w:rsid w:val="00FC25A0"/>
    <w:rsid w:val="00FC3270"/>
    <w:rsid w:val="00FC3B6D"/>
    <w:rsid w:val="00FC411B"/>
    <w:rsid w:val="00FC43E1"/>
    <w:rsid w:val="00FC45B0"/>
    <w:rsid w:val="00FC4F05"/>
    <w:rsid w:val="00FC536C"/>
    <w:rsid w:val="00FC57D7"/>
    <w:rsid w:val="00FC6117"/>
    <w:rsid w:val="00FC64F3"/>
    <w:rsid w:val="00FC6511"/>
    <w:rsid w:val="00FC6B91"/>
    <w:rsid w:val="00FC73A2"/>
    <w:rsid w:val="00FC7537"/>
    <w:rsid w:val="00FC7605"/>
    <w:rsid w:val="00FC7CD1"/>
    <w:rsid w:val="00FC7EA5"/>
    <w:rsid w:val="00FD0385"/>
    <w:rsid w:val="00FD1A78"/>
    <w:rsid w:val="00FD211C"/>
    <w:rsid w:val="00FD2286"/>
    <w:rsid w:val="00FD2D43"/>
    <w:rsid w:val="00FD3300"/>
    <w:rsid w:val="00FD40F9"/>
    <w:rsid w:val="00FD4C3D"/>
    <w:rsid w:val="00FD4CC8"/>
    <w:rsid w:val="00FD50DA"/>
    <w:rsid w:val="00FD57C1"/>
    <w:rsid w:val="00FD5A1C"/>
    <w:rsid w:val="00FD5DB7"/>
    <w:rsid w:val="00FD62D9"/>
    <w:rsid w:val="00FD6377"/>
    <w:rsid w:val="00FD67C9"/>
    <w:rsid w:val="00FD6AC5"/>
    <w:rsid w:val="00FD6BBC"/>
    <w:rsid w:val="00FD6C15"/>
    <w:rsid w:val="00FD7143"/>
    <w:rsid w:val="00FD71CD"/>
    <w:rsid w:val="00FD7667"/>
    <w:rsid w:val="00FD76FC"/>
    <w:rsid w:val="00FD7703"/>
    <w:rsid w:val="00FD7F4C"/>
    <w:rsid w:val="00FE110F"/>
    <w:rsid w:val="00FE11FB"/>
    <w:rsid w:val="00FE1E14"/>
    <w:rsid w:val="00FE24AA"/>
    <w:rsid w:val="00FE2BBF"/>
    <w:rsid w:val="00FE38EF"/>
    <w:rsid w:val="00FE3A9C"/>
    <w:rsid w:val="00FE3E4E"/>
    <w:rsid w:val="00FE43B6"/>
    <w:rsid w:val="00FE4AEC"/>
    <w:rsid w:val="00FE4EFE"/>
    <w:rsid w:val="00FE5202"/>
    <w:rsid w:val="00FE5441"/>
    <w:rsid w:val="00FE5AEC"/>
    <w:rsid w:val="00FE5D97"/>
    <w:rsid w:val="00FE60C0"/>
    <w:rsid w:val="00FE65EE"/>
    <w:rsid w:val="00FE68EC"/>
    <w:rsid w:val="00FE698B"/>
    <w:rsid w:val="00FE71D3"/>
    <w:rsid w:val="00FE7230"/>
    <w:rsid w:val="00FE76B2"/>
    <w:rsid w:val="00FF0258"/>
    <w:rsid w:val="00FF029E"/>
    <w:rsid w:val="00FF0FAB"/>
    <w:rsid w:val="00FF1047"/>
    <w:rsid w:val="00FF112E"/>
    <w:rsid w:val="00FF1867"/>
    <w:rsid w:val="00FF1F33"/>
    <w:rsid w:val="00FF215B"/>
    <w:rsid w:val="00FF2485"/>
    <w:rsid w:val="00FF2634"/>
    <w:rsid w:val="00FF26DF"/>
    <w:rsid w:val="00FF28D6"/>
    <w:rsid w:val="00FF28EC"/>
    <w:rsid w:val="00FF2A18"/>
    <w:rsid w:val="00FF2DF8"/>
    <w:rsid w:val="00FF2F96"/>
    <w:rsid w:val="00FF31CD"/>
    <w:rsid w:val="00FF32C2"/>
    <w:rsid w:val="00FF3F6F"/>
    <w:rsid w:val="00FF40BA"/>
    <w:rsid w:val="00FF448B"/>
    <w:rsid w:val="00FF49CD"/>
    <w:rsid w:val="00FF4E04"/>
    <w:rsid w:val="00FF4E21"/>
    <w:rsid w:val="00FF505D"/>
    <w:rsid w:val="00FF5147"/>
    <w:rsid w:val="00FF547E"/>
    <w:rsid w:val="00FF56FF"/>
    <w:rsid w:val="00FF5833"/>
    <w:rsid w:val="00FF5C56"/>
    <w:rsid w:val="00FF5CAE"/>
    <w:rsid w:val="00FF620F"/>
    <w:rsid w:val="00FF63EF"/>
    <w:rsid w:val="00FF6571"/>
    <w:rsid w:val="00FF740A"/>
    <w:rsid w:val="00FF7967"/>
    <w:rsid w:val="00FF7A83"/>
    <w:rsid w:val="01061A1A"/>
    <w:rsid w:val="0118B1CE"/>
    <w:rsid w:val="012B25BD"/>
    <w:rsid w:val="012D3468"/>
    <w:rsid w:val="0131E6F6"/>
    <w:rsid w:val="0137E0DF"/>
    <w:rsid w:val="013D5DE3"/>
    <w:rsid w:val="0145D8A9"/>
    <w:rsid w:val="0147DEA2"/>
    <w:rsid w:val="01519054"/>
    <w:rsid w:val="01819460"/>
    <w:rsid w:val="01879AAC"/>
    <w:rsid w:val="0196192C"/>
    <w:rsid w:val="01A4A2F8"/>
    <w:rsid w:val="01B3431E"/>
    <w:rsid w:val="01C1A6EC"/>
    <w:rsid w:val="01CFB8EE"/>
    <w:rsid w:val="01D71935"/>
    <w:rsid w:val="01FB9A6B"/>
    <w:rsid w:val="020095A0"/>
    <w:rsid w:val="020B27BD"/>
    <w:rsid w:val="0215D5E7"/>
    <w:rsid w:val="02171CED"/>
    <w:rsid w:val="021DE031"/>
    <w:rsid w:val="02278648"/>
    <w:rsid w:val="0230F345"/>
    <w:rsid w:val="023E1C52"/>
    <w:rsid w:val="028CECEA"/>
    <w:rsid w:val="02B604EC"/>
    <w:rsid w:val="02BBAA32"/>
    <w:rsid w:val="02C34BA1"/>
    <w:rsid w:val="02FE0DB3"/>
    <w:rsid w:val="0346395C"/>
    <w:rsid w:val="035F01AF"/>
    <w:rsid w:val="0365BF97"/>
    <w:rsid w:val="037E5609"/>
    <w:rsid w:val="03883FCE"/>
    <w:rsid w:val="03890EC4"/>
    <w:rsid w:val="038932A8"/>
    <w:rsid w:val="039F8475"/>
    <w:rsid w:val="03B7D8E3"/>
    <w:rsid w:val="03F02144"/>
    <w:rsid w:val="04102CB4"/>
    <w:rsid w:val="0420BD35"/>
    <w:rsid w:val="04276E7A"/>
    <w:rsid w:val="042E27E8"/>
    <w:rsid w:val="043649D7"/>
    <w:rsid w:val="04666A69"/>
    <w:rsid w:val="047053FC"/>
    <w:rsid w:val="047FA756"/>
    <w:rsid w:val="048760C6"/>
    <w:rsid w:val="04A09868"/>
    <w:rsid w:val="04A7146B"/>
    <w:rsid w:val="04D314E3"/>
    <w:rsid w:val="04E34828"/>
    <w:rsid w:val="04E7E847"/>
    <w:rsid w:val="04ED0484"/>
    <w:rsid w:val="0529AF06"/>
    <w:rsid w:val="05389626"/>
    <w:rsid w:val="0546C85C"/>
    <w:rsid w:val="0550CFB6"/>
    <w:rsid w:val="0554CBC7"/>
    <w:rsid w:val="0569794B"/>
    <w:rsid w:val="056EA323"/>
    <w:rsid w:val="05B47F7C"/>
    <w:rsid w:val="05C23CE4"/>
    <w:rsid w:val="05CCB055"/>
    <w:rsid w:val="05D67689"/>
    <w:rsid w:val="05EEA497"/>
    <w:rsid w:val="0615BA64"/>
    <w:rsid w:val="06325F75"/>
    <w:rsid w:val="063730DE"/>
    <w:rsid w:val="063E2F1B"/>
    <w:rsid w:val="064C44DD"/>
    <w:rsid w:val="0652F5B8"/>
    <w:rsid w:val="065F8053"/>
    <w:rsid w:val="06692BB4"/>
    <w:rsid w:val="06A72B80"/>
    <w:rsid w:val="06ADC267"/>
    <w:rsid w:val="06E4D126"/>
    <w:rsid w:val="06FD97C7"/>
    <w:rsid w:val="0702C5FB"/>
    <w:rsid w:val="071C90CA"/>
    <w:rsid w:val="072AAA7E"/>
    <w:rsid w:val="072E3181"/>
    <w:rsid w:val="07498D65"/>
    <w:rsid w:val="07564751"/>
    <w:rsid w:val="07579AA4"/>
    <w:rsid w:val="076CFFCE"/>
    <w:rsid w:val="076D30C4"/>
    <w:rsid w:val="076DD303"/>
    <w:rsid w:val="079951AB"/>
    <w:rsid w:val="07C71B7C"/>
    <w:rsid w:val="07E787FD"/>
    <w:rsid w:val="0800D9A8"/>
    <w:rsid w:val="0831F23A"/>
    <w:rsid w:val="083EAAFE"/>
    <w:rsid w:val="087E6D50"/>
    <w:rsid w:val="087EBF5D"/>
    <w:rsid w:val="08A35EE7"/>
    <w:rsid w:val="08D18A37"/>
    <w:rsid w:val="08D3E9FE"/>
    <w:rsid w:val="08D611A2"/>
    <w:rsid w:val="08E8D75C"/>
    <w:rsid w:val="0904A570"/>
    <w:rsid w:val="09196DF0"/>
    <w:rsid w:val="09210601"/>
    <w:rsid w:val="09336526"/>
    <w:rsid w:val="093F7540"/>
    <w:rsid w:val="095E4351"/>
    <w:rsid w:val="0962B678"/>
    <w:rsid w:val="096A4CF7"/>
    <w:rsid w:val="097D8126"/>
    <w:rsid w:val="0995C033"/>
    <w:rsid w:val="099A8884"/>
    <w:rsid w:val="09A50F8B"/>
    <w:rsid w:val="09A9B249"/>
    <w:rsid w:val="09B3A6A2"/>
    <w:rsid w:val="09B4590D"/>
    <w:rsid w:val="09BD8FA1"/>
    <w:rsid w:val="09E7CE4B"/>
    <w:rsid w:val="09EE8758"/>
    <w:rsid w:val="09F6C8A5"/>
    <w:rsid w:val="0A0A034D"/>
    <w:rsid w:val="0A1346DF"/>
    <w:rsid w:val="0A25A7DA"/>
    <w:rsid w:val="0A45864B"/>
    <w:rsid w:val="0A568B23"/>
    <w:rsid w:val="0A5F927E"/>
    <w:rsid w:val="0A892971"/>
    <w:rsid w:val="0A8A73D1"/>
    <w:rsid w:val="0A94219F"/>
    <w:rsid w:val="0ABE1182"/>
    <w:rsid w:val="0AD06865"/>
    <w:rsid w:val="0AD105BC"/>
    <w:rsid w:val="0AEFD244"/>
    <w:rsid w:val="0B0F002A"/>
    <w:rsid w:val="0B1B555F"/>
    <w:rsid w:val="0B2CBAC1"/>
    <w:rsid w:val="0B2DCEFA"/>
    <w:rsid w:val="0B330619"/>
    <w:rsid w:val="0B45FCF1"/>
    <w:rsid w:val="0B4A75A5"/>
    <w:rsid w:val="0B5A7C77"/>
    <w:rsid w:val="0B5B19B5"/>
    <w:rsid w:val="0B8E6EB1"/>
    <w:rsid w:val="0B9BA038"/>
    <w:rsid w:val="0BAC1DCC"/>
    <w:rsid w:val="0BB6B89F"/>
    <w:rsid w:val="0BD36A03"/>
    <w:rsid w:val="0BDD3A05"/>
    <w:rsid w:val="0BE4FB70"/>
    <w:rsid w:val="0BF59662"/>
    <w:rsid w:val="0BFEF2FD"/>
    <w:rsid w:val="0C0509C3"/>
    <w:rsid w:val="0C1D83CA"/>
    <w:rsid w:val="0C2E9218"/>
    <w:rsid w:val="0C370941"/>
    <w:rsid w:val="0C56D543"/>
    <w:rsid w:val="0C5B2A20"/>
    <w:rsid w:val="0C85D39B"/>
    <w:rsid w:val="0C8C2ACB"/>
    <w:rsid w:val="0C9351CA"/>
    <w:rsid w:val="0C9C1409"/>
    <w:rsid w:val="0CC9F9D5"/>
    <w:rsid w:val="0CD43BE0"/>
    <w:rsid w:val="0CE0AC19"/>
    <w:rsid w:val="0CE8A8CC"/>
    <w:rsid w:val="0CF4B075"/>
    <w:rsid w:val="0D0B8AC8"/>
    <w:rsid w:val="0D211E7A"/>
    <w:rsid w:val="0D2D8EED"/>
    <w:rsid w:val="0D5A8B6E"/>
    <w:rsid w:val="0D68CF17"/>
    <w:rsid w:val="0D7BAA74"/>
    <w:rsid w:val="0D9DFF06"/>
    <w:rsid w:val="0DA9CE20"/>
    <w:rsid w:val="0DBD2AA8"/>
    <w:rsid w:val="0DE169CE"/>
    <w:rsid w:val="0DE32601"/>
    <w:rsid w:val="0DE40B5E"/>
    <w:rsid w:val="0DE649B3"/>
    <w:rsid w:val="0DE9E48F"/>
    <w:rsid w:val="0DED8A23"/>
    <w:rsid w:val="0DF2A666"/>
    <w:rsid w:val="0E046D7D"/>
    <w:rsid w:val="0E1B892B"/>
    <w:rsid w:val="0E1CEEE2"/>
    <w:rsid w:val="0E21131F"/>
    <w:rsid w:val="0E48CA99"/>
    <w:rsid w:val="0E509C28"/>
    <w:rsid w:val="0E548876"/>
    <w:rsid w:val="0E5585AE"/>
    <w:rsid w:val="0E64B903"/>
    <w:rsid w:val="0E7A346B"/>
    <w:rsid w:val="0E7B6954"/>
    <w:rsid w:val="0E857A10"/>
    <w:rsid w:val="0E8CFB88"/>
    <w:rsid w:val="0EA78732"/>
    <w:rsid w:val="0ECC555D"/>
    <w:rsid w:val="0ED3E5D5"/>
    <w:rsid w:val="0ED887BE"/>
    <w:rsid w:val="0EDB8310"/>
    <w:rsid w:val="0EE8A402"/>
    <w:rsid w:val="0EF9091F"/>
    <w:rsid w:val="0EF9D10E"/>
    <w:rsid w:val="0F0A0A87"/>
    <w:rsid w:val="0F13B4C1"/>
    <w:rsid w:val="0F31FEFB"/>
    <w:rsid w:val="0F51DEDE"/>
    <w:rsid w:val="0F5A01D8"/>
    <w:rsid w:val="0F5C8C34"/>
    <w:rsid w:val="0F69D1A6"/>
    <w:rsid w:val="0F6BED90"/>
    <w:rsid w:val="0F6CF0D3"/>
    <w:rsid w:val="0F7D3C50"/>
    <w:rsid w:val="0F9F65A9"/>
    <w:rsid w:val="0FD1159D"/>
    <w:rsid w:val="0FE0D3B0"/>
    <w:rsid w:val="0FE2AAE9"/>
    <w:rsid w:val="0FF9B1E9"/>
    <w:rsid w:val="10242EE2"/>
    <w:rsid w:val="102AB178"/>
    <w:rsid w:val="104A1AFB"/>
    <w:rsid w:val="1059B827"/>
    <w:rsid w:val="105F1C83"/>
    <w:rsid w:val="106E6404"/>
    <w:rsid w:val="1071274A"/>
    <w:rsid w:val="1074540D"/>
    <w:rsid w:val="1081A68F"/>
    <w:rsid w:val="10827D20"/>
    <w:rsid w:val="10B63407"/>
    <w:rsid w:val="10B63905"/>
    <w:rsid w:val="10B9BE8F"/>
    <w:rsid w:val="10C1EA19"/>
    <w:rsid w:val="10CBB570"/>
    <w:rsid w:val="10D05429"/>
    <w:rsid w:val="10FE2E9C"/>
    <w:rsid w:val="10FFB4B9"/>
    <w:rsid w:val="1112C0DC"/>
    <w:rsid w:val="111694EC"/>
    <w:rsid w:val="11206B5E"/>
    <w:rsid w:val="1145F292"/>
    <w:rsid w:val="115A48E8"/>
    <w:rsid w:val="115AFF2D"/>
    <w:rsid w:val="11626754"/>
    <w:rsid w:val="11762722"/>
    <w:rsid w:val="1190D10A"/>
    <w:rsid w:val="1192FA05"/>
    <w:rsid w:val="11A63BB5"/>
    <w:rsid w:val="11E349A3"/>
    <w:rsid w:val="11E8412C"/>
    <w:rsid w:val="122D5ED8"/>
    <w:rsid w:val="1253ACA6"/>
    <w:rsid w:val="12547682"/>
    <w:rsid w:val="12586204"/>
    <w:rsid w:val="125BF839"/>
    <w:rsid w:val="125F815E"/>
    <w:rsid w:val="12682B31"/>
    <w:rsid w:val="126F64AC"/>
    <w:rsid w:val="1279EE81"/>
    <w:rsid w:val="12BC6057"/>
    <w:rsid w:val="12C841BF"/>
    <w:rsid w:val="12DA24FB"/>
    <w:rsid w:val="12E79268"/>
    <w:rsid w:val="12EA9D22"/>
    <w:rsid w:val="13017486"/>
    <w:rsid w:val="1310C75C"/>
    <w:rsid w:val="13166B7D"/>
    <w:rsid w:val="131BEF59"/>
    <w:rsid w:val="1324EA36"/>
    <w:rsid w:val="1332AE02"/>
    <w:rsid w:val="13376AE1"/>
    <w:rsid w:val="13387C96"/>
    <w:rsid w:val="133B9376"/>
    <w:rsid w:val="133CF18C"/>
    <w:rsid w:val="134327A3"/>
    <w:rsid w:val="13557308"/>
    <w:rsid w:val="135A06DF"/>
    <w:rsid w:val="1370136A"/>
    <w:rsid w:val="1373770F"/>
    <w:rsid w:val="138A4DBA"/>
    <w:rsid w:val="138FE5C5"/>
    <w:rsid w:val="139C5AC0"/>
    <w:rsid w:val="13ABBB47"/>
    <w:rsid w:val="13C63805"/>
    <w:rsid w:val="13D0207B"/>
    <w:rsid w:val="13D1262E"/>
    <w:rsid w:val="13D9B4BD"/>
    <w:rsid w:val="13E4C6D3"/>
    <w:rsid w:val="13EF648D"/>
    <w:rsid w:val="1407844A"/>
    <w:rsid w:val="141EE9E0"/>
    <w:rsid w:val="14223C5D"/>
    <w:rsid w:val="143EE4BA"/>
    <w:rsid w:val="1459EB28"/>
    <w:rsid w:val="1461BA99"/>
    <w:rsid w:val="14754E99"/>
    <w:rsid w:val="147706DA"/>
    <w:rsid w:val="147CCCE1"/>
    <w:rsid w:val="14826B4E"/>
    <w:rsid w:val="14853850"/>
    <w:rsid w:val="14888DD5"/>
    <w:rsid w:val="14C627BB"/>
    <w:rsid w:val="14D2C21F"/>
    <w:rsid w:val="14D825D7"/>
    <w:rsid w:val="14E0BE46"/>
    <w:rsid w:val="150058A1"/>
    <w:rsid w:val="1504A046"/>
    <w:rsid w:val="15076136"/>
    <w:rsid w:val="150876D2"/>
    <w:rsid w:val="150A6A4D"/>
    <w:rsid w:val="1528F7C4"/>
    <w:rsid w:val="152FCD46"/>
    <w:rsid w:val="15372F62"/>
    <w:rsid w:val="153B9531"/>
    <w:rsid w:val="154904C6"/>
    <w:rsid w:val="154928F9"/>
    <w:rsid w:val="156223B7"/>
    <w:rsid w:val="156A0985"/>
    <w:rsid w:val="156BB8CE"/>
    <w:rsid w:val="15760B4D"/>
    <w:rsid w:val="1584F03C"/>
    <w:rsid w:val="159528E0"/>
    <w:rsid w:val="159B641D"/>
    <w:rsid w:val="15AAEEE7"/>
    <w:rsid w:val="15C4E863"/>
    <w:rsid w:val="15C98952"/>
    <w:rsid w:val="15D1EF31"/>
    <w:rsid w:val="15D61DF4"/>
    <w:rsid w:val="15E2AE78"/>
    <w:rsid w:val="15EF49F8"/>
    <w:rsid w:val="15EFF40A"/>
    <w:rsid w:val="15F78D39"/>
    <w:rsid w:val="15FD0E18"/>
    <w:rsid w:val="1601728A"/>
    <w:rsid w:val="160643B1"/>
    <w:rsid w:val="16124EFE"/>
    <w:rsid w:val="161A2AD4"/>
    <w:rsid w:val="1621EB8E"/>
    <w:rsid w:val="16281062"/>
    <w:rsid w:val="16311298"/>
    <w:rsid w:val="164BA4A5"/>
    <w:rsid w:val="165A96B4"/>
    <w:rsid w:val="16795FE0"/>
    <w:rsid w:val="1697DCBD"/>
    <w:rsid w:val="16B2AE30"/>
    <w:rsid w:val="16C3AFA6"/>
    <w:rsid w:val="16C8E5D3"/>
    <w:rsid w:val="16D4153A"/>
    <w:rsid w:val="16D85F46"/>
    <w:rsid w:val="16E12B50"/>
    <w:rsid w:val="16F65F0E"/>
    <w:rsid w:val="16F81497"/>
    <w:rsid w:val="1714CF48"/>
    <w:rsid w:val="17162EF4"/>
    <w:rsid w:val="172AF0B9"/>
    <w:rsid w:val="17331718"/>
    <w:rsid w:val="17374431"/>
    <w:rsid w:val="174308CF"/>
    <w:rsid w:val="17657AE1"/>
    <w:rsid w:val="179FF4A5"/>
    <w:rsid w:val="17C201AC"/>
    <w:rsid w:val="17CEF39B"/>
    <w:rsid w:val="17D3A6A8"/>
    <w:rsid w:val="17EC3B2F"/>
    <w:rsid w:val="17EE82F8"/>
    <w:rsid w:val="180110E1"/>
    <w:rsid w:val="18050E14"/>
    <w:rsid w:val="18407B41"/>
    <w:rsid w:val="1851DA3C"/>
    <w:rsid w:val="1861DADB"/>
    <w:rsid w:val="18656CAF"/>
    <w:rsid w:val="187CF1C3"/>
    <w:rsid w:val="188D34E6"/>
    <w:rsid w:val="189D0B47"/>
    <w:rsid w:val="18A07EA3"/>
    <w:rsid w:val="18A0D254"/>
    <w:rsid w:val="18A1B076"/>
    <w:rsid w:val="18AE9F93"/>
    <w:rsid w:val="18B88CBA"/>
    <w:rsid w:val="18C8DCAE"/>
    <w:rsid w:val="18DB7593"/>
    <w:rsid w:val="1905C3C8"/>
    <w:rsid w:val="19109BF8"/>
    <w:rsid w:val="191E3737"/>
    <w:rsid w:val="1921E5FB"/>
    <w:rsid w:val="192E414E"/>
    <w:rsid w:val="192EFF5E"/>
    <w:rsid w:val="1932DA16"/>
    <w:rsid w:val="193AE3FC"/>
    <w:rsid w:val="19679E43"/>
    <w:rsid w:val="19748472"/>
    <w:rsid w:val="19817E26"/>
    <w:rsid w:val="198B917B"/>
    <w:rsid w:val="19A1B9F6"/>
    <w:rsid w:val="19D7D7EC"/>
    <w:rsid w:val="19DAA808"/>
    <w:rsid w:val="19FAB2CA"/>
    <w:rsid w:val="1A02619A"/>
    <w:rsid w:val="1A086192"/>
    <w:rsid w:val="1A106D66"/>
    <w:rsid w:val="1A254CBF"/>
    <w:rsid w:val="1A29D0E1"/>
    <w:rsid w:val="1A36E03D"/>
    <w:rsid w:val="1A544E16"/>
    <w:rsid w:val="1A6281DF"/>
    <w:rsid w:val="1A62F0A8"/>
    <w:rsid w:val="1A71FD50"/>
    <w:rsid w:val="1A788AD6"/>
    <w:rsid w:val="1A7C4F93"/>
    <w:rsid w:val="1A7C8465"/>
    <w:rsid w:val="1A80D77F"/>
    <w:rsid w:val="1A91CB29"/>
    <w:rsid w:val="1A975D45"/>
    <w:rsid w:val="1AA5B3C1"/>
    <w:rsid w:val="1AAAAD47"/>
    <w:rsid w:val="1ABFA442"/>
    <w:rsid w:val="1ABFF2A4"/>
    <w:rsid w:val="1AD4A50A"/>
    <w:rsid w:val="1AF0C161"/>
    <w:rsid w:val="1B09CD9B"/>
    <w:rsid w:val="1B29083D"/>
    <w:rsid w:val="1B3DF464"/>
    <w:rsid w:val="1B451C7E"/>
    <w:rsid w:val="1B5D3708"/>
    <w:rsid w:val="1B656E01"/>
    <w:rsid w:val="1B84DF58"/>
    <w:rsid w:val="1B9E7E88"/>
    <w:rsid w:val="1B9EF320"/>
    <w:rsid w:val="1BA6EE0A"/>
    <w:rsid w:val="1BB947F1"/>
    <w:rsid w:val="1BCC8A47"/>
    <w:rsid w:val="1BD0E86A"/>
    <w:rsid w:val="1BE98E7F"/>
    <w:rsid w:val="1BEAC4EF"/>
    <w:rsid w:val="1C125752"/>
    <w:rsid w:val="1C180B87"/>
    <w:rsid w:val="1C2333F7"/>
    <w:rsid w:val="1C246E81"/>
    <w:rsid w:val="1C38F9F2"/>
    <w:rsid w:val="1C52B8E5"/>
    <w:rsid w:val="1C622BF8"/>
    <w:rsid w:val="1C67F071"/>
    <w:rsid w:val="1C77BC1D"/>
    <w:rsid w:val="1C7E05F7"/>
    <w:rsid w:val="1C836DEA"/>
    <w:rsid w:val="1C8E785C"/>
    <w:rsid w:val="1C9A283B"/>
    <w:rsid w:val="1C9D2C19"/>
    <w:rsid w:val="1CB2D748"/>
    <w:rsid w:val="1CBA5B99"/>
    <w:rsid w:val="1CC00B34"/>
    <w:rsid w:val="1CC2E323"/>
    <w:rsid w:val="1CCB3B07"/>
    <w:rsid w:val="1CD43D1A"/>
    <w:rsid w:val="1CE642D9"/>
    <w:rsid w:val="1D00470E"/>
    <w:rsid w:val="1D09B73E"/>
    <w:rsid w:val="1D0ECB29"/>
    <w:rsid w:val="1D1BDC3C"/>
    <w:rsid w:val="1D2FCE91"/>
    <w:rsid w:val="1D5614C6"/>
    <w:rsid w:val="1D7844CE"/>
    <w:rsid w:val="1D834584"/>
    <w:rsid w:val="1D9E39DC"/>
    <w:rsid w:val="1DB348D6"/>
    <w:rsid w:val="1DC5FFAC"/>
    <w:rsid w:val="1DEC559A"/>
    <w:rsid w:val="1E160A04"/>
    <w:rsid w:val="1E3CF792"/>
    <w:rsid w:val="1E427C6F"/>
    <w:rsid w:val="1E447A9F"/>
    <w:rsid w:val="1E4DE03A"/>
    <w:rsid w:val="1E62350F"/>
    <w:rsid w:val="1E66C043"/>
    <w:rsid w:val="1E918B3E"/>
    <w:rsid w:val="1EA4BEC3"/>
    <w:rsid w:val="1EEE0C3B"/>
    <w:rsid w:val="1F1062BE"/>
    <w:rsid w:val="1F2C64B6"/>
    <w:rsid w:val="1F3AA0F5"/>
    <w:rsid w:val="1F4E98C6"/>
    <w:rsid w:val="1F9FCF7B"/>
    <w:rsid w:val="1FA5B870"/>
    <w:rsid w:val="1FC7FD7B"/>
    <w:rsid w:val="2003873B"/>
    <w:rsid w:val="2025D42B"/>
    <w:rsid w:val="202627F8"/>
    <w:rsid w:val="202673F7"/>
    <w:rsid w:val="204DCC32"/>
    <w:rsid w:val="20549401"/>
    <w:rsid w:val="206CF9FF"/>
    <w:rsid w:val="206D0875"/>
    <w:rsid w:val="207586CD"/>
    <w:rsid w:val="207CD97E"/>
    <w:rsid w:val="207DA49D"/>
    <w:rsid w:val="20BFD205"/>
    <w:rsid w:val="20CA22A1"/>
    <w:rsid w:val="20CAA240"/>
    <w:rsid w:val="20CF97F0"/>
    <w:rsid w:val="20F0B3CF"/>
    <w:rsid w:val="20F254D6"/>
    <w:rsid w:val="2111CF9A"/>
    <w:rsid w:val="21133685"/>
    <w:rsid w:val="213968F5"/>
    <w:rsid w:val="213D2C46"/>
    <w:rsid w:val="2140E2D1"/>
    <w:rsid w:val="2159A508"/>
    <w:rsid w:val="21606951"/>
    <w:rsid w:val="21731D9A"/>
    <w:rsid w:val="217B4F45"/>
    <w:rsid w:val="217F532A"/>
    <w:rsid w:val="218AF598"/>
    <w:rsid w:val="219918E0"/>
    <w:rsid w:val="219B793C"/>
    <w:rsid w:val="21CF4E30"/>
    <w:rsid w:val="221EAF7F"/>
    <w:rsid w:val="222C4065"/>
    <w:rsid w:val="2230A625"/>
    <w:rsid w:val="223A937C"/>
    <w:rsid w:val="2241A353"/>
    <w:rsid w:val="225A69B4"/>
    <w:rsid w:val="22688406"/>
    <w:rsid w:val="226B7B15"/>
    <w:rsid w:val="22B27E25"/>
    <w:rsid w:val="22B76403"/>
    <w:rsid w:val="22BB5567"/>
    <w:rsid w:val="22BF91B0"/>
    <w:rsid w:val="22C505E8"/>
    <w:rsid w:val="22C72EDA"/>
    <w:rsid w:val="22E421AD"/>
    <w:rsid w:val="230325B1"/>
    <w:rsid w:val="230E77E3"/>
    <w:rsid w:val="231227C9"/>
    <w:rsid w:val="231DC46A"/>
    <w:rsid w:val="231F3DCE"/>
    <w:rsid w:val="233F819A"/>
    <w:rsid w:val="234896D4"/>
    <w:rsid w:val="2354461F"/>
    <w:rsid w:val="23573B5B"/>
    <w:rsid w:val="235B3BDF"/>
    <w:rsid w:val="236EA43E"/>
    <w:rsid w:val="2374BF45"/>
    <w:rsid w:val="23757649"/>
    <w:rsid w:val="237C925D"/>
    <w:rsid w:val="23860807"/>
    <w:rsid w:val="23921962"/>
    <w:rsid w:val="2396A830"/>
    <w:rsid w:val="23A53783"/>
    <w:rsid w:val="23A7FBC0"/>
    <w:rsid w:val="23B895E8"/>
    <w:rsid w:val="23C7D5F4"/>
    <w:rsid w:val="23D859C4"/>
    <w:rsid w:val="23E0A81B"/>
    <w:rsid w:val="23E9C0C1"/>
    <w:rsid w:val="2402E497"/>
    <w:rsid w:val="240B248C"/>
    <w:rsid w:val="240CF94A"/>
    <w:rsid w:val="241076BF"/>
    <w:rsid w:val="242BA3FC"/>
    <w:rsid w:val="244DBBC3"/>
    <w:rsid w:val="245F1502"/>
    <w:rsid w:val="2477D4D8"/>
    <w:rsid w:val="24A12863"/>
    <w:rsid w:val="24A2B9F0"/>
    <w:rsid w:val="24AFA9F5"/>
    <w:rsid w:val="24B34149"/>
    <w:rsid w:val="24B44E09"/>
    <w:rsid w:val="24DB545F"/>
    <w:rsid w:val="24ECB62B"/>
    <w:rsid w:val="24ED2D83"/>
    <w:rsid w:val="250D1EED"/>
    <w:rsid w:val="250D25F8"/>
    <w:rsid w:val="25236AA1"/>
    <w:rsid w:val="252EF31A"/>
    <w:rsid w:val="2538E429"/>
    <w:rsid w:val="2548507A"/>
    <w:rsid w:val="2558EF6D"/>
    <w:rsid w:val="257D9B2E"/>
    <w:rsid w:val="258585C9"/>
    <w:rsid w:val="25D72B82"/>
    <w:rsid w:val="25E33763"/>
    <w:rsid w:val="25EA0812"/>
    <w:rsid w:val="26033EDF"/>
    <w:rsid w:val="26328CB2"/>
    <w:rsid w:val="26347AB1"/>
    <w:rsid w:val="2637E3E1"/>
    <w:rsid w:val="2661C237"/>
    <w:rsid w:val="26797339"/>
    <w:rsid w:val="26B7F612"/>
    <w:rsid w:val="26D7B498"/>
    <w:rsid w:val="26EDB678"/>
    <w:rsid w:val="26F7B6F8"/>
    <w:rsid w:val="2703F636"/>
    <w:rsid w:val="2706F3BE"/>
    <w:rsid w:val="27169D33"/>
    <w:rsid w:val="271C4DCD"/>
    <w:rsid w:val="27304291"/>
    <w:rsid w:val="2755BDCF"/>
    <w:rsid w:val="2769501A"/>
    <w:rsid w:val="276A724F"/>
    <w:rsid w:val="27722198"/>
    <w:rsid w:val="27B371B8"/>
    <w:rsid w:val="27D403C7"/>
    <w:rsid w:val="28043A96"/>
    <w:rsid w:val="28044811"/>
    <w:rsid w:val="28078B05"/>
    <w:rsid w:val="2810FCAB"/>
    <w:rsid w:val="2829CE08"/>
    <w:rsid w:val="282F1DF7"/>
    <w:rsid w:val="282F2855"/>
    <w:rsid w:val="285C3307"/>
    <w:rsid w:val="28820E57"/>
    <w:rsid w:val="288FD0D4"/>
    <w:rsid w:val="28A24ACA"/>
    <w:rsid w:val="28A43C65"/>
    <w:rsid w:val="28AB3734"/>
    <w:rsid w:val="28DA1870"/>
    <w:rsid w:val="28DDCDD9"/>
    <w:rsid w:val="28F761E1"/>
    <w:rsid w:val="28FACCD4"/>
    <w:rsid w:val="29364AC0"/>
    <w:rsid w:val="29676979"/>
    <w:rsid w:val="296F1EA0"/>
    <w:rsid w:val="2988ED23"/>
    <w:rsid w:val="2991F749"/>
    <w:rsid w:val="29937BA3"/>
    <w:rsid w:val="29AAB07C"/>
    <w:rsid w:val="29B36BB6"/>
    <w:rsid w:val="29BE88B7"/>
    <w:rsid w:val="29C407D4"/>
    <w:rsid w:val="29C47008"/>
    <w:rsid w:val="29D982C0"/>
    <w:rsid w:val="2A192861"/>
    <w:rsid w:val="2A239019"/>
    <w:rsid w:val="2A3495DC"/>
    <w:rsid w:val="2A364315"/>
    <w:rsid w:val="2A3B16C1"/>
    <w:rsid w:val="2A3B4946"/>
    <w:rsid w:val="2A4FF4B2"/>
    <w:rsid w:val="2A63F834"/>
    <w:rsid w:val="2A645F3C"/>
    <w:rsid w:val="2A7A79AC"/>
    <w:rsid w:val="2A867F60"/>
    <w:rsid w:val="2A8D37AA"/>
    <w:rsid w:val="2A98CBB9"/>
    <w:rsid w:val="2AA51FDE"/>
    <w:rsid w:val="2AAA4067"/>
    <w:rsid w:val="2AAAC90B"/>
    <w:rsid w:val="2AB9E6F8"/>
    <w:rsid w:val="2AC88DCF"/>
    <w:rsid w:val="2ACC7C2A"/>
    <w:rsid w:val="2ADC765C"/>
    <w:rsid w:val="2ADF6B62"/>
    <w:rsid w:val="2AF72EF1"/>
    <w:rsid w:val="2B09310F"/>
    <w:rsid w:val="2B1A61E6"/>
    <w:rsid w:val="2B29E930"/>
    <w:rsid w:val="2B54F162"/>
    <w:rsid w:val="2B61C89B"/>
    <w:rsid w:val="2B6EAB90"/>
    <w:rsid w:val="2B8B4A77"/>
    <w:rsid w:val="2B8DD1A2"/>
    <w:rsid w:val="2B91F8A6"/>
    <w:rsid w:val="2B95E1BB"/>
    <w:rsid w:val="2BBD1F7E"/>
    <w:rsid w:val="2BDF5577"/>
    <w:rsid w:val="2BF4DF87"/>
    <w:rsid w:val="2C0EB297"/>
    <w:rsid w:val="2C3F13E4"/>
    <w:rsid w:val="2C4672F9"/>
    <w:rsid w:val="2C8B724A"/>
    <w:rsid w:val="2C8C6EBE"/>
    <w:rsid w:val="2C9B792D"/>
    <w:rsid w:val="2CA421B4"/>
    <w:rsid w:val="2D01CBE2"/>
    <w:rsid w:val="2D057C5C"/>
    <w:rsid w:val="2D0CC69E"/>
    <w:rsid w:val="2D10FB0B"/>
    <w:rsid w:val="2D11A632"/>
    <w:rsid w:val="2D16B68E"/>
    <w:rsid w:val="2D1C3DB5"/>
    <w:rsid w:val="2D1FAF94"/>
    <w:rsid w:val="2D32FDD5"/>
    <w:rsid w:val="2D36FB58"/>
    <w:rsid w:val="2D4A76A4"/>
    <w:rsid w:val="2D5AE40F"/>
    <w:rsid w:val="2D67F8E9"/>
    <w:rsid w:val="2D7573BE"/>
    <w:rsid w:val="2D902C98"/>
    <w:rsid w:val="2DA4D7C0"/>
    <w:rsid w:val="2DA9FF45"/>
    <w:rsid w:val="2DB8CC8E"/>
    <w:rsid w:val="2DDDA4C2"/>
    <w:rsid w:val="2DE43790"/>
    <w:rsid w:val="2E0D5CC5"/>
    <w:rsid w:val="2E0D68FE"/>
    <w:rsid w:val="2E2B062E"/>
    <w:rsid w:val="2E5787B2"/>
    <w:rsid w:val="2E5AFBA2"/>
    <w:rsid w:val="2E5DF949"/>
    <w:rsid w:val="2E8D8202"/>
    <w:rsid w:val="2E9327F4"/>
    <w:rsid w:val="2E9EF181"/>
    <w:rsid w:val="2EC02FA3"/>
    <w:rsid w:val="2ED08DE3"/>
    <w:rsid w:val="2ED19541"/>
    <w:rsid w:val="2ED66DE6"/>
    <w:rsid w:val="2EEA646C"/>
    <w:rsid w:val="2F00E240"/>
    <w:rsid w:val="2F1257C2"/>
    <w:rsid w:val="2F133D7A"/>
    <w:rsid w:val="2F200295"/>
    <w:rsid w:val="2F245092"/>
    <w:rsid w:val="2F3D4653"/>
    <w:rsid w:val="2F5D1878"/>
    <w:rsid w:val="2F63CC60"/>
    <w:rsid w:val="2F924D92"/>
    <w:rsid w:val="2F9E2E0E"/>
    <w:rsid w:val="2FC7AC76"/>
    <w:rsid w:val="2FC8CA8E"/>
    <w:rsid w:val="2FD503AB"/>
    <w:rsid w:val="2FD76B9C"/>
    <w:rsid w:val="2FD9F355"/>
    <w:rsid w:val="2FF02DFF"/>
    <w:rsid w:val="2FF87AD5"/>
    <w:rsid w:val="300B83A6"/>
    <w:rsid w:val="302F4310"/>
    <w:rsid w:val="3033AAFE"/>
    <w:rsid w:val="303B1869"/>
    <w:rsid w:val="303F9703"/>
    <w:rsid w:val="30683DE7"/>
    <w:rsid w:val="3068B776"/>
    <w:rsid w:val="3084BF75"/>
    <w:rsid w:val="308D7800"/>
    <w:rsid w:val="309C9ABE"/>
    <w:rsid w:val="30A4F5BF"/>
    <w:rsid w:val="30ABB9D7"/>
    <w:rsid w:val="30BACA4F"/>
    <w:rsid w:val="30C2410C"/>
    <w:rsid w:val="30D2F23E"/>
    <w:rsid w:val="3140E9F6"/>
    <w:rsid w:val="3142F141"/>
    <w:rsid w:val="314D6119"/>
    <w:rsid w:val="3173EDE0"/>
    <w:rsid w:val="3178076B"/>
    <w:rsid w:val="317D913B"/>
    <w:rsid w:val="318E9BAF"/>
    <w:rsid w:val="318EAEDD"/>
    <w:rsid w:val="319DCF05"/>
    <w:rsid w:val="31A87770"/>
    <w:rsid w:val="31B155BD"/>
    <w:rsid w:val="31BEB713"/>
    <w:rsid w:val="31CF5B5E"/>
    <w:rsid w:val="31FBB4C0"/>
    <w:rsid w:val="32056D58"/>
    <w:rsid w:val="320FA78C"/>
    <w:rsid w:val="3212D513"/>
    <w:rsid w:val="32188EC8"/>
    <w:rsid w:val="322B980B"/>
    <w:rsid w:val="32313B2B"/>
    <w:rsid w:val="3233C4F9"/>
    <w:rsid w:val="325083E9"/>
    <w:rsid w:val="32524C4F"/>
    <w:rsid w:val="3255CDF8"/>
    <w:rsid w:val="3259CFE3"/>
    <w:rsid w:val="325DD77B"/>
    <w:rsid w:val="325EC4C7"/>
    <w:rsid w:val="32641412"/>
    <w:rsid w:val="3290929B"/>
    <w:rsid w:val="3292A6D2"/>
    <w:rsid w:val="32960204"/>
    <w:rsid w:val="329C4518"/>
    <w:rsid w:val="32A922FA"/>
    <w:rsid w:val="32A93527"/>
    <w:rsid w:val="32BBCB8A"/>
    <w:rsid w:val="32BEDBCF"/>
    <w:rsid w:val="32BFBB09"/>
    <w:rsid w:val="32D7C8DE"/>
    <w:rsid w:val="32DB35A5"/>
    <w:rsid w:val="3308F018"/>
    <w:rsid w:val="33179ABD"/>
    <w:rsid w:val="332522B6"/>
    <w:rsid w:val="3342B62F"/>
    <w:rsid w:val="3346517E"/>
    <w:rsid w:val="3351DA95"/>
    <w:rsid w:val="3369720E"/>
    <w:rsid w:val="33855386"/>
    <w:rsid w:val="33879359"/>
    <w:rsid w:val="339549E5"/>
    <w:rsid w:val="33BE5EC8"/>
    <w:rsid w:val="33C001AC"/>
    <w:rsid w:val="33C8000A"/>
    <w:rsid w:val="33DAE20D"/>
    <w:rsid w:val="33F97884"/>
    <w:rsid w:val="33FA112B"/>
    <w:rsid w:val="34121E9A"/>
    <w:rsid w:val="34286B1C"/>
    <w:rsid w:val="343F55A5"/>
    <w:rsid w:val="344FA084"/>
    <w:rsid w:val="349DF7ED"/>
    <w:rsid w:val="34AF47C3"/>
    <w:rsid w:val="34BC48C7"/>
    <w:rsid w:val="34BE8060"/>
    <w:rsid w:val="34C6002C"/>
    <w:rsid w:val="34C92AAB"/>
    <w:rsid w:val="34D854DB"/>
    <w:rsid w:val="3502EE92"/>
    <w:rsid w:val="35169E1A"/>
    <w:rsid w:val="352C7B2A"/>
    <w:rsid w:val="35406D12"/>
    <w:rsid w:val="355013C8"/>
    <w:rsid w:val="3554B21A"/>
    <w:rsid w:val="3556EF28"/>
    <w:rsid w:val="3557196E"/>
    <w:rsid w:val="355B17C3"/>
    <w:rsid w:val="35855BCC"/>
    <w:rsid w:val="35903C96"/>
    <w:rsid w:val="3592C67A"/>
    <w:rsid w:val="3593F860"/>
    <w:rsid w:val="3597761D"/>
    <w:rsid w:val="35C749E7"/>
    <w:rsid w:val="35E13343"/>
    <w:rsid w:val="35FEE5EC"/>
    <w:rsid w:val="36039117"/>
    <w:rsid w:val="3607634D"/>
    <w:rsid w:val="3608DD40"/>
    <w:rsid w:val="362251C0"/>
    <w:rsid w:val="364C2449"/>
    <w:rsid w:val="365BD937"/>
    <w:rsid w:val="36640986"/>
    <w:rsid w:val="3669CDAC"/>
    <w:rsid w:val="366C755A"/>
    <w:rsid w:val="36A311F3"/>
    <w:rsid w:val="36B071E5"/>
    <w:rsid w:val="36C04333"/>
    <w:rsid w:val="36CCC757"/>
    <w:rsid w:val="36D8A966"/>
    <w:rsid w:val="36EA2AC3"/>
    <w:rsid w:val="36ED6939"/>
    <w:rsid w:val="36FF0560"/>
    <w:rsid w:val="37369C32"/>
    <w:rsid w:val="374E5093"/>
    <w:rsid w:val="37742439"/>
    <w:rsid w:val="377B5C66"/>
    <w:rsid w:val="377C6E8F"/>
    <w:rsid w:val="3792FBD7"/>
    <w:rsid w:val="37AB9A75"/>
    <w:rsid w:val="37BCF3F6"/>
    <w:rsid w:val="37CB62A1"/>
    <w:rsid w:val="37D49E47"/>
    <w:rsid w:val="37D64C92"/>
    <w:rsid w:val="37F9E6A8"/>
    <w:rsid w:val="37FB801C"/>
    <w:rsid w:val="380E54D5"/>
    <w:rsid w:val="383959F7"/>
    <w:rsid w:val="3851786D"/>
    <w:rsid w:val="387D1A54"/>
    <w:rsid w:val="38836534"/>
    <w:rsid w:val="388371D7"/>
    <w:rsid w:val="3898FAFD"/>
    <w:rsid w:val="38A3C762"/>
    <w:rsid w:val="38B05DE6"/>
    <w:rsid w:val="38BBBDEE"/>
    <w:rsid w:val="3916A0F0"/>
    <w:rsid w:val="3916FCED"/>
    <w:rsid w:val="391DC199"/>
    <w:rsid w:val="3923C44C"/>
    <w:rsid w:val="393D5AAC"/>
    <w:rsid w:val="393F4A90"/>
    <w:rsid w:val="394D2197"/>
    <w:rsid w:val="397394DB"/>
    <w:rsid w:val="397BA153"/>
    <w:rsid w:val="398B1998"/>
    <w:rsid w:val="398C5901"/>
    <w:rsid w:val="3992084C"/>
    <w:rsid w:val="39A88418"/>
    <w:rsid w:val="39BE2428"/>
    <w:rsid w:val="39CAA4DC"/>
    <w:rsid w:val="39CDBF0F"/>
    <w:rsid w:val="39DF09A7"/>
    <w:rsid w:val="39E048E6"/>
    <w:rsid w:val="39F9919F"/>
    <w:rsid w:val="39FA39A0"/>
    <w:rsid w:val="3A64A3E0"/>
    <w:rsid w:val="3A7C4605"/>
    <w:rsid w:val="3A8402D7"/>
    <w:rsid w:val="3A8E4BE5"/>
    <w:rsid w:val="3A952522"/>
    <w:rsid w:val="3AB71E57"/>
    <w:rsid w:val="3AB89088"/>
    <w:rsid w:val="3AB8F136"/>
    <w:rsid w:val="3AEA194A"/>
    <w:rsid w:val="3AFB628B"/>
    <w:rsid w:val="3B119A39"/>
    <w:rsid w:val="3B19B474"/>
    <w:rsid w:val="3B21035A"/>
    <w:rsid w:val="3B32E055"/>
    <w:rsid w:val="3B524298"/>
    <w:rsid w:val="3B5C09BF"/>
    <w:rsid w:val="3B6221FC"/>
    <w:rsid w:val="3B870BA4"/>
    <w:rsid w:val="3B9A3FC4"/>
    <w:rsid w:val="3B9F6624"/>
    <w:rsid w:val="3BA088D7"/>
    <w:rsid w:val="3BD2371A"/>
    <w:rsid w:val="3BEEF4F2"/>
    <w:rsid w:val="3C20D99C"/>
    <w:rsid w:val="3C335C2B"/>
    <w:rsid w:val="3C346A22"/>
    <w:rsid w:val="3C4A13AD"/>
    <w:rsid w:val="3C66AF27"/>
    <w:rsid w:val="3C759A5E"/>
    <w:rsid w:val="3C7FD780"/>
    <w:rsid w:val="3C81439A"/>
    <w:rsid w:val="3C8A83CC"/>
    <w:rsid w:val="3CA6441A"/>
    <w:rsid w:val="3CBE765F"/>
    <w:rsid w:val="3CD9CAF2"/>
    <w:rsid w:val="3CDB000B"/>
    <w:rsid w:val="3CE72597"/>
    <w:rsid w:val="3CF9B9CA"/>
    <w:rsid w:val="3D137A1C"/>
    <w:rsid w:val="3D169A1E"/>
    <w:rsid w:val="3D288F62"/>
    <w:rsid w:val="3D585654"/>
    <w:rsid w:val="3D6022B4"/>
    <w:rsid w:val="3D7067FE"/>
    <w:rsid w:val="3D8C9839"/>
    <w:rsid w:val="3DAD3400"/>
    <w:rsid w:val="3DB7EF18"/>
    <w:rsid w:val="3DFEB7D8"/>
    <w:rsid w:val="3E01A5FC"/>
    <w:rsid w:val="3E16CC81"/>
    <w:rsid w:val="3E1F20BE"/>
    <w:rsid w:val="3E2801B7"/>
    <w:rsid w:val="3E3A7323"/>
    <w:rsid w:val="3E5354EC"/>
    <w:rsid w:val="3E62BD6B"/>
    <w:rsid w:val="3E72B39A"/>
    <w:rsid w:val="3E7A7EEB"/>
    <w:rsid w:val="3E8001C8"/>
    <w:rsid w:val="3E816ED9"/>
    <w:rsid w:val="3EA10438"/>
    <w:rsid w:val="3EA8884D"/>
    <w:rsid w:val="3EAE1A9A"/>
    <w:rsid w:val="3EC02E77"/>
    <w:rsid w:val="3ED84AA2"/>
    <w:rsid w:val="3EDE3554"/>
    <w:rsid w:val="3F1F52E0"/>
    <w:rsid w:val="3F422C85"/>
    <w:rsid w:val="3F6AEB1E"/>
    <w:rsid w:val="3F6CEE0B"/>
    <w:rsid w:val="3F7BB2E2"/>
    <w:rsid w:val="3F81F00F"/>
    <w:rsid w:val="3FAED359"/>
    <w:rsid w:val="3FAF2887"/>
    <w:rsid w:val="3FB1FCDC"/>
    <w:rsid w:val="3FBB5FF8"/>
    <w:rsid w:val="3FC61C3B"/>
    <w:rsid w:val="3FE5A519"/>
    <w:rsid w:val="3FF010E6"/>
    <w:rsid w:val="3FF027FC"/>
    <w:rsid w:val="400D93E8"/>
    <w:rsid w:val="401E36E3"/>
    <w:rsid w:val="4021A6D1"/>
    <w:rsid w:val="403E2940"/>
    <w:rsid w:val="40446710"/>
    <w:rsid w:val="40843614"/>
    <w:rsid w:val="40C77C95"/>
    <w:rsid w:val="40E5A8DE"/>
    <w:rsid w:val="40EBD09F"/>
    <w:rsid w:val="412B5DA4"/>
    <w:rsid w:val="412BBE27"/>
    <w:rsid w:val="413F7328"/>
    <w:rsid w:val="4141BF1F"/>
    <w:rsid w:val="4163A076"/>
    <w:rsid w:val="416BF459"/>
    <w:rsid w:val="4174D3DE"/>
    <w:rsid w:val="4188DD53"/>
    <w:rsid w:val="41CA44EC"/>
    <w:rsid w:val="41D1A18A"/>
    <w:rsid w:val="41D35DF4"/>
    <w:rsid w:val="41D8BE0D"/>
    <w:rsid w:val="42007A56"/>
    <w:rsid w:val="4202CA29"/>
    <w:rsid w:val="420E3FC4"/>
    <w:rsid w:val="42203001"/>
    <w:rsid w:val="42209D4C"/>
    <w:rsid w:val="42262313"/>
    <w:rsid w:val="42267AB3"/>
    <w:rsid w:val="4228E495"/>
    <w:rsid w:val="42528B01"/>
    <w:rsid w:val="425AD4BB"/>
    <w:rsid w:val="427EF513"/>
    <w:rsid w:val="42832BB2"/>
    <w:rsid w:val="428BCE61"/>
    <w:rsid w:val="429FEB74"/>
    <w:rsid w:val="42A692BD"/>
    <w:rsid w:val="42B0E043"/>
    <w:rsid w:val="42BE7A28"/>
    <w:rsid w:val="42CAF56A"/>
    <w:rsid w:val="42D0CDFB"/>
    <w:rsid w:val="42D3DF0C"/>
    <w:rsid w:val="42DE92CA"/>
    <w:rsid w:val="42F830A4"/>
    <w:rsid w:val="4302B7E6"/>
    <w:rsid w:val="4313CFF0"/>
    <w:rsid w:val="4320BC68"/>
    <w:rsid w:val="432FB8D5"/>
    <w:rsid w:val="43707568"/>
    <w:rsid w:val="4371C7C4"/>
    <w:rsid w:val="437F8FC7"/>
    <w:rsid w:val="438BBF91"/>
    <w:rsid w:val="438D97D2"/>
    <w:rsid w:val="439DF256"/>
    <w:rsid w:val="439E0924"/>
    <w:rsid w:val="43D4D9F1"/>
    <w:rsid w:val="43F8543F"/>
    <w:rsid w:val="44073155"/>
    <w:rsid w:val="440B14C1"/>
    <w:rsid w:val="44162DE8"/>
    <w:rsid w:val="441B5A7C"/>
    <w:rsid w:val="442207F0"/>
    <w:rsid w:val="4435BB96"/>
    <w:rsid w:val="445155AE"/>
    <w:rsid w:val="4457874D"/>
    <w:rsid w:val="4459BA41"/>
    <w:rsid w:val="445A7F8D"/>
    <w:rsid w:val="44870267"/>
    <w:rsid w:val="448D8381"/>
    <w:rsid w:val="449A7216"/>
    <w:rsid w:val="44A34C3C"/>
    <w:rsid w:val="44ACDD43"/>
    <w:rsid w:val="44B05DD8"/>
    <w:rsid w:val="450D2230"/>
    <w:rsid w:val="451EEF92"/>
    <w:rsid w:val="45229D29"/>
    <w:rsid w:val="452992AB"/>
    <w:rsid w:val="45440B9F"/>
    <w:rsid w:val="454F3139"/>
    <w:rsid w:val="4558FBA6"/>
    <w:rsid w:val="457316DE"/>
    <w:rsid w:val="45B18C4F"/>
    <w:rsid w:val="45BABB50"/>
    <w:rsid w:val="45CF642F"/>
    <w:rsid w:val="45EF9D60"/>
    <w:rsid w:val="463BFFB5"/>
    <w:rsid w:val="4649CEBB"/>
    <w:rsid w:val="465E1C80"/>
    <w:rsid w:val="4660B57E"/>
    <w:rsid w:val="468083F3"/>
    <w:rsid w:val="46961666"/>
    <w:rsid w:val="46963F9D"/>
    <w:rsid w:val="46BDF967"/>
    <w:rsid w:val="46F2C153"/>
    <w:rsid w:val="46F2F895"/>
    <w:rsid w:val="4709522C"/>
    <w:rsid w:val="4728827C"/>
    <w:rsid w:val="472B86C9"/>
    <w:rsid w:val="473A2D3E"/>
    <w:rsid w:val="473CD418"/>
    <w:rsid w:val="47417CCE"/>
    <w:rsid w:val="47430280"/>
    <w:rsid w:val="475114AB"/>
    <w:rsid w:val="47565316"/>
    <w:rsid w:val="4761C7CA"/>
    <w:rsid w:val="476F7BFE"/>
    <w:rsid w:val="477D3876"/>
    <w:rsid w:val="4786D832"/>
    <w:rsid w:val="47A7F0A5"/>
    <w:rsid w:val="47BBEAF9"/>
    <w:rsid w:val="47DBF4A8"/>
    <w:rsid w:val="47FD9FFE"/>
    <w:rsid w:val="4801EEF3"/>
    <w:rsid w:val="4829431E"/>
    <w:rsid w:val="486B1AC0"/>
    <w:rsid w:val="48812242"/>
    <w:rsid w:val="489E66C2"/>
    <w:rsid w:val="48A18C10"/>
    <w:rsid w:val="48A28F28"/>
    <w:rsid w:val="48A45367"/>
    <w:rsid w:val="48A774A4"/>
    <w:rsid w:val="48AD5C76"/>
    <w:rsid w:val="48B162EB"/>
    <w:rsid w:val="48BF72DA"/>
    <w:rsid w:val="48C69248"/>
    <w:rsid w:val="48DA4CFC"/>
    <w:rsid w:val="490511A6"/>
    <w:rsid w:val="4909B10A"/>
    <w:rsid w:val="491B2FA1"/>
    <w:rsid w:val="4926827E"/>
    <w:rsid w:val="493D83C8"/>
    <w:rsid w:val="493DD6AE"/>
    <w:rsid w:val="495736BC"/>
    <w:rsid w:val="4971E8F9"/>
    <w:rsid w:val="4978F312"/>
    <w:rsid w:val="49865202"/>
    <w:rsid w:val="4990D5A4"/>
    <w:rsid w:val="49995342"/>
    <w:rsid w:val="49C437E9"/>
    <w:rsid w:val="49C73C50"/>
    <w:rsid w:val="4A15D413"/>
    <w:rsid w:val="4A26D487"/>
    <w:rsid w:val="4A3F2392"/>
    <w:rsid w:val="4A3FB976"/>
    <w:rsid w:val="4A4EB412"/>
    <w:rsid w:val="4A57E84D"/>
    <w:rsid w:val="4A7BDC85"/>
    <w:rsid w:val="4A8389C7"/>
    <w:rsid w:val="4A857255"/>
    <w:rsid w:val="4A8FCEB8"/>
    <w:rsid w:val="4A906AC9"/>
    <w:rsid w:val="4AA62BC6"/>
    <w:rsid w:val="4AA87190"/>
    <w:rsid w:val="4AA901E0"/>
    <w:rsid w:val="4AAD3750"/>
    <w:rsid w:val="4AB0204C"/>
    <w:rsid w:val="4AE53A74"/>
    <w:rsid w:val="4AE6E4F7"/>
    <w:rsid w:val="4AF80C99"/>
    <w:rsid w:val="4B06F3BF"/>
    <w:rsid w:val="4B1D5507"/>
    <w:rsid w:val="4B2BCCCD"/>
    <w:rsid w:val="4B34D275"/>
    <w:rsid w:val="4B35B26D"/>
    <w:rsid w:val="4B37C642"/>
    <w:rsid w:val="4B498E15"/>
    <w:rsid w:val="4B52F468"/>
    <w:rsid w:val="4B67825F"/>
    <w:rsid w:val="4B86C520"/>
    <w:rsid w:val="4B87CA97"/>
    <w:rsid w:val="4B8AE12D"/>
    <w:rsid w:val="4B98A0F6"/>
    <w:rsid w:val="4BBC27A4"/>
    <w:rsid w:val="4BBF82C5"/>
    <w:rsid w:val="4BCA01EC"/>
    <w:rsid w:val="4BDCADDD"/>
    <w:rsid w:val="4BDD79D0"/>
    <w:rsid w:val="4BDF281B"/>
    <w:rsid w:val="4BEEE415"/>
    <w:rsid w:val="4BF16E26"/>
    <w:rsid w:val="4C002630"/>
    <w:rsid w:val="4C07233B"/>
    <w:rsid w:val="4C0817A4"/>
    <w:rsid w:val="4C381D03"/>
    <w:rsid w:val="4C3E3C30"/>
    <w:rsid w:val="4C4B4E83"/>
    <w:rsid w:val="4C51E46A"/>
    <w:rsid w:val="4C58737E"/>
    <w:rsid w:val="4C7F3F86"/>
    <w:rsid w:val="4C889AC7"/>
    <w:rsid w:val="4CB54B7A"/>
    <w:rsid w:val="4CB63DA4"/>
    <w:rsid w:val="4CD5505E"/>
    <w:rsid w:val="4CD79FB9"/>
    <w:rsid w:val="4CDD9FBB"/>
    <w:rsid w:val="4CE0E235"/>
    <w:rsid w:val="4CE396F1"/>
    <w:rsid w:val="4D26765F"/>
    <w:rsid w:val="4D2E16AA"/>
    <w:rsid w:val="4D343979"/>
    <w:rsid w:val="4D4D6C0E"/>
    <w:rsid w:val="4D67FFD2"/>
    <w:rsid w:val="4D7B0676"/>
    <w:rsid w:val="4DA34814"/>
    <w:rsid w:val="4DC073A0"/>
    <w:rsid w:val="4DDD8045"/>
    <w:rsid w:val="4DE79A5B"/>
    <w:rsid w:val="4DFCE55C"/>
    <w:rsid w:val="4DFE85B7"/>
    <w:rsid w:val="4E0128F1"/>
    <w:rsid w:val="4E46E66D"/>
    <w:rsid w:val="4E7E89F5"/>
    <w:rsid w:val="4E7F5B4D"/>
    <w:rsid w:val="4EAEAAD9"/>
    <w:rsid w:val="4EDDAD85"/>
    <w:rsid w:val="4EEA5B77"/>
    <w:rsid w:val="4F131608"/>
    <w:rsid w:val="4F204AFA"/>
    <w:rsid w:val="4F3CB3DD"/>
    <w:rsid w:val="4F3D5426"/>
    <w:rsid w:val="4F4EFF64"/>
    <w:rsid w:val="4F78B591"/>
    <w:rsid w:val="4F9A1A1F"/>
    <w:rsid w:val="4F9B154A"/>
    <w:rsid w:val="4FC227F4"/>
    <w:rsid w:val="4FC81E68"/>
    <w:rsid w:val="4FE68AA7"/>
    <w:rsid w:val="4FF5A5A8"/>
    <w:rsid w:val="500ECF45"/>
    <w:rsid w:val="501DC701"/>
    <w:rsid w:val="5029B868"/>
    <w:rsid w:val="50383FE2"/>
    <w:rsid w:val="504CA7A0"/>
    <w:rsid w:val="50597882"/>
    <w:rsid w:val="505B828C"/>
    <w:rsid w:val="505C7FA2"/>
    <w:rsid w:val="505D1C63"/>
    <w:rsid w:val="506E5342"/>
    <w:rsid w:val="507554B8"/>
    <w:rsid w:val="5092E332"/>
    <w:rsid w:val="50A6F271"/>
    <w:rsid w:val="50BBCB1C"/>
    <w:rsid w:val="50BCEDF0"/>
    <w:rsid w:val="50CBB4ED"/>
    <w:rsid w:val="50D1527B"/>
    <w:rsid w:val="50D4D00C"/>
    <w:rsid w:val="50DDDCC3"/>
    <w:rsid w:val="50E2CCE2"/>
    <w:rsid w:val="50F44053"/>
    <w:rsid w:val="511122B8"/>
    <w:rsid w:val="5125DFC2"/>
    <w:rsid w:val="5145A37A"/>
    <w:rsid w:val="514C46DF"/>
    <w:rsid w:val="5167BE18"/>
    <w:rsid w:val="517EDAFC"/>
    <w:rsid w:val="5190CB7D"/>
    <w:rsid w:val="5195D8B5"/>
    <w:rsid w:val="51A27FB1"/>
    <w:rsid w:val="51B7C6D5"/>
    <w:rsid w:val="51E6A2F6"/>
    <w:rsid w:val="51F458F7"/>
    <w:rsid w:val="51FE6CC0"/>
    <w:rsid w:val="5205EA43"/>
    <w:rsid w:val="520CBB4F"/>
    <w:rsid w:val="5220AB02"/>
    <w:rsid w:val="52412153"/>
    <w:rsid w:val="5255CA1A"/>
    <w:rsid w:val="5261378B"/>
    <w:rsid w:val="52793164"/>
    <w:rsid w:val="52875BEE"/>
    <w:rsid w:val="529E0D2D"/>
    <w:rsid w:val="52A0CB92"/>
    <w:rsid w:val="52A53981"/>
    <w:rsid w:val="52ADF1D5"/>
    <w:rsid w:val="52B36572"/>
    <w:rsid w:val="52D4DC39"/>
    <w:rsid w:val="52EBC00A"/>
    <w:rsid w:val="52F4F6AB"/>
    <w:rsid w:val="52F5FBE1"/>
    <w:rsid w:val="531616FE"/>
    <w:rsid w:val="5329FC6C"/>
    <w:rsid w:val="5337055B"/>
    <w:rsid w:val="5379CAD2"/>
    <w:rsid w:val="538FE1CA"/>
    <w:rsid w:val="539613E0"/>
    <w:rsid w:val="539B08F6"/>
    <w:rsid w:val="53D0761F"/>
    <w:rsid w:val="53DBE61A"/>
    <w:rsid w:val="53E65166"/>
    <w:rsid w:val="53EB6A01"/>
    <w:rsid w:val="53FD3634"/>
    <w:rsid w:val="54032CFD"/>
    <w:rsid w:val="540B0135"/>
    <w:rsid w:val="540F4B42"/>
    <w:rsid w:val="541F6F7F"/>
    <w:rsid w:val="5423EBD2"/>
    <w:rsid w:val="5431745D"/>
    <w:rsid w:val="5434EF86"/>
    <w:rsid w:val="543C33EB"/>
    <w:rsid w:val="543EF168"/>
    <w:rsid w:val="5440FE53"/>
    <w:rsid w:val="5441D5D1"/>
    <w:rsid w:val="5479F07C"/>
    <w:rsid w:val="547D420B"/>
    <w:rsid w:val="54912C45"/>
    <w:rsid w:val="54AB1C9B"/>
    <w:rsid w:val="54F786A6"/>
    <w:rsid w:val="551A603B"/>
    <w:rsid w:val="5543EF50"/>
    <w:rsid w:val="5550D055"/>
    <w:rsid w:val="555B177E"/>
    <w:rsid w:val="55A30330"/>
    <w:rsid w:val="55AB2FA2"/>
    <w:rsid w:val="55B1124F"/>
    <w:rsid w:val="5600F08E"/>
    <w:rsid w:val="560E56BE"/>
    <w:rsid w:val="5650BC7C"/>
    <w:rsid w:val="565BC260"/>
    <w:rsid w:val="5688BF1B"/>
    <w:rsid w:val="5695DC05"/>
    <w:rsid w:val="56B6F169"/>
    <w:rsid w:val="56C05F68"/>
    <w:rsid w:val="56C35033"/>
    <w:rsid w:val="56D4C7C6"/>
    <w:rsid w:val="56D8613D"/>
    <w:rsid w:val="56F24CAB"/>
    <w:rsid w:val="56FC691F"/>
    <w:rsid w:val="5706275A"/>
    <w:rsid w:val="57221252"/>
    <w:rsid w:val="574568FE"/>
    <w:rsid w:val="575703AA"/>
    <w:rsid w:val="575863AA"/>
    <w:rsid w:val="57591D41"/>
    <w:rsid w:val="5759A936"/>
    <w:rsid w:val="575B6253"/>
    <w:rsid w:val="575BFAEE"/>
    <w:rsid w:val="575D53B9"/>
    <w:rsid w:val="5766C8C3"/>
    <w:rsid w:val="576AC031"/>
    <w:rsid w:val="578218FD"/>
    <w:rsid w:val="578B0089"/>
    <w:rsid w:val="57986B7D"/>
    <w:rsid w:val="57B1BA5B"/>
    <w:rsid w:val="57C2526D"/>
    <w:rsid w:val="57C36BE6"/>
    <w:rsid w:val="57C643D6"/>
    <w:rsid w:val="57CCEAD5"/>
    <w:rsid w:val="57DF83D9"/>
    <w:rsid w:val="57E5710C"/>
    <w:rsid w:val="5807D94E"/>
    <w:rsid w:val="5807E28C"/>
    <w:rsid w:val="580D05D9"/>
    <w:rsid w:val="585B17B2"/>
    <w:rsid w:val="585E54C7"/>
    <w:rsid w:val="5863171C"/>
    <w:rsid w:val="587CB013"/>
    <w:rsid w:val="58901CB1"/>
    <w:rsid w:val="5891251C"/>
    <w:rsid w:val="589277D5"/>
    <w:rsid w:val="589ABC35"/>
    <w:rsid w:val="58AC18FE"/>
    <w:rsid w:val="58DA1A94"/>
    <w:rsid w:val="58DE9DB1"/>
    <w:rsid w:val="58EAC30F"/>
    <w:rsid w:val="58EB969B"/>
    <w:rsid w:val="5911C9F5"/>
    <w:rsid w:val="593502EC"/>
    <w:rsid w:val="593A63B0"/>
    <w:rsid w:val="5942E598"/>
    <w:rsid w:val="595DC3D2"/>
    <w:rsid w:val="59977370"/>
    <w:rsid w:val="59A0E9E8"/>
    <w:rsid w:val="59B4BC97"/>
    <w:rsid w:val="59C6CE3C"/>
    <w:rsid w:val="59D478B7"/>
    <w:rsid w:val="59E8E76A"/>
    <w:rsid w:val="59F3B08C"/>
    <w:rsid w:val="5A0B99B2"/>
    <w:rsid w:val="5A2ECC7F"/>
    <w:rsid w:val="5A381DA0"/>
    <w:rsid w:val="5A46C53E"/>
    <w:rsid w:val="5A560AE1"/>
    <w:rsid w:val="5A60483F"/>
    <w:rsid w:val="5A6EC0D4"/>
    <w:rsid w:val="5A7B9118"/>
    <w:rsid w:val="5A81D8AC"/>
    <w:rsid w:val="5A823401"/>
    <w:rsid w:val="5A8406B6"/>
    <w:rsid w:val="5AA6D054"/>
    <w:rsid w:val="5AB508BF"/>
    <w:rsid w:val="5AC336DF"/>
    <w:rsid w:val="5AC3FDFA"/>
    <w:rsid w:val="5ACB4225"/>
    <w:rsid w:val="5ACBA2B5"/>
    <w:rsid w:val="5ACBE30B"/>
    <w:rsid w:val="5ADC0781"/>
    <w:rsid w:val="5ADF6B55"/>
    <w:rsid w:val="5AE4F440"/>
    <w:rsid w:val="5AE83562"/>
    <w:rsid w:val="5B48BDC2"/>
    <w:rsid w:val="5B817201"/>
    <w:rsid w:val="5BAEFAC7"/>
    <w:rsid w:val="5BB4AD28"/>
    <w:rsid w:val="5BC05B85"/>
    <w:rsid w:val="5BC18430"/>
    <w:rsid w:val="5BC7AA56"/>
    <w:rsid w:val="5BD5B0C3"/>
    <w:rsid w:val="5BFACE49"/>
    <w:rsid w:val="5BFBFCBF"/>
    <w:rsid w:val="5C1955A8"/>
    <w:rsid w:val="5C23DCAB"/>
    <w:rsid w:val="5C42C10C"/>
    <w:rsid w:val="5C50073B"/>
    <w:rsid w:val="5C61BCEF"/>
    <w:rsid w:val="5C684D8D"/>
    <w:rsid w:val="5C6F637F"/>
    <w:rsid w:val="5C732C25"/>
    <w:rsid w:val="5C760CC5"/>
    <w:rsid w:val="5C79D280"/>
    <w:rsid w:val="5C83BE23"/>
    <w:rsid w:val="5C8900C5"/>
    <w:rsid w:val="5C963A42"/>
    <w:rsid w:val="5C9B1D40"/>
    <w:rsid w:val="5CA94D88"/>
    <w:rsid w:val="5CC9FF86"/>
    <w:rsid w:val="5CD39833"/>
    <w:rsid w:val="5CDDB3D9"/>
    <w:rsid w:val="5CE45DFF"/>
    <w:rsid w:val="5D110ED9"/>
    <w:rsid w:val="5D1D14AB"/>
    <w:rsid w:val="5D2A4CD4"/>
    <w:rsid w:val="5D5BE684"/>
    <w:rsid w:val="5D62B6BC"/>
    <w:rsid w:val="5D63706F"/>
    <w:rsid w:val="5D6A3C18"/>
    <w:rsid w:val="5D9D3C76"/>
    <w:rsid w:val="5DA60DBA"/>
    <w:rsid w:val="5DC7ABB7"/>
    <w:rsid w:val="5DC9DEAD"/>
    <w:rsid w:val="5DD203AA"/>
    <w:rsid w:val="5DD95A38"/>
    <w:rsid w:val="5DDBF912"/>
    <w:rsid w:val="5DFCC956"/>
    <w:rsid w:val="5E00D321"/>
    <w:rsid w:val="5E0695DB"/>
    <w:rsid w:val="5E1461D4"/>
    <w:rsid w:val="5E287896"/>
    <w:rsid w:val="5E2AFDC8"/>
    <w:rsid w:val="5E2F3B3D"/>
    <w:rsid w:val="5E51904E"/>
    <w:rsid w:val="5E52499D"/>
    <w:rsid w:val="5E5D5EAC"/>
    <w:rsid w:val="5E66A192"/>
    <w:rsid w:val="5E694BFF"/>
    <w:rsid w:val="5E795D4C"/>
    <w:rsid w:val="5E7DD001"/>
    <w:rsid w:val="5E7DFE75"/>
    <w:rsid w:val="5E91EFAA"/>
    <w:rsid w:val="5E9D85AA"/>
    <w:rsid w:val="5EC2BFD2"/>
    <w:rsid w:val="5ECDE3EC"/>
    <w:rsid w:val="5EEBFF08"/>
    <w:rsid w:val="5EF382A2"/>
    <w:rsid w:val="5F11BEE7"/>
    <w:rsid w:val="5F16B212"/>
    <w:rsid w:val="5F354F7A"/>
    <w:rsid w:val="5F4841DD"/>
    <w:rsid w:val="5F488199"/>
    <w:rsid w:val="5F85D9E1"/>
    <w:rsid w:val="5F8A8EBB"/>
    <w:rsid w:val="5F98B3B2"/>
    <w:rsid w:val="5F9CA5C6"/>
    <w:rsid w:val="5FD0CEBC"/>
    <w:rsid w:val="5FDB18C1"/>
    <w:rsid w:val="60025D43"/>
    <w:rsid w:val="60119ED8"/>
    <w:rsid w:val="601A0698"/>
    <w:rsid w:val="602BA1C1"/>
    <w:rsid w:val="603847C0"/>
    <w:rsid w:val="603B4334"/>
    <w:rsid w:val="604062FC"/>
    <w:rsid w:val="604C99B3"/>
    <w:rsid w:val="605127B0"/>
    <w:rsid w:val="60ADAB6C"/>
    <w:rsid w:val="60D5DBB0"/>
    <w:rsid w:val="6104D4A1"/>
    <w:rsid w:val="6113AB97"/>
    <w:rsid w:val="613402B6"/>
    <w:rsid w:val="6158B320"/>
    <w:rsid w:val="615D2C90"/>
    <w:rsid w:val="61607FFB"/>
    <w:rsid w:val="6162CE9A"/>
    <w:rsid w:val="6163DD7E"/>
    <w:rsid w:val="6181BDCC"/>
    <w:rsid w:val="6196D231"/>
    <w:rsid w:val="61C24805"/>
    <w:rsid w:val="61DF2060"/>
    <w:rsid w:val="61E0C23F"/>
    <w:rsid w:val="61F8BD2D"/>
    <w:rsid w:val="620CF326"/>
    <w:rsid w:val="622A1275"/>
    <w:rsid w:val="623097F1"/>
    <w:rsid w:val="62355B85"/>
    <w:rsid w:val="62638AC9"/>
    <w:rsid w:val="6264AF6D"/>
    <w:rsid w:val="626FEC68"/>
    <w:rsid w:val="627F0E6F"/>
    <w:rsid w:val="6286FF57"/>
    <w:rsid w:val="6287A6D2"/>
    <w:rsid w:val="629E324D"/>
    <w:rsid w:val="62B0AD5D"/>
    <w:rsid w:val="62C23E7C"/>
    <w:rsid w:val="62C3B874"/>
    <w:rsid w:val="62C6B53D"/>
    <w:rsid w:val="62DF7043"/>
    <w:rsid w:val="62E49C12"/>
    <w:rsid w:val="6302896F"/>
    <w:rsid w:val="631CF7D9"/>
    <w:rsid w:val="631DDC7D"/>
    <w:rsid w:val="631E8C23"/>
    <w:rsid w:val="633FF3F6"/>
    <w:rsid w:val="635415AF"/>
    <w:rsid w:val="635B7500"/>
    <w:rsid w:val="6365FEA5"/>
    <w:rsid w:val="6369F2B8"/>
    <w:rsid w:val="6375B6D3"/>
    <w:rsid w:val="637BC439"/>
    <w:rsid w:val="637BEE79"/>
    <w:rsid w:val="638785CF"/>
    <w:rsid w:val="63980D73"/>
    <w:rsid w:val="63A98078"/>
    <w:rsid w:val="63CED1F8"/>
    <w:rsid w:val="63D6333B"/>
    <w:rsid w:val="63EFFC69"/>
    <w:rsid w:val="63F6A572"/>
    <w:rsid w:val="64227F19"/>
    <w:rsid w:val="644F46A2"/>
    <w:rsid w:val="645A92D2"/>
    <w:rsid w:val="64673EBE"/>
    <w:rsid w:val="648239A6"/>
    <w:rsid w:val="6493A210"/>
    <w:rsid w:val="64B3F7F1"/>
    <w:rsid w:val="64C1C446"/>
    <w:rsid w:val="64D3A2E0"/>
    <w:rsid w:val="64DF9912"/>
    <w:rsid w:val="64E5482E"/>
    <w:rsid w:val="651278C6"/>
    <w:rsid w:val="654C6DD1"/>
    <w:rsid w:val="65563932"/>
    <w:rsid w:val="6570956E"/>
    <w:rsid w:val="65718539"/>
    <w:rsid w:val="6576994F"/>
    <w:rsid w:val="6579AFCC"/>
    <w:rsid w:val="657B440E"/>
    <w:rsid w:val="657BCCCF"/>
    <w:rsid w:val="657FFF66"/>
    <w:rsid w:val="6581DB1C"/>
    <w:rsid w:val="658F66EB"/>
    <w:rsid w:val="65AD2449"/>
    <w:rsid w:val="65C8AA5E"/>
    <w:rsid w:val="65CEE5B4"/>
    <w:rsid w:val="65E7AC7D"/>
    <w:rsid w:val="65F1D500"/>
    <w:rsid w:val="65FA1CEA"/>
    <w:rsid w:val="660F6E26"/>
    <w:rsid w:val="661BA64F"/>
    <w:rsid w:val="661F5432"/>
    <w:rsid w:val="6626552B"/>
    <w:rsid w:val="6632E24C"/>
    <w:rsid w:val="665064EC"/>
    <w:rsid w:val="6650DBC3"/>
    <w:rsid w:val="665D50CA"/>
    <w:rsid w:val="666E3ED0"/>
    <w:rsid w:val="6672A639"/>
    <w:rsid w:val="668A0585"/>
    <w:rsid w:val="66A57C28"/>
    <w:rsid w:val="66ACB3CC"/>
    <w:rsid w:val="66C01881"/>
    <w:rsid w:val="670A669F"/>
    <w:rsid w:val="6726D621"/>
    <w:rsid w:val="67272305"/>
    <w:rsid w:val="6728C7C7"/>
    <w:rsid w:val="672A4845"/>
    <w:rsid w:val="673073F1"/>
    <w:rsid w:val="674028FB"/>
    <w:rsid w:val="6746DB84"/>
    <w:rsid w:val="677C3EEA"/>
    <w:rsid w:val="677DB2A4"/>
    <w:rsid w:val="678EB3DA"/>
    <w:rsid w:val="67C2B946"/>
    <w:rsid w:val="68352145"/>
    <w:rsid w:val="684D3937"/>
    <w:rsid w:val="684E9FC7"/>
    <w:rsid w:val="684F0A28"/>
    <w:rsid w:val="68523EA7"/>
    <w:rsid w:val="685F3F1D"/>
    <w:rsid w:val="686D24CC"/>
    <w:rsid w:val="68789E11"/>
    <w:rsid w:val="6898B209"/>
    <w:rsid w:val="68A7DC19"/>
    <w:rsid w:val="68C8B325"/>
    <w:rsid w:val="68D48EBA"/>
    <w:rsid w:val="68DD3A25"/>
    <w:rsid w:val="68DD6123"/>
    <w:rsid w:val="68FEAC2B"/>
    <w:rsid w:val="690C9C5A"/>
    <w:rsid w:val="6925A0C4"/>
    <w:rsid w:val="6936D7EB"/>
    <w:rsid w:val="69490CCA"/>
    <w:rsid w:val="6952A214"/>
    <w:rsid w:val="697EA9AB"/>
    <w:rsid w:val="698CF0A5"/>
    <w:rsid w:val="699E0993"/>
    <w:rsid w:val="699F3D6D"/>
    <w:rsid w:val="69A15652"/>
    <w:rsid w:val="69A5B5F8"/>
    <w:rsid w:val="69A5D17B"/>
    <w:rsid w:val="69AFCFDE"/>
    <w:rsid w:val="69B067CA"/>
    <w:rsid w:val="69C27430"/>
    <w:rsid w:val="69DEB2D1"/>
    <w:rsid w:val="69F2CC3D"/>
    <w:rsid w:val="6A08148F"/>
    <w:rsid w:val="6A171B18"/>
    <w:rsid w:val="6A336C68"/>
    <w:rsid w:val="6A35053A"/>
    <w:rsid w:val="6A459457"/>
    <w:rsid w:val="6A480F93"/>
    <w:rsid w:val="6A7DA8C4"/>
    <w:rsid w:val="6A8815C7"/>
    <w:rsid w:val="6AAD399D"/>
    <w:rsid w:val="6AAF7601"/>
    <w:rsid w:val="6AB2E5F9"/>
    <w:rsid w:val="6AC1D735"/>
    <w:rsid w:val="6ACFBBC8"/>
    <w:rsid w:val="6AE921FC"/>
    <w:rsid w:val="6AF6273B"/>
    <w:rsid w:val="6B06AFFC"/>
    <w:rsid w:val="6B0806DB"/>
    <w:rsid w:val="6B0BB77A"/>
    <w:rsid w:val="6B31CC07"/>
    <w:rsid w:val="6B39FA13"/>
    <w:rsid w:val="6B3B1321"/>
    <w:rsid w:val="6B3DE28E"/>
    <w:rsid w:val="6B52DC92"/>
    <w:rsid w:val="6B573516"/>
    <w:rsid w:val="6B62EA9C"/>
    <w:rsid w:val="6B8C1B87"/>
    <w:rsid w:val="6B8F5ABB"/>
    <w:rsid w:val="6B92DBE8"/>
    <w:rsid w:val="6BADCA43"/>
    <w:rsid w:val="6BAF2F33"/>
    <w:rsid w:val="6BC0F1E9"/>
    <w:rsid w:val="6BE9E308"/>
    <w:rsid w:val="6C1D8BE7"/>
    <w:rsid w:val="6C1EFD94"/>
    <w:rsid w:val="6C34231F"/>
    <w:rsid w:val="6C3B07BB"/>
    <w:rsid w:val="6C422F59"/>
    <w:rsid w:val="6C51D3DE"/>
    <w:rsid w:val="6C55E468"/>
    <w:rsid w:val="6C5AAF7D"/>
    <w:rsid w:val="6CB3593F"/>
    <w:rsid w:val="6CD569F8"/>
    <w:rsid w:val="6D1AFB94"/>
    <w:rsid w:val="6D6BCBBA"/>
    <w:rsid w:val="6D6D6EE8"/>
    <w:rsid w:val="6D74141A"/>
    <w:rsid w:val="6D783592"/>
    <w:rsid w:val="6D7E6852"/>
    <w:rsid w:val="6D9CC379"/>
    <w:rsid w:val="6DA6FBA6"/>
    <w:rsid w:val="6DDAAB3A"/>
    <w:rsid w:val="6DED125A"/>
    <w:rsid w:val="6DF72276"/>
    <w:rsid w:val="6E01340F"/>
    <w:rsid w:val="6E0D2AF0"/>
    <w:rsid w:val="6E1778D5"/>
    <w:rsid w:val="6E3704AB"/>
    <w:rsid w:val="6E3B7E75"/>
    <w:rsid w:val="6E446444"/>
    <w:rsid w:val="6E4C80F2"/>
    <w:rsid w:val="6E5C3508"/>
    <w:rsid w:val="6E6D76D8"/>
    <w:rsid w:val="6E8CC1DB"/>
    <w:rsid w:val="6EB764BD"/>
    <w:rsid w:val="6EC031D0"/>
    <w:rsid w:val="6ED0C8AB"/>
    <w:rsid w:val="6ED444DF"/>
    <w:rsid w:val="6EF7A4E2"/>
    <w:rsid w:val="6EFFD102"/>
    <w:rsid w:val="6F114371"/>
    <w:rsid w:val="6F1428F3"/>
    <w:rsid w:val="6F3445C6"/>
    <w:rsid w:val="6F46DCA0"/>
    <w:rsid w:val="6F60BB9C"/>
    <w:rsid w:val="6F77C97B"/>
    <w:rsid w:val="6F860EB0"/>
    <w:rsid w:val="6F9DCE48"/>
    <w:rsid w:val="6FA79D80"/>
    <w:rsid w:val="6FA85805"/>
    <w:rsid w:val="6FC54F01"/>
    <w:rsid w:val="6FD0F7E7"/>
    <w:rsid w:val="6FE343AF"/>
    <w:rsid w:val="6FE9B590"/>
    <w:rsid w:val="6FFE11D5"/>
    <w:rsid w:val="6FFE3A57"/>
    <w:rsid w:val="6FFEE524"/>
    <w:rsid w:val="7029B788"/>
    <w:rsid w:val="70307A8C"/>
    <w:rsid w:val="703EC395"/>
    <w:rsid w:val="704AAC3B"/>
    <w:rsid w:val="704F65FC"/>
    <w:rsid w:val="706BB5DE"/>
    <w:rsid w:val="706EF87D"/>
    <w:rsid w:val="708B5F38"/>
    <w:rsid w:val="70A2538E"/>
    <w:rsid w:val="70A3A285"/>
    <w:rsid w:val="70C0CF61"/>
    <w:rsid w:val="70CD3A8A"/>
    <w:rsid w:val="7110EF30"/>
    <w:rsid w:val="71112252"/>
    <w:rsid w:val="711B440B"/>
    <w:rsid w:val="7123A3A5"/>
    <w:rsid w:val="7157BFF9"/>
    <w:rsid w:val="715B1EC2"/>
    <w:rsid w:val="716F460D"/>
    <w:rsid w:val="71720DD3"/>
    <w:rsid w:val="717EB549"/>
    <w:rsid w:val="71A21250"/>
    <w:rsid w:val="71B1650C"/>
    <w:rsid w:val="71B36E06"/>
    <w:rsid w:val="71DF99EA"/>
    <w:rsid w:val="71E9DC09"/>
    <w:rsid w:val="71EDD891"/>
    <w:rsid w:val="71EEE373"/>
    <w:rsid w:val="71F0B52A"/>
    <w:rsid w:val="71FD7AD3"/>
    <w:rsid w:val="72019E54"/>
    <w:rsid w:val="7208C7FB"/>
    <w:rsid w:val="720B83FF"/>
    <w:rsid w:val="72238762"/>
    <w:rsid w:val="7247D4B6"/>
    <w:rsid w:val="72638C35"/>
    <w:rsid w:val="72793865"/>
    <w:rsid w:val="727DB638"/>
    <w:rsid w:val="728C5C7F"/>
    <w:rsid w:val="72A0FF17"/>
    <w:rsid w:val="72A545A8"/>
    <w:rsid w:val="72CDDC72"/>
    <w:rsid w:val="72EE5741"/>
    <w:rsid w:val="72FA6492"/>
    <w:rsid w:val="731921A9"/>
    <w:rsid w:val="7338B988"/>
    <w:rsid w:val="734090B4"/>
    <w:rsid w:val="735199E8"/>
    <w:rsid w:val="7374DC19"/>
    <w:rsid w:val="7383A431"/>
    <w:rsid w:val="738CAE45"/>
    <w:rsid w:val="73954790"/>
    <w:rsid w:val="73A4D073"/>
    <w:rsid w:val="73CFD0B7"/>
    <w:rsid w:val="7410E3AC"/>
    <w:rsid w:val="741E3E9D"/>
    <w:rsid w:val="7467AB80"/>
    <w:rsid w:val="74888887"/>
    <w:rsid w:val="74952D02"/>
    <w:rsid w:val="74B4238F"/>
    <w:rsid w:val="74CF20AB"/>
    <w:rsid w:val="74D01F07"/>
    <w:rsid w:val="74E065AD"/>
    <w:rsid w:val="74E4E7F4"/>
    <w:rsid w:val="74E8D008"/>
    <w:rsid w:val="74EED48F"/>
    <w:rsid w:val="75076BC1"/>
    <w:rsid w:val="7573B969"/>
    <w:rsid w:val="757927B3"/>
    <w:rsid w:val="7583FF7B"/>
    <w:rsid w:val="7587C1DD"/>
    <w:rsid w:val="75956411"/>
    <w:rsid w:val="759F54C6"/>
    <w:rsid w:val="75BD2B7B"/>
    <w:rsid w:val="75DC6920"/>
    <w:rsid w:val="75DDCFE0"/>
    <w:rsid w:val="75F26D1B"/>
    <w:rsid w:val="75F599F8"/>
    <w:rsid w:val="760169F5"/>
    <w:rsid w:val="764B1F1B"/>
    <w:rsid w:val="7683F796"/>
    <w:rsid w:val="76A25DA8"/>
    <w:rsid w:val="76A69E0A"/>
    <w:rsid w:val="76A92E5E"/>
    <w:rsid w:val="76AD0A2F"/>
    <w:rsid w:val="76DDD322"/>
    <w:rsid w:val="76E0D961"/>
    <w:rsid w:val="76E50B57"/>
    <w:rsid w:val="76E73FAD"/>
    <w:rsid w:val="771C8513"/>
    <w:rsid w:val="77225496"/>
    <w:rsid w:val="7735687D"/>
    <w:rsid w:val="7741B4DB"/>
    <w:rsid w:val="77439507"/>
    <w:rsid w:val="7743B966"/>
    <w:rsid w:val="7748BD39"/>
    <w:rsid w:val="774FDF90"/>
    <w:rsid w:val="7752150F"/>
    <w:rsid w:val="775BCBE6"/>
    <w:rsid w:val="7760E454"/>
    <w:rsid w:val="776E7FCA"/>
    <w:rsid w:val="77745DF0"/>
    <w:rsid w:val="77AA1072"/>
    <w:rsid w:val="77ABC3D6"/>
    <w:rsid w:val="77AF996B"/>
    <w:rsid w:val="77C24D97"/>
    <w:rsid w:val="77D42B02"/>
    <w:rsid w:val="77DA9801"/>
    <w:rsid w:val="77ED3B4E"/>
    <w:rsid w:val="78076116"/>
    <w:rsid w:val="780AB404"/>
    <w:rsid w:val="780C36A5"/>
    <w:rsid w:val="781B844F"/>
    <w:rsid w:val="7840A48B"/>
    <w:rsid w:val="785B772F"/>
    <w:rsid w:val="78724288"/>
    <w:rsid w:val="787ABC79"/>
    <w:rsid w:val="787BC462"/>
    <w:rsid w:val="78850DA5"/>
    <w:rsid w:val="7894F88B"/>
    <w:rsid w:val="7895D31F"/>
    <w:rsid w:val="7895EF69"/>
    <w:rsid w:val="78C13C8D"/>
    <w:rsid w:val="78CA4325"/>
    <w:rsid w:val="78E35343"/>
    <w:rsid w:val="78FDA77D"/>
    <w:rsid w:val="790747E0"/>
    <w:rsid w:val="790EA5D8"/>
    <w:rsid w:val="79353D9D"/>
    <w:rsid w:val="794065CB"/>
    <w:rsid w:val="79455443"/>
    <w:rsid w:val="794A4E1B"/>
    <w:rsid w:val="794D13BA"/>
    <w:rsid w:val="79527971"/>
    <w:rsid w:val="79824AFE"/>
    <w:rsid w:val="798956DF"/>
    <w:rsid w:val="79947BE8"/>
    <w:rsid w:val="79BB4BDD"/>
    <w:rsid w:val="79D6132E"/>
    <w:rsid w:val="79F689C8"/>
    <w:rsid w:val="7A09E533"/>
    <w:rsid w:val="7A235281"/>
    <w:rsid w:val="7A2F75F8"/>
    <w:rsid w:val="7A3ED98C"/>
    <w:rsid w:val="7A489906"/>
    <w:rsid w:val="7A4B9BE7"/>
    <w:rsid w:val="7A4F0575"/>
    <w:rsid w:val="7A509DBD"/>
    <w:rsid w:val="7A72642E"/>
    <w:rsid w:val="7A908850"/>
    <w:rsid w:val="7A908928"/>
    <w:rsid w:val="7A957FF7"/>
    <w:rsid w:val="7AD27D89"/>
    <w:rsid w:val="7AD57930"/>
    <w:rsid w:val="7B2051E6"/>
    <w:rsid w:val="7B29A8BD"/>
    <w:rsid w:val="7B2EBE16"/>
    <w:rsid w:val="7B3DAA3A"/>
    <w:rsid w:val="7B76F0E6"/>
    <w:rsid w:val="7B97A31C"/>
    <w:rsid w:val="7BABE565"/>
    <w:rsid w:val="7BB41B18"/>
    <w:rsid w:val="7BD0E456"/>
    <w:rsid w:val="7BED498B"/>
    <w:rsid w:val="7C0D73B8"/>
    <w:rsid w:val="7C11633F"/>
    <w:rsid w:val="7C16E0E6"/>
    <w:rsid w:val="7C3FB756"/>
    <w:rsid w:val="7C3FED33"/>
    <w:rsid w:val="7C494B6F"/>
    <w:rsid w:val="7C5DDFD0"/>
    <w:rsid w:val="7C6382E7"/>
    <w:rsid w:val="7C6B0261"/>
    <w:rsid w:val="7C6F31C2"/>
    <w:rsid w:val="7C79D52F"/>
    <w:rsid w:val="7C8F6DB8"/>
    <w:rsid w:val="7C929C64"/>
    <w:rsid w:val="7C9F836C"/>
    <w:rsid w:val="7CA2153E"/>
    <w:rsid w:val="7CC11A67"/>
    <w:rsid w:val="7CCF94F5"/>
    <w:rsid w:val="7CCFF77D"/>
    <w:rsid w:val="7CDEDC8C"/>
    <w:rsid w:val="7CEC883D"/>
    <w:rsid w:val="7CF20D3E"/>
    <w:rsid w:val="7CF224F8"/>
    <w:rsid w:val="7CFF9E7C"/>
    <w:rsid w:val="7D0557EE"/>
    <w:rsid w:val="7D0C9518"/>
    <w:rsid w:val="7D32E8B0"/>
    <w:rsid w:val="7D3C9885"/>
    <w:rsid w:val="7D3D3FD6"/>
    <w:rsid w:val="7D43F472"/>
    <w:rsid w:val="7D63747B"/>
    <w:rsid w:val="7D72FC08"/>
    <w:rsid w:val="7D785B4C"/>
    <w:rsid w:val="7D883AC3"/>
    <w:rsid w:val="7DAC85A6"/>
    <w:rsid w:val="7DDD04C2"/>
    <w:rsid w:val="7DF37126"/>
    <w:rsid w:val="7E15347C"/>
    <w:rsid w:val="7E509B3B"/>
    <w:rsid w:val="7E52F027"/>
    <w:rsid w:val="7E690E43"/>
    <w:rsid w:val="7E6A52CA"/>
    <w:rsid w:val="7E856656"/>
    <w:rsid w:val="7E89F28B"/>
    <w:rsid w:val="7E99CF8F"/>
    <w:rsid w:val="7E9BD5CA"/>
    <w:rsid w:val="7E9ECDF5"/>
    <w:rsid w:val="7EA421B6"/>
    <w:rsid w:val="7EB352CF"/>
    <w:rsid w:val="7EC1BC8F"/>
    <w:rsid w:val="7ED331B4"/>
    <w:rsid w:val="7EDD528D"/>
    <w:rsid w:val="7EFA1D68"/>
    <w:rsid w:val="7F064A60"/>
    <w:rsid w:val="7F180120"/>
    <w:rsid w:val="7F3AE942"/>
    <w:rsid w:val="7F7432F7"/>
    <w:rsid w:val="7F873203"/>
    <w:rsid w:val="7F89ABD6"/>
    <w:rsid w:val="7F8CF7F8"/>
    <w:rsid w:val="7F97D981"/>
    <w:rsid w:val="7F98BC6E"/>
    <w:rsid w:val="7FA06B47"/>
    <w:rsid w:val="7FA28A8D"/>
    <w:rsid w:val="7FABA36D"/>
    <w:rsid w:val="7FBC6D60"/>
    <w:rsid w:val="7FD6F325"/>
    <w:rsid w:val="7FE2A3F2"/>
  </w:rsids>
  <m:mathPr>
    <m:mathFont m:val="Cambria Math"/>
    <m:brkBin m:val="before"/>
    <m:brkBinSub m:val="--"/>
    <m:smallFrac/>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40F75"/>
  <w15:docId w15:val="{81BA01E8-13CF-4053-9155-AE74B196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24"/>
        <w:szCs w:val="24"/>
        <w:lang w:val="en-AU" w:eastAsia="en-AU" w:bidi="ar-SA"/>
      </w:rPr>
    </w:rPrDefault>
    <w:pPrDefault/>
  </w:docDefaults>
  <w:latentStyles w:defLockedState="0" w:defUIPriority="0" w:defSemiHidden="0" w:defUnhideWhenUsed="0" w:defQFormat="0" w:count="376">
    <w:lsdException w:name="Normal" w:qFormat="1"/>
    <w:lsdException w:name="heading 1" w:uiPriority="10"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10" w:unhideWhenUsed="1" w:qFormat="1"/>
    <w:lsdException w:name="heading 6" w:semiHidden="1" w:uiPriority="10" w:unhideWhenUsed="1" w:qFormat="1"/>
    <w:lsdException w:name="heading 7" w:semiHidden="1" w:uiPriority="10" w:unhideWhenUsed="1"/>
    <w:lsdException w:name="heading 8" w:semiHidden="1" w:uiPriority="10" w:unhideWhenUsed="1"/>
    <w:lsdException w:name="heading 9" w:semiHidden="1" w:uiPriority="10" w:unhideWhenUsed="1"/>
    <w:lsdException w:name="index 1" w:semiHidden="1" w:uiPriority="34" w:unhideWhenUsed="1"/>
    <w:lsdException w:name="index 2" w:semiHidden="1" w:uiPriority="34" w:unhideWhenUsed="1"/>
    <w:lsdException w:name="index 3" w:semiHidden="1" w:uiPriority="34" w:unhideWhenUsed="1"/>
    <w:lsdException w:name="index 4" w:semiHidden="1" w:uiPriority="34" w:unhideWhenUsed="1"/>
    <w:lsdException w:name="index 5" w:semiHidden="1" w:uiPriority="34" w:unhideWhenUsed="1"/>
    <w:lsdException w:name="index 6" w:semiHidden="1" w:uiPriority="34" w:unhideWhenUsed="1"/>
    <w:lsdException w:name="index 7" w:semiHidden="1" w:uiPriority="34" w:unhideWhenUsed="1"/>
    <w:lsdException w:name="index 8" w:semiHidden="1" w:uiPriority="34" w:unhideWhenUsed="1"/>
    <w:lsdException w:name="index 9" w:semiHidden="1" w:uiPriority="34"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iPriority="8"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58" w:unhideWhenUsed="1"/>
    <w:lsdException w:name="index heading" w:semiHidden="1" w:uiPriority="34" w:unhideWhenUsed="1"/>
    <w:lsdException w:name="caption" w:semiHidden="1" w:uiPriority="8" w:unhideWhenUsed="1"/>
    <w:lsdException w:name="table of figures" w:semiHidden="1" w:uiPriority="34"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34" w:unhideWhenUsed="1" w:qFormat="1"/>
    <w:lsdException w:name="endnote text" w:uiPriority="34"/>
    <w:lsdException w:name="table of authorities" w:semiHidden="1" w:uiPriority="34" w:unhideWhenUsed="1"/>
    <w:lsdException w:name="macro" w:semiHidden="1" w:uiPriority="34" w:unhideWhenUsed="1"/>
    <w:lsdException w:name="toa heading" w:uiPriority="34"/>
    <w:lsdException w:name="List" w:uiPriority="99"/>
    <w:lsdException w:name="List Bullet" w:semiHidden="1" w:uiPriority="4" w:unhideWhenUsed="1" w:qFormat="1"/>
    <w:lsdException w:name="List Number" w:semiHidden="1" w:uiPriority="4" w:unhideWhenUsed="1" w:qFormat="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4" w:unhideWhenUsed="1"/>
    <w:lsdException w:name="List Bullet 3" w:semiHidden="1" w:uiPriority="4" w:unhideWhenUsed="1"/>
    <w:lsdException w:name="List Bullet 4" w:semiHidden="1" w:uiPriority="4" w:unhideWhenUsed="1"/>
    <w:lsdException w:name="List Bullet 5" w:semiHidden="1" w:uiPriority="4"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2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99"/>
    <w:lsdException w:name="List Continue 2" w:uiPriority="99"/>
    <w:lsdException w:name="List Continue 3" w:uiPriority="99"/>
    <w:lsdException w:name="List Continue 4" w:uiPriority="99"/>
    <w:lsdException w:name="List Continue 5" w:semiHidden="1" w:uiPriority="99" w:unhideWhenUsed="1"/>
    <w:lsdException w:name="Message Header" w:semiHidden="1" w:uiPriority="99" w:unhideWhenUsed="1"/>
    <w:lsdException w:name="Subtitle" w:uiPriority="21" w:qFormat="1"/>
    <w:lsdException w:name="Salutation" w:semiHidden="1" w:uiPriority="99" w:unhideWhenUsed="1"/>
    <w:lsdException w:name="Date" w:semiHidden="1" w:uiPriority="2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1" w:unhideWhenUsed="1" w:qFormat="1"/>
    <w:lsdException w:name="Body Text 3" w:semiHidden="1" w:uiPriority="1" w:unhideWhenUsed="1"/>
    <w:lsdException w:name="Body Text Indent 2" w:semiHidden="1" w:uiPriority="1" w:unhideWhenUsed="1" w:qFormat="1"/>
    <w:lsdException w:name="Body Text Indent 3" w:semiHidden="1" w:uiPriority="2" w:unhideWhenUsed="1"/>
    <w:lsdException w:name="Block Text" w:semiHidden="1" w:uiPriority="99" w:unhideWhenUsed="1"/>
    <w:lsdException w:name="Hyperlink" w:semiHidden="1" w:uiPriority="99" w:unhideWhenUsed="1"/>
    <w:lsdException w:name="FollowedHyperlink" w:semiHidden="1" w:uiPriority="59" w:unhideWhenUsed="1"/>
    <w:lsdException w:name="Strong" w:uiPriority="5" w:qFormat="1"/>
    <w:lsdException w:name="Emphasis" w:uiPriority="5" w:qFormat="1"/>
    <w:lsdException w:name="Document Map" w:semiHidden="1" w:uiPriority="34"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34"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34"/>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6" w:qFormat="1"/>
    <w:lsdException w:name="Intense Quote"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34"/>
    <w:lsdException w:name="Intense Emphasis" w:uiPriority="34"/>
    <w:lsdException w:name="Subtle Reference" w:uiPriority="34"/>
    <w:lsdException w:name="Intense Reference" w:uiPriority="34"/>
    <w:lsdException w:name="Book Title" w:uiPriority="29"/>
    <w:lsdException w:name="Bibliography" w:uiPriority="34"/>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FCD"/>
    <w:pPr>
      <w:spacing w:before="80" w:after="80" w:line="360" w:lineRule="auto"/>
    </w:pPr>
    <w:rPr>
      <w:rFonts w:ascii="Metropolis Light" w:eastAsiaTheme="minorHAnsi" w:hAnsi="Metropolis Light" w:cstheme="minorBidi"/>
      <w:sz w:val="20"/>
      <w:szCs w:val="22"/>
      <w:lang w:val="en-NZ" w:eastAsia="en-US"/>
    </w:rPr>
  </w:style>
  <w:style w:type="paragraph" w:styleId="Heading1">
    <w:name w:val="heading 1"/>
    <w:link w:val="Heading1Char"/>
    <w:uiPriority w:val="10"/>
    <w:qFormat/>
    <w:rsid w:val="00492569"/>
    <w:pPr>
      <w:keepNext/>
      <w:spacing w:before="600" w:after="240" w:line="360" w:lineRule="auto"/>
      <w:outlineLvl w:val="0"/>
    </w:pPr>
    <w:rPr>
      <w:rFonts w:ascii="Metropolis Black" w:hAnsi="Metropolis Black"/>
      <w:b/>
      <w:color w:val="73AB6E"/>
      <w:sz w:val="66"/>
      <w:lang w:val="en-NZ" w:eastAsia="en-US"/>
    </w:rPr>
  </w:style>
  <w:style w:type="paragraph" w:styleId="Heading2">
    <w:name w:val="heading 2"/>
    <w:next w:val="BodyText"/>
    <w:link w:val="Heading2Char"/>
    <w:uiPriority w:val="5"/>
    <w:qFormat/>
    <w:rsid w:val="00492569"/>
    <w:pPr>
      <w:keepNext/>
      <w:spacing w:before="360" w:after="200" w:line="360" w:lineRule="auto"/>
      <w:outlineLvl w:val="1"/>
    </w:pPr>
    <w:rPr>
      <w:rFonts w:ascii="Metropolis" w:hAnsi="Metropolis"/>
      <w:b/>
      <w:caps/>
      <w:color w:val="73AB6E"/>
      <w:sz w:val="22"/>
      <w:lang w:val="en-NZ"/>
    </w:rPr>
  </w:style>
  <w:style w:type="paragraph" w:styleId="Heading3">
    <w:name w:val="heading 3"/>
    <w:next w:val="BodyText"/>
    <w:link w:val="Heading3Char"/>
    <w:uiPriority w:val="5"/>
    <w:qFormat/>
    <w:rsid w:val="00492569"/>
    <w:pPr>
      <w:keepNext/>
      <w:spacing w:before="200" w:after="200" w:line="360" w:lineRule="auto"/>
      <w:outlineLvl w:val="2"/>
    </w:pPr>
    <w:rPr>
      <w:rFonts w:ascii="Metropolis" w:hAnsi="Metropolis"/>
      <w:b/>
      <w:color w:val="73AB6E"/>
      <w:sz w:val="22"/>
      <w:lang w:val="en-NZ"/>
    </w:rPr>
  </w:style>
  <w:style w:type="paragraph" w:styleId="Heading4">
    <w:name w:val="heading 4"/>
    <w:next w:val="BodyText"/>
    <w:link w:val="Heading4Char"/>
    <w:uiPriority w:val="5"/>
    <w:qFormat/>
    <w:rsid w:val="00492569"/>
    <w:pPr>
      <w:keepNext/>
      <w:spacing w:before="200" w:after="200" w:line="360" w:lineRule="auto"/>
      <w:outlineLvl w:val="3"/>
    </w:pPr>
    <w:rPr>
      <w:rFonts w:ascii="Metropolis" w:hAnsi="Metropolis"/>
      <w:b/>
      <w:i/>
      <w:color w:val="73AB6E"/>
      <w:sz w:val="20"/>
      <w:lang w:val="en-NZ"/>
    </w:rPr>
  </w:style>
  <w:style w:type="paragraph" w:styleId="Heading5">
    <w:name w:val="heading 5"/>
    <w:basedOn w:val="Normal"/>
    <w:next w:val="Normal"/>
    <w:link w:val="Heading5Char"/>
    <w:uiPriority w:val="10"/>
    <w:qFormat/>
    <w:rsid w:val="00492569"/>
    <w:pPr>
      <w:keepNext/>
      <w:spacing w:before="200"/>
      <w:outlineLvl w:val="4"/>
    </w:pPr>
    <w:rPr>
      <w:rFonts w:ascii="Metropolis" w:hAnsi="Metropolis"/>
      <w:color w:val="6BA539"/>
    </w:rPr>
  </w:style>
  <w:style w:type="paragraph" w:styleId="Heading6">
    <w:name w:val="heading 6"/>
    <w:link w:val="Heading6Char"/>
    <w:uiPriority w:val="10"/>
    <w:qFormat/>
    <w:rsid w:val="00492569"/>
    <w:pPr>
      <w:keepNext/>
      <w:shd w:val="clear" w:color="auto" w:fill="404040" w:themeFill="text1" w:themeFillTint="BF"/>
      <w:spacing w:before="200" w:after="200" w:line="360" w:lineRule="auto"/>
      <w:jc w:val="both"/>
      <w:outlineLvl w:val="5"/>
    </w:pPr>
    <w:rPr>
      <w:rFonts w:ascii="Metropolis" w:hAnsi="Metropolis"/>
      <w:caps/>
      <w:color w:val="FFFFFF" w:themeColor="background1"/>
      <w:spacing w:val="24"/>
      <w:sz w:val="20"/>
      <w:szCs w:val="22"/>
      <w:lang w:val="en-NZ"/>
    </w:rPr>
  </w:style>
  <w:style w:type="paragraph" w:styleId="Heading7">
    <w:name w:val="heading 7"/>
    <w:basedOn w:val="Normal"/>
    <w:next w:val="Normal"/>
    <w:link w:val="Heading7Char"/>
    <w:uiPriority w:val="10"/>
    <w:semiHidden/>
    <w:rsid w:val="00492569"/>
    <w:pPr>
      <w:spacing w:before="240" w:after="60"/>
      <w:outlineLvl w:val="6"/>
    </w:pPr>
  </w:style>
  <w:style w:type="paragraph" w:styleId="Heading8">
    <w:name w:val="heading 8"/>
    <w:basedOn w:val="Normal"/>
    <w:next w:val="Normal"/>
    <w:link w:val="Heading8Char"/>
    <w:uiPriority w:val="10"/>
    <w:semiHidden/>
    <w:rsid w:val="00492569"/>
    <w:pPr>
      <w:spacing w:before="240" w:after="60"/>
      <w:outlineLvl w:val="7"/>
    </w:pPr>
    <w:rPr>
      <w:i/>
      <w:iCs/>
    </w:rPr>
  </w:style>
  <w:style w:type="paragraph" w:styleId="Heading9">
    <w:name w:val="heading 9"/>
    <w:basedOn w:val="Normal"/>
    <w:next w:val="Normal"/>
    <w:link w:val="Heading9Char"/>
    <w:uiPriority w:val="10"/>
    <w:semiHidden/>
    <w:rsid w:val="00492569"/>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492569"/>
    <w:rPr>
      <w:rFonts w:ascii="Tahoma" w:hAnsi="Tahoma" w:cs="Tahoma"/>
      <w:sz w:val="16"/>
      <w:szCs w:val="16"/>
    </w:rPr>
  </w:style>
  <w:style w:type="character" w:customStyle="1" w:styleId="BalloonTextChar">
    <w:name w:val="Balloon Text Char"/>
    <w:basedOn w:val="DefaultParagraphFont"/>
    <w:uiPriority w:val="99"/>
    <w:semiHidden/>
    <w:rsid w:val="00492569"/>
    <w:rPr>
      <w:rFonts w:ascii="Lucida Grande" w:hAnsi="Lucida Grande"/>
      <w:sz w:val="18"/>
      <w:szCs w:val="18"/>
    </w:rPr>
  </w:style>
  <w:style w:type="character" w:customStyle="1" w:styleId="BalloonTextChar1">
    <w:name w:val="Balloon Text Char1"/>
    <w:basedOn w:val="DefaultParagraphFont"/>
    <w:link w:val="BalloonText"/>
    <w:uiPriority w:val="99"/>
    <w:semiHidden/>
    <w:rsid w:val="00492569"/>
    <w:rPr>
      <w:rFonts w:ascii="Tahoma" w:eastAsiaTheme="minorHAnsi" w:hAnsi="Tahoma" w:cs="Tahoma"/>
      <w:sz w:val="16"/>
      <w:szCs w:val="16"/>
      <w:lang w:val="en-NZ" w:eastAsia="en-US"/>
    </w:rPr>
  </w:style>
  <w:style w:type="paragraph" w:styleId="Quote">
    <w:name w:val="Quote"/>
    <w:link w:val="QuoteChar"/>
    <w:uiPriority w:val="6"/>
    <w:qFormat/>
    <w:rsid w:val="009E47A7"/>
    <w:pPr>
      <w:numPr>
        <w:numId w:val="14"/>
      </w:numPr>
      <w:spacing w:before="80" w:after="80" w:line="360" w:lineRule="auto"/>
      <w:ind w:left="1134" w:firstLine="0"/>
      <w:jc w:val="both"/>
    </w:pPr>
    <w:rPr>
      <w:rFonts w:ascii="Metropolis Light" w:hAnsi="Metropolis Light"/>
      <w:color w:val="0D0D0D" w:themeColor="text1" w:themeTint="F2"/>
      <w:sz w:val="18"/>
      <w:lang w:val="en-NZ"/>
    </w:rPr>
  </w:style>
  <w:style w:type="character" w:customStyle="1" w:styleId="QuoteChar">
    <w:name w:val="Quote Char"/>
    <w:basedOn w:val="DefaultParagraphFont"/>
    <w:link w:val="Quote"/>
    <w:uiPriority w:val="6"/>
    <w:rsid w:val="009E47A7"/>
    <w:rPr>
      <w:rFonts w:ascii="Metropolis Light" w:hAnsi="Metropolis Light"/>
      <w:color w:val="0D0D0D" w:themeColor="text1" w:themeTint="F2"/>
      <w:sz w:val="18"/>
      <w:lang w:val="en-NZ"/>
    </w:rPr>
  </w:style>
  <w:style w:type="paragraph" w:styleId="List3">
    <w:name w:val="List 3"/>
    <w:basedOn w:val="Normal"/>
    <w:uiPriority w:val="99"/>
    <w:semiHidden/>
    <w:rsid w:val="00492569"/>
    <w:pPr>
      <w:ind w:left="849" w:hanging="283"/>
    </w:pPr>
  </w:style>
  <w:style w:type="paragraph" w:customStyle="1" w:styleId="InsideCoverTextspacebefore">
    <w:name w:val="Inside Cover Text space before"/>
    <w:basedOn w:val="InsideCoverText"/>
    <w:next w:val="InsideCoverText"/>
    <w:uiPriority w:val="22"/>
    <w:qFormat/>
    <w:rsid w:val="00492569"/>
    <w:pPr>
      <w:spacing w:before="280"/>
    </w:pPr>
  </w:style>
  <w:style w:type="character" w:styleId="CommentReference">
    <w:name w:val="annotation reference"/>
    <w:basedOn w:val="DefaultParagraphFont"/>
    <w:uiPriority w:val="99"/>
    <w:rsid w:val="00492569"/>
    <w:rPr>
      <w:sz w:val="16"/>
      <w:szCs w:val="16"/>
    </w:rPr>
  </w:style>
  <w:style w:type="paragraph" w:styleId="CommentText">
    <w:name w:val="annotation text"/>
    <w:basedOn w:val="Normal"/>
    <w:link w:val="CommentTextChar"/>
    <w:uiPriority w:val="99"/>
    <w:rsid w:val="00492569"/>
    <w:rPr>
      <w:szCs w:val="20"/>
    </w:rPr>
  </w:style>
  <w:style w:type="paragraph" w:customStyle="1" w:styleId="RecommendationText">
    <w:name w:val="Recommendation Text"/>
    <w:uiPriority w:val="11"/>
    <w:qFormat/>
    <w:rsid w:val="00492569"/>
    <w:pPr>
      <w:numPr>
        <w:numId w:val="1"/>
      </w:numPr>
      <w:shd w:val="clear" w:color="auto" w:fill="DFEFD1"/>
      <w:suppressAutoHyphens/>
      <w:autoSpaceDE w:val="0"/>
      <w:autoSpaceDN w:val="0"/>
      <w:adjustRightInd w:val="0"/>
      <w:spacing w:before="80" w:after="80" w:line="360" w:lineRule="auto"/>
      <w:jc w:val="both"/>
      <w:textAlignment w:val="center"/>
    </w:pPr>
    <w:rPr>
      <w:rFonts w:ascii="Metropolis Light" w:hAnsi="Metropolis Light"/>
      <w:color w:val="262626" w:themeColor="text1" w:themeTint="D9"/>
      <w:sz w:val="20"/>
      <w:szCs w:val="20"/>
      <w:lang w:val="en-NZ" w:eastAsia="en-US"/>
    </w:rPr>
  </w:style>
  <w:style w:type="paragraph" w:customStyle="1" w:styleId="RecommendationText3">
    <w:name w:val="Recommendation Text 3"/>
    <w:basedOn w:val="RecommendationText"/>
    <w:uiPriority w:val="12"/>
    <w:qFormat/>
    <w:rsid w:val="00492569"/>
    <w:pPr>
      <w:numPr>
        <w:ilvl w:val="2"/>
      </w:numPr>
    </w:pPr>
  </w:style>
  <w:style w:type="paragraph" w:styleId="Footer">
    <w:name w:val="footer"/>
    <w:basedOn w:val="Normal"/>
    <w:link w:val="FooterChar"/>
    <w:uiPriority w:val="58"/>
    <w:unhideWhenUsed/>
    <w:rsid w:val="00492569"/>
    <w:pPr>
      <w:tabs>
        <w:tab w:val="center" w:pos="4536"/>
        <w:tab w:val="right" w:pos="9072"/>
      </w:tabs>
    </w:pPr>
  </w:style>
  <w:style w:type="character" w:styleId="FootnoteReference">
    <w:name w:val="footnote reference"/>
    <w:aliases w:val="4_G"/>
    <w:basedOn w:val="DefaultParagraphFont"/>
    <w:rsid w:val="00492569"/>
    <w:rPr>
      <w:rFonts w:ascii="Metropolis Light" w:hAnsi="Metropolis Light"/>
      <w:color w:val="262626" w:themeColor="text1" w:themeTint="D9"/>
      <w:sz w:val="18"/>
      <w:vertAlign w:val="superscript"/>
    </w:rPr>
  </w:style>
  <w:style w:type="paragraph" w:styleId="FootnoteText">
    <w:name w:val="footnote text"/>
    <w:link w:val="FootnoteTextChar"/>
    <w:qFormat/>
    <w:rsid w:val="00492569"/>
    <w:pPr>
      <w:spacing w:before="57" w:after="57" w:line="360" w:lineRule="auto"/>
      <w:ind w:left="709" w:hanging="454"/>
      <w:jc w:val="both"/>
    </w:pPr>
    <w:rPr>
      <w:rFonts w:ascii="Metropolis Light" w:hAnsi="Metropolis Light"/>
      <w:color w:val="0D0D0D" w:themeColor="text1" w:themeTint="F2"/>
      <w:sz w:val="15"/>
      <w:szCs w:val="20"/>
      <w:lang w:val="en-NZ" w:eastAsia="en-US"/>
    </w:rPr>
  </w:style>
  <w:style w:type="paragraph" w:styleId="Header">
    <w:name w:val="header"/>
    <w:basedOn w:val="Normal"/>
    <w:link w:val="HeaderChar"/>
    <w:uiPriority w:val="99"/>
    <w:unhideWhenUsed/>
    <w:rsid w:val="00492569"/>
    <w:pPr>
      <w:tabs>
        <w:tab w:val="center" w:pos="4536"/>
        <w:tab w:val="right" w:pos="9072"/>
      </w:tabs>
    </w:pPr>
    <w:rPr>
      <w:color w:val="262626" w:themeColor="text1" w:themeTint="D9"/>
      <w:sz w:val="13"/>
    </w:rPr>
  </w:style>
  <w:style w:type="paragraph" w:customStyle="1" w:styleId="ListRomanNumeral">
    <w:name w:val="List Roman Numeral"/>
    <w:uiPriority w:val="4"/>
    <w:qFormat/>
    <w:rsid w:val="00492569"/>
    <w:pPr>
      <w:numPr>
        <w:numId w:val="16"/>
      </w:numPr>
      <w:spacing w:before="80" w:after="80" w:line="360" w:lineRule="auto"/>
    </w:pPr>
    <w:rPr>
      <w:rFonts w:ascii="Metropolis Light" w:hAnsi="Metropolis Light"/>
      <w:color w:val="0D0D0D" w:themeColor="text1" w:themeTint="F2"/>
      <w:sz w:val="20"/>
      <w:lang w:val="en-NZ"/>
    </w:rPr>
  </w:style>
  <w:style w:type="character" w:customStyle="1" w:styleId="QuoteBulletChar">
    <w:name w:val="Quote Bullet Char"/>
    <w:basedOn w:val="QuoteChar"/>
    <w:link w:val="QuoteBullet"/>
    <w:uiPriority w:val="7"/>
    <w:rsid w:val="00492569"/>
    <w:rPr>
      <w:rFonts w:ascii="Metropolis Light" w:hAnsi="Metropolis Light"/>
      <w:color w:val="0D0D0D" w:themeColor="text1" w:themeTint="F2"/>
      <w:sz w:val="18"/>
      <w:lang w:val="en-NZ"/>
    </w:rPr>
  </w:style>
  <w:style w:type="paragraph" w:customStyle="1" w:styleId="InsideCoverTextGreen">
    <w:name w:val="Inside Cover Text Green"/>
    <w:basedOn w:val="InsideCoverText"/>
    <w:uiPriority w:val="23"/>
    <w:qFormat/>
    <w:rsid w:val="00492569"/>
    <w:pPr>
      <w:spacing w:before="280"/>
    </w:pPr>
    <w:rPr>
      <w:color w:val="6BA539"/>
    </w:rPr>
  </w:style>
  <w:style w:type="paragraph" w:styleId="List4">
    <w:name w:val="List 4"/>
    <w:basedOn w:val="Normal"/>
    <w:uiPriority w:val="99"/>
    <w:semiHidden/>
    <w:rsid w:val="00492569"/>
    <w:pPr>
      <w:ind w:left="1132" w:hanging="283"/>
    </w:pPr>
  </w:style>
  <w:style w:type="paragraph" w:styleId="ListBullet">
    <w:name w:val="List Bullet"/>
    <w:uiPriority w:val="4"/>
    <w:qFormat/>
    <w:rsid w:val="00492569"/>
    <w:pPr>
      <w:numPr>
        <w:numId w:val="7"/>
      </w:numPr>
      <w:spacing w:before="80" w:after="80" w:line="360" w:lineRule="auto"/>
      <w:ind w:right="284"/>
      <w:jc w:val="both"/>
    </w:pPr>
    <w:rPr>
      <w:rFonts w:ascii="Metropolis Light" w:hAnsi="Metropolis Light"/>
      <w:color w:val="0D0D0D" w:themeColor="text1" w:themeTint="F2"/>
      <w:sz w:val="20"/>
      <w:lang w:val="en-NZ"/>
    </w:rPr>
  </w:style>
  <w:style w:type="paragraph" w:styleId="ListBullet2">
    <w:name w:val="List Bullet 2"/>
    <w:basedOn w:val="ListBullet"/>
    <w:uiPriority w:val="4"/>
    <w:rsid w:val="00492569"/>
    <w:pPr>
      <w:numPr>
        <w:ilvl w:val="1"/>
      </w:numPr>
    </w:pPr>
  </w:style>
  <w:style w:type="paragraph" w:styleId="ListBullet3">
    <w:name w:val="List Bullet 3"/>
    <w:basedOn w:val="ListBullet2"/>
    <w:uiPriority w:val="4"/>
    <w:rsid w:val="00492569"/>
    <w:pPr>
      <w:numPr>
        <w:ilvl w:val="2"/>
      </w:numPr>
    </w:pPr>
  </w:style>
  <w:style w:type="paragraph" w:styleId="ListBullet4">
    <w:name w:val="List Bullet 4"/>
    <w:basedOn w:val="ListBullet3"/>
    <w:uiPriority w:val="4"/>
    <w:semiHidden/>
    <w:rsid w:val="00492569"/>
    <w:pPr>
      <w:numPr>
        <w:ilvl w:val="3"/>
      </w:numPr>
    </w:pPr>
  </w:style>
  <w:style w:type="paragraph" w:styleId="ListContinue">
    <w:name w:val="List Continue"/>
    <w:basedOn w:val="Normal"/>
    <w:uiPriority w:val="99"/>
    <w:semiHidden/>
    <w:rsid w:val="00492569"/>
    <w:pPr>
      <w:numPr>
        <w:ilvl w:val="1"/>
        <w:numId w:val="2"/>
      </w:numPr>
    </w:pPr>
  </w:style>
  <w:style w:type="paragraph" w:styleId="ListContinue2">
    <w:name w:val="List Continue 2"/>
    <w:basedOn w:val="Normal"/>
    <w:uiPriority w:val="99"/>
    <w:semiHidden/>
    <w:rsid w:val="00492569"/>
    <w:pPr>
      <w:ind w:left="566"/>
    </w:pPr>
  </w:style>
  <w:style w:type="paragraph" w:styleId="ListContinue3">
    <w:name w:val="List Continue 3"/>
    <w:basedOn w:val="Normal"/>
    <w:uiPriority w:val="99"/>
    <w:semiHidden/>
    <w:rsid w:val="00492569"/>
    <w:pPr>
      <w:ind w:left="849"/>
    </w:pPr>
  </w:style>
  <w:style w:type="paragraph" w:styleId="ListContinue4">
    <w:name w:val="List Continue 4"/>
    <w:basedOn w:val="Normal"/>
    <w:uiPriority w:val="99"/>
    <w:semiHidden/>
    <w:rsid w:val="00492569"/>
    <w:pPr>
      <w:ind w:left="1132"/>
    </w:pPr>
  </w:style>
  <w:style w:type="paragraph" w:styleId="ListContinue5">
    <w:name w:val="List Continue 5"/>
    <w:basedOn w:val="Normal"/>
    <w:uiPriority w:val="99"/>
    <w:semiHidden/>
    <w:rsid w:val="00492569"/>
    <w:pPr>
      <w:ind w:left="1415"/>
    </w:pPr>
  </w:style>
  <w:style w:type="paragraph" w:styleId="ListNumber2">
    <w:name w:val="List Number 2"/>
    <w:basedOn w:val="ListNumber"/>
    <w:uiPriority w:val="4"/>
    <w:semiHidden/>
    <w:rsid w:val="00492569"/>
    <w:pPr>
      <w:numPr>
        <w:ilvl w:val="1"/>
      </w:numPr>
    </w:pPr>
  </w:style>
  <w:style w:type="paragraph" w:styleId="ListNumber3">
    <w:name w:val="List Number 3"/>
    <w:basedOn w:val="ListNumber"/>
    <w:uiPriority w:val="4"/>
    <w:semiHidden/>
    <w:rsid w:val="00492569"/>
    <w:pPr>
      <w:numPr>
        <w:ilvl w:val="2"/>
      </w:numPr>
    </w:pPr>
  </w:style>
  <w:style w:type="paragraph" w:styleId="ListNumber4">
    <w:name w:val="List Number 4"/>
    <w:basedOn w:val="ListNumber3"/>
    <w:uiPriority w:val="4"/>
    <w:semiHidden/>
    <w:rsid w:val="00492569"/>
    <w:pPr>
      <w:numPr>
        <w:ilvl w:val="3"/>
      </w:numPr>
    </w:pPr>
  </w:style>
  <w:style w:type="paragraph" w:styleId="ListNumber5">
    <w:name w:val="List Number 5"/>
    <w:basedOn w:val="ListNumber3"/>
    <w:uiPriority w:val="4"/>
    <w:semiHidden/>
    <w:rsid w:val="00492569"/>
    <w:pPr>
      <w:numPr>
        <w:ilvl w:val="4"/>
      </w:numPr>
    </w:pPr>
  </w:style>
  <w:style w:type="paragraph" w:customStyle="1" w:styleId="RecommendationQuote">
    <w:name w:val="Recommendation Quote"/>
    <w:basedOn w:val="RecommendationText2"/>
    <w:uiPriority w:val="14"/>
    <w:qFormat/>
    <w:rsid w:val="00492569"/>
    <w:pPr>
      <w:spacing w:before="100" w:after="100"/>
    </w:pPr>
    <w:rPr>
      <w:i/>
    </w:rPr>
  </w:style>
  <w:style w:type="paragraph" w:customStyle="1" w:styleId="PartAppendicesHeading">
    <w:name w:val="Part/Appendices Heading"/>
    <w:next w:val="Heading1"/>
    <w:uiPriority w:val="10"/>
    <w:qFormat/>
    <w:rsid w:val="00492569"/>
    <w:pPr>
      <w:keepNext/>
      <w:spacing w:after="500" w:line="760" w:lineRule="atLeast"/>
    </w:pPr>
    <w:rPr>
      <w:rFonts w:ascii="Metropolis" w:hAnsi="Metropolis"/>
      <w:b/>
      <w:caps/>
      <w:color w:val="003300"/>
      <w:spacing w:val="2"/>
      <w:sz w:val="50"/>
      <w:lang w:val="en-NZ"/>
    </w:rPr>
  </w:style>
  <w:style w:type="paragraph" w:customStyle="1" w:styleId="RecommendationText2">
    <w:name w:val="Recommendation Text 2"/>
    <w:basedOn w:val="RecommendationText"/>
    <w:uiPriority w:val="12"/>
    <w:qFormat/>
    <w:rsid w:val="00492569"/>
    <w:pPr>
      <w:numPr>
        <w:ilvl w:val="1"/>
      </w:numPr>
    </w:pPr>
  </w:style>
  <w:style w:type="paragraph" w:customStyle="1" w:styleId="RecommendationBullet">
    <w:name w:val="Recommendation Bullet"/>
    <w:basedOn w:val="RecommendationText2"/>
    <w:uiPriority w:val="15"/>
    <w:qFormat/>
    <w:rsid w:val="00492569"/>
    <w:pPr>
      <w:numPr>
        <w:ilvl w:val="0"/>
        <w:numId w:val="0"/>
      </w:numPr>
    </w:pPr>
  </w:style>
  <w:style w:type="paragraph" w:customStyle="1" w:styleId="QuoteBullet">
    <w:name w:val="Quote Bullet"/>
    <w:basedOn w:val="Quote"/>
    <w:link w:val="QuoteBulletChar"/>
    <w:uiPriority w:val="7"/>
    <w:qFormat/>
    <w:rsid w:val="00492569"/>
    <w:pPr>
      <w:numPr>
        <w:numId w:val="8"/>
      </w:numPr>
    </w:pPr>
  </w:style>
  <w:style w:type="paragraph" w:customStyle="1" w:styleId="QuoteBullet2">
    <w:name w:val="Quote Bullet 2"/>
    <w:basedOn w:val="QuoteBullet"/>
    <w:uiPriority w:val="7"/>
    <w:rsid w:val="00492569"/>
    <w:pPr>
      <w:numPr>
        <w:ilvl w:val="1"/>
      </w:numPr>
    </w:pPr>
  </w:style>
  <w:style w:type="paragraph" w:customStyle="1" w:styleId="QuoteBullet3">
    <w:name w:val="Quote Bullet 3"/>
    <w:basedOn w:val="QuoteBullet"/>
    <w:uiPriority w:val="7"/>
    <w:rsid w:val="00492569"/>
    <w:pPr>
      <w:numPr>
        <w:ilvl w:val="2"/>
      </w:numPr>
    </w:pPr>
  </w:style>
  <w:style w:type="paragraph" w:customStyle="1" w:styleId="RecommendationBullet2">
    <w:name w:val="Recommendation Bullet 2"/>
    <w:basedOn w:val="RecommendationBullet"/>
    <w:uiPriority w:val="15"/>
    <w:qFormat/>
    <w:rsid w:val="00492569"/>
    <w:pPr>
      <w:numPr>
        <w:ilvl w:val="1"/>
      </w:numPr>
    </w:pPr>
  </w:style>
  <w:style w:type="paragraph" w:styleId="TOC1">
    <w:name w:val="toc 1"/>
    <w:basedOn w:val="Normal"/>
    <w:next w:val="Normal"/>
    <w:uiPriority w:val="39"/>
    <w:unhideWhenUsed/>
    <w:qFormat/>
    <w:rsid w:val="00492569"/>
    <w:pPr>
      <w:tabs>
        <w:tab w:val="right" w:leader="dot" w:pos="9061"/>
      </w:tabs>
      <w:spacing w:before="200"/>
      <w:ind w:right="340"/>
    </w:pPr>
    <w:rPr>
      <w:b/>
      <w:color w:val="6BA539"/>
    </w:rPr>
  </w:style>
  <w:style w:type="paragraph" w:styleId="TOC2">
    <w:name w:val="toc 2"/>
    <w:basedOn w:val="TOC3"/>
    <w:next w:val="Normal"/>
    <w:uiPriority w:val="39"/>
    <w:unhideWhenUsed/>
    <w:qFormat/>
    <w:rsid w:val="00492569"/>
    <w:pPr>
      <w:spacing w:after="0"/>
      <w:ind w:left="567"/>
    </w:pPr>
  </w:style>
  <w:style w:type="paragraph" w:styleId="TOC3">
    <w:name w:val="toc 3"/>
    <w:basedOn w:val="Normal"/>
    <w:next w:val="Normal"/>
    <w:uiPriority w:val="39"/>
    <w:unhideWhenUsed/>
    <w:qFormat/>
    <w:rsid w:val="00492569"/>
    <w:pPr>
      <w:tabs>
        <w:tab w:val="right" w:leader="dot" w:pos="9072"/>
      </w:tabs>
      <w:ind w:right="340"/>
    </w:pPr>
  </w:style>
  <w:style w:type="paragraph" w:styleId="NoSpacing">
    <w:name w:val="No Spacing"/>
    <w:uiPriority w:val="99"/>
    <w:rsid w:val="00492569"/>
    <w:rPr>
      <w:lang w:val="en-NZ"/>
    </w:rPr>
  </w:style>
  <w:style w:type="paragraph" w:customStyle="1" w:styleId="RecommendationBullet3">
    <w:name w:val="Recommendation Bullet 3"/>
    <w:basedOn w:val="RecommendationBullet"/>
    <w:uiPriority w:val="15"/>
    <w:qFormat/>
    <w:rsid w:val="00492569"/>
    <w:pPr>
      <w:numPr>
        <w:ilvl w:val="2"/>
      </w:numPr>
    </w:pPr>
  </w:style>
  <w:style w:type="paragraph" w:customStyle="1" w:styleId="RecommendationText4">
    <w:name w:val="Recommendation Text 4"/>
    <w:basedOn w:val="RecommendationText3"/>
    <w:uiPriority w:val="13"/>
    <w:qFormat/>
    <w:rsid w:val="00492569"/>
    <w:pPr>
      <w:numPr>
        <w:ilvl w:val="3"/>
      </w:numPr>
    </w:pPr>
  </w:style>
  <w:style w:type="paragraph" w:customStyle="1" w:styleId="RecommendationText5">
    <w:name w:val="Recommendation Text 5"/>
    <w:basedOn w:val="RecommendationText4"/>
    <w:uiPriority w:val="13"/>
    <w:qFormat/>
    <w:rsid w:val="00492569"/>
    <w:pPr>
      <w:numPr>
        <w:ilvl w:val="4"/>
      </w:numPr>
    </w:pPr>
  </w:style>
  <w:style w:type="paragraph" w:customStyle="1" w:styleId="QuestionText">
    <w:name w:val="Question Text"/>
    <w:basedOn w:val="RecommendationText"/>
    <w:uiPriority w:val="16"/>
    <w:qFormat/>
    <w:rsid w:val="00492569"/>
    <w:pPr>
      <w:numPr>
        <w:numId w:val="9"/>
      </w:numPr>
    </w:pPr>
    <w:rPr>
      <w:lang w:val="en-US" w:eastAsia="en-AU"/>
    </w:rPr>
  </w:style>
  <w:style w:type="paragraph" w:customStyle="1" w:styleId="CommentsText">
    <w:name w:val="Comments Text"/>
    <w:basedOn w:val="RecommendationText"/>
    <w:uiPriority w:val="17"/>
    <w:qFormat/>
    <w:rsid w:val="00492569"/>
    <w:pPr>
      <w:numPr>
        <w:numId w:val="10"/>
      </w:numPr>
    </w:pPr>
    <w:rPr>
      <w:lang w:eastAsia="en-AU"/>
    </w:rPr>
  </w:style>
  <w:style w:type="paragraph" w:customStyle="1" w:styleId="ReferenceText">
    <w:name w:val="Reference Text"/>
    <w:uiPriority w:val="8"/>
    <w:qFormat/>
    <w:rsid w:val="00492569"/>
    <w:pPr>
      <w:spacing w:before="60" w:after="60" w:line="260" w:lineRule="atLeast"/>
      <w:ind w:left="113"/>
    </w:pPr>
    <w:rPr>
      <w:rFonts w:ascii="Calibri" w:hAnsi="Calibri" w:cstheme="majorHAnsi"/>
      <w:color w:val="6BA539"/>
      <w:sz w:val="16"/>
      <w:szCs w:val="16"/>
      <w:lang w:val="en-NZ"/>
    </w:rPr>
  </w:style>
  <w:style w:type="table" w:customStyle="1" w:styleId="LCTable">
    <w:name w:val="LC Table"/>
    <w:basedOn w:val="TableNormal"/>
    <w:uiPriority w:val="99"/>
    <w:rsid w:val="00492569"/>
    <w:pPr>
      <w:spacing w:before="60" w:after="60" w:line="260" w:lineRule="atLeast"/>
    </w:pPr>
    <w:rPr>
      <w:rFonts w:ascii="Calibri" w:hAnsi="Calibri"/>
      <w:sz w:val="18"/>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contextualSpacing w:val="0"/>
      </w:pPr>
      <w:rPr>
        <w:caps/>
        <w:smallCaps w:val="0"/>
        <w:color w:val="FFFFFF"/>
      </w:rPr>
      <w:tblPr/>
      <w:tcPr>
        <w:shd w:val="clear" w:color="auto" w:fill="6BA539"/>
      </w:tcPr>
    </w:tblStylePr>
    <w:tblStylePr w:type="lastRow">
      <w:rPr>
        <w:b/>
      </w:rPr>
    </w:tblStylePr>
    <w:tblStylePr w:type="firstCol">
      <w:pPr>
        <w:wordWrap/>
        <w:jc w:val="left"/>
      </w:pPr>
      <w:rPr>
        <w:b w:val="0"/>
        <w:color w:val="005745" w:themeColor="text2"/>
      </w:rPr>
      <w:tblPr/>
      <w:tcPr>
        <w:tcBorders>
          <w:top w:val="nil"/>
          <w:left w:val="nil"/>
          <w:bottom w:val="nil"/>
          <w:right w:val="nil"/>
          <w:insideH w:val="nil"/>
          <w:insideV w:val="nil"/>
          <w:tl2br w:val="nil"/>
          <w:tr2bl w:val="nil"/>
        </w:tcBorders>
      </w:tcPr>
    </w:tblStylePr>
    <w:tblStylePr w:type="lastCol">
      <w:rPr>
        <w:b w:val="0"/>
      </w:rPr>
    </w:tblStylePr>
  </w:style>
  <w:style w:type="paragraph" w:customStyle="1" w:styleId="Summaryboxtitle">
    <w:name w:val="Summary box title"/>
    <w:next w:val="Summaryboxtext"/>
    <w:uiPriority w:val="8"/>
    <w:qFormat/>
    <w:rsid w:val="00492569"/>
    <w:pPr>
      <w:keepNext/>
      <w:pBdr>
        <w:top w:val="single" w:sz="18" w:space="7" w:color="6BA539"/>
      </w:pBdr>
      <w:suppressAutoHyphens/>
      <w:kinsoku w:val="0"/>
      <w:adjustRightInd w:val="0"/>
      <w:spacing w:before="240" w:after="170" w:line="280" w:lineRule="atLeast"/>
      <w:jc w:val="both"/>
    </w:pPr>
    <w:rPr>
      <w:rFonts w:ascii="Calibri" w:hAnsi="Calibri"/>
      <w:b/>
      <w:caps/>
      <w:color w:val="6BA539"/>
      <w:spacing w:val="14"/>
      <w:sz w:val="20"/>
      <w:szCs w:val="20"/>
      <w:lang w:val="en-NZ"/>
    </w:rPr>
  </w:style>
  <w:style w:type="paragraph" w:customStyle="1" w:styleId="Summaryboxtext">
    <w:name w:val="Summary box text"/>
    <w:uiPriority w:val="9"/>
    <w:qFormat/>
    <w:rsid w:val="00492569"/>
    <w:pPr>
      <w:pBdr>
        <w:bottom w:val="single" w:sz="18" w:space="11" w:color="6BA539"/>
      </w:pBdr>
      <w:suppressAutoHyphens/>
      <w:kinsoku w:val="0"/>
      <w:adjustRightInd w:val="0"/>
      <w:spacing w:before="170" w:after="400" w:line="280" w:lineRule="atLeast"/>
      <w:jc w:val="both"/>
    </w:pPr>
    <w:rPr>
      <w:rFonts w:ascii="Calibri" w:hAnsi="Calibri"/>
      <w:color w:val="6BA539"/>
      <w:sz w:val="20"/>
      <w:szCs w:val="20"/>
      <w:lang w:val="en-NZ"/>
    </w:rPr>
  </w:style>
  <w:style w:type="paragraph" w:styleId="Caption">
    <w:name w:val="caption"/>
    <w:basedOn w:val="Normal"/>
    <w:next w:val="Normal"/>
    <w:uiPriority w:val="8"/>
    <w:unhideWhenUsed/>
    <w:rsid w:val="00492569"/>
    <w:pPr>
      <w:spacing w:before="120"/>
      <w:jc w:val="both"/>
    </w:pPr>
    <w:rPr>
      <w:rFonts w:ascii="Metropolis" w:hAnsi="Metropolis"/>
      <w:b/>
      <w:bCs/>
      <w:color w:val="262626" w:themeColor="text1" w:themeTint="D9"/>
      <w:sz w:val="18"/>
      <w:szCs w:val="18"/>
    </w:rPr>
  </w:style>
  <w:style w:type="character" w:customStyle="1" w:styleId="TableSubheadingWhite">
    <w:name w:val="Table Subheading White"/>
    <w:basedOn w:val="DefaultParagraphFont"/>
    <w:uiPriority w:val="1"/>
    <w:qFormat/>
    <w:rsid w:val="00492569"/>
    <w:rPr>
      <w:rFonts w:ascii="Metropolis" w:hAnsi="Metropolis"/>
      <w:caps/>
      <w:color w:val="0D0D0D" w:themeColor="text1" w:themeTint="F2"/>
      <w:sz w:val="18"/>
    </w:rPr>
  </w:style>
  <w:style w:type="paragraph" w:customStyle="1" w:styleId="TableSubheadingGreen">
    <w:name w:val="Table Subheading Green"/>
    <w:basedOn w:val="Normal"/>
    <w:uiPriority w:val="8"/>
    <w:qFormat/>
    <w:rsid w:val="00492569"/>
    <w:rPr>
      <w:b/>
      <w:color w:val="6BA539"/>
    </w:rPr>
  </w:style>
  <w:style w:type="character" w:styleId="Hyperlink">
    <w:name w:val="Hyperlink"/>
    <w:basedOn w:val="DefaultParagraphFont"/>
    <w:uiPriority w:val="99"/>
    <w:unhideWhenUsed/>
    <w:rsid w:val="00492569"/>
    <w:rPr>
      <w:color w:val="74B230"/>
      <w:u w:val="single"/>
    </w:rPr>
  </w:style>
  <w:style w:type="paragraph" w:styleId="BodyTextIndent3">
    <w:name w:val="Body Text Indent 3"/>
    <w:basedOn w:val="Normal"/>
    <w:link w:val="BodyTextIndent3Char"/>
    <w:uiPriority w:val="2"/>
    <w:semiHidden/>
    <w:rsid w:val="00492569"/>
    <w:pPr>
      <w:ind w:left="283"/>
    </w:pPr>
    <w:rPr>
      <w:sz w:val="16"/>
      <w:szCs w:val="16"/>
    </w:rPr>
  </w:style>
  <w:style w:type="paragraph" w:styleId="BodyTextIndent2">
    <w:name w:val="Body Text Indent 2"/>
    <w:basedOn w:val="BodyText2"/>
    <w:link w:val="BodyTextIndent2Char"/>
    <w:uiPriority w:val="1"/>
    <w:qFormat/>
    <w:rsid w:val="00492569"/>
    <w:pPr>
      <w:numPr>
        <w:ilvl w:val="4"/>
      </w:numPr>
    </w:pPr>
  </w:style>
  <w:style w:type="numbering" w:styleId="111111">
    <w:name w:val="Outline List 2"/>
    <w:basedOn w:val="NoList"/>
    <w:semiHidden/>
    <w:rsid w:val="00492569"/>
  </w:style>
  <w:style w:type="numbering" w:styleId="1ai">
    <w:name w:val="Outline List 1"/>
    <w:basedOn w:val="NoList"/>
    <w:semiHidden/>
    <w:rsid w:val="00492569"/>
  </w:style>
  <w:style w:type="numbering" w:styleId="ArticleSection">
    <w:name w:val="Outline List 3"/>
    <w:basedOn w:val="NoList"/>
    <w:semiHidden/>
    <w:rsid w:val="00492569"/>
  </w:style>
  <w:style w:type="paragraph" w:styleId="BlockText">
    <w:name w:val="Block Text"/>
    <w:basedOn w:val="Normal"/>
    <w:uiPriority w:val="99"/>
    <w:semiHidden/>
    <w:rsid w:val="00492569"/>
    <w:pPr>
      <w:ind w:left="1440" w:right="1440"/>
    </w:pPr>
  </w:style>
  <w:style w:type="paragraph" w:styleId="BodyText">
    <w:name w:val="Body Text"/>
    <w:link w:val="BodyTextChar"/>
    <w:qFormat/>
    <w:rsid w:val="00410441"/>
    <w:pPr>
      <w:numPr>
        <w:ilvl w:val="1"/>
        <w:numId w:val="20"/>
      </w:numPr>
      <w:tabs>
        <w:tab w:val="left" w:pos="709"/>
      </w:tabs>
      <w:spacing w:before="80" w:after="120" w:line="360" w:lineRule="auto"/>
      <w:jc w:val="both"/>
    </w:pPr>
    <w:rPr>
      <w:rFonts w:ascii="Metropolis Light" w:hAnsi="Metropolis Light"/>
      <w:color w:val="000000" w:themeColor="text1"/>
      <w:sz w:val="20"/>
      <w:lang w:val="en-NZ"/>
    </w:rPr>
  </w:style>
  <w:style w:type="paragraph" w:styleId="BodyText2">
    <w:name w:val="Body Text 2"/>
    <w:link w:val="BodyText2Char"/>
    <w:uiPriority w:val="1"/>
    <w:qFormat/>
    <w:rsid w:val="00492569"/>
    <w:pPr>
      <w:numPr>
        <w:ilvl w:val="3"/>
        <w:numId w:val="19"/>
      </w:numPr>
      <w:spacing w:before="80" w:after="80" w:line="360" w:lineRule="auto"/>
      <w:jc w:val="both"/>
    </w:pPr>
    <w:rPr>
      <w:rFonts w:ascii="Metropolis Light" w:hAnsi="Metropolis Light"/>
      <w:color w:val="0D0D0D" w:themeColor="text1" w:themeTint="F2"/>
      <w:sz w:val="20"/>
      <w:lang w:val="en-NZ"/>
    </w:rPr>
  </w:style>
  <w:style w:type="paragraph" w:styleId="BodyText3">
    <w:name w:val="Body Text 3"/>
    <w:link w:val="BodyText3Char"/>
    <w:uiPriority w:val="1"/>
    <w:semiHidden/>
    <w:rsid w:val="00492569"/>
    <w:pPr>
      <w:spacing w:before="80" w:after="80" w:line="360" w:lineRule="auto"/>
    </w:pPr>
    <w:rPr>
      <w:lang w:val="en-NZ"/>
    </w:rPr>
  </w:style>
  <w:style w:type="paragraph" w:styleId="BodyTextFirstIndent">
    <w:name w:val="Body Text First Indent"/>
    <w:basedOn w:val="BodyText"/>
    <w:link w:val="BodyTextFirstIndentChar"/>
    <w:uiPriority w:val="99"/>
    <w:semiHidden/>
    <w:rsid w:val="00492569"/>
    <w:pPr>
      <w:ind w:firstLine="210"/>
    </w:pPr>
  </w:style>
  <w:style w:type="paragraph" w:styleId="BodyTextIndent">
    <w:name w:val="Body Text Indent"/>
    <w:link w:val="BodyTextIndentChar"/>
    <w:rsid w:val="00492569"/>
    <w:pPr>
      <w:numPr>
        <w:ilvl w:val="2"/>
        <w:numId w:val="19"/>
      </w:numPr>
      <w:spacing w:before="80" w:after="80" w:line="360" w:lineRule="auto"/>
      <w:jc w:val="both"/>
    </w:pPr>
    <w:rPr>
      <w:rFonts w:ascii="Metropolis Light" w:hAnsi="Metropolis Light"/>
      <w:color w:val="262626" w:themeColor="text1" w:themeTint="D9"/>
      <w:sz w:val="20"/>
      <w:lang w:val="en-NZ"/>
    </w:rPr>
  </w:style>
  <w:style w:type="paragraph" w:styleId="BodyTextFirstIndent2">
    <w:name w:val="Body Text First Indent 2"/>
    <w:basedOn w:val="BodyTextIndent"/>
    <w:link w:val="BodyTextFirstIndent2Char"/>
    <w:uiPriority w:val="99"/>
    <w:semiHidden/>
    <w:rsid w:val="00492569"/>
    <w:pPr>
      <w:ind w:firstLine="210"/>
    </w:pPr>
  </w:style>
  <w:style w:type="paragraph" w:styleId="Closing">
    <w:name w:val="Closing"/>
    <w:basedOn w:val="Normal"/>
    <w:link w:val="ClosingChar"/>
    <w:uiPriority w:val="99"/>
    <w:semiHidden/>
    <w:rsid w:val="00492569"/>
    <w:pPr>
      <w:ind w:left="4252"/>
    </w:pPr>
  </w:style>
  <w:style w:type="numbering" w:customStyle="1" w:styleId="Chapter1">
    <w:name w:val="Chapter1"/>
    <w:uiPriority w:val="99"/>
    <w:rsid w:val="00492569"/>
  </w:style>
  <w:style w:type="paragraph" w:styleId="E-mailSignature">
    <w:name w:val="E-mail Signature"/>
    <w:basedOn w:val="Normal"/>
    <w:link w:val="E-mailSignatureChar"/>
    <w:uiPriority w:val="99"/>
    <w:semiHidden/>
    <w:rsid w:val="00492569"/>
  </w:style>
  <w:style w:type="character" w:styleId="Emphasis">
    <w:name w:val="Emphasis"/>
    <w:basedOn w:val="DefaultParagraphFont"/>
    <w:uiPriority w:val="5"/>
    <w:qFormat/>
    <w:rsid w:val="00492569"/>
    <w:rPr>
      <w:rFonts w:ascii="Calibri" w:hAnsi="Calibri"/>
      <w:i/>
      <w:iCs/>
      <w:color w:val="0D0D0D" w:themeColor="text1" w:themeTint="F2"/>
      <w:sz w:val="20"/>
    </w:rPr>
  </w:style>
  <w:style w:type="paragraph" w:styleId="EnvelopeAddress">
    <w:name w:val="envelope address"/>
    <w:basedOn w:val="Normal"/>
    <w:uiPriority w:val="99"/>
    <w:semiHidden/>
    <w:rsid w:val="00492569"/>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rsid w:val="00492569"/>
    <w:rPr>
      <w:rFonts w:ascii="Arial" w:hAnsi="Arial" w:cs="Arial"/>
      <w:szCs w:val="20"/>
    </w:rPr>
  </w:style>
  <w:style w:type="character" w:styleId="FollowedHyperlink">
    <w:name w:val="FollowedHyperlink"/>
    <w:basedOn w:val="DefaultParagraphFont"/>
    <w:uiPriority w:val="59"/>
    <w:unhideWhenUsed/>
    <w:rsid w:val="00492569"/>
    <w:rPr>
      <w:color w:val="74B230"/>
      <w:u w:val="single"/>
    </w:rPr>
  </w:style>
  <w:style w:type="character" w:styleId="HTMLAcronym">
    <w:name w:val="HTML Acronym"/>
    <w:basedOn w:val="DefaultParagraphFont"/>
    <w:uiPriority w:val="99"/>
    <w:semiHidden/>
    <w:rsid w:val="00492569"/>
  </w:style>
  <w:style w:type="paragraph" w:styleId="HTMLAddress">
    <w:name w:val="HTML Address"/>
    <w:basedOn w:val="Normal"/>
    <w:link w:val="HTMLAddressChar"/>
    <w:uiPriority w:val="99"/>
    <w:semiHidden/>
    <w:rsid w:val="00492569"/>
    <w:rPr>
      <w:i/>
      <w:iCs/>
    </w:rPr>
  </w:style>
  <w:style w:type="character" w:styleId="HTMLCite">
    <w:name w:val="HTML Cite"/>
    <w:basedOn w:val="DefaultParagraphFont"/>
    <w:uiPriority w:val="99"/>
    <w:semiHidden/>
    <w:rsid w:val="00492569"/>
    <w:rPr>
      <w:i/>
      <w:iCs/>
    </w:rPr>
  </w:style>
  <w:style w:type="character" w:styleId="HTMLCode">
    <w:name w:val="HTML Code"/>
    <w:basedOn w:val="DefaultParagraphFont"/>
    <w:uiPriority w:val="99"/>
    <w:semiHidden/>
    <w:rsid w:val="00492569"/>
    <w:rPr>
      <w:rFonts w:ascii="Courier New" w:hAnsi="Courier New" w:cs="Courier New"/>
      <w:sz w:val="20"/>
      <w:szCs w:val="20"/>
    </w:rPr>
  </w:style>
  <w:style w:type="character" w:styleId="HTMLDefinition">
    <w:name w:val="HTML Definition"/>
    <w:basedOn w:val="DefaultParagraphFont"/>
    <w:uiPriority w:val="99"/>
    <w:semiHidden/>
    <w:rsid w:val="00492569"/>
    <w:rPr>
      <w:i/>
      <w:iCs/>
    </w:rPr>
  </w:style>
  <w:style w:type="character" w:styleId="HTMLKeyboard">
    <w:name w:val="HTML Keyboard"/>
    <w:basedOn w:val="DefaultParagraphFont"/>
    <w:uiPriority w:val="99"/>
    <w:semiHidden/>
    <w:rsid w:val="00492569"/>
    <w:rPr>
      <w:rFonts w:ascii="Courier New" w:hAnsi="Courier New" w:cs="Courier New"/>
      <w:sz w:val="20"/>
      <w:szCs w:val="20"/>
    </w:rPr>
  </w:style>
  <w:style w:type="paragraph" w:styleId="HTMLPreformatted">
    <w:name w:val="HTML Preformatted"/>
    <w:basedOn w:val="Normal"/>
    <w:link w:val="HTMLPreformattedChar"/>
    <w:uiPriority w:val="99"/>
    <w:semiHidden/>
    <w:rsid w:val="00492569"/>
    <w:rPr>
      <w:rFonts w:ascii="Courier New" w:hAnsi="Courier New" w:cs="Courier New"/>
      <w:szCs w:val="20"/>
    </w:rPr>
  </w:style>
  <w:style w:type="character" w:styleId="HTMLSample">
    <w:name w:val="HTML Sample"/>
    <w:basedOn w:val="DefaultParagraphFont"/>
    <w:uiPriority w:val="99"/>
    <w:semiHidden/>
    <w:rsid w:val="00492569"/>
    <w:rPr>
      <w:rFonts w:ascii="Courier New" w:hAnsi="Courier New" w:cs="Courier New"/>
    </w:rPr>
  </w:style>
  <w:style w:type="character" w:styleId="HTMLTypewriter">
    <w:name w:val="HTML Typewriter"/>
    <w:basedOn w:val="DefaultParagraphFont"/>
    <w:uiPriority w:val="99"/>
    <w:semiHidden/>
    <w:rsid w:val="00492569"/>
    <w:rPr>
      <w:rFonts w:ascii="Courier New" w:hAnsi="Courier New" w:cs="Courier New"/>
      <w:sz w:val="20"/>
      <w:szCs w:val="20"/>
    </w:rPr>
  </w:style>
  <w:style w:type="character" w:styleId="HTMLVariable">
    <w:name w:val="HTML Variable"/>
    <w:basedOn w:val="DefaultParagraphFont"/>
    <w:uiPriority w:val="99"/>
    <w:semiHidden/>
    <w:rsid w:val="00492569"/>
    <w:rPr>
      <w:i/>
      <w:iCs/>
    </w:rPr>
  </w:style>
  <w:style w:type="character" w:styleId="LineNumber">
    <w:name w:val="line number"/>
    <w:basedOn w:val="DefaultParagraphFont"/>
    <w:uiPriority w:val="99"/>
    <w:semiHidden/>
    <w:rsid w:val="00492569"/>
  </w:style>
  <w:style w:type="paragraph" w:styleId="List">
    <w:name w:val="List"/>
    <w:basedOn w:val="Normal"/>
    <w:uiPriority w:val="99"/>
    <w:semiHidden/>
    <w:rsid w:val="00492569"/>
    <w:pPr>
      <w:ind w:left="283" w:hanging="283"/>
    </w:pPr>
  </w:style>
  <w:style w:type="paragraph" w:styleId="List2">
    <w:name w:val="List 2"/>
    <w:basedOn w:val="Normal"/>
    <w:uiPriority w:val="99"/>
    <w:semiHidden/>
    <w:rsid w:val="00492569"/>
    <w:pPr>
      <w:ind w:left="566" w:hanging="283"/>
    </w:pPr>
  </w:style>
  <w:style w:type="paragraph" w:styleId="List5">
    <w:name w:val="List 5"/>
    <w:basedOn w:val="Normal"/>
    <w:uiPriority w:val="99"/>
    <w:semiHidden/>
    <w:rsid w:val="00492569"/>
    <w:pPr>
      <w:ind w:left="1415" w:hanging="283"/>
    </w:pPr>
  </w:style>
  <w:style w:type="paragraph" w:styleId="ListBullet5">
    <w:name w:val="List Bullet 5"/>
    <w:basedOn w:val="ListBullet3"/>
    <w:uiPriority w:val="4"/>
    <w:semiHidden/>
    <w:rsid w:val="00492569"/>
    <w:pPr>
      <w:numPr>
        <w:ilvl w:val="4"/>
      </w:numPr>
    </w:pPr>
  </w:style>
  <w:style w:type="paragraph" w:styleId="ListNumber">
    <w:name w:val="List Number"/>
    <w:uiPriority w:val="4"/>
    <w:qFormat/>
    <w:rsid w:val="004E4E7A"/>
    <w:pPr>
      <w:numPr>
        <w:numId w:val="3"/>
      </w:numPr>
      <w:spacing w:before="80" w:after="120" w:line="360" w:lineRule="auto"/>
      <w:jc w:val="both"/>
    </w:pPr>
    <w:rPr>
      <w:rFonts w:ascii="Metropolis Light" w:hAnsi="Metropolis Light"/>
      <w:color w:val="0D0D0D" w:themeColor="text1" w:themeTint="F2"/>
      <w:sz w:val="20"/>
      <w:lang w:val="en-NZ"/>
    </w:rPr>
  </w:style>
  <w:style w:type="paragraph" w:styleId="MessageHeader">
    <w:name w:val="Message Header"/>
    <w:basedOn w:val="Normal"/>
    <w:link w:val="MessageHeaderChar"/>
    <w:uiPriority w:val="99"/>
    <w:semiHidden/>
    <w:rsid w:val="0049256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92569"/>
  </w:style>
  <w:style w:type="paragraph" w:styleId="NormalIndent">
    <w:name w:val="Normal Indent"/>
    <w:basedOn w:val="Normal"/>
    <w:uiPriority w:val="8"/>
    <w:semiHidden/>
    <w:rsid w:val="00492569"/>
    <w:pPr>
      <w:ind w:left="720"/>
    </w:pPr>
  </w:style>
  <w:style w:type="paragraph" w:styleId="NoteHeading">
    <w:name w:val="Note Heading"/>
    <w:basedOn w:val="Normal"/>
    <w:next w:val="Normal"/>
    <w:link w:val="NoteHeadingChar"/>
    <w:uiPriority w:val="99"/>
    <w:semiHidden/>
    <w:rsid w:val="00492569"/>
  </w:style>
  <w:style w:type="character" w:styleId="PageNumber">
    <w:name w:val="page number"/>
    <w:uiPriority w:val="99"/>
    <w:rsid w:val="00492569"/>
    <w:rPr>
      <w:rFonts w:ascii="Metropolis Light" w:hAnsi="Metropolis Light"/>
      <w:color w:val="262626" w:themeColor="text1" w:themeTint="D9"/>
      <w:sz w:val="13"/>
    </w:rPr>
  </w:style>
  <w:style w:type="paragraph" w:styleId="PlainText">
    <w:name w:val="Plain Text"/>
    <w:basedOn w:val="Normal"/>
    <w:link w:val="PlainTextChar"/>
    <w:uiPriority w:val="99"/>
    <w:semiHidden/>
    <w:rsid w:val="00492569"/>
    <w:rPr>
      <w:rFonts w:ascii="Courier New" w:hAnsi="Courier New" w:cs="Courier New"/>
      <w:szCs w:val="20"/>
    </w:rPr>
  </w:style>
  <w:style w:type="paragraph" w:styleId="Salutation">
    <w:name w:val="Salutation"/>
    <w:basedOn w:val="Normal"/>
    <w:next w:val="Normal"/>
    <w:link w:val="SalutationChar"/>
    <w:uiPriority w:val="99"/>
    <w:semiHidden/>
    <w:rsid w:val="00492569"/>
  </w:style>
  <w:style w:type="paragraph" w:styleId="Signature">
    <w:name w:val="Signature"/>
    <w:basedOn w:val="Normal"/>
    <w:link w:val="SignatureChar"/>
    <w:uiPriority w:val="99"/>
    <w:semiHidden/>
    <w:rsid w:val="00492569"/>
    <w:pPr>
      <w:ind w:left="4252"/>
    </w:pPr>
  </w:style>
  <w:style w:type="character" w:styleId="Strong">
    <w:name w:val="Strong"/>
    <w:basedOn w:val="DefaultParagraphFont"/>
    <w:uiPriority w:val="5"/>
    <w:qFormat/>
    <w:rsid w:val="00492569"/>
    <w:rPr>
      <w:rFonts w:ascii="Metropolis Light" w:hAnsi="Metropolis Light"/>
      <w:b/>
      <w:bCs/>
      <w:color w:val="0D0D0D" w:themeColor="text1" w:themeTint="F2"/>
      <w:sz w:val="20"/>
    </w:rPr>
  </w:style>
  <w:style w:type="paragraph" w:styleId="Subtitle">
    <w:name w:val="Subtitle"/>
    <w:basedOn w:val="Title"/>
    <w:link w:val="SubtitleChar"/>
    <w:uiPriority w:val="21"/>
    <w:qFormat/>
    <w:rsid w:val="00492569"/>
    <w:pPr>
      <w:pBdr>
        <w:top w:val="single" w:sz="4" w:space="12" w:color="005745" w:themeColor="text2"/>
      </w:pBdr>
    </w:pPr>
    <w:rPr>
      <w:sz w:val="48"/>
    </w:rPr>
  </w:style>
  <w:style w:type="table" w:styleId="Table3Deffects1">
    <w:name w:val="Table 3D effects 1"/>
    <w:basedOn w:val="TableNormal"/>
    <w:semiHidden/>
    <w:rsid w:val="0049256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256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256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256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256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256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256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9256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9256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9256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256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256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256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256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256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256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256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92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49256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256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256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256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256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256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256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256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256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256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256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256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256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256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256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256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256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256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256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256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256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256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2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256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256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256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next w:val="Subtitle"/>
    <w:link w:val="TitleChar"/>
    <w:uiPriority w:val="20"/>
    <w:qFormat/>
    <w:rsid w:val="00492569"/>
    <w:pPr>
      <w:widowControl w:val="0"/>
      <w:spacing w:line="288" w:lineRule="auto"/>
      <w:jc w:val="right"/>
      <w:outlineLvl w:val="0"/>
    </w:pPr>
    <w:rPr>
      <w:rFonts w:ascii="Calibri" w:hAnsi="Calibri" w:cs="Arial"/>
      <w:b/>
      <w:bCs/>
      <w:caps/>
      <w:color w:val="6BA539"/>
      <w:sz w:val="72"/>
      <w:szCs w:val="32"/>
      <w:lang w:val="en-NZ"/>
    </w:rPr>
  </w:style>
  <w:style w:type="character" w:customStyle="1" w:styleId="CommentTextChar">
    <w:name w:val="Comment Text Char"/>
    <w:basedOn w:val="DefaultParagraphFont"/>
    <w:link w:val="CommentText"/>
    <w:uiPriority w:val="99"/>
    <w:rsid w:val="00492569"/>
    <w:rPr>
      <w:rFonts w:ascii="Metropolis Light" w:eastAsiaTheme="minorHAnsi" w:hAnsi="Metropolis Light" w:cstheme="minorBidi"/>
      <w:sz w:val="20"/>
      <w:szCs w:val="20"/>
      <w:lang w:val="en-NZ" w:eastAsia="en-US"/>
    </w:rPr>
  </w:style>
  <w:style w:type="paragraph" w:customStyle="1" w:styleId="InsideCoverText">
    <w:name w:val="Inside Cover Text"/>
    <w:uiPriority w:val="22"/>
    <w:qFormat/>
    <w:rsid w:val="00492569"/>
    <w:pPr>
      <w:spacing w:before="60" w:after="20" w:line="280" w:lineRule="atLeast"/>
      <w:jc w:val="both"/>
    </w:pPr>
    <w:rPr>
      <w:rFonts w:ascii="Metropolis Light" w:hAnsi="Metropolis Light"/>
      <w:color w:val="0D0D0D" w:themeColor="text1" w:themeTint="F2"/>
      <w:sz w:val="20"/>
      <w:lang w:val="en-NZ"/>
    </w:rPr>
  </w:style>
  <w:style w:type="paragraph" w:styleId="TOCHeading">
    <w:name w:val="TOC Heading"/>
    <w:basedOn w:val="Heading1"/>
    <w:next w:val="Normal"/>
    <w:uiPriority w:val="39"/>
    <w:unhideWhenUsed/>
    <w:qFormat/>
    <w:rsid w:val="00492569"/>
    <w:pPr>
      <w:keepLines/>
      <w:spacing w:before="480" w:after="360" w:line="240" w:lineRule="auto"/>
      <w:outlineLvl w:val="9"/>
    </w:pPr>
    <w:rPr>
      <w:rFonts w:ascii="Times New Roman" w:eastAsiaTheme="majorEastAsia" w:hAnsi="Times New Roman" w:cstheme="majorBidi"/>
      <w:bCs/>
      <w:caps/>
      <w:sz w:val="22"/>
      <w:szCs w:val="28"/>
      <w:lang w:eastAsia="ja-JP"/>
    </w:rPr>
  </w:style>
  <w:style w:type="paragraph" w:customStyle="1" w:styleId="Heading1anotinTOC">
    <w:name w:val="Heading 1a (not in TOC)"/>
    <w:uiPriority w:val="5"/>
    <w:qFormat/>
    <w:rsid w:val="00492569"/>
    <w:pPr>
      <w:keepNext/>
      <w:spacing w:after="400" w:line="360" w:lineRule="auto"/>
    </w:pPr>
    <w:rPr>
      <w:rFonts w:ascii="Metropolis Black" w:hAnsi="Metropolis Black"/>
      <w:b/>
      <w:color w:val="73AB6E"/>
      <w:sz w:val="56"/>
      <w:lang w:val="en-NZ"/>
    </w:rPr>
  </w:style>
  <w:style w:type="paragraph" w:customStyle="1" w:styleId="QuoteIndent1">
    <w:name w:val="Quote Indent 1"/>
    <w:basedOn w:val="Quote"/>
    <w:uiPriority w:val="6"/>
    <w:qFormat/>
    <w:rsid w:val="00492569"/>
    <w:pPr>
      <w:numPr>
        <w:ilvl w:val="1"/>
      </w:numPr>
    </w:pPr>
  </w:style>
  <w:style w:type="paragraph" w:customStyle="1" w:styleId="QuoteIndent2">
    <w:name w:val="Quote Indent 2"/>
    <w:basedOn w:val="QuoteIndent1"/>
    <w:uiPriority w:val="6"/>
    <w:qFormat/>
    <w:rsid w:val="00492569"/>
    <w:pPr>
      <w:numPr>
        <w:ilvl w:val="2"/>
      </w:numPr>
    </w:pPr>
  </w:style>
  <w:style w:type="paragraph" w:customStyle="1" w:styleId="FootnoteBullet">
    <w:name w:val="Footnote Bullet"/>
    <w:basedOn w:val="FootnoteText"/>
    <w:uiPriority w:val="34"/>
    <w:qFormat/>
    <w:rsid w:val="00492569"/>
    <w:pPr>
      <w:numPr>
        <w:numId w:val="11"/>
      </w:numPr>
    </w:pPr>
    <w:rPr>
      <w:szCs w:val="17"/>
    </w:rPr>
  </w:style>
  <w:style w:type="paragraph" w:customStyle="1" w:styleId="FootnoteQuote">
    <w:name w:val="Footnote Quote"/>
    <w:basedOn w:val="FootnoteText"/>
    <w:uiPriority w:val="34"/>
    <w:qFormat/>
    <w:rsid w:val="00492569"/>
    <w:pPr>
      <w:ind w:left="851" w:firstLine="0"/>
    </w:pPr>
    <w:rPr>
      <w:sz w:val="13"/>
    </w:rPr>
  </w:style>
  <w:style w:type="paragraph" w:customStyle="1" w:styleId="FootnoteNumbered">
    <w:name w:val="Footnote Numbered"/>
    <w:basedOn w:val="FootnoteText"/>
    <w:uiPriority w:val="34"/>
    <w:qFormat/>
    <w:rsid w:val="00492569"/>
    <w:pPr>
      <w:numPr>
        <w:numId w:val="12"/>
      </w:numPr>
    </w:pPr>
  </w:style>
  <w:style w:type="paragraph" w:customStyle="1" w:styleId="FootnoteNumbered2">
    <w:name w:val="Footnote Numbered 2"/>
    <w:basedOn w:val="FootnoteNumbered"/>
    <w:uiPriority w:val="34"/>
    <w:qFormat/>
    <w:rsid w:val="00492569"/>
    <w:pPr>
      <w:numPr>
        <w:ilvl w:val="1"/>
      </w:numPr>
    </w:pPr>
  </w:style>
  <w:style w:type="paragraph" w:customStyle="1" w:styleId="FootnoteNumbered3">
    <w:name w:val="Footnote Numbered 3"/>
    <w:basedOn w:val="FootnoteNumbered"/>
    <w:uiPriority w:val="34"/>
    <w:qFormat/>
    <w:rsid w:val="00492569"/>
    <w:pPr>
      <w:numPr>
        <w:ilvl w:val="2"/>
      </w:numPr>
    </w:pPr>
  </w:style>
  <w:style w:type="paragraph" w:customStyle="1" w:styleId="Summarybodytext">
    <w:name w:val="Summary bodytext"/>
    <w:basedOn w:val="BodyText"/>
    <w:uiPriority w:val="8"/>
    <w:qFormat/>
    <w:rsid w:val="00492569"/>
    <w:pPr>
      <w:numPr>
        <w:numId w:val="13"/>
      </w:numPr>
      <w:tabs>
        <w:tab w:val="num" w:pos="709"/>
      </w:tabs>
    </w:pPr>
  </w:style>
  <w:style w:type="paragraph" w:customStyle="1" w:styleId="Recommendationheading">
    <w:name w:val="Recommendation heading"/>
    <w:next w:val="RecommendationText"/>
    <w:uiPriority w:val="8"/>
    <w:qFormat/>
    <w:rsid w:val="00492569"/>
    <w:pPr>
      <w:shd w:val="clear" w:color="auto" w:fill="6BA539"/>
      <w:spacing w:before="120" w:after="60"/>
    </w:pPr>
    <w:rPr>
      <w:rFonts w:ascii="Calibri" w:hAnsi="Calibri"/>
      <w:b/>
      <w:caps/>
      <w:color w:val="FFFFFF" w:themeColor="background1"/>
      <w:spacing w:val="24"/>
      <w:sz w:val="20"/>
      <w:szCs w:val="22"/>
      <w:lang w:val="en-NZ"/>
    </w:rPr>
  </w:style>
  <w:style w:type="character" w:customStyle="1" w:styleId="CoverPublicationTypeandNumber">
    <w:name w:val="Cover Publication Type and Number"/>
    <w:basedOn w:val="DefaultParagraphFont"/>
    <w:uiPriority w:val="9"/>
    <w:qFormat/>
    <w:rsid w:val="00492569"/>
    <w:rPr>
      <w:rFonts w:ascii="Calibri" w:hAnsi="Calibri"/>
      <w:color w:val="262626" w:themeColor="text1" w:themeTint="D9"/>
      <w:spacing w:val="54"/>
    </w:rPr>
  </w:style>
  <w:style w:type="paragraph" w:customStyle="1" w:styleId="CoverTitle">
    <w:name w:val="Cover Title"/>
    <w:basedOn w:val="Title"/>
    <w:uiPriority w:val="8"/>
    <w:qFormat/>
    <w:rsid w:val="00492569"/>
    <w:rPr>
      <w:rFonts w:ascii="Metropolis" w:hAnsi="Metropolis"/>
    </w:rPr>
  </w:style>
  <w:style w:type="paragraph" w:customStyle="1" w:styleId="CoverSubtitle">
    <w:name w:val="Cover Subtitle"/>
    <w:basedOn w:val="Subtitle"/>
    <w:uiPriority w:val="8"/>
    <w:qFormat/>
    <w:rsid w:val="00492569"/>
    <w:rPr>
      <w:rFonts w:ascii="Metropolis" w:hAnsi="Metropolis"/>
    </w:rPr>
  </w:style>
  <w:style w:type="paragraph" w:customStyle="1" w:styleId="CoverDate">
    <w:name w:val="Cover Date"/>
    <w:basedOn w:val="Normal"/>
    <w:uiPriority w:val="8"/>
    <w:qFormat/>
    <w:rsid w:val="00492569"/>
    <w:pPr>
      <w:spacing w:before="57" w:after="57"/>
      <w:jc w:val="right"/>
    </w:pPr>
    <w:rPr>
      <w:color w:val="6BA539"/>
    </w:rPr>
  </w:style>
  <w:style w:type="table" w:customStyle="1" w:styleId="LCTableFinancial">
    <w:name w:val="LC Table Financial"/>
    <w:basedOn w:val="TableNormal"/>
    <w:uiPriority w:val="99"/>
    <w:rsid w:val="00492569"/>
    <w:pPr>
      <w:spacing w:before="60" w:after="60" w:line="260" w:lineRule="atLeast"/>
      <w:jc w:val="center"/>
    </w:pPr>
    <w:rPr>
      <w:rFonts w:ascii="Calibri" w:hAnsi="Calibri"/>
      <w:color w:val="000000" w:themeColor="text1"/>
      <w:sz w:val="18"/>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pPr>
      <w:rPr>
        <w:caps/>
        <w:smallCaps w:val="0"/>
        <w:color w:val="FFFFFF"/>
      </w:rPr>
      <w:tblPr/>
      <w:tcPr>
        <w:shd w:val="clear" w:color="auto" w:fill="6BA539"/>
      </w:tcPr>
    </w:tblStylePr>
    <w:tblStylePr w:type="lastRow">
      <w:rPr>
        <w:b/>
      </w:rPr>
    </w:tblStylePr>
    <w:tblStylePr w:type="firstCol">
      <w:pPr>
        <w:wordWrap/>
        <w:jc w:val="left"/>
      </w:pPr>
    </w:tblStylePr>
  </w:style>
  <w:style w:type="paragraph" w:customStyle="1" w:styleId="Heading1nonum">
    <w:name w:val="Heading 1 (no num)"/>
    <w:uiPriority w:val="5"/>
    <w:qFormat/>
    <w:rsid w:val="00492569"/>
    <w:pPr>
      <w:keepNext/>
      <w:spacing w:after="120" w:line="360" w:lineRule="auto"/>
      <w:ind w:left="17"/>
      <w:outlineLvl w:val="0"/>
    </w:pPr>
    <w:rPr>
      <w:rFonts w:ascii="Metropolis Black" w:hAnsi="Metropolis Black"/>
      <w:b/>
      <w:color w:val="73AB6E"/>
      <w:sz w:val="66"/>
      <w:lang w:val="en-NZ"/>
    </w:rPr>
  </w:style>
  <w:style w:type="paragraph" w:customStyle="1" w:styleId="BodyTextnonum">
    <w:name w:val="Body Text (no num)"/>
    <w:basedOn w:val="BodyText"/>
    <w:uiPriority w:val="1"/>
    <w:qFormat/>
    <w:rsid w:val="00410441"/>
    <w:pPr>
      <w:numPr>
        <w:ilvl w:val="2"/>
        <w:numId w:val="22"/>
      </w:numPr>
    </w:pPr>
  </w:style>
  <w:style w:type="paragraph" w:customStyle="1" w:styleId="BodyTextalphalist">
    <w:name w:val="Body Text (alpha list)"/>
    <w:basedOn w:val="BodyText"/>
    <w:uiPriority w:val="1"/>
    <w:qFormat/>
    <w:rsid w:val="00492569"/>
    <w:pPr>
      <w:numPr>
        <w:ilvl w:val="0"/>
        <w:numId w:val="0"/>
      </w:numPr>
      <w:tabs>
        <w:tab w:val="num" w:pos="1134"/>
      </w:tabs>
      <w:ind w:left="1134" w:hanging="425"/>
    </w:pPr>
  </w:style>
  <w:style w:type="paragraph" w:customStyle="1" w:styleId="QuoteIndent0">
    <w:name w:val="Quote Indent 0"/>
    <w:basedOn w:val="Quote"/>
    <w:uiPriority w:val="6"/>
    <w:qFormat/>
    <w:rsid w:val="00492569"/>
  </w:style>
  <w:style w:type="paragraph" w:customStyle="1" w:styleId="TableHeading">
    <w:name w:val="Table Heading"/>
    <w:basedOn w:val="Normal"/>
    <w:uiPriority w:val="8"/>
    <w:qFormat/>
    <w:rsid w:val="00492569"/>
    <w:pPr>
      <w:spacing w:before="60"/>
    </w:pPr>
    <w:rPr>
      <w:caps/>
      <w:color w:val="FFFFFF"/>
      <w:sz w:val="18"/>
    </w:rPr>
  </w:style>
  <w:style w:type="paragraph" w:customStyle="1" w:styleId="LegislationIndent0">
    <w:name w:val="Legislation Indent 0"/>
    <w:basedOn w:val="LegislationBodytext"/>
    <w:uiPriority w:val="8"/>
    <w:qFormat/>
    <w:rsid w:val="00492569"/>
    <w:pPr>
      <w:ind w:left="1276" w:hanging="709"/>
    </w:pPr>
  </w:style>
  <w:style w:type="paragraph" w:customStyle="1" w:styleId="LegislationSubheading1">
    <w:name w:val="Legislation Subheading 1"/>
    <w:basedOn w:val="BodyText"/>
    <w:uiPriority w:val="8"/>
    <w:qFormat/>
    <w:rsid w:val="00492569"/>
    <w:pPr>
      <w:ind w:left="0" w:firstLine="0"/>
    </w:pPr>
    <w:rPr>
      <w:b/>
    </w:rPr>
  </w:style>
  <w:style w:type="paragraph" w:customStyle="1" w:styleId="LegislationNumberedSubheading">
    <w:name w:val="Legislation Numbered Subheading"/>
    <w:basedOn w:val="LegislationSubheading1"/>
    <w:uiPriority w:val="8"/>
    <w:qFormat/>
    <w:rsid w:val="00492569"/>
    <w:pPr>
      <w:ind w:left="709" w:hanging="709"/>
    </w:pPr>
  </w:style>
  <w:style w:type="paragraph" w:customStyle="1" w:styleId="LegislationBodytext">
    <w:name w:val="Legislation Bodytext"/>
    <w:basedOn w:val="Normal"/>
    <w:uiPriority w:val="8"/>
    <w:qFormat/>
    <w:rsid w:val="00492569"/>
    <w:pPr>
      <w:ind w:left="567"/>
    </w:pPr>
  </w:style>
  <w:style w:type="paragraph" w:customStyle="1" w:styleId="LegislationIndent1">
    <w:name w:val="Legislation Indent 1"/>
    <w:basedOn w:val="LegislationIndent0"/>
    <w:uiPriority w:val="8"/>
    <w:qFormat/>
    <w:rsid w:val="00492569"/>
    <w:pPr>
      <w:ind w:left="1843" w:hanging="567"/>
    </w:pPr>
  </w:style>
  <w:style w:type="paragraph" w:customStyle="1" w:styleId="LegislationSubheading2">
    <w:name w:val="Legislation Subheading 2"/>
    <w:basedOn w:val="LegislationSubheading1"/>
    <w:uiPriority w:val="8"/>
    <w:qFormat/>
    <w:rsid w:val="00492569"/>
    <w:pPr>
      <w:jc w:val="center"/>
    </w:pPr>
    <w:rPr>
      <w:b w:val="0"/>
      <w:i/>
    </w:rPr>
  </w:style>
  <w:style w:type="paragraph" w:customStyle="1" w:styleId="LegislationIndent2">
    <w:name w:val="Legislation Indent 2"/>
    <w:basedOn w:val="LegislationIndent1"/>
    <w:uiPriority w:val="8"/>
    <w:qFormat/>
    <w:rsid w:val="00492569"/>
    <w:pPr>
      <w:ind w:left="2268" w:hanging="425"/>
    </w:pPr>
  </w:style>
  <w:style w:type="paragraph" w:customStyle="1" w:styleId="G1GuidelinesText">
    <w:name w:val="G1 Guidelines Text"/>
    <w:basedOn w:val="RecommendationText"/>
    <w:uiPriority w:val="8"/>
    <w:qFormat/>
    <w:rsid w:val="00492569"/>
    <w:pPr>
      <w:framePr w:wrap="around" w:vAnchor="text" w:hAnchor="text" w:y="1"/>
      <w:numPr>
        <w:numId w:val="15"/>
      </w:numPr>
    </w:pPr>
  </w:style>
  <w:style w:type="paragraph" w:customStyle="1" w:styleId="RecommendationText1">
    <w:name w:val="Recommendation Text 1"/>
    <w:basedOn w:val="RecommendationText"/>
    <w:uiPriority w:val="8"/>
    <w:qFormat/>
    <w:rsid w:val="00492569"/>
    <w:pPr>
      <w:numPr>
        <w:numId w:val="0"/>
      </w:numPr>
      <w:ind w:left="709"/>
    </w:pPr>
  </w:style>
  <w:style w:type="character" w:customStyle="1" w:styleId="FootnoteTextChar">
    <w:name w:val="Footnote Text Char"/>
    <w:basedOn w:val="DefaultParagraphFont"/>
    <w:link w:val="FootnoteText"/>
    <w:rsid w:val="00492569"/>
    <w:rPr>
      <w:rFonts w:ascii="Metropolis Light" w:hAnsi="Metropolis Light"/>
      <w:color w:val="0D0D0D" w:themeColor="text1" w:themeTint="F2"/>
      <w:sz w:val="15"/>
      <w:szCs w:val="20"/>
      <w:lang w:val="en-NZ" w:eastAsia="en-US"/>
    </w:rPr>
  </w:style>
  <w:style w:type="character" w:customStyle="1" w:styleId="Heading2Char">
    <w:name w:val="Heading 2 Char"/>
    <w:basedOn w:val="DefaultParagraphFont"/>
    <w:link w:val="Heading2"/>
    <w:uiPriority w:val="5"/>
    <w:rsid w:val="00492569"/>
    <w:rPr>
      <w:rFonts w:ascii="Metropolis" w:hAnsi="Metropolis"/>
      <w:b/>
      <w:caps/>
      <w:color w:val="73AB6E"/>
      <w:sz w:val="22"/>
      <w:lang w:val="en-NZ"/>
    </w:rPr>
  </w:style>
  <w:style w:type="character" w:customStyle="1" w:styleId="Heading3Char">
    <w:name w:val="Heading 3 Char"/>
    <w:basedOn w:val="DefaultParagraphFont"/>
    <w:link w:val="Heading3"/>
    <w:uiPriority w:val="5"/>
    <w:rsid w:val="00492569"/>
    <w:rPr>
      <w:rFonts w:ascii="Metropolis" w:hAnsi="Metropolis"/>
      <w:b/>
      <w:color w:val="73AB6E"/>
      <w:sz w:val="22"/>
      <w:lang w:val="en-NZ"/>
    </w:rPr>
  </w:style>
  <w:style w:type="character" w:customStyle="1" w:styleId="Heading4Char">
    <w:name w:val="Heading 4 Char"/>
    <w:basedOn w:val="DefaultParagraphFont"/>
    <w:link w:val="Heading4"/>
    <w:uiPriority w:val="5"/>
    <w:rsid w:val="00492569"/>
    <w:rPr>
      <w:rFonts w:ascii="Metropolis" w:hAnsi="Metropolis"/>
      <w:b/>
      <w:i/>
      <w:color w:val="73AB6E"/>
      <w:sz w:val="20"/>
      <w:lang w:val="en-NZ"/>
    </w:rPr>
  </w:style>
  <w:style w:type="paragraph" w:customStyle="1" w:styleId="Introindent">
    <w:name w:val="Intro indent"/>
    <w:basedOn w:val="Normal"/>
    <w:next w:val="Normal"/>
    <w:qFormat/>
    <w:rsid w:val="00B94D1A"/>
    <w:pPr>
      <w:widowControl w:val="0"/>
      <w:ind w:left="680"/>
      <w:jc w:val="both"/>
    </w:pPr>
    <w:rPr>
      <w:lang w:val="en-US"/>
    </w:rPr>
  </w:style>
  <w:style w:type="paragraph" w:styleId="CommentSubject">
    <w:name w:val="annotation subject"/>
    <w:basedOn w:val="CommentText"/>
    <w:next w:val="CommentText"/>
    <w:link w:val="CommentSubjectChar"/>
    <w:uiPriority w:val="34"/>
    <w:rsid w:val="00492569"/>
    <w:pPr>
      <w:spacing w:line="240" w:lineRule="auto"/>
    </w:pPr>
    <w:rPr>
      <w:b/>
      <w:bCs/>
      <w:color w:val="262626" w:themeColor="text1" w:themeTint="D9"/>
    </w:rPr>
  </w:style>
  <w:style w:type="character" w:customStyle="1" w:styleId="CommentSubjectChar">
    <w:name w:val="Comment Subject Char"/>
    <w:basedOn w:val="CommentTextChar"/>
    <w:link w:val="CommentSubject"/>
    <w:uiPriority w:val="34"/>
    <w:rsid w:val="00492569"/>
    <w:rPr>
      <w:rFonts w:ascii="Metropolis Light" w:eastAsiaTheme="minorHAnsi" w:hAnsi="Metropolis Light" w:cstheme="minorBidi"/>
      <w:b/>
      <w:bCs/>
      <w:color w:val="262626" w:themeColor="text1" w:themeTint="D9"/>
      <w:sz w:val="20"/>
      <w:szCs w:val="20"/>
      <w:lang w:val="en-NZ" w:eastAsia="en-US"/>
    </w:rPr>
  </w:style>
  <w:style w:type="paragraph" w:styleId="Revision">
    <w:name w:val="Revision"/>
    <w:hidden/>
    <w:rsid w:val="00492569"/>
    <w:rPr>
      <w:lang w:val="en-NZ"/>
    </w:rPr>
  </w:style>
  <w:style w:type="paragraph" w:customStyle="1" w:styleId="paragraph">
    <w:name w:val="paragraph"/>
    <w:basedOn w:val="Normal"/>
    <w:rsid w:val="00492569"/>
    <w:pPr>
      <w:spacing w:before="100" w:beforeAutospacing="1" w:after="100" w:afterAutospacing="1" w:line="240" w:lineRule="auto"/>
    </w:pPr>
    <w:rPr>
      <w:color w:val="262626" w:themeColor="text1" w:themeTint="D9"/>
      <w:lang w:eastAsia="en-NZ"/>
    </w:rPr>
  </w:style>
  <w:style w:type="character" w:customStyle="1" w:styleId="normaltextrun">
    <w:name w:val="normaltextrun"/>
    <w:basedOn w:val="DefaultParagraphFont"/>
    <w:rsid w:val="00492569"/>
    <w:rPr>
      <w:rFonts w:ascii="Metropolis Light" w:hAnsi="Metropolis Light"/>
      <w:color w:val="262626" w:themeColor="text1" w:themeTint="D9"/>
    </w:rPr>
  </w:style>
  <w:style w:type="character" w:customStyle="1" w:styleId="eop">
    <w:name w:val="eop"/>
    <w:basedOn w:val="DefaultParagraphFont"/>
    <w:rsid w:val="00492569"/>
    <w:rPr>
      <w:rFonts w:ascii="Metropolis Light" w:hAnsi="Metropolis Light"/>
      <w:color w:val="262626" w:themeColor="text1" w:themeTint="D9"/>
    </w:rPr>
  </w:style>
  <w:style w:type="paragraph" w:styleId="ListParagraph">
    <w:name w:val="List Paragraph"/>
    <w:basedOn w:val="Normal"/>
    <w:uiPriority w:val="34"/>
    <w:qFormat/>
    <w:rsid w:val="00492569"/>
    <w:pPr>
      <w:ind w:left="720"/>
      <w:contextualSpacing/>
    </w:pPr>
    <w:rPr>
      <w:sz w:val="24"/>
    </w:rPr>
  </w:style>
  <w:style w:type="character" w:styleId="PlaceholderText">
    <w:name w:val="Placeholder Text"/>
    <w:basedOn w:val="DefaultParagraphFont"/>
    <w:uiPriority w:val="34"/>
    <w:rsid w:val="00492569"/>
    <w:rPr>
      <w:color w:val="808080"/>
    </w:rPr>
  </w:style>
  <w:style w:type="character" w:customStyle="1" w:styleId="HeaderChar">
    <w:name w:val="Header Char"/>
    <w:basedOn w:val="DefaultParagraphFont"/>
    <w:link w:val="Header"/>
    <w:uiPriority w:val="99"/>
    <w:rsid w:val="00492569"/>
    <w:rPr>
      <w:rFonts w:ascii="Metropolis Light" w:eastAsiaTheme="minorHAnsi" w:hAnsi="Metropolis Light" w:cstheme="minorBidi"/>
      <w:color w:val="262626" w:themeColor="text1" w:themeTint="D9"/>
      <w:sz w:val="13"/>
      <w:szCs w:val="22"/>
      <w:lang w:val="en-NZ" w:eastAsia="en-US"/>
    </w:rPr>
  </w:style>
  <w:style w:type="paragraph" w:customStyle="1" w:styleId="HEADING2topchapter-notinTOC">
    <w:name w:val="HEADING 2 ( top chapter - not in TOC)"/>
    <w:basedOn w:val="Normal"/>
    <w:link w:val="HEADING2topchapter-notinTOCChar"/>
    <w:uiPriority w:val="8"/>
    <w:qFormat/>
    <w:rsid w:val="00492569"/>
    <w:pPr>
      <w:pageBreakBefore/>
      <w:spacing w:after="240" w:line="240" w:lineRule="auto"/>
    </w:pPr>
    <w:rPr>
      <w:rFonts w:ascii="Metropolis" w:eastAsia="Metropolis" w:hAnsi="Metropolis" w:cs="Metropolis"/>
      <w:b/>
      <w:bCs/>
      <w:color w:val="73AB6E"/>
    </w:rPr>
  </w:style>
  <w:style w:type="character" w:customStyle="1" w:styleId="HEADING2topchapter-notinTOCChar">
    <w:name w:val="HEADING 2 ( top chapter - not in TOC) Char"/>
    <w:basedOn w:val="DefaultParagraphFont"/>
    <w:link w:val="HEADING2topchapter-notinTOC"/>
    <w:uiPriority w:val="8"/>
    <w:rsid w:val="00492569"/>
    <w:rPr>
      <w:rFonts w:ascii="Metropolis" w:eastAsia="Metropolis" w:hAnsi="Metropolis" w:cs="Metropolis"/>
      <w:b/>
      <w:bCs/>
      <w:color w:val="73AB6E"/>
      <w:sz w:val="20"/>
      <w:szCs w:val="22"/>
      <w:lang w:val="en-NZ" w:eastAsia="en-US"/>
    </w:rPr>
  </w:style>
  <w:style w:type="character" w:styleId="BookTitle">
    <w:name w:val="Book Title"/>
    <w:basedOn w:val="DefaultParagraphFont"/>
    <w:uiPriority w:val="29"/>
    <w:rsid w:val="00492569"/>
    <w:rPr>
      <w:rFonts w:ascii="Metropolis Light" w:hAnsi="Metropolis Light"/>
      <w:b/>
      <w:bCs/>
      <w:smallCaps/>
      <w:color w:val="262626" w:themeColor="text1" w:themeTint="D9"/>
      <w:spacing w:val="5"/>
    </w:rPr>
  </w:style>
  <w:style w:type="paragraph" w:styleId="Date">
    <w:name w:val="Date"/>
    <w:basedOn w:val="Normal"/>
    <w:next w:val="Normal"/>
    <w:link w:val="DateChar"/>
    <w:uiPriority w:val="29"/>
    <w:rsid w:val="00492569"/>
    <w:rPr>
      <w:color w:val="262626" w:themeColor="text1" w:themeTint="D9"/>
    </w:rPr>
  </w:style>
  <w:style w:type="character" w:customStyle="1" w:styleId="DateChar">
    <w:name w:val="Date Char"/>
    <w:basedOn w:val="DefaultParagraphFont"/>
    <w:link w:val="Date"/>
    <w:uiPriority w:val="29"/>
    <w:rsid w:val="00492569"/>
    <w:rPr>
      <w:rFonts w:ascii="Metropolis Light" w:eastAsiaTheme="minorHAnsi" w:hAnsi="Metropolis Light" w:cstheme="minorBidi"/>
      <w:color w:val="262626" w:themeColor="text1" w:themeTint="D9"/>
      <w:sz w:val="20"/>
      <w:szCs w:val="22"/>
      <w:lang w:val="en-NZ" w:eastAsia="en-US"/>
    </w:rPr>
  </w:style>
  <w:style w:type="paragraph" w:styleId="Bibliography">
    <w:name w:val="Bibliography"/>
    <w:basedOn w:val="Normal"/>
    <w:next w:val="Normal"/>
    <w:uiPriority w:val="34"/>
    <w:rsid w:val="00492569"/>
    <w:rPr>
      <w:color w:val="262626" w:themeColor="text1" w:themeTint="D9"/>
    </w:rPr>
  </w:style>
  <w:style w:type="character" w:styleId="EndnoteReference">
    <w:name w:val="endnote reference"/>
    <w:basedOn w:val="DefaultParagraphFont"/>
    <w:uiPriority w:val="34"/>
    <w:qFormat/>
    <w:rsid w:val="00492569"/>
    <w:rPr>
      <w:rFonts w:ascii="Metropolis Light" w:hAnsi="Metropolis Light"/>
      <w:color w:val="262626" w:themeColor="text1" w:themeTint="D9"/>
      <w:vertAlign w:val="superscript"/>
    </w:rPr>
  </w:style>
  <w:style w:type="paragraph" w:styleId="Index1">
    <w:name w:val="index 1"/>
    <w:basedOn w:val="Normal"/>
    <w:next w:val="Normal"/>
    <w:uiPriority w:val="34"/>
    <w:rsid w:val="00492569"/>
    <w:pPr>
      <w:spacing w:after="0" w:line="240" w:lineRule="auto"/>
      <w:ind w:left="200" w:hanging="200"/>
    </w:pPr>
    <w:rPr>
      <w:color w:val="262626" w:themeColor="text1" w:themeTint="D9"/>
    </w:rPr>
  </w:style>
  <w:style w:type="paragraph" w:styleId="IndexHeading">
    <w:name w:val="index heading"/>
    <w:basedOn w:val="Normal"/>
    <w:next w:val="Index1"/>
    <w:uiPriority w:val="34"/>
    <w:rsid w:val="00492569"/>
    <w:rPr>
      <w:rFonts w:ascii="Metropolis" w:eastAsiaTheme="majorEastAsia" w:hAnsi="Metropolis" w:cstheme="majorBidi"/>
      <w:b/>
      <w:bCs/>
    </w:rPr>
  </w:style>
  <w:style w:type="character" w:styleId="IntenseEmphasis">
    <w:name w:val="Intense Emphasis"/>
    <w:basedOn w:val="DefaultParagraphFont"/>
    <w:uiPriority w:val="34"/>
    <w:rsid w:val="00492569"/>
    <w:rPr>
      <w:rFonts w:ascii="Metropolis Light" w:hAnsi="Metropolis Light"/>
      <w:b/>
      <w:bCs/>
      <w:i/>
      <w:iCs/>
      <w:color w:val="005745" w:themeColor="accent1"/>
    </w:rPr>
  </w:style>
  <w:style w:type="character" w:styleId="IntenseReference">
    <w:name w:val="Intense Reference"/>
    <w:basedOn w:val="DefaultParagraphFont"/>
    <w:uiPriority w:val="34"/>
    <w:rsid w:val="00492569"/>
    <w:rPr>
      <w:rFonts w:ascii="Metropolis Light" w:hAnsi="Metropolis Light"/>
      <w:b/>
      <w:bCs/>
      <w:smallCaps/>
      <w:color w:val="C0504D" w:themeColor="accent2"/>
      <w:spacing w:val="5"/>
      <w:u w:val="single"/>
    </w:rPr>
  </w:style>
  <w:style w:type="paragraph" w:styleId="TOAHeading">
    <w:name w:val="toa heading"/>
    <w:basedOn w:val="Normal"/>
    <w:next w:val="Normal"/>
    <w:uiPriority w:val="34"/>
    <w:rsid w:val="00492569"/>
    <w:pPr>
      <w:spacing w:before="120"/>
    </w:pPr>
    <w:rPr>
      <w:rFonts w:ascii="Metropolis" w:eastAsiaTheme="majorEastAsia" w:hAnsi="Metropolis" w:cstheme="majorBidi"/>
      <w:b/>
      <w:bCs/>
      <w:sz w:val="24"/>
    </w:rPr>
  </w:style>
  <w:style w:type="paragraph" w:styleId="TOC4">
    <w:name w:val="toc 4"/>
    <w:basedOn w:val="Normal"/>
    <w:next w:val="Normal"/>
    <w:uiPriority w:val="34"/>
    <w:rsid w:val="00492569"/>
    <w:pPr>
      <w:spacing w:after="100"/>
      <w:ind w:left="600"/>
    </w:pPr>
    <w:rPr>
      <w:color w:val="262626" w:themeColor="text1" w:themeTint="D9"/>
    </w:rPr>
  </w:style>
  <w:style w:type="paragraph" w:styleId="TOC5">
    <w:name w:val="toc 5"/>
    <w:basedOn w:val="Normal"/>
    <w:next w:val="Normal"/>
    <w:uiPriority w:val="34"/>
    <w:rsid w:val="00492569"/>
    <w:pPr>
      <w:spacing w:after="100"/>
      <w:ind w:left="800"/>
    </w:pPr>
    <w:rPr>
      <w:color w:val="262626" w:themeColor="text1" w:themeTint="D9"/>
    </w:rPr>
  </w:style>
  <w:style w:type="paragraph" w:styleId="TOC6">
    <w:name w:val="toc 6"/>
    <w:basedOn w:val="Normal"/>
    <w:next w:val="Normal"/>
    <w:uiPriority w:val="34"/>
    <w:rsid w:val="00492569"/>
    <w:pPr>
      <w:spacing w:after="100"/>
      <w:ind w:left="1000"/>
    </w:pPr>
    <w:rPr>
      <w:color w:val="262626" w:themeColor="text1" w:themeTint="D9"/>
    </w:rPr>
  </w:style>
  <w:style w:type="paragraph" w:styleId="TOC8">
    <w:name w:val="toc 8"/>
    <w:basedOn w:val="Normal"/>
    <w:next w:val="Normal"/>
    <w:uiPriority w:val="34"/>
    <w:rsid w:val="00492569"/>
    <w:pPr>
      <w:spacing w:after="100"/>
      <w:ind w:left="1400"/>
    </w:pPr>
    <w:rPr>
      <w:color w:val="262626" w:themeColor="text1" w:themeTint="D9"/>
    </w:rPr>
  </w:style>
  <w:style w:type="paragraph" w:styleId="TOC9">
    <w:name w:val="toc 9"/>
    <w:basedOn w:val="Normal"/>
    <w:next w:val="Normal"/>
    <w:uiPriority w:val="34"/>
    <w:rsid w:val="00492569"/>
    <w:pPr>
      <w:spacing w:after="100"/>
      <w:ind w:left="1600"/>
    </w:pPr>
    <w:rPr>
      <w:color w:val="262626" w:themeColor="text1" w:themeTint="D9"/>
    </w:rPr>
  </w:style>
  <w:style w:type="paragraph" w:styleId="TOC7">
    <w:name w:val="toc 7"/>
    <w:basedOn w:val="Normal"/>
    <w:next w:val="Normal"/>
    <w:uiPriority w:val="34"/>
    <w:rsid w:val="00492569"/>
    <w:pPr>
      <w:spacing w:after="100"/>
      <w:ind w:left="1200"/>
    </w:pPr>
    <w:rPr>
      <w:color w:val="262626" w:themeColor="text1" w:themeTint="D9"/>
    </w:rPr>
  </w:style>
  <w:style w:type="paragraph" w:styleId="DocumentMap">
    <w:name w:val="Document Map"/>
    <w:basedOn w:val="Normal"/>
    <w:link w:val="DocumentMapChar"/>
    <w:uiPriority w:val="34"/>
    <w:rsid w:val="00492569"/>
    <w:pPr>
      <w:spacing w:after="0" w:line="240" w:lineRule="auto"/>
    </w:pPr>
    <w:rPr>
      <w:rFonts w:ascii="Tahoma" w:hAnsi="Tahoma" w:cs="Tahoma"/>
      <w:color w:val="262626" w:themeColor="text1" w:themeTint="D9"/>
      <w:sz w:val="16"/>
      <w:szCs w:val="16"/>
    </w:rPr>
  </w:style>
  <w:style w:type="character" w:customStyle="1" w:styleId="DocumentMapChar">
    <w:name w:val="Document Map Char"/>
    <w:basedOn w:val="DefaultParagraphFont"/>
    <w:link w:val="DocumentMap"/>
    <w:uiPriority w:val="34"/>
    <w:rsid w:val="00492569"/>
    <w:rPr>
      <w:rFonts w:ascii="Tahoma" w:eastAsiaTheme="minorHAnsi" w:hAnsi="Tahoma" w:cs="Tahoma"/>
      <w:color w:val="262626" w:themeColor="text1" w:themeTint="D9"/>
      <w:sz w:val="16"/>
      <w:szCs w:val="16"/>
      <w:lang w:val="en-NZ" w:eastAsia="en-US"/>
    </w:rPr>
  </w:style>
  <w:style w:type="paragraph" w:styleId="EndnoteText">
    <w:name w:val="endnote text"/>
    <w:basedOn w:val="Normal"/>
    <w:link w:val="EndnoteTextChar"/>
    <w:uiPriority w:val="34"/>
    <w:rsid w:val="00492569"/>
    <w:pPr>
      <w:spacing w:after="0" w:line="240" w:lineRule="auto"/>
    </w:pPr>
    <w:rPr>
      <w:color w:val="262626" w:themeColor="text1" w:themeTint="D9"/>
      <w:szCs w:val="20"/>
    </w:rPr>
  </w:style>
  <w:style w:type="character" w:customStyle="1" w:styleId="EndnoteTextChar">
    <w:name w:val="Endnote Text Char"/>
    <w:basedOn w:val="DefaultParagraphFont"/>
    <w:link w:val="EndnoteText"/>
    <w:uiPriority w:val="34"/>
    <w:rsid w:val="00492569"/>
    <w:rPr>
      <w:rFonts w:ascii="Metropolis Light" w:eastAsiaTheme="minorHAnsi" w:hAnsi="Metropolis Light" w:cstheme="minorBidi"/>
      <w:color w:val="262626" w:themeColor="text1" w:themeTint="D9"/>
      <w:sz w:val="20"/>
      <w:szCs w:val="20"/>
      <w:lang w:val="en-NZ" w:eastAsia="en-US"/>
    </w:rPr>
  </w:style>
  <w:style w:type="paragraph" w:styleId="Index2">
    <w:name w:val="index 2"/>
    <w:basedOn w:val="Normal"/>
    <w:next w:val="Normal"/>
    <w:uiPriority w:val="34"/>
    <w:rsid w:val="00492569"/>
    <w:pPr>
      <w:spacing w:after="0" w:line="240" w:lineRule="auto"/>
      <w:ind w:left="400" w:hanging="200"/>
    </w:pPr>
  </w:style>
  <w:style w:type="paragraph" w:styleId="Index3">
    <w:name w:val="index 3"/>
    <w:basedOn w:val="Normal"/>
    <w:next w:val="Normal"/>
    <w:uiPriority w:val="34"/>
    <w:rsid w:val="00492569"/>
    <w:pPr>
      <w:spacing w:after="0" w:line="240" w:lineRule="auto"/>
      <w:ind w:left="600" w:hanging="200"/>
    </w:pPr>
  </w:style>
  <w:style w:type="paragraph" w:styleId="Index4">
    <w:name w:val="index 4"/>
    <w:basedOn w:val="Normal"/>
    <w:next w:val="Normal"/>
    <w:uiPriority w:val="34"/>
    <w:rsid w:val="00492569"/>
    <w:pPr>
      <w:spacing w:after="0" w:line="240" w:lineRule="auto"/>
      <w:ind w:left="800" w:hanging="200"/>
    </w:pPr>
  </w:style>
  <w:style w:type="paragraph" w:styleId="Index5">
    <w:name w:val="index 5"/>
    <w:basedOn w:val="Normal"/>
    <w:next w:val="Normal"/>
    <w:uiPriority w:val="34"/>
    <w:rsid w:val="00492569"/>
    <w:pPr>
      <w:spacing w:after="0" w:line="240" w:lineRule="auto"/>
      <w:ind w:left="1000" w:hanging="200"/>
    </w:pPr>
  </w:style>
  <w:style w:type="paragraph" w:styleId="Index6">
    <w:name w:val="index 6"/>
    <w:basedOn w:val="Normal"/>
    <w:next w:val="Normal"/>
    <w:uiPriority w:val="34"/>
    <w:rsid w:val="00492569"/>
    <w:pPr>
      <w:spacing w:after="0" w:line="240" w:lineRule="auto"/>
      <w:ind w:left="1200" w:hanging="200"/>
    </w:pPr>
  </w:style>
  <w:style w:type="paragraph" w:styleId="Index7">
    <w:name w:val="index 7"/>
    <w:basedOn w:val="Normal"/>
    <w:next w:val="Normal"/>
    <w:uiPriority w:val="34"/>
    <w:rsid w:val="00492569"/>
    <w:pPr>
      <w:spacing w:after="0" w:line="240" w:lineRule="auto"/>
      <w:ind w:left="1400" w:hanging="200"/>
    </w:pPr>
  </w:style>
  <w:style w:type="paragraph" w:styleId="Index8">
    <w:name w:val="index 8"/>
    <w:basedOn w:val="Normal"/>
    <w:next w:val="Normal"/>
    <w:uiPriority w:val="34"/>
    <w:rsid w:val="00492569"/>
    <w:pPr>
      <w:spacing w:after="0" w:line="240" w:lineRule="auto"/>
      <w:ind w:left="1600" w:hanging="200"/>
    </w:pPr>
  </w:style>
  <w:style w:type="paragraph" w:styleId="Index9">
    <w:name w:val="index 9"/>
    <w:basedOn w:val="Normal"/>
    <w:next w:val="Normal"/>
    <w:uiPriority w:val="34"/>
    <w:rsid w:val="00492569"/>
    <w:pPr>
      <w:spacing w:after="0" w:line="240" w:lineRule="auto"/>
      <w:ind w:left="1800" w:hanging="200"/>
    </w:pPr>
  </w:style>
  <w:style w:type="paragraph" w:styleId="IntenseQuote">
    <w:name w:val="Intense Quote"/>
    <w:basedOn w:val="Normal"/>
    <w:next w:val="Normal"/>
    <w:link w:val="IntenseQuoteChar"/>
    <w:uiPriority w:val="34"/>
    <w:rsid w:val="00492569"/>
    <w:pPr>
      <w:pBdr>
        <w:bottom w:val="single" w:sz="4" w:space="4" w:color="005745" w:themeColor="accent1"/>
      </w:pBdr>
      <w:spacing w:before="200" w:after="280"/>
      <w:ind w:left="936" w:right="936"/>
    </w:pPr>
    <w:rPr>
      <w:b/>
      <w:bCs/>
      <w:i/>
      <w:iCs/>
      <w:color w:val="005745" w:themeColor="accent1"/>
    </w:rPr>
  </w:style>
  <w:style w:type="character" w:customStyle="1" w:styleId="IntenseQuoteChar">
    <w:name w:val="Intense Quote Char"/>
    <w:basedOn w:val="DefaultParagraphFont"/>
    <w:link w:val="IntenseQuote"/>
    <w:uiPriority w:val="34"/>
    <w:rsid w:val="00492569"/>
    <w:rPr>
      <w:rFonts w:ascii="Metropolis Light" w:eastAsiaTheme="minorHAnsi" w:hAnsi="Metropolis Light" w:cstheme="minorBidi"/>
      <w:b/>
      <w:bCs/>
      <w:i/>
      <w:iCs/>
      <w:color w:val="005745" w:themeColor="accent1"/>
      <w:sz w:val="20"/>
      <w:szCs w:val="22"/>
      <w:lang w:val="en-NZ" w:eastAsia="en-US"/>
    </w:rPr>
  </w:style>
  <w:style w:type="paragraph" w:styleId="MacroText">
    <w:name w:val="macro"/>
    <w:link w:val="MacroTextChar"/>
    <w:uiPriority w:val="34"/>
    <w:rsid w:val="00492569"/>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color w:val="404040" w:themeColor="text1" w:themeTint="BF"/>
      <w:sz w:val="20"/>
      <w:szCs w:val="20"/>
      <w:lang w:val="en-NZ"/>
    </w:rPr>
  </w:style>
  <w:style w:type="character" w:customStyle="1" w:styleId="MacroTextChar">
    <w:name w:val="Macro Text Char"/>
    <w:basedOn w:val="DefaultParagraphFont"/>
    <w:link w:val="MacroText"/>
    <w:uiPriority w:val="34"/>
    <w:rsid w:val="00492569"/>
    <w:rPr>
      <w:rFonts w:ascii="Consolas" w:hAnsi="Consolas"/>
      <w:color w:val="404040" w:themeColor="text1" w:themeTint="BF"/>
      <w:sz w:val="20"/>
      <w:szCs w:val="20"/>
      <w:lang w:val="en-NZ"/>
    </w:rPr>
  </w:style>
  <w:style w:type="paragraph" w:styleId="TableofAuthorities">
    <w:name w:val="table of authorities"/>
    <w:basedOn w:val="Normal"/>
    <w:next w:val="Normal"/>
    <w:uiPriority w:val="34"/>
    <w:rsid w:val="00492569"/>
    <w:pPr>
      <w:spacing w:after="0"/>
      <w:ind w:left="200" w:hanging="200"/>
    </w:pPr>
    <w:rPr>
      <w:color w:val="262626" w:themeColor="text1" w:themeTint="D9"/>
    </w:rPr>
  </w:style>
  <w:style w:type="paragraph" w:styleId="TableofFigures">
    <w:name w:val="table of figures"/>
    <w:basedOn w:val="Normal"/>
    <w:next w:val="Normal"/>
    <w:uiPriority w:val="34"/>
    <w:rsid w:val="00492569"/>
    <w:pPr>
      <w:spacing w:after="0"/>
    </w:pPr>
  </w:style>
  <w:style w:type="character" w:customStyle="1" w:styleId="Heading1Char">
    <w:name w:val="Heading 1 Char"/>
    <w:basedOn w:val="DefaultParagraphFont"/>
    <w:link w:val="Heading1"/>
    <w:uiPriority w:val="10"/>
    <w:rsid w:val="00492569"/>
    <w:rPr>
      <w:rFonts w:ascii="Metropolis Black" w:hAnsi="Metropolis Black"/>
      <w:b/>
      <w:color w:val="73AB6E"/>
      <w:sz w:val="66"/>
      <w:lang w:val="en-NZ" w:eastAsia="en-US"/>
    </w:rPr>
  </w:style>
  <w:style w:type="character" w:customStyle="1" w:styleId="Heading5Char">
    <w:name w:val="Heading 5 Char"/>
    <w:basedOn w:val="DefaultParagraphFont"/>
    <w:link w:val="Heading5"/>
    <w:uiPriority w:val="10"/>
    <w:rsid w:val="00492569"/>
    <w:rPr>
      <w:rFonts w:ascii="Metropolis" w:eastAsiaTheme="minorHAnsi" w:hAnsi="Metropolis" w:cstheme="minorBidi"/>
      <w:color w:val="6BA539"/>
      <w:sz w:val="20"/>
      <w:szCs w:val="22"/>
      <w:lang w:val="en-NZ" w:eastAsia="en-US"/>
    </w:rPr>
  </w:style>
  <w:style w:type="character" w:customStyle="1" w:styleId="Heading6Char">
    <w:name w:val="Heading 6 Char"/>
    <w:basedOn w:val="DefaultParagraphFont"/>
    <w:link w:val="Heading6"/>
    <w:uiPriority w:val="10"/>
    <w:rsid w:val="00492569"/>
    <w:rPr>
      <w:rFonts w:ascii="Metropolis" w:hAnsi="Metropolis"/>
      <w:caps/>
      <w:color w:val="FFFFFF" w:themeColor="background1"/>
      <w:spacing w:val="24"/>
      <w:sz w:val="20"/>
      <w:szCs w:val="22"/>
      <w:shd w:val="clear" w:color="auto" w:fill="404040" w:themeFill="text1" w:themeFillTint="BF"/>
      <w:lang w:val="en-NZ"/>
    </w:rPr>
  </w:style>
  <w:style w:type="character" w:customStyle="1" w:styleId="Heading7Char">
    <w:name w:val="Heading 7 Char"/>
    <w:basedOn w:val="DefaultParagraphFont"/>
    <w:link w:val="Heading7"/>
    <w:uiPriority w:val="10"/>
    <w:semiHidden/>
    <w:rsid w:val="00492569"/>
    <w:rPr>
      <w:rFonts w:ascii="Metropolis Light" w:eastAsiaTheme="minorHAnsi" w:hAnsi="Metropolis Light" w:cstheme="minorBidi"/>
      <w:sz w:val="20"/>
      <w:szCs w:val="22"/>
      <w:lang w:val="en-NZ" w:eastAsia="en-US"/>
    </w:rPr>
  </w:style>
  <w:style w:type="character" w:customStyle="1" w:styleId="Heading8Char">
    <w:name w:val="Heading 8 Char"/>
    <w:basedOn w:val="DefaultParagraphFont"/>
    <w:link w:val="Heading8"/>
    <w:uiPriority w:val="10"/>
    <w:semiHidden/>
    <w:rsid w:val="00492569"/>
    <w:rPr>
      <w:rFonts w:ascii="Metropolis Light" w:eastAsiaTheme="minorHAnsi" w:hAnsi="Metropolis Light" w:cstheme="minorBidi"/>
      <w:i/>
      <w:iCs/>
      <w:sz w:val="20"/>
      <w:szCs w:val="22"/>
      <w:lang w:val="en-NZ" w:eastAsia="en-US"/>
    </w:rPr>
  </w:style>
  <w:style w:type="character" w:customStyle="1" w:styleId="Heading9Char">
    <w:name w:val="Heading 9 Char"/>
    <w:basedOn w:val="DefaultParagraphFont"/>
    <w:link w:val="Heading9"/>
    <w:uiPriority w:val="10"/>
    <w:semiHidden/>
    <w:rsid w:val="00492569"/>
    <w:rPr>
      <w:rFonts w:ascii="Arial" w:eastAsiaTheme="minorHAnsi" w:hAnsi="Arial" w:cs="Arial"/>
      <w:sz w:val="20"/>
      <w:szCs w:val="22"/>
      <w:lang w:val="en-NZ" w:eastAsia="en-US"/>
    </w:rPr>
  </w:style>
  <w:style w:type="character" w:customStyle="1" w:styleId="FooterChar">
    <w:name w:val="Footer Char"/>
    <w:basedOn w:val="DefaultParagraphFont"/>
    <w:link w:val="Footer"/>
    <w:uiPriority w:val="58"/>
    <w:rsid w:val="00492569"/>
    <w:rPr>
      <w:rFonts w:ascii="Metropolis Light" w:eastAsiaTheme="minorHAnsi" w:hAnsi="Metropolis Light" w:cstheme="minorBidi"/>
      <w:sz w:val="20"/>
      <w:szCs w:val="22"/>
      <w:lang w:val="en-NZ" w:eastAsia="en-US"/>
    </w:rPr>
  </w:style>
  <w:style w:type="character" w:customStyle="1" w:styleId="BodyTextIndent3Char">
    <w:name w:val="Body Text Indent 3 Char"/>
    <w:basedOn w:val="DefaultParagraphFont"/>
    <w:link w:val="BodyTextIndent3"/>
    <w:uiPriority w:val="2"/>
    <w:semiHidden/>
    <w:rsid w:val="00492569"/>
    <w:rPr>
      <w:rFonts w:ascii="Metropolis Light" w:eastAsiaTheme="minorHAnsi" w:hAnsi="Metropolis Light" w:cstheme="minorBidi"/>
      <w:sz w:val="16"/>
      <w:szCs w:val="16"/>
      <w:lang w:val="en-NZ" w:eastAsia="en-US"/>
    </w:rPr>
  </w:style>
  <w:style w:type="character" w:customStyle="1" w:styleId="BodyTextIndent2Char">
    <w:name w:val="Body Text Indent 2 Char"/>
    <w:basedOn w:val="DefaultParagraphFont"/>
    <w:link w:val="BodyTextIndent2"/>
    <w:uiPriority w:val="1"/>
    <w:rsid w:val="00492569"/>
    <w:rPr>
      <w:rFonts w:ascii="Metropolis Light" w:hAnsi="Metropolis Light"/>
      <w:color w:val="0D0D0D" w:themeColor="text1" w:themeTint="F2"/>
      <w:sz w:val="20"/>
      <w:lang w:val="en-NZ"/>
    </w:rPr>
  </w:style>
  <w:style w:type="character" w:customStyle="1" w:styleId="BodyTextChar">
    <w:name w:val="Body Text Char"/>
    <w:basedOn w:val="DefaultParagraphFont"/>
    <w:link w:val="BodyText"/>
    <w:rsid w:val="00410441"/>
    <w:rPr>
      <w:rFonts w:ascii="Metropolis Light" w:hAnsi="Metropolis Light"/>
      <w:color w:val="000000" w:themeColor="text1"/>
      <w:sz w:val="20"/>
      <w:lang w:val="en-NZ"/>
    </w:rPr>
  </w:style>
  <w:style w:type="character" w:customStyle="1" w:styleId="BodyText2Char">
    <w:name w:val="Body Text 2 Char"/>
    <w:basedOn w:val="DefaultParagraphFont"/>
    <w:link w:val="BodyText2"/>
    <w:uiPriority w:val="1"/>
    <w:rsid w:val="00492569"/>
    <w:rPr>
      <w:rFonts w:ascii="Metropolis Light" w:hAnsi="Metropolis Light"/>
      <w:color w:val="0D0D0D" w:themeColor="text1" w:themeTint="F2"/>
      <w:sz w:val="20"/>
      <w:lang w:val="en-NZ"/>
    </w:rPr>
  </w:style>
  <w:style w:type="character" w:customStyle="1" w:styleId="BodyText3Char">
    <w:name w:val="Body Text 3 Char"/>
    <w:basedOn w:val="DefaultParagraphFont"/>
    <w:link w:val="BodyText3"/>
    <w:uiPriority w:val="1"/>
    <w:semiHidden/>
    <w:rsid w:val="00492569"/>
    <w:rPr>
      <w:lang w:val="en-NZ"/>
    </w:rPr>
  </w:style>
  <w:style w:type="character" w:customStyle="1" w:styleId="BodyTextFirstIndentChar">
    <w:name w:val="Body Text First Indent Char"/>
    <w:basedOn w:val="BodyTextChar"/>
    <w:link w:val="BodyTextFirstIndent"/>
    <w:uiPriority w:val="99"/>
    <w:semiHidden/>
    <w:rsid w:val="00492569"/>
    <w:rPr>
      <w:rFonts w:ascii="Metropolis Light" w:hAnsi="Metropolis Light"/>
      <w:color w:val="000000" w:themeColor="text1"/>
      <w:sz w:val="20"/>
      <w:lang w:val="en-NZ"/>
    </w:rPr>
  </w:style>
  <w:style w:type="character" w:customStyle="1" w:styleId="BodyTextIndentChar">
    <w:name w:val="Body Text Indent Char"/>
    <w:basedOn w:val="DefaultParagraphFont"/>
    <w:link w:val="BodyTextIndent"/>
    <w:rsid w:val="00492569"/>
    <w:rPr>
      <w:rFonts w:ascii="Metropolis Light" w:hAnsi="Metropolis Light"/>
      <w:color w:val="262626" w:themeColor="text1" w:themeTint="D9"/>
      <w:sz w:val="20"/>
      <w:lang w:val="en-NZ"/>
    </w:rPr>
  </w:style>
  <w:style w:type="character" w:customStyle="1" w:styleId="BodyTextFirstIndent2Char">
    <w:name w:val="Body Text First Indent 2 Char"/>
    <w:basedOn w:val="BodyTextIndentChar"/>
    <w:link w:val="BodyTextFirstIndent2"/>
    <w:uiPriority w:val="99"/>
    <w:semiHidden/>
    <w:rsid w:val="00492569"/>
    <w:rPr>
      <w:rFonts w:ascii="Metropolis Light" w:hAnsi="Metropolis Light"/>
      <w:color w:val="262626" w:themeColor="text1" w:themeTint="D9"/>
      <w:sz w:val="20"/>
      <w:lang w:val="en-NZ"/>
    </w:rPr>
  </w:style>
  <w:style w:type="character" w:customStyle="1" w:styleId="ClosingChar">
    <w:name w:val="Closing Char"/>
    <w:basedOn w:val="DefaultParagraphFont"/>
    <w:link w:val="Closing"/>
    <w:uiPriority w:val="99"/>
    <w:semiHidden/>
    <w:rsid w:val="00492569"/>
    <w:rPr>
      <w:rFonts w:ascii="Metropolis Light" w:eastAsiaTheme="minorHAnsi" w:hAnsi="Metropolis Light" w:cstheme="minorBidi"/>
      <w:sz w:val="20"/>
      <w:szCs w:val="22"/>
      <w:lang w:val="en-NZ" w:eastAsia="en-US"/>
    </w:rPr>
  </w:style>
  <w:style w:type="character" w:customStyle="1" w:styleId="E-mailSignatureChar">
    <w:name w:val="E-mail Signature Char"/>
    <w:basedOn w:val="DefaultParagraphFont"/>
    <w:link w:val="E-mailSignature"/>
    <w:uiPriority w:val="99"/>
    <w:semiHidden/>
    <w:rsid w:val="00492569"/>
    <w:rPr>
      <w:rFonts w:ascii="Metropolis Light" w:eastAsiaTheme="minorHAnsi" w:hAnsi="Metropolis Light" w:cstheme="minorBidi"/>
      <w:sz w:val="20"/>
      <w:szCs w:val="22"/>
      <w:lang w:val="en-NZ" w:eastAsia="en-US"/>
    </w:rPr>
  </w:style>
  <w:style w:type="character" w:customStyle="1" w:styleId="HTMLAddressChar">
    <w:name w:val="HTML Address Char"/>
    <w:basedOn w:val="DefaultParagraphFont"/>
    <w:link w:val="HTMLAddress"/>
    <w:uiPriority w:val="99"/>
    <w:semiHidden/>
    <w:rsid w:val="00492569"/>
    <w:rPr>
      <w:rFonts w:ascii="Metropolis Light" w:eastAsiaTheme="minorHAnsi" w:hAnsi="Metropolis Light" w:cstheme="minorBidi"/>
      <w:i/>
      <w:iCs/>
      <w:sz w:val="20"/>
      <w:szCs w:val="22"/>
      <w:lang w:val="en-NZ" w:eastAsia="en-US"/>
    </w:rPr>
  </w:style>
  <w:style w:type="character" w:customStyle="1" w:styleId="HTMLPreformattedChar">
    <w:name w:val="HTML Preformatted Char"/>
    <w:basedOn w:val="DefaultParagraphFont"/>
    <w:link w:val="HTMLPreformatted"/>
    <w:uiPriority w:val="99"/>
    <w:semiHidden/>
    <w:rsid w:val="00492569"/>
    <w:rPr>
      <w:rFonts w:ascii="Courier New" w:eastAsiaTheme="minorHAnsi" w:hAnsi="Courier New" w:cs="Courier New"/>
      <w:sz w:val="20"/>
      <w:szCs w:val="20"/>
      <w:lang w:val="en-NZ" w:eastAsia="en-US"/>
    </w:rPr>
  </w:style>
  <w:style w:type="character" w:customStyle="1" w:styleId="MessageHeaderChar">
    <w:name w:val="Message Header Char"/>
    <w:basedOn w:val="DefaultParagraphFont"/>
    <w:link w:val="MessageHeader"/>
    <w:uiPriority w:val="99"/>
    <w:semiHidden/>
    <w:rsid w:val="00492569"/>
    <w:rPr>
      <w:rFonts w:ascii="Arial" w:eastAsiaTheme="minorHAnsi" w:hAnsi="Arial" w:cs="Arial"/>
      <w:sz w:val="20"/>
      <w:szCs w:val="22"/>
      <w:shd w:val="pct20" w:color="auto" w:fill="auto"/>
      <w:lang w:val="en-NZ" w:eastAsia="en-US"/>
    </w:rPr>
  </w:style>
  <w:style w:type="character" w:customStyle="1" w:styleId="NoteHeadingChar">
    <w:name w:val="Note Heading Char"/>
    <w:basedOn w:val="DefaultParagraphFont"/>
    <w:link w:val="NoteHeading"/>
    <w:uiPriority w:val="99"/>
    <w:semiHidden/>
    <w:rsid w:val="00492569"/>
    <w:rPr>
      <w:rFonts w:ascii="Metropolis Light" w:eastAsiaTheme="minorHAnsi" w:hAnsi="Metropolis Light" w:cstheme="minorBidi"/>
      <w:sz w:val="20"/>
      <w:szCs w:val="22"/>
      <w:lang w:val="en-NZ" w:eastAsia="en-US"/>
    </w:rPr>
  </w:style>
  <w:style w:type="character" w:customStyle="1" w:styleId="PlainTextChar">
    <w:name w:val="Plain Text Char"/>
    <w:basedOn w:val="DefaultParagraphFont"/>
    <w:link w:val="PlainText"/>
    <w:uiPriority w:val="99"/>
    <w:semiHidden/>
    <w:rsid w:val="00492569"/>
    <w:rPr>
      <w:rFonts w:ascii="Courier New" w:eastAsiaTheme="minorHAnsi" w:hAnsi="Courier New" w:cs="Courier New"/>
      <w:sz w:val="20"/>
      <w:szCs w:val="20"/>
      <w:lang w:val="en-NZ" w:eastAsia="en-US"/>
    </w:rPr>
  </w:style>
  <w:style w:type="character" w:customStyle="1" w:styleId="SalutationChar">
    <w:name w:val="Salutation Char"/>
    <w:basedOn w:val="DefaultParagraphFont"/>
    <w:link w:val="Salutation"/>
    <w:uiPriority w:val="99"/>
    <w:semiHidden/>
    <w:rsid w:val="00492569"/>
    <w:rPr>
      <w:rFonts w:ascii="Metropolis Light" w:eastAsiaTheme="minorHAnsi" w:hAnsi="Metropolis Light" w:cstheme="minorBidi"/>
      <w:sz w:val="20"/>
      <w:szCs w:val="22"/>
      <w:lang w:val="en-NZ" w:eastAsia="en-US"/>
    </w:rPr>
  </w:style>
  <w:style w:type="character" w:customStyle="1" w:styleId="SignatureChar">
    <w:name w:val="Signature Char"/>
    <w:basedOn w:val="DefaultParagraphFont"/>
    <w:link w:val="Signature"/>
    <w:uiPriority w:val="99"/>
    <w:semiHidden/>
    <w:rsid w:val="00492569"/>
    <w:rPr>
      <w:rFonts w:ascii="Metropolis Light" w:eastAsiaTheme="minorHAnsi" w:hAnsi="Metropolis Light" w:cstheme="minorBidi"/>
      <w:sz w:val="20"/>
      <w:szCs w:val="22"/>
      <w:lang w:val="en-NZ" w:eastAsia="en-US"/>
    </w:rPr>
  </w:style>
  <w:style w:type="character" w:customStyle="1" w:styleId="SubtitleChar">
    <w:name w:val="Subtitle Char"/>
    <w:basedOn w:val="DefaultParagraphFont"/>
    <w:link w:val="Subtitle"/>
    <w:uiPriority w:val="21"/>
    <w:rsid w:val="00492569"/>
    <w:rPr>
      <w:rFonts w:ascii="Calibri" w:hAnsi="Calibri" w:cs="Arial"/>
      <w:b/>
      <w:bCs/>
      <w:caps/>
      <w:color w:val="6BA539"/>
      <w:sz w:val="48"/>
      <w:szCs w:val="32"/>
      <w:lang w:val="en-NZ"/>
    </w:rPr>
  </w:style>
  <w:style w:type="character" w:customStyle="1" w:styleId="TitleChar">
    <w:name w:val="Title Char"/>
    <w:basedOn w:val="DefaultParagraphFont"/>
    <w:link w:val="Title"/>
    <w:uiPriority w:val="20"/>
    <w:rsid w:val="00492569"/>
    <w:rPr>
      <w:rFonts w:ascii="Calibri" w:hAnsi="Calibri" w:cs="Arial"/>
      <w:b/>
      <w:bCs/>
      <w:caps/>
      <w:color w:val="6BA539"/>
      <w:sz w:val="72"/>
      <w:szCs w:val="32"/>
      <w:lang w:val="en-NZ"/>
    </w:rPr>
  </w:style>
  <w:style w:type="character" w:customStyle="1" w:styleId="UnresolvedMention1">
    <w:name w:val="Unresolved Mention1"/>
    <w:basedOn w:val="DefaultParagraphFont"/>
    <w:uiPriority w:val="99"/>
    <w:semiHidden/>
    <w:unhideWhenUsed/>
    <w:rsid w:val="00492569"/>
    <w:rPr>
      <w:color w:val="808080"/>
      <w:shd w:val="clear" w:color="auto" w:fill="E6E6E6"/>
    </w:rPr>
  </w:style>
  <w:style w:type="paragraph" w:customStyle="1" w:styleId="subsection2">
    <w:name w:val="subsection2"/>
    <w:basedOn w:val="Normal"/>
    <w:rsid w:val="00492569"/>
    <w:pPr>
      <w:spacing w:before="100" w:beforeAutospacing="1" w:after="100" w:afterAutospacing="1" w:line="240" w:lineRule="auto"/>
    </w:pPr>
    <w:rPr>
      <w:rFonts w:ascii="Times New Roman" w:hAnsi="Times New Roman"/>
      <w:sz w:val="24"/>
      <w:lang w:eastAsia="en-NZ"/>
    </w:rPr>
  </w:style>
  <w:style w:type="character" w:styleId="SubtleEmphasis">
    <w:name w:val="Subtle Emphasis"/>
    <w:basedOn w:val="DefaultParagraphFont"/>
    <w:uiPriority w:val="34"/>
    <w:rsid w:val="00492569"/>
    <w:rPr>
      <w:i/>
      <w:iCs/>
      <w:color w:val="808080" w:themeColor="text1" w:themeTint="7F"/>
    </w:rPr>
  </w:style>
  <w:style w:type="paragraph" w:customStyle="1" w:styleId="text">
    <w:name w:val="text"/>
    <w:basedOn w:val="Normal"/>
    <w:rsid w:val="00492569"/>
    <w:pPr>
      <w:spacing w:before="100" w:beforeAutospacing="1" w:after="100" w:afterAutospacing="1" w:line="240" w:lineRule="auto"/>
    </w:pPr>
    <w:rPr>
      <w:rFonts w:ascii="Times" w:hAnsi="Times"/>
      <w:szCs w:val="20"/>
    </w:rPr>
  </w:style>
  <w:style w:type="character" w:customStyle="1" w:styleId="insertwords">
    <w:name w:val="insertwords"/>
    <w:basedOn w:val="DefaultParagraphFont"/>
    <w:rsid w:val="00492569"/>
  </w:style>
  <w:style w:type="character" w:customStyle="1" w:styleId="label">
    <w:name w:val="label"/>
    <w:basedOn w:val="DefaultParagraphFont"/>
    <w:rsid w:val="00492569"/>
  </w:style>
  <w:style w:type="paragraph" w:customStyle="1" w:styleId="Proposal">
    <w:name w:val="Proposal"/>
    <w:basedOn w:val="Normal"/>
    <w:link w:val="ProposalChar"/>
    <w:qFormat/>
    <w:rsid w:val="00492569"/>
    <w:pPr>
      <w:tabs>
        <w:tab w:val="left" w:pos="960"/>
      </w:tabs>
      <w:spacing w:before="59" w:after="0" w:line="290" w:lineRule="atLeast"/>
      <w:ind w:left="964" w:right="284" w:hanging="6"/>
      <w:jc w:val="both"/>
    </w:pPr>
    <w:rPr>
      <w:rFonts w:eastAsia="Metropolis Light" w:cs="Metropolis Light"/>
      <w:szCs w:val="19"/>
    </w:rPr>
  </w:style>
  <w:style w:type="character" w:customStyle="1" w:styleId="ProposalChar">
    <w:name w:val="Proposal Char"/>
    <w:basedOn w:val="DefaultParagraphFont"/>
    <w:link w:val="Proposal"/>
    <w:rsid w:val="00492569"/>
    <w:rPr>
      <w:rFonts w:ascii="Metropolis Light" w:eastAsia="Metropolis Light" w:hAnsi="Metropolis Light" w:cs="Metropolis Light"/>
      <w:sz w:val="20"/>
      <w:szCs w:val="19"/>
      <w:lang w:val="en-NZ" w:eastAsia="en-US"/>
    </w:rPr>
  </w:style>
  <w:style w:type="paragraph" w:customStyle="1" w:styleId="QuestionBox">
    <w:name w:val="Question Box"/>
    <w:basedOn w:val="BodyText"/>
    <w:link w:val="QuestionBoxChar"/>
    <w:uiPriority w:val="8"/>
    <w:qFormat/>
    <w:rsid w:val="00492569"/>
    <w:pPr>
      <w:numPr>
        <w:ilvl w:val="0"/>
        <w:numId w:val="0"/>
      </w:numPr>
      <w:ind w:left="1004" w:right="284"/>
    </w:pPr>
    <w:rPr>
      <w:rFonts w:eastAsia="Metropolis Light"/>
    </w:rPr>
  </w:style>
  <w:style w:type="character" w:customStyle="1" w:styleId="QuestionBoxChar">
    <w:name w:val="Question Box Char"/>
    <w:basedOn w:val="BodyTextChar"/>
    <w:link w:val="QuestionBox"/>
    <w:uiPriority w:val="8"/>
    <w:rsid w:val="00492569"/>
    <w:rPr>
      <w:rFonts w:ascii="Metropolis Light" w:eastAsia="Metropolis Light" w:hAnsi="Metropolis Light"/>
      <w:color w:val="000000" w:themeColor="text1"/>
      <w:sz w:val="20"/>
      <w:lang w:val="en-NZ"/>
    </w:rPr>
  </w:style>
  <w:style w:type="character" w:customStyle="1" w:styleId="apple-converted-space">
    <w:name w:val="apple-converted-space"/>
    <w:basedOn w:val="DefaultParagraphFont"/>
    <w:rsid w:val="00492569"/>
  </w:style>
  <w:style w:type="paragraph" w:customStyle="1" w:styleId="BodyText1">
    <w:name w:val="Body Text1"/>
    <w:next w:val="BodyText"/>
    <w:link w:val="BodyText1Char"/>
    <w:uiPriority w:val="8"/>
    <w:qFormat/>
    <w:rsid w:val="00492569"/>
    <w:pPr>
      <w:tabs>
        <w:tab w:val="num" w:pos="360"/>
      </w:tabs>
      <w:spacing w:before="80" w:after="80" w:line="360" w:lineRule="auto"/>
      <w:jc w:val="both"/>
    </w:pPr>
    <w:rPr>
      <w:rFonts w:ascii="Metropolis Light" w:hAnsi="Metropolis Light"/>
      <w:color w:val="0D0D0D" w:themeColor="text1" w:themeTint="F2"/>
      <w:sz w:val="20"/>
      <w:lang w:val="en-NZ"/>
    </w:rPr>
  </w:style>
  <w:style w:type="character" w:customStyle="1" w:styleId="sslistitemcontent">
    <w:name w:val="ss_listitemcontent"/>
    <w:basedOn w:val="DefaultParagraphFont"/>
    <w:rsid w:val="00492569"/>
  </w:style>
  <w:style w:type="character" w:customStyle="1" w:styleId="BodyText1Char">
    <w:name w:val="Body Text1 Char"/>
    <w:basedOn w:val="BodyTextChar"/>
    <w:link w:val="BodyText1"/>
    <w:uiPriority w:val="8"/>
    <w:rsid w:val="00492569"/>
    <w:rPr>
      <w:rFonts w:ascii="Metropolis Light" w:hAnsi="Metropolis Light"/>
      <w:color w:val="0D0D0D" w:themeColor="text1" w:themeTint="F2"/>
      <w:sz w:val="20"/>
      <w:lang w:val="en-NZ"/>
    </w:rPr>
  </w:style>
  <w:style w:type="paragraph" w:customStyle="1" w:styleId="B2Recommendation">
    <w:name w:val="B2 Recommendation"/>
    <w:basedOn w:val="Normal"/>
    <w:rsid w:val="00492569"/>
    <w:pPr>
      <w:numPr>
        <w:numId w:val="18"/>
      </w:numPr>
      <w:tabs>
        <w:tab w:val="left" w:pos="2268"/>
      </w:tabs>
      <w:spacing w:after="0" w:line="240" w:lineRule="auto"/>
    </w:pPr>
    <w:rPr>
      <w:rFonts w:ascii="Times New Roman Mäori" w:hAnsi="Times New Roman Mäori"/>
      <w:b/>
      <w:bCs/>
      <w:color w:val="339966"/>
      <w:sz w:val="24"/>
      <w:szCs w:val="20"/>
      <w:lang w:val="en-GB"/>
    </w:rPr>
  </w:style>
  <w:style w:type="paragraph" w:customStyle="1" w:styleId="Default">
    <w:name w:val="Default"/>
    <w:rsid w:val="00492569"/>
    <w:pPr>
      <w:autoSpaceDE w:val="0"/>
      <w:autoSpaceDN w:val="0"/>
      <w:adjustRightInd w:val="0"/>
    </w:pPr>
    <w:rPr>
      <w:rFonts w:ascii="Times New Roman" w:hAnsi="Times New Roman"/>
      <w:color w:val="000000"/>
      <w:lang w:val="en-NZ"/>
    </w:rPr>
  </w:style>
  <w:style w:type="table" w:customStyle="1" w:styleId="GridTable1Light-Accent11">
    <w:name w:val="Grid Table 1 Light - Accent 11"/>
    <w:basedOn w:val="TableNormal"/>
    <w:uiPriority w:val="46"/>
    <w:rsid w:val="00492569"/>
    <w:tblPr>
      <w:tblStyleRowBandSize w:val="1"/>
      <w:tblStyleColBandSize w:val="1"/>
      <w:tblBorders>
        <w:top w:val="single" w:sz="4" w:space="0" w:color="55FFDB" w:themeColor="accent1" w:themeTint="66"/>
        <w:left w:val="single" w:sz="4" w:space="0" w:color="55FFDB" w:themeColor="accent1" w:themeTint="66"/>
        <w:bottom w:val="single" w:sz="4" w:space="0" w:color="55FFDB" w:themeColor="accent1" w:themeTint="66"/>
        <w:right w:val="single" w:sz="4" w:space="0" w:color="55FFDB" w:themeColor="accent1" w:themeTint="66"/>
        <w:insideH w:val="single" w:sz="4" w:space="0" w:color="55FFDB" w:themeColor="accent1" w:themeTint="66"/>
        <w:insideV w:val="single" w:sz="4" w:space="0" w:color="55FFDB" w:themeColor="accent1" w:themeTint="66"/>
      </w:tblBorders>
    </w:tblPr>
    <w:tblStylePr w:type="firstRow">
      <w:rPr>
        <w:b/>
        <w:bCs/>
      </w:rPr>
      <w:tblPr/>
      <w:tcPr>
        <w:tcBorders>
          <w:bottom w:val="single" w:sz="12" w:space="0" w:color="01FFCA" w:themeColor="accent1" w:themeTint="99"/>
        </w:tcBorders>
      </w:tcPr>
    </w:tblStylePr>
    <w:tblStylePr w:type="lastRow">
      <w:rPr>
        <w:b/>
        <w:bCs/>
      </w:rPr>
      <w:tblPr/>
      <w:tcPr>
        <w:tcBorders>
          <w:top w:val="double" w:sz="2" w:space="0" w:color="01FFCA" w:themeColor="accent1" w:themeTint="99"/>
        </w:tcBorders>
      </w:tcPr>
    </w:tblStylePr>
    <w:tblStylePr w:type="firstCol">
      <w:rPr>
        <w:b/>
        <w:bCs/>
      </w:rPr>
    </w:tblStylePr>
    <w:tblStylePr w:type="lastCol">
      <w:rPr>
        <w:b/>
        <w:bCs/>
      </w:rPr>
    </w:tblStylePr>
  </w:style>
  <w:style w:type="character" w:customStyle="1" w:styleId="UnresolvedMention10">
    <w:name w:val="Unresolved Mention10"/>
    <w:basedOn w:val="DefaultParagraphFont"/>
    <w:uiPriority w:val="99"/>
    <w:semiHidden/>
    <w:unhideWhenUsed/>
    <w:rsid w:val="00492569"/>
    <w:rPr>
      <w:color w:val="605E5C"/>
      <w:shd w:val="clear" w:color="auto" w:fill="E1DFDD"/>
    </w:rPr>
  </w:style>
  <w:style w:type="paragraph" w:customStyle="1" w:styleId="Questionabc">
    <w:name w:val="Question abc"/>
    <w:basedOn w:val="QuestionBox"/>
    <w:next w:val="QuestionBox"/>
    <w:link w:val="QuestionabcChar"/>
    <w:uiPriority w:val="8"/>
    <w:qFormat/>
    <w:rsid w:val="0090714C"/>
    <w:pPr>
      <w:numPr>
        <w:numId w:val="21"/>
      </w:numPr>
      <w:ind w:left="1417" w:hanging="425"/>
    </w:pPr>
  </w:style>
  <w:style w:type="character" w:customStyle="1" w:styleId="QuestionabcChar">
    <w:name w:val="Question abc Char"/>
    <w:basedOn w:val="ProposalChar"/>
    <w:link w:val="Questionabc"/>
    <w:uiPriority w:val="8"/>
    <w:rsid w:val="007A3AAF"/>
    <w:rPr>
      <w:rFonts w:ascii="Metropolis Light" w:eastAsia="Metropolis Light" w:hAnsi="Metropolis Light" w:cs="Metropolis Light"/>
      <w:color w:val="000000" w:themeColor="text1"/>
      <w:sz w:val="20"/>
      <w:szCs w:val="19"/>
      <w:lang w:val="en-NZ" w:eastAsia="en-US"/>
    </w:rPr>
  </w:style>
  <w:style w:type="character" w:customStyle="1" w:styleId="UnresolvedMention2">
    <w:name w:val="Unresolved Mention2"/>
    <w:basedOn w:val="DefaultParagraphFont"/>
    <w:uiPriority w:val="99"/>
    <w:semiHidden/>
    <w:unhideWhenUsed/>
    <w:rsid w:val="00492569"/>
    <w:rPr>
      <w:color w:val="605E5C"/>
      <w:shd w:val="clear" w:color="auto" w:fill="E1DFDD"/>
    </w:rPr>
  </w:style>
  <w:style w:type="character" w:customStyle="1" w:styleId="UnresolvedMention3">
    <w:name w:val="Unresolved Mention3"/>
    <w:basedOn w:val="DefaultParagraphFont"/>
    <w:uiPriority w:val="99"/>
    <w:semiHidden/>
    <w:unhideWhenUsed/>
    <w:rsid w:val="00492569"/>
    <w:rPr>
      <w:color w:val="605E5C"/>
      <w:shd w:val="clear" w:color="auto" w:fill="E1DFDD"/>
    </w:rPr>
  </w:style>
  <w:style w:type="paragraph" w:customStyle="1" w:styleId="Foreword">
    <w:name w:val="Foreword"/>
    <w:basedOn w:val="BodyTextIndent"/>
    <w:link w:val="ForewordChar"/>
    <w:uiPriority w:val="8"/>
    <w:qFormat/>
    <w:rsid w:val="00492569"/>
    <w:pPr>
      <w:spacing w:after="120"/>
      <w:ind w:left="0"/>
    </w:pPr>
    <w:rPr>
      <w:rFonts w:eastAsia="Metropolis Light"/>
      <w:color w:val="0D0D0D" w:themeColor="text1" w:themeTint="F2"/>
    </w:rPr>
  </w:style>
  <w:style w:type="character" w:customStyle="1" w:styleId="ForewordChar">
    <w:name w:val="Foreword Char"/>
    <w:basedOn w:val="BodyTextIndentChar"/>
    <w:link w:val="Foreword"/>
    <w:uiPriority w:val="8"/>
    <w:rsid w:val="00492569"/>
    <w:rPr>
      <w:rFonts w:ascii="Metropolis Light" w:eastAsia="Metropolis Light" w:hAnsi="Metropolis Light"/>
      <w:color w:val="0D0D0D" w:themeColor="text1" w:themeTint="F2"/>
      <w:sz w:val="20"/>
      <w:lang w:val="en-NZ"/>
    </w:rPr>
  </w:style>
  <w:style w:type="paragraph" w:customStyle="1" w:styleId="TableHeader">
    <w:name w:val="Table Header"/>
    <w:basedOn w:val="BodyText"/>
    <w:link w:val="TableHeaderChar"/>
    <w:uiPriority w:val="8"/>
    <w:qFormat/>
    <w:rsid w:val="00492569"/>
    <w:pPr>
      <w:numPr>
        <w:numId w:val="0"/>
      </w:numPr>
      <w:tabs>
        <w:tab w:val="left" w:pos="709"/>
      </w:tabs>
      <w:spacing w:line="240" w:lineRule="auto"/>
      <w:jc w:val="left"/>
    </w:pPr>
    <w:rPr>
      <w:b/>
      <w:bCs/>
      <w:color w:val="FFFFFF" w:themeColor="background1"/>
    </w:rPr>
  </w:style>
  <w:style w:type="paragraph" w:customStyle="1" w:styleId="TableText">
    <w:name w:val="Table Text"/>
    <w:basedOn w:val="BodyText"/>
    <w:link w:val="TableTextChar"/>
    <w:uiPriority w:val="8"/>
    <w:qFormat/>
    <w:rsid w:val="00492569"/>
    <w:pPr>
      <w:numPr>
        <w:numId w:val="0"/>
      </w:numPr>
      <w:tabs>
        <w:tab w:val="left" w:pos="709"/>
      </w:tabs>
      <w:spacing w:line="288" w:lineRule="auto"/>
      <w:jc w:val="left"/>
    </w:pPr>
    <w:rPr>
      <w:sz w:val="18"/>
    </w:rPr>
  </w:style>
  <w:style w:type="character" w:customStyle="1" w:styleId="TableHeaderChar">
    <w:name w:val="Table Header Char"/>
    <w:basedOn w:val="BodyTextChar"/>
    <w:link w:val="TableHeader"/>
    <w:uiPriority w:val="8"/>
    <w:rsid w:val="00492569"/>
    <w:rPr>
      <w:rFonts w:ascii="Metropolis Light" w:hAnsi="Metropolis Light"/>
      <w:b/>
      <w:bCs/>
      <w:color w:val="FFFFFF" w:themeColor="background1"/>
      <w:sz w:val="20"/>
      <w:lang w:val="en-NZ"/>
    </w:rPr>
  </w:style>
  <w:style w:type="table" w:customStyle="1" w:styleId="LCReportTable">
    <w:name w:val="LC Report Table"/>
    <w:basedOn w:val="LCTableFinancial"/>
    <w:uiPriority w:val="99"/>
    <w:rsid w:val="00492569"/>
    <w:pPr>
      <w:spacing w:after="0" w:line="240" w:lineRule="auto"/>
    </w:pPr>
    <w:rPr>
      <w:rFonts w:ascii="Metropolis Light" w:hAnsi="Metropolis Light"/>
      <w:sz w:val="20"/>
    </w:rPr>
    <w:tblPr>
      <w:tblBorders>
        <w:top w:val="single" w:sz="4" w:space="0" w:color="58892F"/>
        <w:left w:val="single" w:sz="4" w:space="0" w:color="58892F"/>
        <w:bottom w:val="single" w:sz="4" w:space="0" w:color="58892F"/>
        <w:right w:val="single" w:sz="4" w:space="0" w:color="58892F"/>
        <w:insideH w:val="single" w:sz="4" w:space="0" w:color="58892F"/>
        <w:insideV w:val="single" w:sz="4" w:space="0" w:color="58892F"/>
      </w:tblBorders>
    </w:tblPr>
    <w:tblStylePr w:type="firstRow">
      <w:pPr>
        <w:wordWrap/>
        <w:spacing w:beforeLines="0" w:beforeAutospacing="0" w:afterLines="0" w:afterAutospacing="0" w:line="240" w:lineRule="auto"/>
      </w:pPr>
      <w:rPr>
        <w:rFonts w:ascii="___WRD_EMBED_SUB_42" w:hAnsi="___WRD_EMBED_SUB_42"/>
        <w:b/>
        <w:caps/>
        <w:smallCaps w:val="0"/>
        <w:color w:val="FFFFFF"/>
        <w:sz w:val="20"/>
      </w:rPr>
      <w:tblPr/>
      <w:tcPr>
        <w:shd w:val="clear" w:color="auto" w:fill="6BA539"/>
      </w:tcPr>
    </w:tblStylePr>
    <w:tblStylePr w:type="lastRow">
      <w:rPr>
        <w:b/>
      </w:rPr>
    </w:tblStylePr>
    <w:tblStylePr w:type="firstCol">
      <w:pPr>
        <w:wordWrap/>
        <w:jc w:val="left"/>
      </w:pPr>
    </w:tblStylePr>
  </w:style>
  <w:style w:type="character" w:customStyle="1" w:styleId="TableTextChar">
    <w:name w:val="Table Text Char"/>
    <w:basedOn w:val="BodyTextChar"/>
    <w:link w:val="TableText"/>
    <w:uiPriority w:val="8"/>
    <w:rsid w:val="00492569"/>
    <w:rPr>
      <w:rFonts w:ascii="Metropolis Light" w:hAnsi="Metropolis Light"/>
      <w:color w:val="000000" w:themeColor="text1"/>
      <w:sz w:val="18"/>
      <w:lang w:val="en-NZ"/>
    </w:rPr>
  </w:style>
  <w:style w:type="paragraph" w:customStyle="1" w:styleId="Prelimheadings">
    <w:name w:val="Prelim headings"/>
    <w:basedOn w:val="Heading1nonum"/>
    <w:link w:val="PrelimheadingsChar"/>
    <w:uiPriority w:val="8"/>
    <w:rsid w:val="00492569"/>
    <w:pPr>
      <w:pageBreakBefore/>
      <w:spacing w:before="480"/>
    </w:pPr>
    <w:rPr>
      <w:color w:val="5CA0B9"/>
    </w:rPr>
  </w:style>
  <w:style w:type="character" w:customStyle="1" w:styleId="PrelimheadingsChar">
    <w:name w:val="Prelim headings Char"/>
    <w:basedOn w:val="DefaultParagraphFont"/>
    <w:link w:val="Prelimheadings"/>
    <w:uiPriority w:val="8"/>
    <w:rsid w:val="00492569"/>
    <w:rPr>
      <w:rFonts w:ascii="Metropolis Black" w:hAnsi="Metropolis Black"/>
      <w:b/>
      <w:color w:val="5CA0B9"/>
      <w:sz w:val="66"/>
      <w:lang w:val="en-NZ"/>
    </w:rPr>
  </w:style>
  <w:style w:type="paragraph" w:customStyle="1" w:styleId="BoxTitle">
    <w:name w:val="Box Title"/>
    <w:basedOn w:val="Normal"/>
    <w:link w:val="BoxTitleChar"/>
    <w:uiPriority w:val="8"/>
    <w:qFormat/>
    <w:rsid w:val="006F55AB"/>
    <w:pPr>
      <w:spacing w:before="100" w:beforeAutospacing="1"/>
    </w:pPr>
    <w:rPr>
      <w:rFonts w:ascii="Metropolis" w:eastAsia="Metropolis" w:hAnsi="Metropolis" w:cs="Metropolis"/>
      <w:b/>
      <w:color w:val="FFFFFF"/>
      <w:sz w:val="19"/>
      <w:szCs w:val="19"/>
    </w:rPr>
  </w:style>
  <w:style w:type="character" w:customStyle="1" w:styleId="BoxTitleChar">
    <w:name w:val="Box Title Char"/>
    <w:basedOn w:val="DefaultParagraphFont"/>
    <w:link w:val="BoxTitle"/>
    <w:uiPriority w:val="8"/>
    <w:rsid w:val="006F55AB"/>
    <w:rPr>
      <w:rFonts w:ascii="Metropolis" w:eastAsia="Metropolis" w:hAnsi="Metropolis" w:cs="Metropolis"/>
      <w:b/>
      <w:color w:val="FFFFFF"/>
      <w:sz w:val="19"/>
      <w:szCs w:val="19"/>
      <w:lang w:val="en-NZ" w:eastAsia="en-US"/>
    </w:rPr>
  </w:style>
  <w:style w:type="character" w:styleId="UnresolvedMention">
    <w:name w:val="Unresolved Mention"/>
    <w:basedOn w:val="DefaultParagraphFont"/>
    <w:uiPriority w:val="99"/>
    <w:semiHidden/>
    <w:unhideWhenUsed/>
    <w:rsid w:val="00E1369F"/>
    <w:rPr>
      <w:color w:val="605E5C"/>
      <w:shd w:val="clear" w:color="auto" w:fill="E1DFDD"/>
    </w:rPr>
  </w:style>
  <w:style w:type="character" w:customStyle="1" w:styleId="superscript">
    <w:name w:val="superscript"/>
    <w:basedOn w:val="DefaultParagraphFont"/>
    <w:rsid w:val="0074277B"/>
  </w:style>
  <w:style w:type="paragraph" w:customStyle="1" w:styleId="Numberedpara">
    <w:name w:val="Numbered para"/>
    <w:basedOn w:val="Normal"/>
    <w:qFormat/>
    <w:rsid w:val="00420123"/>
    <w:pPr>
      <w:numPr>
        <w:numId w:val="71"/>
      </w:numPr>
      <w:jc w:val="both"/>
    </w:pPr>
    <w:rPr>
      <w:color w:val="000000" w:themeColor="text1"/>
    </w:rPr>
  </w:style>
  <w:style w:type="numbering" w:customStyle="1" w:styleId="1111111">
    <w:name w:val="1 / 1.1 / 1.1.11"/>
    <w:basedOn w:val="NoList"/>
    <w:next w:val="111111"/>
    <w:semiHidden/>
    <w:rsid w:val="00D072C8"/>
    <w:pPr>
      <w:numPr>
        <w:numId w:val="4"/>
      </w:numPr>
    </w:pPr>
  </w:style>
  <w:style w:type="numbering" w:customStyle="1" w:styleId="1ai1">
    <w:name w:val="1 / a / i1"/>
    <w:basedOn w:val="NoList"/>
    <w:next w:val="1ai"/>
    <w:semiHidden/>
    <w:rsid w:val="00D072C8"/>
    <w:pPr>
      <w:numPr>
        <w:numId w:val="5"/>
      </w:numPr>
    </w:pPr>
  </w:style>
  <w:style w:type="numbering" w:customStyle="1" w:styleId="ArticleSection1">
    <w:name w:val="Article / Section1"/>
    <w:basedOn w:val="NoList"/>
    <w:next w:val="ArticleSection"/>
    <w:semiHidden/>
    <w:rsid w:val="00D072C8"/>
    <w:pPr>
      <w:numPr>
        <w:numId w:val="6"/>
      </w:numPr>
    </w:pPr>
  </w:style>
  <w:style w:type="numbering" w:customStyle="1" w:styleId="Chapter11">
    <w:name w:val="Chapter11"/>
    <w:uiPriority w:val="99"/>
    <w:rsid w:val="00D072C8"/>
    <w:pPr>
      <w:numPr>
        <w:numId w:val="17"/>
      </w:numPr>
    </w:pPr>
  </w:style>
  <w:style w:type="table" w:customStyle="1" w:styleId="LCReportTable1">
    <w:name w:val="LC Report Table1"/>
    <w:basedOn w:val="LCTableFinancial"/>
    <w:uiPriority w:val="99"/>
    <w:rsid w:val="00D072C8"/>
    <w:pPr>
      <w:spacing w:after="0" w:line="240" w:lineRule="auto"/>
    </w:pPr>
    <w:rPr>
      <w:rFonts w:ascii="Metropolis Light" w:hAnsi="Metropolis Light"/>
      <w:sz w:val="20"/>
    </w:rPr>
    <w:tblPr>
      <w:tblBorders>
        <w:top w:val="single" w:sz="4" w:space="0" w:color="58892F"/>
        <w:left w:val="single" w:sz="4" w:space="0" w:color="58892F"/>
        <w:bottom w:val="single" w:sz="4" w:space="0" w:color="58892F"/>
        <w:right w:val="single" w:sz="4" w:space="0" w:color="58892F"/>
        <w:insideH w:val="single" w:sz="4" w:space="0" w:color="58892F"/>
        <w:insideV w:val="single" w:sz="4" w:space="0" w:color="58892F"/>
      </w:tblBorders>
    </w:tblPr>
    <w:tblStylePr w:type="firstRow">
      <w:pPr>
        <w:wordWrap/>
        <w:spacing w:beforeLines="0" w:beforeAutospacing="0" w:afterLines="0" w:afterAutospacing="0" w:line="240" w:lineRule="auto"/>
      </w:pPr>
      <w:rPr>
        <w:rFonts w:ascii="___WRD_EMBED_SUB_42" w:hAnsi="___WRD_EMBED_SUB_42"/>
        <w:b/>
        <w:caps/>
        <w:smallCaps w:val="0"/>
        <w:color w:val="FFFFFF"/>
        <w:sz w:val="20"/>
      </w:rPr>
      <w:tblPr/>
      <w:tcPr>
        <w:shd w:val="clear" w:color="auto" w:fill="6BA539"/>
      </w:tcPr>
    </w:tblStylePr>
    <w:tblStylePr w:type="lastRow">
      <w:rPr>
        <w:b/>
      </w:rPr>
    </w:tblStylePr>
    <w:tblStylePr w:type="firstCol">
      <w:pPr>
        <w:wordWrap/>
        <w:jc w:val="left"/>
      </w:pPr>
    </w:tblStylePr>
  </w:style>
  <w:style w:type="paragraph" w:customStyle="1" w:styleId="Normal0">
    <w:name w:val="[Normal]"/>
    <w:rsid w:val="00D072C8"/>
    <w:pPr>
      <w:widowControl w:val="0"/>
      <w:autoSpaceDE w:val="0"/>
      <w:autoSpaceDN w:val="0"/>
      <w:adjustRightInd w:val="0"/>
      <w:spacing w:before="240"/>
      <w:ind w:left="714" w:hanging="357"/>
    </w:pPr>
    <w:rPr>
      <w:rFonts w:ascii="Arial" w:eastAsiaTheme="minorHAnsi" w:hAnsi="Arial" w:cs="Arial"/>
      <w:lang w:val="en-NZ" w:eastAsia="en-US"/>
      <w14:ligatures w14:val="standardContextual"/>
    </w:rPr>
  </w:style>
  <w:style w:type="character" w:styleId="Mention">
    <w:name w:val="Mention"/>
    <w:basedOn w:val="DefaultParagraphFont"/>
    <w:uiPriority w:val="99"/>
    <w:unhideWhenUsed/>
    <w:rsid w:val="00D072C8"/>
    <w:rPr>
      <w:color w:val="2B579A"/>
      <w:shd w:val="clear" w:color="auto" w:fill="E1DFDD"/>
    </w:rPr>
  </w:style>
  <w:style w:type="paragraph" w:customStyle="1" w:styleId="Style1">
    <w:name w:val="Style1"/>
    <w:basedOn w:val="Heading4"/>
    <w:qFormat/>
    <w:rsid w:val="002F3B1F"/>
    <w:pPr>
      <w:keepLines/>
      <w:numPr>
        <w:ilvl w:val="4"/>
      </w:numPr>
      <w:spacing w:after="40"/>
      <w:ind w:left="1008" w:hanging="432"/>
      <w:outlineLvl w:val="4"/>
    </w:pPr>
    <w:rPr>
      <w:rFonts w:ascii="Metropolis Light" w:eastAsiaTheme="majorEastAsia" w:hAnsi="Metropolis Light" w:cstheme="majorBidi"/>
      <w:color w:val="004133"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00316">
      <w:bodyDiv w:val="1"/>
      <w:marLeft w:val="0"/>
      <w:marRight w:val="0"/>
      <w:marTop w:val="0"/>
      <w:marBottom w:val="0"/>
      <w:divBdr>
        <w:top w:val="none" w:sz="0" w:space="0" w:color="auto"/>
        <w:left w:val="none" w:sz="0" w:space="0" w:color="auto"/>
        <w:bottom w:val="none" w:sz="0" w:space="0" w:color="auto"/>
        <w:right w:val="none" w:sz="0" w:space="0" w:color="auto"/>
      </w:divBdr>
      <w:divsChild>
        <w:div w:id="515850707">
          <w:marLeft w:val="0"/>
          <w:marRight w:val="0"/>
          <w:marTop w:val="0"/>
          <w:marBottom w:val="0"/>
          <w:divBdr>
            <w:top w:val="none" w:sz="0" w:space="0" w:color="auto"/>
            <w:left w:val="none" w:sz="0" w:space="0" w:color="auto"/>
            <w:bottom w:val="none" w:sz="0" w:space="0" w:color="auto"/>
            <w:right w:val="none" w:sz="0" w:space="0" w:color="auto"/>
          </w:divBdr>
        </w:div>
        <w:div w:id="1577669114">
          <w:marLeft w:val="0"/>
          <w:marRight w:val="0"/>
          <w:marTop w:val="0"/>
          <w:marBottom w:val="0"/>
          <w:divBdr>
            <w:top w:val="none" w:sz="0" w:space="0" w:color="auto"/>
            <w:left w:val="none" w:sz="0" w:space="0" w:color="auto"/>
            <w:bottom w:val="none" w:sz="0" w:space="0" w:color="auto"/>
            <w:right w:val="none" w:sz="0" w:space="0" w:color="auto"/>
          </w:divBdr>
        </w:div>
        <w:div w:id="1643853472">
          <w:marLeft w:val="0"/>
          <w:marRight w:val="0"/>
          <w:marTop w:val="0"/>
          <w:marBottom w:val="0"/>
          <w:divBdr>
            <w:top w:val="none" w:sz="0" w:space="0" w:color="auto"/>
            <w:left w:val="none" w:sz="0" w:space="0" w:color="auto"/>
            <w:bottom w:val="none" w:sz="0" w:space="0" w:color="auto"/>
            <w:right w:val="none" w:sz="0" w:space="0" w:color="auto"/>
          </w:divBdr>
        </w:div>
      </w:divsChild>
    </w:div>
    <w:div w:id="492643780">
      <w:bodyDiv w:val="1"/>
      <w:marLeft w:val="0"/>
      <w:marRight w:val="0"/>
      <w:marTop w:val="0"/>
      <w:marBottom w:val="0"/>
      <w:divBdr>
        <w:top w:val="none" w:sz="0" w:space="0" w:color="auto"/>
        <w:left w:val="none" w:sz="0" w:space="0" w:color="auto"/>
        <w:bottom w:val="none" w:sz="0" w:space="0" w:color="auto"/>
        <w:right w:val="none" w:sz="0" w:space="0" w:color="auto"/>
      </w:divBdr>
    </w:div>
    <w:div w:id="71362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www.lawcom.govt.nz/our-work/hate-crime/tab/terms-of-referenc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lawcom.govt.nz/our-work/hate-crime/tab/consultation-paper" TargetMode="External"/><Relationship Id="rId27"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1" Type="http://schemas.openxmlformats.org/officeDocument/2006/relationships/hyperlink" Target="https://web.archive.org/web/20250221075444/https://www.freespeechsubmission.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ellor\OneDrive%20-%20Law%20Commission\Issues%20Paper%20-%20Chapter%20-%20Template.dotx" TargetMode="External"/></Relationships>
</file>

<file path=word/theme/theme1.xml><?xml version="1.0" encoding="utf-8"?>
<a:theme xmlns:a="http://schemas.openxmlformats.org/drawingml/2006/main" name="Office Theme">
  <a:themeElements>
    <a:clrScheme name="LC Report colours">
      <a:dk1>
        <a:sysClr val="windowText" lastClr="000000"/>
      </a:dk1>
      <a:lt1>
        <a:sysClr val="window" lastClr="FFFFFF"/>
      </a:lt1>
      <a:dk2>
        <a:srgbClr val="005745"/>
      </a:dk2>
      <a:lt2>
        <a:srgbClr val="EEECE1"/>
      </a:lt2>
      <a:accent1>
        <a:srgbClr val="005745"/>
      </a:accent1>
      <a:accent2>
        <a:srgbClr val="C0504D"/>
      </a:accent2>
      <a:accent3>
        <a:srgbClr val="9BBB59"/>
      </a:accent3>
      <a:accent4>
        <a:srgbClr val="8064A2"/>
      </a:accent4>
      <a:accent5>
        <a:srgbClr val="4BACC6"/>
      </a:accent5>
      <a:accent6>
        <a:srgbClr val="F79646"/>
      </a:accent6>
      <a:hlink>
        <a:srgbClr val="005745"/>
      </a:hlink>
      <a:folHlink>
        <a:srgbClr val="008166"/>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A723BBDD80EAD479C8AFDFEFB6DD920" ma:contentTypeVersion="6" ma:contentTypeDescription="Create a new document." ma:contentTypeScope="" ma:versionID="5c54a1b749f3bc1554809e5ff1a40cab">
  <xsd:schema xmlns:xsd="http://www.w3.org/2001/XMLSchema" xmlns:xs="http://www.w3.org/2001/XMLSchema" xmlns:p="http://schemas.microsoft.com/office/2006/metadata/properties" xmlns:ns2="a85b4a20-75c1-47a1-b80d-c24888539def" xmlns:ns3="A35D336E-330D-427F-985C-48FEE9AA6870" xmlns:ns4="67c9f9d7-4c07-4d4c-a121-f7dcc0010109" xmlns:ns5="8aef46b2-e9f9-4668-ba1f-6f3688fcd530" xmlns:ns6="a35d336e-330d-427f-985c-48fee9aa6870" targetNamespace="http://schemas.microsoft.com/office/2006/metadata/properties" ma:root="true" ma:fieldsID="406ec4f608bd3b6b91d367a177f3de0a" ns2:_="" ns3:_="" ns4:_="" ns5:_="" ns6:_="">
    <xsd:import namespace="a85b4a20-75c1-47a1-b80d-c24888539def"/>
    <xsd:import namespace="A35D336E-330D-427F-985C-48FEE9AA6870"/>
    <xsd:import namespace="67c9f9d7-4c07-4d4c-a121-f7dcc0010109"/>
    <xsd:import namespace="8aef46b2-e9f9-4668-ba1f-6f3688fcd530"/>
    <xsd:import namespace="a35d336e-330d-427f-985c-48fee9aa6870"/>
    <xsd:element name="properties">
      <xsd:complexType>
        <xsd:sequence>
          <xsd:element name="documentManagement">
            <xsd:complexType>
              <xsd:all>
                <xsd:element ref="ns2:_dlc_DocId" minOccurs="0"/>
                <xsd:element ref="ns2:_dlc_DocIdUrl" minOccurs="0"/>
                <xsd:element ref="ns2:_dlc_DocIdPersistId" minOccurs="0"/>
                <xsd:element ref="ns3:Publication_x0020_Type"/>
                <xsd:element ref="ns3:Topic"/>
                <xsd:element ref="ns3:Document_x0020_Type"/>
                <xsd:element ref="ns3:Description0" minOccurs="0"/>
                <xsd:element ref="ns3:From" minOccurs="0"/>
                <xsd:element ref="ns3:From_x002d_Address" minOccurs="0"/>
                <xsd:element ref="ns3:To" minOccurs="0"/>
                <xsd:element ref="ns3:To_x002d_Address" minOccurs="0"/>
                <xsd:element ref="ns3:Sent" minOccurs="0"/>
                <xsd:element ref="ns2:TaxCatchAll" minOccurs="0"/>
                <xsd:element ref="ns3:MediaServiceMetadata" minOccurs="0"/>
                <xsd:element ref="ns3:MediaServiceFastMetadata" minOccurs="0"/>
                <xsd:element ref="ns4:SharedWithUsers" minOccurs="0"/>
                <xsd:element ref="ns5:SharedWithDetails" minOccurs="0"/>
                <xsd:element ref="ns3:MediaServiceEventHashCode" minOccurs="0"/>
                <xsd:element ref="ns3:MediaServiceGenerationTime" minOccurs="0"/>
                <xsd:element ref="ns3:MediaServiceAutoKeyPoints" minOccurs="0"/>
                <xsd:element ref="ns3:MediaServiceKeyPoints" minOccurs="0"/>
                <xsd:element ref="ns3:MediaServiceSearchProperties" minOccurs="0"/>
                <xsd:element ref="ns6:MediaServiceObjectDetectorVersions" minOccurs="0"/>
                <xsd:element ref="ns6:MediaLengthInSeconds" minOccurs="0"/>
                <xsd:element ref="ns6:lcf76f155ced4ddcb4097134ff3c332f" minOccurs="0"/>
                <xsd:element ref="ns6:MediaServiceDateTaken" minOccurs="0"/>
                <xsd:element ref="ns6: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4a20-75c1-47a1-b80d-c24888539d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5880c4a-8671-4e7e-a0b6-a7224b920e9a}" ma:internalName="TaxCatchAll" ma:showField="CatchAllData" ma:web="a85b4a20-75c1-47a1-b80d-c24888539d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5D336E-330D-427F-985C-48FEE9AA6870" elementFormDefault="qualified">
    <xsd:import namespace="http://schemas.microsoft.com/office/2006/documentManagement/types"/>
    <xsd:import namespace="http://schemas.microsoft.com/office/infopath/2007/PartnerControls"/>
    <xsd:element name="Publication_x0020_Type" ma:index="11" ma:displayName="Stage" ma:format="Dropdown" ma:internalName="Publication_x0020_Type">
      <xsd:simpleType>
        <xsd:restriction base="dms:Choice">
          <xsd:enumeration value="TOR"/>
          <xsd:enumeration value="Issues Paper"/>
          <xsd:enumeration value="Report"/>
        </xsd:restriction>
      </xsd:simpleType>
    </xsd:element>
    <xsd:element name="Topic" ma:index="12" ma:displayName="Topic" ma:format="Dropdown" ma:indexed="true" ma:internalName="Topic">
      <xsd:simpleType>
        <xsd:restriction base="dms:Choice">
          <xsd:enumeration value="Policy making"/>
          <xsd:enumeration value="Writing"/>
          <xsd:enumeration value="Draft legislation"/>
          <xsd:enumeration value="Team comments"/>
          <xsd:enumeration value="Commissioner comments"/>
          <xsd:enumeration value="External comments"/>
          <xsd:enumeration value="Web content"/>
        </xsd:restriction>
      </xsd:simpleType>
    </xsd:element>
    <xsd:element name="Document_x0020_Type" ma:index="13" ma:displayName="Document Type" ma:format="Dropdown" ma:indexed="true" ma:internalName="Document_x0020_Type">
      <xsd:simpleType>
        <xsd:restriction base="dms:Choice">
          <xsd:enumeration value="Parts &amp; chapters"/>
          <xsd:enumeration value="Full publication"/>
          <xsd:enumeration value="Memo"/>
          <xsd:enumeration value="File note"/>
          <xsd:enumeration value="Correspondence"/>
          <xsd:enumeration value="Draft legislation"/>
          <xsd:enumeration value="Web content"/>
          <xsd:enumeration value="Design component"/>
          <xsd:enumeration value="Other"/>
        </xsd:restriction>
      </xsd:simpleType>
    </xsd:element>
    <xsd:element name="Description0" ma:index="14" nillable="true" ma:displayName="Description" ma:internalName="Description0">
      <xsd:simpleType>
        <xsd:restriction base="dms:Text">
          <xsd:maxLength value="255"/>
        </xsd:restriction>
      </xsd:simpleType>
    </xsd:element>
    <xsd:element name="From" ma:index="16" nillable="true" ma:displayName="From" ma:internalName="From">
      <xsd:simpleType>
        <xsd:restriction base="dms:Text">
          <xsd:maxLength value="255"/>
        </xsd:restriction>
      </xsd:simpleType>
    </xsd:element>
    <xsd:element name="From_x002d_Address" ma:index="17" nillable="true" ma:displayName="From-Address" ma:internalName="From_x002d_Address">
      <xsd:simpleType>
        <xsd:restriction base="dms:Text">
          <xsd:maxLength value="255"/>
        </xsd:restriction>
      </xsd:simpleType>
    </xsd:element>
    <xsd:element name="To" ma:index="18" nillable="true" ma:displayName="To" ma:internalName="To">
      <xsd:simpleType>
        <xsd:restriction base="dms:Text">
          <xsd:maxLength value="255"/>
        </xsd:restriction>
      </xsd:simpleType>
    </xsd:element>
    <xsd:element name="To_x002d_Address" ma:index="19" nillable="true" ma:displayName="To-Address" ma:internalName="To_x002d_Address">
      <xsd:simpleType>
        <xsd:restriction base="dms:Text">
          <xsd:maxLength value="255"/>
        </xsd:restriction>
      </xsd:simpleType>
    </xsd:element>
    <xsd:element name="Sent" ma:index="20" nillable="true" ma:displayName="Sent" ma:format="DateOnly" ma:internalName="Sent">
      <xsd:simpleType>
        <xsd:restriction base="dms:DateTim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c9f9d7-4c07-4d4c-a121-f7dcc0010109"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ef46b2-e9f9-4668-ba1f-6f3688fcd530" elementFormDefault="qualified">
    <xsd:import namespace="http://schemas.microsoft.com/office/2006/documentManagement/types"/>
    <xsd:import namespace="http://schemas.microsoft.com/office/infopath/2007/PartnerControls"/>
    <xsd:element name="SharedWithDetails" ma:index="2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5d336e-330d-427f-985c-48fee9aa6870" elementFormDefault="qualified">
    <xsd:import namespace="http://schemas.microsoft.com/office/2006/documentManagement/types"/>
    <xsd:import namespace="http://schemas.microsoft.com/office/infopath/2007/PartnerControls"/>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a1488460-7e13-4933-b166-accf7d6b7021" ma:termSetId="09814cd3-568e-fe90-9814-8d621ff8fb84" ma:anchorId="fba54fb3-c3e1-fe81-a776-ca4b69148c4d" ma:open="true" ma:isKeyword="false">
      <xsd:complexType>
        <xsd:sequence>
          <xsd:element ref="pc:Terms" minOccurs="0" maxOccurs="1"/>
        </xsd:sequence>
      </xsd:complex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index="1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a85b4a20-75c1-47a1-b80d-c24888539def">EFJMHPFX6CZM-1600631141-183</_dlc_DocId>
    <_dlc_DocIdUrl xmlns="a85b4a20-75c1-47a1-b80d-c24888539def">
      <Url>https://lawcomnz.sharepoint.com/Projects/HCR/_layouts/15/DocIdRedir.aspx?ID=EFJMHPFX6CZM-1600631141-183</Url>
      <Description>EFJMHPFX6CZM-1600631141-183</Description>
    </_dlc_DocIdUrl>
    <Document_x0020_Type xmlns="A35D336E-330D-427F-985C-48FEE9AA6870">Full publication</Document_x0020_Type>
    <SharedWithUsers xmlns="67c9f9d7-4c07-4d4c-a121-f7dcc0010109">
      <UserInfo>
        <DisplayName>Jenny Ryan</DisplayName>
        <AccountId>552</AccountId>
        <AccountType/>
      </UserInfo>
    </SharedWithUsers>
    <To_x002d_Address xmlns="A35D336E-330D-427F-985C-48FEE9AA6870" xsi:nil="true"/>
    <To xmlns="A35D336E-330D-427F-985C-48FEE9AA6870" xsi:nil="true"/>
    <Description0 xmlns="A35D336E-330D-427F-985C-48FEE9AA6870" xsi:nil="true"/>
    <From_x002d_Address xmlns="A35D336E-330D-427F-985C-48FEE9AA6870" xsi:nil="true"/>
    <TaxCatchAll xmlns="a85b4a20-75c1-47a1-b80d-c24888539def" xsi:nil="true"/>
    <Topic xmlns="A35D336E-330D-427F-985C-48FEE9AA6870">Writing</Topic>
    <lcf76f155ced4ddcb4097134ff3c332f xmlns="a35d336e-330d-427f-985c-48fee9aa6870">
      <Terms xmlns="http://schemas.microsoft.com/office/infopath/2007/PartnerControls"/>
    </lcf76f155ced4ddcb4097134ff3c332f>
    <Publication_x0020_Type xmlns="A35D336E-330D-427F-985C-48FEE9AA6870">Issues Paper</Publication_x0020_Type>
    <From xmlns="A35D336E-330D-427F-985C-48FEE9AA6870" xsi:nil="true"/>
    <Sent xmlns="A35D336E-330D-427F-985C-48FEE9AA687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6136F5-8C24-4982-839C-BF1AFA30F372}">
  <ds:schemaRefs>
    <ds:schemaRef ds:uri="http://schemas.microsoft.com/sharepoint/events"/>
  </ds:schemaRefs>
</ds:datastoreItem>
</file>

<file path=customXml/itemProps2.xml><?xml version="1.0" encoding="utf-8"?>
<ds:datastoreItem xmlns:ds="http://schemas.openxmlformats.org/officeDocument/2006/customXml" ds:itemID="{EE61B531-98EE-48E5-B738-59D2B0D9D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4a20-75c1-47a1-b80d-c24888539def"/>
    <ds:schemaRef ds:uri="A35D336E-330D-427F-985C-48FEE9AA6870"/>
    <ds:schemaRef ds:uri="67c9f9d7-4c07-4d4c-a121-f7dcc0010109"/>
    <ds:schemaRef ds:uri="8aef46b2-e9f9-4668-ba1f-6f3688fcd530"/>
    <ds:schemaRef ds:uri="a35d336e-330d-427f-985c-48fee9aa6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3F3135-19CC-409B-B93A-55241866AC10}">
  <ds:schemaRefs>
    <ds:schemaRef ds:uri="http://schemas.openxmlformats.org/officeDocument/2006/bibliography"/>
  </ds:schemaRefs>
</ds:datastoreItem>
</file>

<file path=customXml/itemProps4.xml><?xml version="1.0" encoding="utf-8"?>
<ds:datastoreItem xmlns:ds="http://schemas.openxmlformats.org/officeDocument/2006/customXml" ds:itemID="{01E0C748-3FCB-4902-9A2A-6861EDD61634}">
  <ds:schemaRefs>
    <ds:schemaRef ds:uri="http://schemas.microsoft.com/office/infopath/2007/PartnerControls"/>
    <ds:schemaRef ds:uri="http://purl.org/dc/dcmitype/"/>
    <ds:schemaRef ds:uri="8aef46b2-e9f9-4668-ba1f-6f3688fcd530"/>
    <ds:schemaRef ds:uri="http://www.w3.org/XML/1998/namespace"/>
    <ds:schemaRef ds:uri="http://purl.org/dc/elements/1.1/"/>
    <ds:schemaRef ds:uri="http://schemas.microsoft.com/office/2006/documentManagement/types"/>
    <ds:schemaRef ds:uri="a35d336e-330d-427f-985c-48fee9aa6870"/>
    <ds:schemaRef ds:uri="http://schemas.microsoft.com/office/2006/metadata/properties"/>
    <ds:schemaRef ds:uri="http://schemas.openxmlformats.org/package/2006/metadata/core-properties"/>
    <ds:schemaRef ds:uri="67c9f9d7-4c07-4d4c-a121-f7dcc0010109"/>
    <ds:schemaRef ds:uri="A35D336E-330D-427F-985C-48FEE9AA6870"/>
    <ds:schemaRef ds:uri="a85b4a20-75c1-47a1-b80d-c24888539def"/>
    <ds:schemaRef ds:uri="http://purl.org/dc/terms/"/>
  </ds:schemaRefs>
</ds:datastoreItem>
</file>

<file path=customXml/itemProps5.xml><?xml version="1.0" encoding="utf-8"?>
<ds:datastoreItem xmlns:ds="http://schemas.openxmlformats.org/officeDocument/2006/customXml" ds:itemID="{A3386359-4F98-48EB-AD58-C06B41972B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Issues Paper - Chapter - Template.dotx</Template>
  <TotalTime>8</TotalTime>
  <Pages>62</Pages>
  <Words>15805</Words>
  <Characters>88514</Characters>
  <Application>Microsoft Office Word</Application>
  <DocSecurity>2</DocSecurity>
  <Lines>1639</Lines>
  <Paragraphs>808</Paragraphs>
  <ScaleCrop>false</ScaleCrop>
  <HeadingPairs>
    <vt:vector size="2" baseType="variant">
      <vt:variant>
        <vt:lpstr>Title</vt:lpstr>
      </vt:variant>
      <vt:variant>
        <vt:i4>1</vt:i4>
      </vt:variant>
    </vt:vector>
  </HeadingPairs>
  <TitlesOfParts>
    <vt:vector size="1" baseType="lpstr">
      <vt:lpstr>Report</vt:lpstr>
    </vt:vector>
  </TitlesOfParts>
  <Company>Law Commission</Company>
  <LinksUpToDate>false</LinksUpToDate>
  <CharactersWithSpaces>103511</CharactersWithSpaces>
  <SharedDoc>false</SharedDoc>
  <HLinks>
    <vt:vector size="246" baseType="variant">
      <vt:variant>
        <vt:i4>1441861</vt:i4>
      </vt:variant>
      <vt:variant>
        <vt:i4>3</vt:i4>
      </vt:variant>
      <vt:variant>
        <vt:i4>0</vt:i4>
      </vt:variant>
      <vt:variant>
        <vt:i4>5</vt:i4>
      </vt:variant>
      <vt:variant>
        <vt:lpwstr>https://www.lawcom.govt.nz/our-work/hate-crime/tab/consultation-paper</vt:lpwstr>
      </vt:variant>
      <vt:variant>
        <vt:lpwstr/>
      </vt:variant>
      <vt:variant>
        <vt:i4>1638424</vt:i4>
      </vt:variant>
      <vt:variant>
        <vt:i4>0</vt:i4>
      </vt:variant>
      <vt:variant>
        <vt:i4>0</vt:i4>
      </vt:variant>
      <vt:variant>
        <vt:i4>5</vt:i4>
      </vt:variant>
      <vt:variant>
        <vt:lpwstr>https://www.lawcom.govt.nz/our-work/hate-crime/tab/terms-of-reference</vt:lpwstr>
      </vt:variant>
      <vt:variant>
        <vt:lpwstr/>
      </vt:variant>
      <vt:variant>
        <vt:i4>3670138</vt:i4>
      </vt:variant>
      <vt:variant>
        <vt:i4>0</vt:i4>
      </vt:variant>
      <vt:variant>
        <vt:i4>0</vt:i4>
      </vt:variant>
      <vt:variant>
        <vt:i4>5</vt:i4>
      </vt:variant>
      <vt:variant>
        <vt:lpwstr>https://web.archive.org/web/20250221075444/https://www.freespeechsubmission.nz/</vt:lpwstr>
      </vt:variant>
      <vt:variant>
        <vt:lpwstr/>
      </vt:variant>
      <vt:variant>
        <vt:i4>4522036</vt:i4>
      </vt:variant>
      <vt:variant>
        <vt:i4>111</vt:i4>
      </vt:variant>
      <vt:variant>
        <vt:i4>0</vt:i4>
      </vt:variant>
      <vt:variant>
        <vt:i4>5</vt:i4>
      </vt:variant>
      <vt:variant>
        <vt:lpwstr>mailto:SMellor@lawcom.govt.nz</vt:lpwstr>
      </vt:variant>
      <vt:variant>
        <vt:lpwstr/>
      </vt:variant>
      <vt:variant>
        <vt:i4>983082</vt:i4>
      </vt:variant>
      <vt:variant>
        <vt:i4>108</vt:i4>
      </vt:variant>
      <vt:variant>
        <vt:i4>0</vt:i4>
      </vt:variant>
      <vt:variant>
        <vt:i4>5</vt:i4>
      </vt:variant>
      <vt:variant>
        <vt:lpwstr>mailto:smcelwain-wilson@lawcom.govt.nz</vt:lpwstr>
      </vt:variant>
      <vt:variant>
        <vt:lpwstr/>
      </vt:variant>
      <vt:variant>
        <vt:i4>4522036</vt:i4>
      </vt:variant>
      <vt:variant>
        <vt:i4>105</vt:i4>
      </vt:variant>
      <vt:variant>
        <vt:i4>0</vt:i4>
      </vt:variant>
      <vt:variant>
        <vt:i4>5</vt:i4>
      </vt:variant>
      <vt:variant>
        <vt:lpwstr>mailto:SMellor@lawcom.govt.nz</vt:lpwstr>
      </vt:variant>
      <vt:variant>
        <vt:lpwstr/>
      </vt:variant>
      <vt:variant>
        <vt:i4>983082</vt:i4>
      </vt:variant>
      <vt:variant>
        <vt:i4>102</vt:i4>
      </vt:variant>
      <vt:variant>
        <vt:i4>0</vt:i4>
      </vt:variant>
      <vt:variant>
        <vt:i4>5</vt:i4>
      </vt:variant>
      <vt:variant>
        <vt:lpwstr>mailto:smcelwain-wilson@lawcom.govt.nz</vt:lpwstr>
      </vt:variant>
      <vt:variant>
        <vt:lpwstr/>
      </vt:variant>
      <vt:variant>
        <vt:i4>983082</vt:i4>
      </vt:variant>
      <vt:variant>
        <vt:i4>99</vt:i4>
      </vt:variant>
      <vt:variant>
        <vt:i4>0</vt:i4>
      </vt:variant>
      <vt:variant>
        <vt:i4>5</vt:i4>
      </vt:variant>
      <vt:variant>
        <vt:lpwstr>mailto:smcelwain-wilson@lawcom.govt.nz</vt:lpwstr>
      </vt:variant>
      <vt:variant>
        <vt:lpwstr/>
      </vt:variant>
      <vt:variant>
        <vt:i4>4522036</vt:i4>
      </vt:variant>
      <vt:variant>
        <vt:i4>96</vt:i4>
      </vt:variant>
      <vt:variant>
        <vt:i4>0</vt:i4>
      </vt:variant>
      <vt:variant>
        <vt:i4>5</vt:i4>
      </vt:variant>
      <vt:variant>
        <vt:lpwstr>mailto:SMellor@lawcom.govt.nz</vt:lpwstr>
      </vt:variant>
      <vt:variant>
        <vt:lpwstr/>
      </vt:variant>
      <vt:variant>
        <vt:i4>983082</vt:i4>
      </vt:variant>
      <vt:variant>
        <vt:i4>93</vt:i4>
      </vt:variant>
      <vt:variant>
        <vt:i4>0</vt:i4>
      </vt:variant>
      <vt:variant>
        <vt:i4>5</vt:i4>
      </vt:variant>
      <vt:variant>
        <vt:lpwstr>mailto:smcelwain-wilson@lawcom.govt.nz</vt:lpwstr>
      </vt:variant>
      <vt:variant>
        <vt:lpwstr/>
      </vt:variant>
      <vt:variant>
        <vt:i4>983082</vt:i4>
      </vt:variant>
      <vt:variant>
        <vt:i4>90</vt:i4>
      </vt:variant>
      <vt:variant>
        <vt:i4>0</vt:i4>
      </vt:variant>
      <vt:variant>
        <vt:i4>5</vt:i4>
      </vt:variant>
      <vt:variant>
        <vt:lpwstr>mailto:smcelwain-wilson@lawcom.govt.nz</vt:lpwstr>
      </vt:variant>
      <vt:variant>
        <vt:lpwstr/>
      </vt:variant>
      <vt:variant>
        <vt:i4>4522036</vt:i4>
      </vt:variant>
      <vt:variant>
        <vt:i4>87</vt:i4>
      </vt:variant>
      <vt:variant>
        <vt:i4>0</vt:i4>
      </vt:variant>
      <vt:variant>
        <vt:i4>5</vt:i4>
      </vt:variant>
      <vt:variant>
        <vt:lpwstr>mailto:SMellor@lawcom.govt.nz</vt:lpwstr>
      </vt:variant>
      <vt:variant>
        <vt:lpwstr/>
      </vt:variant>
      <vt:variant>
        <vt:i4>4522036</vt:i4>
      </vt:variant>
      <vt:variant>
        <vt:i4>84</vt:i4>
      </vt:variant>
      <vt:variant>
        <vt:i4>0</vt:i4>
      </vt:variant>
      <vt:variant>
        <vt:i4>5</vt:i4>
      </vt:variant>
      <vt:variant>
        <vt:lpwstr>mailto:SMellor@lawcom.govt.nz</vt:lpwstr>
      </vt:variant>
      <vt:variant>
        <vt:lpwstr/>
      </vt:variant>
      <vt:variant>
        <vt:i4>4522036</vt:i4>
      </vt:variant>
      <vt:variant>
        <vt:i4>81</vt:i4>
      </vt:variant>
      <vt:variant>
        <vt:i4>0</vt:i4>
      </vt:variant>
      <vt:variant>
        <vt:i4>5</vt:i4>
      </vt:variant>
      <vt:variant>
        <vt:lpwstr>mailto:SMellor@lawcom.govt.nz</vt:lpwstr>
      </vt:variant>
      <vt:variant>
        <vt:lpwstr/>
      </vt:variant>
      <vt:variant>
        <vt:i4>4522036</vt:i4>
      </vt:variant>
      <vt:variant>
        <vt:i4>78</vt:i4>
      </vt:variant>
      <vt:variant>
        <vt:i4>0</vt:i4>
      </vt:variant>
      <vt:variant>
        <vt:i4>5</vt:i4>
      </vt:variant>
      <vt:variant>
        <vt:lpwstr>mailto:SMellor@lawcom.govt.nz</vt:lpwstr>
      </vt:variant>
      <vt:variant>
        <vt:lpwstr/>
      </vt:variant>
      <vt:variant>
        <vt:i4>4522036</vt:i4>
      </vt:variant>
      <vt:variant>
        <vt:i4>75</vt:i4>
      </vt:variant>
      <vt:variant>
        <vt:i4>0</vt:i4>
      </vt:variant>
      <vt:variant>
        <vt:i4>5</vt:i4>
      </vt:variant>
      <vt:variant>
        <vt:lpwstr>mailto:SMellor@lawcom.govt.nz</vt:lpwstr>
      </vt:variant>
      <vt:variant>
        <vt:lpwstr/>
      </vt:variant>
      <vt:variant>
        <vt:i4>4522036</vt:i4>
      </vt:variant>
      <vt:variant>
        <vt:i4>72</vt:i4>
      </vt:variant>
      <vt:variant>
        <vt:i4>0</vt:i4>
      </vt:variant>
      <vt:variant>
        <vt:i4>5</vt:i4>
      </vt:variant>
      <vt:variant>
        <vt:lpwstr>mailto:SMellor@lawcom.govt.nz</vt:lpwstr>
      </vt:variant>
      <vt:variant>
        <vt:lpwstr/>
      </vt:variant>
      <vt:variant>
        <vt:i4>4522036</vt:i4>
      </vt:variant>
      <vt:variant>
        <vt:i4>69</vt:i4>
      </vt:variant>
      <vt:variant>
        <vt:i4>0</vt:i4>
      </vt:variant>
      <vt:variant>
        <vt:i4>5</vt:i4>
      </vt:variant>
      <vt:variant>
        <vt:lpwstr>mailto:SMellor@lawcom.govt.nz</vt:lpwstr>
      </vt:variant>
      <vt:variant>
        <vt:lpwstr/>
      </vt:variant>
      <vt:variant>
        <vt:i4>4522036</vt:i4>
      </vt:variant>
      <vt:variant>
        <vt:i4>66</vt:i4>
      </vt:variant>
      <vt:variant>
        <vt:i4>0</vt:i4>
      </vt:variant>
      <vt:variant>
        <vt:i4>5</vt:i4>
      </vt:variant>
      <vt:variant>
        <vt:lpwstr>mailto:SMellor@lawcom.govt.nz</vt:lpwstr>
      </vt:variant>
      <vt:variant>
        <vt:lpwstr/>
      </vt:variant>
      <vt:variant>
        <vt:i4>983082</vt:i4>
      </vt:variant>
      <vt:variant>
        <vt:i4>63</vt:i4>
      </vt:variant>
      <vt:variant>
        <vt:i4>0</vt:i4>
      </vt:variant>
      <vt:variant>
        <vt:i4>5</vt:i4>
      </vt:variant>
      <vt:variant>
        <vt:lpwstr>mailto:smcelwain-wilson@lawcom.govt.nz</vt:lpwstr>
      </vt:variant>
      <vt:variant>
        <vt:lpwstr/>
      </vt:variant>
      <vt:variant>
        <vt:i4>5505066</vt:i4>
      </vt:variant>
      <vt:variant>
        <vt:i4>60</vt:i4>
      </vt:variant>
      <vt:variant>
        <vt:i4>0</vt:i4>
      </vt:variant>
      <vt:variant>
        <vt:i4>5</vt:i4>
      </vt:variant>
      <vt:variant>
        <vt:lpwstr>mailto:RGarden@lawcom.govt.nz</vt:lpwstr>
      </vt:variant>
      <vt:variant>
        <vt:lpwstr/>
      </vt:variant>
      <vt:variant>
        <vt:i4>983082</vt:i4>
      </vt:variant>
      <vt:variant>
        <vt:i4>57</vt:i4>
      </vt:variant>
      <vt:variant>
        <vt:i4>0</vt:i4>
      </vt:variant>
      <vt:variant>
        <vt:i4>5</vt:i4>
      </vt:variant>
      <vt:variant>
        <vt:lpwstr>mailto:smcelwain-wilson@lawcom.govt.nz</vt:lpwstr>
      </vt:variant>
      <vt:variant>
        <vt:lpwstr/>
      </vt:variant>
      <vt:variant>
        <vt:i4>5505066</vt:i4>
      </vt:variant>
      <vt:variant>
        <vt:i4>54</vt:i4>
      </vt:variant>
      <vt:variant>
        <vt:i4>0</vt:i4>
      </vt:variant>
      <vt:variant>
        <vt:i4>5</vt:i4>
      </vt:variant>
      <vt:variant>
        <vt:lpwstr>mailto:RGarden@lawcom.govt.nz</vt:lpwstr>
      </vt:variant>
      <vt:variant>
        <vt:lpwstr/>
      </vt:variant>
      <vt:variant>
        <vt:i4>4522036</vt:i4>
      </vt:variant>
      <vt:variant>
        <vt:i4>51</vt:i4>
      </vt:variant>
      <vt:variant>
        <vt:i4>0</vt:i4>
      </vt:variant>
      <vt:variant>
        <vt:i4>5</vt:i4>
      </vt:variant>
      <vt:variant>
        <vt:lpwstr>mailto:SMellor@lawcom.govt.nz</vt:lpwstr>
      </vt:variant>
      <vt:variant>
        <vt:lpwstr/>
      </vt:variant>
      <vt:variant>
        <vt:i4>1835124</vt:i4>
      </vt:variant>
      <vt:variant>
        <vt:i4>48</vt:i4>
      </vt:variant>
      <vt:variant>
        <vt:i4>0</vt:i4>
      </vt:variant>
      <vt:variant>
        <vt:i4>5</vt:i4>
      </vt:variant>
      <vt:variant>
        <vt:lpwstr>mailto:DValente@lawcom.govt.nz</vt:lpwstr>
      </vt:variant>
      <vt:variant>
        <vt:lpwstr/>
      </vt:variant>
      <vt:variant>
        <vt:i4>1179757</vt:i4>
      </vt:variant>
      <vt:variant>
        <vt:i4>45</vt:i4>
      </vt:variant>
      <vt:variant>
        <vt:i4>0</vt:i4>
      </vt:variant>
      <vt:variant>
        <vt:i4>5</vt:i4>
      </vt:variant>
      <vt:variant>
        <vt:lpwstr>mailto:akawharu@lawcom.govt.nz</vt:lpwstr>
      </vt:variant>
      <vt:variant>
        <vt:lpwstr/>
      </vt:variant>
      <vt:variant>
        <vt:i4>4522036</vt:i4>
      </vt:variant>
      <vt:variant>
        <vt:i4>42</vt:i4>
      </vt:variant>
      <vt:variant>
        <vt:i4>0</vt:i4>
      </vt:variant>
      <vt:variant>
        <vt:i4>5</vt:i4>
      </vt:variant>
      <vt:variant>
        <vt:lpwstr>mailto:SMellor@lawcom.govt.nz</vt:lpwstr>
      </vt:variant>
      <vt:variant>
        <vt:lpwstr/>
      </vt:variant>
      <vt:variant>
        <vt:i4>4522036</vt:i4>
      </vt:variant>
      <vt:variant>
        <vt:i4>39</vt:i4>
      </vt:variant>
      <vt:variant>
        <vt:i4>0</vt:i4>
      </vt:variant>
      <vt:variant>
        <vt:i4>5</vt:i4>
      </vt:variant>
      <vt:variant>
        <vt:lpwstr>mailto:SMellor@lawcom.govt.nz</vt:lpwstr>
      </vt:variant>
      <vt:variant>
        <vt:lpwstr/>
      </vt:variant>
      <vt:variant>
        <vt:i4>4522036</vt:i4>
      </vt:variant>
      <vt:variant>
        <vt:i4>36</vt:i4>
      </vt:variant>
      <vt:variant>
        <vt:i4>0</vt:i4>
      </vt:variant>
      <vt:variant>
        <vt:i4>5</vt:i4>
      </vt:variant>
      <vt:variant>
        <vt:lpwstr>mailto:SMellor@lawcom.govt.nz</vt:lpwstr>
      </vt:variant>
      <vt:variant>
        <vt:lpwstr/>
      </vt:variant>
      <vt:variant>
        <vt:i4>4522036</vt:i4>
      </vt:variant>
      <vt:variant>
        <vt:i4>33</vt:i4>
      </vt:variant>
      <vt:variant>
        <vt:i4>0</vt:i4>
      </vt:variant>
      <vt:variant>
        <vt:i4>5</vt:i4>
      </vt:variant>
      <vt:variant>
        <vt:lpwstr>mailto:SMellor@lawcom.govt.nz</vt:lpwstr>
      </vt:variant>
      <vt:variant>
        <vt:lpwstr/>
      </vt:variant>
      <vt:variant>
        <vt:i4>5505066</vt:i4>
      </vt:variant>
      <vt:variant>
        <vt:i4>30</vt:i4>
      </vt:variant>
      <vt:variant>
        <vt:i4>0</vt:i4>
      </vt:variant>
      <vt:variant>
        <vt:i4>5</vt:i4>
      </vt:variant>
      <vt:variant>
        <vt:lpwstr>mailto:RGarden@lawcom.govt.nz</vt:lpwstr>
      </vt:variant>
      <vt:variant>
        <vt:lpwstr/>
      </vt:variant>
      <vt:variant>
        <vt:i4>4522036</vt:i4>
      </vt:variant>
      <vt:variant>
        <vt:i4>27</vt:i4>
      </vt:variant>
      <vt:variant>
        <vt:i4>0</vt:i4>
      </vt:variant>
      <vt:variant>
        <vt:i4>5</vt:i4>
      </vt:variant>
      <vt:variant>
        <vt:lpwstr>mailto:SMellor@lawcom.govt.nz</vt:lpwstr>
      </vt:variant>
      <vt:variant>
        <vt:lpwstr/>
      </vt:variant>
      <vt:variant>
        <vt:i4>5505066</vt:i4>
      </vt:variant>
      <vt:variant>
        <vt:i4>24</vt:i4>
      </vt:variant>
      <vt:variant>
        <vt:i4>0</vt:i4>
      </vt:variant>
      <vt:variant>
        <vt:i4>5</vt:i4>
      </vt:variant>
      <vt:variant>
        <vt:lpwstr>mailto:RGarden@lawcom.govt.nz</vt:lpwstr>
      </vt:variant>
      <vt:variant>
        <vt:lpwstr/>
      </vt:variant>
      <vt:variant>
        <vt:i4>5505066</vt:i4>
      </vt:variant>
      <vt:variant>
        <vt:i4>21</vt:i4>
      </vt:variant>
      <vt:variant>
        <vt:i4>0</vt:i4>
      </vt:variant>
      <vt:variant>
        <vt:i4>5</vt:i4>
      </vt:variant>
      <vt:variant>
        <vt:lpwstr>mailto:RGarden@lawcom.govt.nz</vt:lpwstr>
      </vt:variant>
      <vt:variant>
        <vt:lpwstr/>
      </vt:variant>
      <vt:variant>
        <vt:i4>2949153</vt:i4>
      </vt:variant>
      <vt:variant>
        <vt:i4>18</vt:i4>
      </vt:variant>
      <vt:variant>
        <vt:i4>0</vt:i4>
      </vt:variant>
      <vt:variant>
        <vt:i4>5</vt:i4>
      </vt:variant>
      <vt:variant>
        <vt:lpwstr>https://lawcomnz.sharepoint.com/:w:/g/Projects/HCR/EfJnqCE3Yt1KgUvBFSTcfV0Bc6wrza5SSBMCUoB80JsoNg?e=QVP3TJ</vt:lpwstr>
      </vt:variant>
      <vt:variant>
        <vt:lpwstr/>
      </vt:variant>
      <vt:variant>
        <vt:i4>5505066</vt:i4>
      </vt:variant>
      <vt:variant>
        <vt:i4>15</vt:i4>
      </vt:variant>
      <vt:variant>
        <vt:i4>0</vt:i4>
      </vt:variant>
      <vt:variant>
        <vt:i4>5</vt:i4>
      </vt:variant>
      <vt:variant>
        <vt:lpwstr>mailto:RGarden@lawcom.govt.nz</vt:lpwstr>
      </vt:variant>
      <vt:variant>
        <vt:lpwstr/>
      </vt:variant>
      <vt:variant>
        <vt:i4>4522036</vt:i4>
      </vt:variant>
      <vt:variant>
        <vt:i4>12</vt:i4>
      </vt:variant>
      <vt:variant>
        <vt:i4>0</vt:i4>
      </vt:variant>
      <vt:variant>
        <vt:i4>5</vt:i4>
      </vt:variant>
      <vt:variant>
        <vt:lpwstr>mailto:SMellor@lawcom.govt.nz</vt:lpwstr>
      </vt:variant>
      <vt:variant>
        <vt:lpwstr/>
      </vt:variant>
      <vt:variant>
        <vt:i4>5505066</vt:i4>
      </vt:variant>
      <vt:variant>
        <vt:i4>9</vt:i4>
      </vt:variant>
      <vt:variant>
        <vt:i4>0</vt:i4>
      </vt:variant>
      <vt:variant>
        <vt:i4>5</vt:i4>
      </vt:variant>
      <vt:variant>
        <vt:lpwstr>mailto:RGarden@lawcom.govt.nz</vt:lpwstr>
      </vt:variant>
      <vt:variant>
        <vt:lpwstr/>
      </vt:variant>
      <vt:variant>
        <vt:i4>4522036</vt:i4>
      </vt:variant>
      <vt:variant>
        <vt:i4>6</vt:i4>
      </vt:variant>
      <vt:variant>
        <vt:i4>0</vt:i4>
      </vt:variant>
      <vt:variant>
        <vt:i4>5</vt:i4>
      </vt:variant>
      <vt:variant>
        <vt:lpwstr>mailto:SMellor@lawcom.govt.nz</vt:lpwstr>
      </vt:variant>
      <vt:variant>
        <vt:lpwstr/>
      </vt:variant>
      <vt:variant>
        <vt:i4>5505066</vt:i4>
      </vt:variant>
      <vt:variant>
        <vt:i4>3</vt:i4>
      </vt:variant>
      <vt:variant>
        <vt:i4>0</vt:i4>
      </vt:variant>
      <vt:variant>
        <vt:i4>5</vt:i4>
      </vt:variant>
      <vt:variant>
        <vt:lpwstr>mailto:RGarden@lawcom.govt.nz</vt:lpwstr>
      </vt:variant>
      <vt:variant>
        <vt:lpwstr/>
      </vt:variant>
      <vt:variant>
        <vt:i4>4522036</vt:i4>
      </vt:variant>
      <vt:variant>
        <vt:i4>0</vt:i4>
      </vt:variant>
      <vt:variant>
        <vt:i4>0</vt:i4>
      </vt:variant>
      <vt:variant>
        <vt:i4>5</vt:i4>
      </vt:variant>
      <vt:variant>
        <vt:lpwstr>mailto:SMellor@lawcom.govt.nz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Hara Ngākau Kino | Hate Crime — Summary Of Submissions</dc:title>
  <dc:subject/>
  <dc:creator>Te Aka Matua O Te Ture | Law Commission</dc:creator>
  <cp:keywords/>
  <cp:lastPrinted>2013-08-19T07:47:00Z</cp:lastPrinted>
  <dcterms:created xsi:type="dcterms:W3CDTF">2025-08-27T23:12:00Z</dcterms:created>
  <dcterms:modified xsi:type="dcterms:W3CDTF">2025-08-28T00:37:00Z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0x010100EA723BBDD80EAD479C8AFDFEFB6DD920</vt:lpwstr>
  </property>
  <property fmtid="{D5CDD505-2E9C-101B-9397-08002B2CF9AE}" pid="3" name="MediaServiceImageTags">
    <vt:lpwstr/>
  </property>
  <property fmtid="{D5CDD505-2E9C-101B-9397-08002B2CF9AE}" pid="4" name="_dlc_DocIdItemGuid">
    <vt:lpwstr>06e3a836-1872-4cb3-af2d-9e5c21565eaa</vt:lpwstr>
  </property>
  <property fmtid="{D5CDD505-2E9C-101B-9397-08002B2CF9AE}" pid="5" name="_MarkAsFinal">
    <vt:bool>true</vt:bool>
  </property>
</Properties>
</file>